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Dine Brands Global,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001-15283</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95-3038279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10 West Walnut Street, 5th Floor,</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Pasadena,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91103</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(818) 240-6055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3.03 of this Current Report is incorporated into this Item 1.01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October 28, 2026,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Dine Brands Global,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adopted a stockholder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agreement and declared a dividend of one right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for each outstanding share of Company common stock, par value $0.01 per share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stockholders of record at the close of business on November 9, 2026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Each Right entitles its holder, subject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terms of the Rights Agreement (as defined below), to purchase from the Company one one-thousandth of a share of Series A Junior Participating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Preferred Stock, par value $1.00 per share (“</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of the Company at an exercise price of $210.00 per Right, subject to adjustment.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description and terms of the Rights are set forth in a stockholder rights agreement, dated as of October 28, 2026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between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and Computershare Trust Company, N.A., as rights agent (and any successor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4" w:right="540"/>
        <w:spacing w:after="0" w:line="266" w:lineRule="auto"/>
        <w:rPr>
          <w:sz w:val="20"/>
          <w:szCs w:val="20"/>
          <w:color w:val="auto"/>
        </w:rPr>
      </w:pPr>
      <w:r>
        <w:rPr>
          <w:rFonts w:ascii="Times New Roman" w:cs="Times New Roman" w:eastAsia="Times New Roman" w:hAnsi="Times New Roman"/>
          <w:sz w:val="18"/>
          <w:szCs w:val="18"/>
          <w:color w:val="auto"/>
        </w:rPr>
        <w:t>The Rights Agreement is intended to reduce the likelihood that anyone is able to gain control of the Company without paying all stockholders an appropriate control premium, and to provide the Board the adequate opportunity to make informed judgments and take actions that are in the best interests of all stockholders.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Rights Agreement is not expected to interfere with any merger or other business combination approved by the Board.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Rights</w:t>
      </w:r>
      <w:r>
        <w:rPr>
          <w:rFonts w:ascii="Times New Roman" w:cs="Times New Roman" w:eastAsia="Times New Roman" w:hAnsi="Times New Roman"/>
          <w:sz w:val="18"/>
          <w:szCs w:val="18"/>
          <w:color w:val="auto"/>
        </w:rPr>
        <w:t>. The Rights will attach to any shares of Common Stock that become issued and outstanding after the Record Date and prior to the earlier of</w:t>
      </w:r>
    </w:p>
    <w:p>
      <w:pPr>
        <w:spacing w:after="0" w:line="31" w:lineRule="exact"/>
        <w:rPr>
          <w:sz w:val="20"/>
          <w:szCs w:val="20"/>
          <w:color w:val="auto"/>
        </w:rPr>
      </w:pPr>
    </w:p>
    <w:p>
      <w:pPr>
        <w:ind w:left="4" w:right="160" w:hanging="4"/>
        <w:spacing w:after="0" w:line="260"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Time (as defined below) and (ii) the Expiration Time (as defined below), and in certain other circumstances described in the Rights Agreement.</w:t>
      </w:r>
    </w:p>
    <w:p>
      <w:pPr>
        <w:spacing w:after="0" w:line="18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Until the Distribution Time, the Rights are associated with Common Stock and evidenced by Common Stock certificates or, in the case of uncertificated shares of Common Stock, the book-entry account that evidences record ownership of such shares. That book-entry account will contain a notation incorporating the Rights Agreement by reference. Until the Distribution Time, the Rights are transferable with—and only with—the underlying shares of Common Stock.</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Rights will be represented solely by the separate rights certificates.</w:t>
      </w:r>
    </w:p>
    <w:p>
      <w:pPr>
        <w:spacing w:after="0" w:line="176"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58"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Separation and Distribution of Rights; Exercisability</w:t>
      </w:r>
      <w:r>
        <w:rPr>
          <w:rFonts w:ascii="Times New Roman" w:cs="Times New Roman" w:eastAsia="Times New Roman" w:hAnsi="Times New Roman"/>
          <w:sz w:val="18"/>
          <w:szCs w:val="18"/>
          <w:color w:val="auto"/>
        </w:rPr>
        <w:t>. Subject to certain exceptions, the Rights become exercisable and trade separately from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only upon the “</w:t>
      </w:r>
      <w:r>
        <w:rPr>
          <w:rFonts w:ascii="Times New Roman" w:cs="Times New Roman" w:eastAsia="Times New Roman" w:hAnsi="Times New Roman"/>
          <w:sz w:val="18"/>
          <w:szCs w:val="18"/>
          <w:u w:val="single" w:color="auto"/>
          <w:color w:val="auto"/>
        </w:rPr>
        <w:t>Distribution Time</w:t>
      </w:r>
      <w:r>
        <w:rPr>
          <w:rFonts w:ascii="Times New Roman" w:cs="Times New Roman" w:eastAsia="Times New Roman" w:hAnsi="Times New Roman"/>
          <w:sz w:val="18"/>
          <w:szCs w:val="18"/>
          <w:color w:val="auto"/>
        </w:rPr>
        <w:t>,” which occurs upon the earlier of:</w:t>
      </w:r>
    </w:p>
    <w:p>
      <w:pPr>
        <w:spacing w:after="0" w:line="64" w:lineRule="exact"/>
        <w:rPr>
          <w:sz w:val="20"/>
          <w:szCs w:val="20"/>
          <w:color w:val="auto"/>
        </w:rPr>
      </w:pPr>
    </w:p>
    <w:p>
      <w:pPr>
        <w:ind w:left="964" w:right="6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tenth (10th) day after the “</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(which is defined as (i) the first date of public announcement that any person or group has become an “Acquiring Person” or (ii) such other date, as determined by the Board, on which a person or group has become an Acquiring Person); and</w:t>
      </w:r>
    </w:p>
    <w:p>
      <w:pPr>
        <w:spacing w:after="0" w:line="81" w:lineRule="exact"/>
        <w:rPr>
          <w:rFonts w:ascii="Times New Roman" w:cs="Times New Roman" w:eastAsia="Times New Roman" w:hAnsi="Times New Roman"/>
          <w:sz w:val="18"/>
          <w:szCs w:val="18"/>
          <w:color w:val="auto"/>
        </w:rPr>
      </w:pPr>
    </w:p>
    <w:p>
      <w:pPr>
        <w:ind w:left="964" w:right="200" w:hanging="424"/>
        <w:spacing w:after="0" w:line="26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unless such tender or exchange offer is conditioned on the redemption of the Rights or termination of the Rights Agreement.</w:t>
      </w:r>
    </w:p>
    <w:p>
      <w:pPr>
        <w:spacing w:after="0" w:line="180"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means a person or group that, together with its affiliates and associates, beneficially owns the Specified Percentage (as defined below) or more of the outstanding shares of Common Stock (with certain exceptions, including those described below).</w:t>
      </w:r>
    </w:p>
    <w:p>
      <w:pPr>
        <w:spacing w:after="0" w:line="162"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Percentage</w:t>
      </w:r>
      <w:r>
        <w:rPr>
          <w:rFonts w:ascii="Times New Roman" w:cs="Times New Roman" w:eastAsia="Times New Roman" w:hAnsi="Times New Roman"/>
          <w:sz w:val="18"/>
          <w:szCs w:val="18"/>
          <w:color w:val="auto"/>
        </w:rPr>
        <w:t>” means (i) 20% when referring to the beneficial ownership of any person that is a passive investor, but only for so long as such person is a passive investor, and (ii) 10% when referring to the beneficial ownership of any person that is not a passive investor.</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Acquiring Person does not include:</w:t>
      </w:r>
    </w:p>
    <w:p>
      <w:pPr>
        <w:spacing w:after="0" w:line="131"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of the Company;</w:t>
      </w:r>
    </w:p>
    <w:p>
      <w:pPr>
        <w:sectPr>
          <w:pgSz w:w="11900" w:h="16838" w:orient="portrait"/>
          <w:cols w:equalWidth="0" w:num="1">
            <w:col w:w="11004"/>
          </w:cols>
          <w:pgMar w:left="436" w:top="293" w:right="459" w:bottom="1440" w:gutter="0" w:footer="0" w:header="0"/>
        </w:sectPr>
      </w:pPr>
    </w:p>
    <w:bookmarkStart w:id="2" w:name="page3"/>
    <w:bookmarkEnd w:id="2"/>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 officer, director or employee of the Company or any subsidiary of the Company in his or her capacity as such;</w:t>
      </w:r>
    </w:p>
    <w:p>
      <w:pPr>
        <w:spacing w:after="0" w:line="130" w:lineRule="exact"/>
        <w:rPr>
          <w:rFonts w:ascii="Times New Roman" w:cs="Times New Roman" w:eastAsia="Times New Roman" w:hAnsi="Times New Roman"/>
          <w:sz w:val="18"/>
          <w:szCs w:val="18"/>
          <w:color w:val="auto"/>
        </w:rPr>
      </w:pPr>
    </w:p>
    <w:p>
      <w:pPr>
        <w:jc w:val="both"/>
        <w:ind w:left="960" w:right="2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81"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(i) the Specified Percentage and (ii) the sum of the lowest beneficial ownership of such person or group since the public announcement of the adoption of the Rights Agreement plus one share of Common Stock.</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the Rights Agreement provides that no person or group will become an Acquiring Person as a result of security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has already divested or divests as promptly as practicable a sufficient number of shares so that such person or group would no longer be an Acquiring Person.</w:t>
      </w:r>
    </w:p>
    <w:p>
      <w:pPr>
        <w:spacing w:after="0" w:line="180"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Any existing stockholder or stockholder group that beneficially owns the Specified Percentage or more of the outstanding shares of Common Stock shall be grandfathered at its current ownership level and will continue to be grandfathered so long as such person or group continues to beneficially own at least the Specified Percentage of the outstanding shares of Common Stock and does not acquire shares of Common Stock to beneficially own an amount equal to or greater than the greater of (i) the Specified Percentage and (ii) the sum of the lowest beneficial ownership of such person or group since the public announcement of the adoption of the Rights Agreement plus one share of Common Stock. If such stockholder or stockholder group does acquire such amount of shares of Common Stock, it may become an Acquiring Person, causing its Rights to not be exercisable.</w:t>
      </w:r>
    </w:p>
    <w:p>
      <w:pPr>
        <w:spacing w:after="0" w:line="17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positions—regardless of whether such interests are considered to be ownership of the underlying Common Stock or are reportable for purposes of Regulation 13D under the Securities Exchange Act of 1934, as amended (the “Exchange Act”)—are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7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The Rights will expire on the earliest to occur of (i) the close of business on October 27, 2027 (the “</w:t>
      </w:r>
      <w:r>
        <w:rPr>
          <w:rFonts w:ascii="Times New Roman" w:cs="Times New Roman" w:eastAsia="Times New Roman" w:hAnsi="Times New Roman"/>
          <w:sz w:val="18"/>
          <w:szCs w:val="18"/>
          <w:u w:val="single" w:color="auto"/>
          <w:color w:val="auto"/>
        </w:rPr>
        <w:t>Final Expiration Time</w:t>
      </w:r>
      <w:r>
        <w:rPr>
          <w:rFonts w:ascii="Times New Roman" w:cs="Times New Roman" w:eastAsia="Times New Roman" w:hAnsi="Times New Roman"/>
          <w:sz w:val="18"/>
          <w:szCs w:val="18"/>
          <w:color w:val="auto"/>
        </w:rPr>
        <w:t>”), (ii)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at which the Rights are redeemed by the Company (as described below), (iii) the time at which the Rights are exchanged by the Company (as described below) and (iv) the closing of any merger or other acquisition transaction involving the Company pursuant to a merger or other acquisition agreement that has been approved by the Board before any person or group becomes an Acquiring Person (the earliest of clauses (i), (ii), (iii) and (iv) being herein referred to as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Flip-in Event</w:t>
      </w:r>
      <w:r>
        <w:rPr>
          <w:rFonts w:ascii="Times New Roman" w:cs="Times New Roman" w:eastAsia="Times New Roman" w:hAnsi="Times New Roman"/>
          <w:sz w:val="18"/>
          <w:szCs w:val="18"/>
          <w:color w:val="auto"/>
        </w:rPr>
        <w:t>. In the event that any person or group (other than certain exempt persons) becomes an Acquiring Person (a “</w:t>
      </w:r>
      <w:r>
        <w:rPr>
          <w:rFonts w:ascii="Times New Roman" w:cs="Times New Roman" w:eastAsia="Times New Roman" w:hAnsi="Times New Roman"/>
          <w:sz w:val="18"/>
          <w:szCs w:val="18"/>
          <w:u w:val="single" w:color="auto"/>
          <w:color w:val="auto"/>
        </w:rPr>
        <w:t>Flip-in Event</w:t>
      </w:r>
      <w:r>
        <w:rPr>
          <w:rFonts w:ascii="Times New Roman" w:cs="Times New Roman" w:eastAsia="Times New Roman" w:hAnsi="Times New Roman"/>
          <w:sz w:val="18"/>
          <w:szCs w:val="18"/>
          <w:color w:val="auto"/>
        </w:rPr>
        <w:t>”), each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(2) times the exercise price of the Right.</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example, at an exercise price of $210 per Right, each Right not owned by an Acquiring Person (or by certain related parties) following a Flip-in Event would entitle its holder to purchase $420 worth of Common Stock for $210. Assuming that Common Stock had a per share value of $35 at that time, the holder of each valid Right would be entitled to purchase 12 shares of Common Stock for $210.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Flip-over Event</w:t>
      </w:r>
      <w:r>
        <w:rPr>
          <w:rFonts w:ascii="Times New Roman" w:cs="Times New Roman" w:eastAsia="Times New Roman" w:hAnsi="Times New Roman"/>
          <w:sz w:val="18"/>
          <w:szCs w:val="18"/>
          <w:color w:val="auto"/>
        </w:rPr>
        <w:t>. In the event that, at any time following the Stock Acquisition Date, any of the following occurs (each, a “</w:t>
      </w:r>
      <w:r>
        <w:rPr>
          <w:rFonts w:ascii="Times New Roman" w:cs="Times New Roman" w:eastAsia="Times New Roman" w:hAnsi="Times New Roman"/>
          <w:sz w:val="18"/>
          <w:szCs w:val="18"/>
          <w:u w:val="single" w:color="auto"/>
          <w:color w:val="auto"/>
        </w:rPr>
        <w:t>Flip-over Event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and into, any other entity, and the Company is not the continuing or surviving entity;</w:t>
      </w:r>
    </w:p>
    <w:p>
      <w:pPr>
        <w:spacing w:after="0" w:line="130"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ectPr>
          <w:pgSz w:w="11900" w:h="16838" w:orient="portrait"/>
          <w:cols w:equalWidth="0" w:num="1">
            <w:col w:w="11000"/>
          </w:cols>
          <w:pgMar w:left="440" w:top="297" w:right="459" w:bottom="1440" w:gutter="0" w:footer="0" w:header="0"/>
        </w:sectPr>
      </w:pPr>
    </w:p>
    <w:bookmarkStart w:id="3" w:name="page4"/>
    <w:bookmarkEnd w:id="3"/>
    <w:p>
      <w:pPr>
        <w:ind w:left="960" w:right="1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sells or otherwise transfers, in one transaction or a series of related transactions, 50% or more of the Company’s assets, cash flow or earning power,</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each holder of a Right (except Rights that previously have been voided as described above) will have the right to receive, upon exercise, common stock of the acquiring company having a value equal to two times the exercise price of the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share of Series A Preferred Stock, if issued:</w:t>
      </w:r>
    </w:p>
    <w:p>
      <w:pPr>
        <w:spacing w:after="0" w:line="13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30"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thereof, when, as and if declared, to quarterly dividend payments equal to the greater of $1,000 per share and 1,000 times the amount of all cash dividends plus 1,000 times the amount of non-cash dividends or other distributions paid on one share of Common Stock;</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thereof to receive $1,000 plus accrued and unpaid dividends per share upon liquidation;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1,000 shares of Common Stock; and</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are exchanged by means of a merger, consolidation or a similar transaction, will entitle the holder thereof to a per share payment equal to the payment made on 1,000 shares of Common Stock.</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color w:val="auto"/>
        </w:rPr>
        <w:t>. The exercise price payable—and the number of shares of Series A Preferred Stock or other securities or property issuable—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exercise of the Rights are subject to adjustment from time to time to prevent dilution:</w:t>
      </w:r>
    </w:p>
    <w:p>
      <w:pPr>
        <w:spacing w:after="0" w:line="64"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on, or a subdivision, combination or reclassification of, the Series A Preferred Stock;</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the Series A Preferred Stock are granted certain rights, options or warrants to subscribe for Series A Preferred Stock or convertible securities at less than the current market price of the Series A Preferred Stock; or</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distribution to holders of the Series A Preferred Stock of evidences of indebtedness or assets (excluding regular quarterly cash dividends) or of subscription rights or warrants (other than those referred to above).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w:t>
      </w:r>
    </w:p>
    <w:p>
      <w:pPr>
        <w:spacing w:after="0" w:line="17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Redemption; Exchange</w:t>
      </w:r>
      <w:r>
        <w:rPr>
          <w:rFonts w:ascii="Times New Roman" w:cs="Times New Roman" w:eastAsia="Times New Roman" w:hAnsi="Times New Roman"/>
          <w:sz w:val="18"/>
          <w:szCs w:val="18"/>
          <w:color w:val="auto"/>
        </w:rPr>
        <w:t>. The Board may, at its option, at any time prior to the earlier of (i) such time as any person or group becomes an Acquiring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and (ii) the Final Expiration Time, direct the Company to redeem the Rights in whole, but not in part, at a price of $0.001 per Right (subject to adjustment and payable in cash, Common Stock or other consideration deemed appropriate by the Board). Immediately upon the action of the Board authorizing any redemption—or at a later time as the Board may establish for the effectiveness of the redemption—the Rights will terminate and the only right of the holders of Rights will be to receive the redemption price.</w:t>
      </w:r>
    </w:p>
    <w:p>
      <w:pPr>
        <w:spacing w:after="0" w:line="18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before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the Acquiring Person or of any such affiliate or associate, whose Rights will have become null and void), in whole or in part, at an exchange ratio of one share of Common Stock, or one one-thousandth of a share of Series A Preferred Stock (or of a share of a class or series of the Company’s preferred stock having equivalent rights, preferences and privileges), per Right (subject to adjustment).</w:t>
      </w:r>
    </w:p>
    <w:p>
      <w:pPr>
        <w:spacing w:after="0" w:line="18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Amendment of the Rights Agreement</w:t>
      </w:r>
      <w:r>
        <w:rPr>
          <w:rFonts w:ascii="Times New Roman" w:cs="Times New Roman" w:eastAsia="Times New Roman" w:hAnsi="Times New Roman"/>
          <w:sz w:val="18"/>
          <w:szCs w:val="18"/>
          <w:color w:val="auto"/>
        </w:rPr>
        <w:t>. The Company and the Rights Agent may from time to time amend or supplement the Rights Agreement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consent of the holders of the Rights. However, on or after the Stock Acquisition Date, no amendment can materially adversely affect the interests of the holders of the Rights (other than the Acquiring Person, any of its affiliates or associates or certain transferees of the Acquiring Person or of any such affiliate or associate).</w:t>
      </w:r>
    </w:p>
    <w:p>
      <w:pPr>
        <w:spacing w:after="0" w:line="17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 While the distribution of the Rights will not be taxable to stockholders or to the Company, stockholders may, depending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recognize taxable income in the event that the Rights become exercisable for Common Stock (or other consideration) or for common stock of the acquiring company or in the event of the redemption of the Rights as described above.</w:t>
      </w:r>
    </w:p>
    <w:p>
      <w:pPr>
        <w:sectPr>
          <w:pgSz w:w="11900" w:h="16838" w:orient="portrait"/>
          <w:cols w:equalWidth="0" w:num="1">
            <w:col w:w="11020"/>
          </w:cols>
          <w:pgMar w:left="440" w:top="297" w:right="439" w:bottom="1440" w:gutter="0" w:footer="0" w:header="0"/>
        </w:sectPr>
      </w:pPr>
    </w:p>
    <w:bookmarkStart w:id="4" w:name="page5"/>
    <w:bookmarkEnd w:id="4"/>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foregoing description of the Rights Agreement and the Rights does not purport to be complete and is qualified in its entirety by reference to the Rights Agreement, which is filed as </w:t>
      </w:r>
      <w:r>
        <w:rPr>
          <w:rFonts w:ascii="Times New Roman" w:cs="Times New Roman" w:eastAsia="Times New Roman" w:hAnsi="Times New Roman"/>
          <w:sz w:val="18"/>
          <w:szCs w:val="18"/>
          <w:u w:val="single" w:color="auto"/>
          <w:color w:val="auto"/>
        </w:rPr>
        <w:t>Exhibit 4.1</w:t>
      </w:r>
      <w:r>
        <w:rPr>
          <w:rFonts w:ascii="Times New Roman" w:cs="Times New Roman" w:eastAsia="Times New Roman" w:hAnsi="Times New Roman"/>
          <w:sz w:val="18"/>
          <w:szCs w:val="18"/>
          <w:color w:val="auto"/>
        </w:rPr>
        <w:t xml:space="preserve"> to this Current Report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Under the Company’s Amended and Restated Certificate of Incorporation (the “</w:t>
      </w:r>
      <w:r>
        <w:rPr>
          <w:rFonts w:ascii="Times New Roman" w:cs="Times New Roman" w:eastAsia="Times New Roman" w:hAnsi="Times New Roman"/>
          <w:sz w:val="17"/>
          <w:szCs w:val="17"/>
          <w:u w:val="single" w:color="auto"/>
          <w:color w:val="auto"/>
        </w:rPr>
        <w:t>Restated Charter</w:t>
      </w:r>
      <w:r>
        <w:rPr>
          <w:rFonts w:ascii="Times New Roman" w:cs="Times New Roman" w:eastAsia="Times New Roman" w:hAnsi="Times New Roman"/>
          <w:sz w:val="17"/>
          <w:szCs w:val="17"/>
          <w:color w:val="auto"/>
        </w:rPr>
        <w:t>”), the Board has the authority, without further action by the stockholders, to authorize the issuance by the Company of up to 10,000,000 shares of preferred stock, $1.00 par value per share (the “</w:t>
      </w:r>
      <w:r>
        <w:rPr>
          <w:rFonts w:ascii="Times New Roman" w:cs="Times New Roman" w:eastAsia="Times New Roman" w:hAnsi="Times New Roman"/>
          <w:sz w:val="17"/>
          <w:szCs w:val="17"/>
          <w:u w:val="single" w:color="auto"/>
          <w:color w:val="auto"/>
        </w:rPr>
        <w:t>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in one or more series, and to fix the rights, preferences, privileges and restrictions granted to or imposed upon the Preferred Stock.</w:t>
      </w:r>
    </w:p>
    <w:p>
      <w:pPr>
        <w:spacing w:after="0" w:line="15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In connection with the adoption of the Rights Agreement described in Item 3.03 of this Current Report, the Board approved a Certificate of Designation of Series A Junior Participating Preferred Stock (the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which designates the rights, preferences and privileges of</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40,000 shares of a series of Preferred Stock, designated as Series A Junior Participating Preferred Stock. The Certificate of Designation was filed with the Secretary of State of the State of Delaware and became effective on October 29, 2026. That filing, under Section 151 of the Delaware General Corporation Law, had the same effect as an amendment to the Restated Charter.</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Certificate of Designation has been filed as Exhibit 3.1 to this Current Report and is incorporated herein by reference. The information set forth in Item 3.03 of this Current Report is incorporated into this Item 5.03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29, 2026, the Company issued a press release announcing the adoption of the Rights Agreement. A copy of that press release is furnished as Exhibit 99.1 to this Current Report and incorporated herein by reference.</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information contained in this Item 7.01, including the related information set forth in the press release attached hereto as Exhibit 99.1 and incorporated by reference herein, is being “furnished” and shall not be deemed “filed” for the purposes of Section 18 of the Exchange Act, or otherwise. The information in this Item 7.01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0" w:type="dxa"/>
            <w:vAlign w:val="bottom"/>
          </w:tcPr>
          <w:p>
            <w:pPr>
              <w:spacing w:after="0"/>
              <w:rPr>
                <w:sz w:val="20"/>
                <w:szCs w:val="20"/>
                <w:color w:val="auto"/>
              </w:rPr>
            </w:pPr>
          </w:p>
        </w:tc>
        <w:tc>
          <w:tcPr>
            <w:tcW w:w="988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(d) </w:t>
            </w:r>
          </w:p>
        </w:tc>
        <w:tc>
          <w:tcPr>
            <w:tcW w:w="1008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67"/>
        </w:trPr>
        <w:tc>
          <w:tcPr>
            <w:tcW w:w="78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3"/>
        </w:trPr>
        <w:tc>
          <w:tcPr>
            <w:tcW w:w="120" w:type="dxa"/>
            <w:vAlign w:val="bottom"/>
          </w:tcPr>
          <w:p>
            <w:pPr>
              <w:spacing w:after="0"/>
              <w:rPr>
                <w:sz w:val="15"/>
                <w:szCs w:val="15"/>
                <w:color w:val="auto"/>
              </w:rPr>
            </w:pPr>
          </w:p>
        </w:tc>
        <w:tc>
          <w:tcPr>
            <w:tcW w:w="22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22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3.1</w:t>
            </w:r>
          </w:p>
        </w:tc>
        <w:tc>
          <w:tcPr>
            <w:tcW w:w="200" w:type="dxa"/>
            <w:vAlign w:val="bottom"/>
          </w:tcPr>
          <w:p>
            <w:pPr>
              <w:spacing w:after="0"/>
              <w:rPr>
                <w:sz w:val="22"/>
                <w:szCs w:val="22"/>
                <w:color w:val="auto"/>
              </w:rPr>
            </w:pPr>
          </w:p>
        </w:tc>
        <w:tc>
          <w:tcPr>
            <w:tcW w:w="9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Certificate of Designation of the Series A Junior Participating Preferred Stock of Dine Brands Global, Inc., dated October 28, 2026</w:t>
              </w:r>
            </w:hyperlink>
          </w:p>
        </w:tc>
        <w:tc>
          <w:tcPr>
            <w:tcW w:w="440" w:type="dxa"/>
            <w:vAlign w:val="bottom"/>
            <w:gridSpan w:val="2"/>
          </w:tcPr>
          <w:p>
            <w:pPr>
              <w:spacing w:after="0"/>
              <w:rPr>
                <w:sz w:val="22"/>
                <w:szCs w:val="22"/>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(incorporated by reference to Exhibit 3.1 to Dine Brands Global, Inc.’s Registration Statement on Form 8-A, filed with the Securities and</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Exchange Commission on October 29, 2026, File No. 001-15283)</w:t>
              </w:r>
            </w:hyperlink>
          </w:p>
        </w:tc>
        <w:tc>
          <w:tcPr>
            <w:tcW w:w="5120" w:type="dxa"/>
            <w:vAlign w:val="bottom"/>
            <w:gridSpan w:val="6"/>
          </w:tcPr>
          <w:p>
            <w:pPr>
              <w:spacing w:after="0"/>
              <w:rPr>
                <w:sz w:val="17"/>
                <w:szCs w:val="17"/>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w:t>
            </w:r>
          </w:p>
        </w:tc>
        <w:tc>
          <w:tcPr>
            <w:tcW w:w="20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Stockholder Rights Agreement, dated as of October 28, 2026, by and between Dine Brands Global, Inc. and Computershare Trust</w:t>
              </w:r>
            </w:hyperlink>
          </w:p>
        </w:tc>
        <w:tc>
          <w:tcPr>
            <w:tcW w:w="540" w:type="dxa"/>
            <w:vAlign w:val="bottom"/>
            <w:gridSpan w:val="3"/>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Company, N.A., as rights agent (which includes the Form of Rights Certificate as Exhibit B thereto) (incorporated by reference to</w:t>
              </w:r>
            </w:hyperlink>
          </w:p>
        </w:tc>
        <w:tc>
          <w:tcPr>
            <w:tcW w:w="540" w:type="dxa"/>
            <w:vAlign w:val="bottom"/>
            <w:gridSpan w:val="3"/>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Exhibit 4.1 to Dine Brands Global, Inc.’s Registration Statement on Form 8-A, filed with the Securities and Exchange Commission on</w:t>
              </w:r>
            </w:hyperlink>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October 29, 2026, File No. 001-15283)</w:t>
              </w:r>
            </w:hyperlink>
          </w:p>
        </w:tc>
        <w:tc>
          <w:tcPr>
            <w:tcW w:w="7060" w:type="dxa"/>
            <w:vAlign w:val="bottom"/>
            <w:gridSpan w:val="8"/>
          </w:tcPr>
          <w:p>
            <w:pPr>
              <w:spacing w:after="0"/>
              <w:rPr>
                <w:sz w:val="17"/>
                <w:szCs w:val="17"/>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issued by Dine Brands Global, Inc. on October 29, 2026</w:t>
            </w:r>
          </w:p>
        </w:tc>
        <w:tc>
          <w:tcPr>
            <w:tcW w:w="4800" w:type="dxa"/>
            <w:vAlign w:val="bottom"/>
            <w:gridSpan w:val="5"/>
          </w:tcPr>
          <w:p>
            <w:pPr>
              <w:spacing w:after="0"/>
              <w:rPr>
                <w:sz w:val="24"/>
                <w:szCs w:val="24"/>
                <w:color w:val="auto"/>
              </w:rPr>
            </w:pPr>
          </w:p>
        </w:tc>
      </w:tr>
      <w:tr>
        <w:trPr>
          <w:trHeight w:val="345"/>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0"/>
          </w:cols>
          <w:pgMar w:left="440" w:top="297" w:right="49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DINE BRANDS GLOBAL,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Christine K.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Christine K. 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Senior Vice President, Legal, General Counsel and Secretary</w:t>
      </w:r>
    </w:p>
    <w:p>
      <w:pPr>
        <w:sectPr>
          <w:pgSz w:w="11900" w:h="16838" w:orient="portrait"/>
          <w:cols w:equalWidth="0" w:num="1">
            <w:col w:w="10440"/>
          </w:cols>
          <w:pgMar w:left="440" w:top="293" w:right="10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44577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457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ADOPTS LIMITED DURATION STOCKHOLDER RIGHTS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Stockholders Are </w:t>
      </w:r>
      <w:r>
        <w:rPr>
          <w:rFonts w:ascii="Times New Roman" w:cs="Times New Roman" w:eastAsia="Times New Roman" w:hAnsi="Times New Roman"/>
          <w:sz w:val="18"/>
          <w:szCs w:val="18"/>
          <w:b w:val="1"/>
          <w:bCs w:val="1"/>
          <w:i w:val="1"/>
          <w:iCs w:val="1"/>
          <w:u w:val="single" w:color="auto"/>
          <w:color w:val="auto"/>
        </w:rPr>
        <w:t>Not</w:t>
      </w:r>
      <w:r>
        <w:rPr>
          <w:rFonts w:ascii="Times New Roman" w:cs="Times New Roman" w:eastAsia="Times New Roman" w:hAnsi="Times New Roman"/>
          <w:sz w:val="18"/>
          <w:szCs w:val="18"/>
          <w:b w:val="1"/>
          <w:bCs w:val="1"/>
          <w:i w:val="1"/>
          <w:iCs w:val="1"/>
          <w:color w:val="auto"/>
        </w:rPr>
        <w:t xml:space="preserve"> Required to Take Any Action at This Time</w:t>
      </w:r>
    </w:p>
    <w:p>
      <w:pPr>
        <w:spacing w:after="0" w:line="229"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PASADENA, Calif. —(BUSINESS WIRE) October 29, 2026— Dine Brands Global, Inc. (NYSE: DIN) (the “Company” or “Dine Brands”), the parent company of Applebee’s Neighborhood Grill + Bar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restaurants, today announced that, on October 28, 2026, its Board of Directors (the “Board”) unanimously adopted a limited duration stockholder rights agreement (the “Rights Agreement”) to protect stockholder interests and maximize value for all stockholders.</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adopted the Rights Agreement in response to media reports about a significant open market accumulation in Dine Brands’ stock and derivatives. The Rights Agreement is intended to reduce the likelihood that anyone is able to gain control of Dine Brands without paying all stockholders an appropriate control premium, and to provide the Board the adequate opportunity to make informed judgments and take actions that are in the best interests of all stockholders.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Pursuant to the Rights Agreement, Dine Brands will issue, by means of a dividend, one preferred share purchase right (“Right”) for each outstanding share of Dine Brands’ common stock to stockholders of record on the close of business on November 9, 2026. Initially, these Rights will not be exercisable and will trade with, and be represented by, the shares of Dine Brands’ common stock. The Rights Agreement will expire on October 27, 2027, or earlier, as provided in the Rights Agreement.</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Rights Agreement is similar to many other rights plans adopted by publicly-held companies. Under the Rights Agreement, the Rights generally become exercisable only if a person or group (each, an “Acquiring Person”) acquires beneficial ownership of the Specified Percentage (as defined below) or more of the outstanding shares of Dine Brands’ common stock in a transaction not approved by the Board. In that situation, each holder of a Right (other than the Acquiring Person, whose Rights will become void and will not be exercisable) will be entitled to purchase, at the then-current exercise price, additional shares of Dine Brands’ common stock at a 50% discount. In addition, if Dine Brands is acquired in a merger or other business combination after an unapproved party acquires more than the Specified Percentage of the outstanding shares of Dine Brands’ common stock, each holder of a Right would be entitled to purchase, at the then-current exercise price, shares of the acquiring company’s stock at a 50% discount. The Board, at its option, may exchange each Right (other than rights owned by the acquiring person that have become void) in whole or in part, at an exchange ratio of one share of Dine Brands’ common stock per outstanding right, subject to adjustment. Except as provided in the Rights Agreement, the Board is entitled to redeem the Rights at $0.001 per Right at any time.</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“Specified Percentage” is defined as (i) 20% (twenty percent) when referring to the beneficial ownership of any person that is a passive investor but only for so long as such person is a passive investor and (ii) 10% (ten percent) when referring to the beneficial ownership of any person that is not a passive investor.</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 person or group that beneficially owns the Specified Percentage or more of the outstanding shares of Dine Brands’ common stock prior to Dine Brands’ announcement of its adoption of the Rights Agreement, then that person’s or group’s existing ownership percentage will be grandfathered, with certain exceptions (however, such Rights will become exercisable if at any time after the announcement of the adoption of the Rights Agreement such person or group increases its ownership of Dine Brands’ common stock).</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are not required to take any action at this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Rights Agreement will be contained in a current report on Form 8-K to be filed by Dine Brands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Dine Brands Global, Inc.</w:t>
      </w:r>
    </w:p>
    <w:p>
      <w:pPr>
        <w:spacing w:after="0" w:line="12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Based in Pasadena, California, Dine Brands Global, Inc. (NYSE: DIN), through its subsidiaries and franchisees, supports and operates restaurants under the Applebee’s Neighborhood Grill + Bar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Fuzzy’s Taco Shop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As of June 28, 2026, these three brands comprised nearly 3,500 restaurants. Dine Brands is one of the largest full-service restaurant companies in the world and in 2022 expanded into the Fast Casual segment. For more information on Dine Brands, visit the Company’s website located at www.dinebrands.com.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contained in this press release may constitute “forward-looking statements” within the meaning of Section 27A of the Securities Act of 1933, as amended, and Section 21E of the Securities Exchange Act of 1934, as amended. You can identify these forward-looking statements by words such as “may,” “will,” “would,” “should,” “could,” “expect,” “anticipate,” “believe,” “estimate,” “intend,” “plan,” “goal” and other similar expressions. 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shares;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Company’s Annual and Quarterly Reports on Forms 10-K and 10-Q and in the Company’s other filings with the Securities and Exchange Commission.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1" Type="http://schemas.openxmlformats.org/officeDocument/2006/relationships/hyperlink" Target="http://www.sec.gov/Archives/edgar/data/49754/000119312526437916/d183002dex31.htm" TargetMode="External"/><Relationship Id="rId22" Type="http://schemas.openxmlformats.org/officeDocument/2006/relationships/hyperlink" Target="http://www.sec.gov/Archives/edgar/data/49754/000119312526437916/d18300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2026-10-29T17:13:05Z</dcterms:created>
  <dcterms:modified xsi:type="dcterms:W3CDTF">2026-10-29T17:13:05Z</dcterms:modified>
</cp:coreProperties>
</file>