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 w:lineRule="exact"/>
        <w:rPr>
          <w:sz w:val="24"/>
          <w:szCs w:val="24"/>
          <w:color w:val="auto"/>
        </w:rPr>
      </w:pPr>
    </w:p>
    <w:p>
      <w:pPr>
        <w:ind w:right="500" w:firstLine="325"/>
        <w:spacing w:after="0" w:line="257" w:lineRule="auto"/>
        <w:tabs>
          <w:tab w:leader="none" w:pos="744"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 w:lineRule="exact"/>
        <w:rPr>
          <w:sz w:val="24"/>
          <w:szCs w:val="24"/>
          <w:color w:val="auto"/>
        </w:rPr>
      </w:pPr>
    </w:p>
    <w:p>
      <w:pPr>
        <w:ind w:left="720" w:hanging="395"/>
        <w:spacing w:after="0"/>
        <w:tabs>
          <w:tab w:leader="none" w:pos="7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19" w:lineRule="exact"/>
        <w:rPr>
          <w:rFonts w:ascii="MS PGothic" w:cs="MS PGothic" w:eastAsia="MS PGothic" w:hAnsi="MS PGothic"/>
          <w:sz w:val="21"/>
          <w:szCs w:val="21"/>
          <w:color w:val="auto"/>
        </w:rPr>
      </w:pPr>
    </w:p>
    <w:p>
      <w:pPr>
        <w:spacing w:after="0"/>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1934</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001-15283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1024255</wp:posOffset>
            </wp:positionH>
            <wp:positionV relativeFrom="paragraph">
              <wp:posOffset>16510</wp:posOffset>
            </wp:positionV>
            <wp:extent cx="1433830" cy="716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3830" cy="716915"/>
                    </a:xfrm>
                    <a:prstGeom prst="rect">
                      <a:avLst/>
                    </a:prstGeom>
                    <a:noFill/>
                  </pic:spPr>
                </pic:pic>
              </a:graphicData>
            </a:graphic>
          </wp:anchor>
        </w:drawing>
        <w:drawing>
          <wp:anchor simplePos="0" relativeHeight="251657728" behindDoc="1" locked="0" layoutInCell="0" allowOverlap="1">
            <wp:simplePos x="0" y="0"/>
            <wp:positionH relativeFrom="column">
              <wp:posOffset>4684395</wp:posOffset>
            </wp:positionH>
            <wp:positionV relativeFrom="paragraph">
              <wp:posOffset>16510</wp:posOffset>
            </wp:positionV>
            <wp:extent cx="1433830" cy="716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3830" cy="716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32"/>
          <w:szCs w:val="32"/>
          <w:b w:val="1"/>
          <w:bCs w:val="1"/>
          <w:color w:val="auto"/>
        </w:rPr>
        <w:t>Dine Brands Global, Inc.</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8" w:lineRule="exact"/>
        <w:rPr>
          <w:sz w:val="24"/>
          <w:szCs w:val="24"/>
          <w:color w:val="auto"/>
        </w:rPr>
      </w:pPr>
    </w:p>
    <w:tbl>
      <w:tblPr>
        <w:tblLayout w:type="fixed"/>
        <w:tblInd w:w="1880" w:type="dxa"/>
        <w:tblCellMar>
          <w:top w:w="0" w:type="dxa"/>
          <w:left w:w="0" w:type="dxa"/>
          <w:bottom w:w="0" w:type="dxa"/>
          <w:right w:w="0" w:type="dxa"/>
        </w:tblCellMar>
      </w:tblPr>
      <w:tr>
        <w:trPr>
          <w:trHeight w:val="210"/>
        </w:trPr>
        <w:tc>
          <w:tcPr>
            <w:tcW w:w="4660" w:type="dxa"/>
            <w:vAlign w:val="bottom"/>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40" w:type="dxa"/>
            <w:vAlign w:val="bottom"/>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95-3038279</w:t>
            </w:r>
          </w:p>
        </w:tc>
      </w:tr>
      <w:tr>
        <w:trPr>
          <w:trHeight w:val="212"/>
        </w:trPr>
        <w:tc>
          <w:tcPr>
            <w:tcW w:w="4660" w:type="dxa"/>
            <w:vAlign w:val="bottom"/>
          </w:tcPr>
          <w:p>
            <w:pPr>
              <w:jc w:val="center"/>
              <w:ind w:right="780"/>
              <w:spacing w:after="0"/>
              <w:rPr>
                <w:sz w:val="20"/>
                <w:szCs w:val="20"/>
                <w:color w:val="auto"/>
              </w:rPr>
            </w:pPr>
            <w:r>
              <w:rPr>
                <w:rFonts w:ascii="Times New Roman" w:cs="Times New Roman" w:eastAsia="Times New Roman" w:hAnsi="Times New Roman"/>
                <w:sz w:val="16"/>
                <w:szCs w:val="16"/>
                <w:color w:val="auto"/>
                <w:w w:val="99"/>
              </w:rPr>
              <w:t>(State or other jurisdiction of incorporation or organization)</w:t>
            </w:r>
          </w:p>
        </w:tc>
        <w:tc>
          <w:tcPr>
            <w:tcW w:w="2740" w:type="dxa"/>
            <w:vAlign w:val="bottom"/>
          </w:tcPr>
          <w:p>
            <w:pPr>
              <w:jc w:val="center"/>
              <w:ind w:left="340"/>
              <w:spacing w:after="0"/>
              <w:rPr>
                <w:sz w:val="20"/>
                <w:szCs w:val="20"/>
                <w:color w:val="auto"/>
              </w:rPr>
            </w:pPr>
            <w:r>
              <w:rPr>
                <w:rFonts w:ascii="Times New Roman" w:cs="Times New Roman" w:eastAsia="Times New Roman" w:hAnsi="Times New Roman"/>
                <w:sz w:val="16"/>
                <w:szCs w:val="16"/>
                <w:color w:val="auto"/>
                <w:w w:val="99"/>
              </w:rPr>
              <w:t>(I.R.S. Employer Identification No.)</w:t>
            </w:r>
          </w:p>
        </w:tc>
      </w:tr>
      <w:tr>
        <w:trPr>
          <w:trHeight w:val="212"/>
        </w:trPr>
        <w:tc>
          <w:tcPr>
            <w:tcW w:w="4660" w:type="dxa"/>
            <w:vAlign w:val="bottom"/>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w w:val="98"/>
              </w:rPr>
              <w:t>10 West Walnut Street, 5th Floor</w:t>
            </w:r>
          </w:p>
        </w:tc>
        <w:tc>
          <w:tcPr>
            <w:tcW w:w="2740" w:type="dxa"/>
            <w:vAlign w:val="bottom"/>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91103</w:t>
            </w:r>
          </w:p>
        </w:tc>
      </w:tr>
      <w:tr>
        <w:trPr>
          <w:trHeight w:val="212"/>
        </w:trPr>
        <w:tc>
          <w:tcPr>
            <w:tcW w:w="4660" w:type="dxa"/>
            <w:vAlign w:val="bottom"/>
          </w:tcPr>
          <w:p>
            <w:pPr>
              <w:jc w:val="right"/>
              <w:ind w:right="2280"/>
              <w:spacing w:after="0"/>
              <w:rPr>
                <w:sz w:val="20"/>
                <w:szCs w:val="20"/>
                <w:color w:val="auto"/>
              </w:rPr>
            </w:pPr>
            <w:r>
              <w:rPr>
                <w:rFonts w:ascii="Times New Roman" w:cs="Times New Roman" w:eastAsia="Times New Roman" w:hAnsi="Times New Roman"/>
                <w:sz w:val="16"/>
                <w:szCs w:val="16"/>
                <w:b w:val="1"/>
                <w:bCs w:val="1"/>
                <w:color w:val="auto"/>
              </w:rPr>
              <w:t>Pasadena CA</w:t>
            </w:r>
          </w:p>
        </w:tc>
        <w:tc>
          <w:tcPr>
            <w:tcW w:w="2740" w:type="dxa"/>
            <w:vAlign w:val="bottom"/>
          </w:tcPr>
          <w:p>
            <w:pPr>
              <w:spacing w:after="0"/>
              <w:rPr>
                <w:sz w:val="18"/>
                <w:szCs w:val="18"/>
                <w:color w:val="auto"/>
              </w:rPr>
            </w:pPr>
          </w:p>
        </w:tc>
      </w:tr>
      <w:tr>
        <w:trPr>
          <w:trHeight w:val="212"/>
        </w:trPr>
        <w:tc>
          <w:tcPr>
            <w:tcW w:w="4660" w:type="dxa"/>
            <w:vAlign w:val="bottom"/>
          </w:tcPr>
          <w:p>
            <w:pPr>
              <w:jc w:val="center"/>
              <w:ind w:right="78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2740" w:type="dxa"/>
            <w:vAlign w:val="bottom"/>
          </w:tcPr>
          <w:p>
            <w:pPr>
              <w:jc w:val="center"/>
              <w:ind w:left="340"/>
              <w:spacing w:after="0"/>
              <w:rPr>
                <w:sz w:val="20"/>
                <w:szCs w:val="20"/>
                <w:color w:val="auto"/>
              </w:rPr>
            </w:pPr>
            <w:r>
              <w:rPr>
                <w:rFonts w:ascii="Times New Roman" w:cs="Times New Roman" w:eastAsia="Times New Roman" w:hAnsi="Times New Roman"/>
                <w:sz w:val="16"/>
                <w:szCs w:val="16"/>
                <w:color w:val="auto"/>
              </w:rPr>
              <w:t>(Zip Code)</w:t>
            </w:r>
          </w:p>
        </w:tc>
      </w:tr>
      <w:tr>
        <w:trPr>
          <w:trHeight w:val="319"/>
        </w:trPr>
        <w:tc>
          <w:tcPr>
            <w:tcW w:w="466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(818) 240-6055</w:t>
            </w:r>
          </w:p>
        </w:tc>
        <w:tc>
          <w:tcPr>
            <w:tcW w:w="274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5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8"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4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4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01"/>
        </w:trPr>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Common Stock, $0.01 par value</w:t>
            </w:r>
          </w:p>
        </w:tc>
        <w:tc>
          <w:tcPr>
            <w:tcW w:w="18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DIN</w:t>
            </w:r>
          </w:p>
        </w:tc>
        <w:tc>
          <w:tcPr>
            <w:tcW w:w="4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292" w:lineRule="exact"/>
        <w:rPr>
          <w:sz w:val="24"/>
          <w:szCs w:val="24"/>
          <w:color w:val="auto"/>
        </w:rPr>
      </w:pPr>
    </w:p>
    <w:p>
      <w:pPr>
        <w:ind w:right="140" w:firstLine="319"/>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160" w:firstLine="363"/>
        <w:spacing w:after="0" w:line="21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20" w:firstLine="363"/>
        <w:spacing w:after="0" w:line="24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tbl>
      <w:tblPr>
        <w:tblLayout w:type="fixed"/>
        <w:tblInd w:w="1220" w:type="dxa"/>
        <w:tblCellMar>
          <w:top w:w="0" w:type="dxa"/>
          <w:left w:w="0" w:type="dxa"/>
          <w:bottom w:w="0" w:type="dxa"/>
          <w:right w:w="0" w:type="dxa"/>
        </w:tblCellMar>
      </w:tblPr>
      <w:tr>
        <w:trPr>
          <w:trHeight w:val="20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2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4" w:lineRule="exact"/>
        <w:rPr>
          <w:sz w:val="24"/>
          <w:szCs w:val="24"/>
          <w:color w:val="auto"/>
        </w:rPr>
      </w:pPr>
    </w:p>
    <w:p>
      <w:pPr>
        <w:ind w:firstLine="319"/>
        <w:spacing w:after="0" w:line="22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420" w:right="2360" w:hanging="87"/>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July 24, 2025, the Registrant had 15,379,323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525145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97"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9"/>
        </w:trPr>
        <w:tc>
          <w:tcPr>
            <w:tcW w:w="100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300" w:type="dxa"/>
            <w:vAlign w:val="bottom"/>
            <w:gridSpan w:val="19"/>
          </w:tcPr>
          <w:p>
            <w:pPr>
              <w:spacing w:after="0" w:line="179" w:lineRule="exact"/>
              <w:rPr>
                <w:sz w:val="20"/>
                <w:szCs w:val="20"/>
                <w:color w:val="auto"/>
              </w:rPr>
            </w:pPr>
            <w:r>
              <w:rPr>
                <w:rFonts w:ascii="Times New Roman" w:cs="Times New Roman" w:eastAsia="Times New Roman" w:hAnsi="Times New Roman"/>
                <w:sz w:val="18"/>
                <w:szCs w:val="18"/>
                <w:color w:val="0000FF"/>
              </w:rPr>
              <w:t>FINANCIAL INFORMATION</w:t>
            </w:r>
          </w:p>
        </w:tc>
        <w:tc>
          <w:tcPr>
            <w:tcW w:w="760" w:type="dxa"/>
            <w:vAlign w:val="bottom"/>
            <w:gridSpan w:val="4"/>
          </w:tcPr>
          <w:p>
            <w:pPr>
              <w:jc w:val="right"/>
              <w:ind w:right="20"/>
              <w:spacing w:after="0" w:line="179"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gridSpan w:val="8"/>
          </w:tcPr>
          <w:p>
            <w:pPr>
              <w:spacing w:after="0" w:line="206" w:lineRule="exact"/>
              <w:rPr>
                <w:sz w:val="20"/>
                <w:szCs w:val="20"/>
                <w:color w:val="auto"/>
              </w:rPr>
            </w:pPr>
            <w:r>
              <w:rPr>
                <w:rFonts w:ascii="Times New Roman" w:cs="Times New Roman" w:eastAsia="Times New Roman" w:hAnsi="Times New Roman"/>
                <w:sz w:val="18"/>
                <w:szCs w:val="18"/>
                <w:color w:val="0000FF"/>
                <w:w w:val="97"/>
              </w:rPr>
              <w:t>Item 1—Financial Statements</w:t>
            </w:r>
          </w:p>
        </w:tc>
        <w:tc>
          <w:tcPr>
            <w:tcW w:w="100" w:type="dxa"/>
            <w:vAlign w:val="bottom"/>
          </w:tcPr>
          <w:p>
            <w:pPr>
              <w:spacing w:after="0"/>
              <w:rPr>
                <w:sz w:val="17"/>
                <w:szCs w:val="17"/>
                <w:color w:val="auto"/>
              </w:rPr>
            </w:pPr>
          </w:p>
        </w:tc>
        <w:tc>
          <w:tcPr>
            <w:tcW w:w="7080" w:type="dxa"/>
            <w:vAlign w:val="bottom"/>
            <w:gridSpan w:val="10"/>
          </w:tcPr>
          <w:p>
            <w:pPr>
              <w:spacing w:after="0"/>
              <w:rPr>
                <w:sz w:val="17"/>
                <w:szCs w:val="17"/>
                <w:color w:val="auto"/>
              </w:rPr>
            </w:pPr>
          </w:p>
        </w:tc>
        <w:tc>
          <w:tcPr>
            <w:tcW w:w="760" w:type="dxa"/>
            <w:vAlign w:val="bottom"/>
            <w:gridSpan w:val="4"/>
          </w:tcPr>
          <w:p>
            <w:pPr>
              <w:jc w:val="right"/>
              <w:ind w:right="20"/>
              <w:spacing w:after="0" w:line="206"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140" w:type="dxa"/>
            <w:vAlign w:val="bottom"/>
            <w:gridSpan w:val="18"/>
          </w:tcPr>
          <w:p>
            <w:pPr>
              <w:spacing w:after="0" w:line="206" w:lineRule="exact"/>
              <w:rPr>
                <w:sz w:val="20"/>
                <w:szCs w:val="20"/>
                <w:color w:val="auto"/>
              </w:rPr>
            </w:pPr>
            <w:r>
              <w:rPr>
                <w:rFonts w:ascii="Times New Roman" w:cs="Times New Roman" w:eastAsia="Times New Roman" w:hAnsi="Times New Roman"/>
                <w:sz w:val="18"/>
                <w:szCs w:val="18"/>
                <w:color w:val="0000FF"/>
              </w:rPr>
              <w:t>Consolidated Balance Sheets - June 30, 2025 (unaudited) and December 31, 2024</w:t>
            </w:r>
          </w:p>
        </w:tc>
        <w:tc>
          <w:tcPr>
            <w:tcW w:w="760" w:type="dxa"/>
            <w:vAlign w:val="bottom"/>
            <w:gridSpan w:val="4"/>
          </w:tcPr>
          <w:p>
            <w:pPr>
              <w:jc w:val="right"/>
              <w:ind w:right="20"/>
              <w:spacing w:after="0" w:line="206"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140" w:type="dxa"/>
            <w:vAlign w:val="bottom"/>
            <w:gridSpan w:val="18"/>
          </w:tcPr>
          <w:p>
            <w:pPr>
              <w:spacing w:after="0" w:line="206" w:lineRule="exact"/>
              <w:rPr>
                <w:sz w:val="20"/>
                <w:szCs w:val="20"/>
                <w:color w:val="auto"/>
              </w:rPr>
            </w:pPr>
            <w:r>
              <w:rPr>
                <w:rFonts w:ascii="Times New Roman" w:cs="Times New Roman" w:eastAsia="Times New Roman" w:hAnsi="Times New Roman"/>
                <w:sz w:val="18"/>
                <w:szCs w:val="18"/>
                <w:color w:val="0000FF"/>
              </w:rPr>
              <w:t>Consolidated Statements of Comprehensive Income (unaudited) - Three and Six Months Ended June 30, 2025 and 2024</w:t>
            </w:r>
          </w:p>
        </w:tc>
        <w:tc>
          <w:tcPr>
            <w:tcW w:w="760" w:type="dxa"/>
            <w:vAlign w:val="bottom"/>
            <w:gridSpan w:val="4"/>
          </w:tcPr>
          <w:p>
            <w:pPr>
              <w:jc w:val="right"/>
              <w:ind w:right="20"/>
              <w:spacing w:after="0" w:line="206" w:lineRule="exact"/>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00" w:type="dxa"/>
            <w:vAlign w:val="bottom"/>
            <w:gridSpan w:val="16"/>
          </w:tcPr>
          <w:p>
            <w:pPr>
              <w:spacing w:after="0" w:line="206" w:lineRule="exact"/>
              <w:rPr>
                <w:sz w:val="20"/>
                <w:szCs w:val="20"/>
                <w:color w:val="auto"/>
              </w:rPr>
            </w:pPr>
            <w:r>
              <w:rPr>
                <w:rFonts w:ascii="Times New Roman" w:cs="Times New Roman" w:eastAsia="Times New Roman" w:hAnsi="Times New Roman"/>
                <w:sz w:val="18"/>
                <w:szCs w:val="18"/>
                <w:color w:val="0000FF"/>
                <w:w w:val="98"/>
              </w:rPr>
              <w:t>Consolidated Statements of Stockholders' Deficit (unaudited) - Three and Six Months Ended June 30, 2025 and 2024</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gridSpan w:val="4"/>
          </w:tcPr>
          <w:p>
            <w:pPr>
              <w:jc w:val="right"/>
              <w:ind w:right="20"/>
              <w:spacing w:after="0" w:line="206"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80" w:type="dxa"/>
            <w:vAlign w:val="bottom"/>
            <w:gridSpan w:val="15"/>
          </w:tcPr>
          <w:p>
            <w:pPr>
              <w:spacing w:after="0" w:line="206" w:lineRule="exact"/>
              <w:rPr>
                <w:sz w:val="20"/>
                <w:szCs w:val="20"/>
                <w:color w:val="auto"/>
              </w:rPr>
            </w:pPr>
            <w:r>
              <w:rPr>
                <w:rFonts w:ascii="Times New Roman" w:cs="Times New Roman" w:eastAsia="Times New Roman" w:hAnsi="Times New Roman"/>
                <w:sz w:val="18"/>
                <w:szCs w:val="18"/>
                <w:color w:val="0000FF"/>
                <w:w w:val="97"/>
              </w:rPr>
              <w:t>Consolidated Statements of Cash Flows (unaudited) - Six Months Ended June 30, 2025 and 2024</w:t>
            </w:r>
          </w:p>
        </w:tc>
        <w:tc>
          <w:tcPr>
            <w:tcW w:w="142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760" w:type="dxa"/>
            <w:vAlign w:val="bottom"/>
            <w:gridSpan w:val="4"/>
          </w:tcPr>
          <w:p>
            <w:pPr>
              <w:jc w:val="right"/>
              <w:ind w:right="20"/>
              <w:spacing w:after="0" w:line="206"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60" w:type="dxa"/>
            <w:vAlign w:val="bottom"/>
            <w:gridSpan w:val="11"/>
          </w:tcPr>
          <w:p>
            <w:pPr>
              <w:spacing w:after="0" w:line="206" w:lineRule="exact"/>
              <w:rPr>
                <w:sz w:val="20"/>
                <w:szCs w:val="20"/>
                <w:color w:val="auto"/>
              </w:rPr>
            </w:pPr>
            <w:r>
              <w:rPr>
                <w:rFonts w:ascii="Times New Roman" w:cs="Times New Roman" w:eastAsia="Times New Roman" w:hAnsi="Times New Roman"/>
                <w:sz w:val="18"/>
                <w:szCs w:val="18"/>
                <w:color w:val="0000FF"/>
                <w:w w:val="97"/>
              </w:rPr>
              <w:t>Notes to Consolidated Financial Statements (unaudited)</w:t>
            </w:r>
          </w:p>
        </w:tc>
        <w:tc>
          <w:tcPr>
            <w:tcW w:w="2920" w:type="dxa"/>
            <w:vAlign w:val="bottom"/>
            <w:gridSpan w:val="4"/>
          </w:tcPr>
          <w:p>
            <w:pPr>
              <w:spacing w:after="0"/>
              <w:rPr>
                <w:sz w:val="17"/>
                <w:szCs w:val="17"/>
                <w:color w:val="auto"/>
              </w:rPr>
            </w:pPr>
          </w:p>
        </w:tc>
        <w:tc>
          <w:tcPr>
            <w:tcW w:w="2260" w:type="dxa"/>
            <w:vAlign w:val="bottom"/>
            <w:gridSpan w:val="3"/>
          </w:tcPr>
          <w:p>
            <w:pPr>
              <w:spacing w:after="0"/>
              <w:rPr>
                <w:sz w:val="17"/>
                <w:szCs w:val="17"/>
                <w:color w:val="auto"/>
              </w:rPr>
            </w:pPr>
          </w:p>
        </w:tc>
        <w:tc>
          <w:tcPr>
            <w:tcW w:w="760" w:type="dxa"/>
            <w:vAlign w:val="bottom"/>
            <w:gridSpan w:val="4"/>
          </w:tcPr>
          <w:p>
            <w:pPr>
              <w:jc w:val="right"/>
              <w:ind w:right="20"/>
              <w:spacing w:after="0" w:line="206" w:lineRule="exact"/>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206" w:lineRule="exact"/>
              <w:rPr>
                <w:sz w:val="20"/>
                <w:szCs w:val="20"/>
                <w:color w:val="auto"/>
              </w:rPr>
            </w:pPr>
            <w:r>
              <w:rPr>
                <w:rFonts w:ascii="Times New Roman" w:cs="Times New Roman" w:eastAsia="Times New Roman" w:hAnsi="Times New Roman"/>
                <w:sz w:val="18"/>
                <w:szCs w:val="18"/>
                <w:color w:val="0000FF"/>
              </w:rPr>
              <w:t>Item 2—Management’s Discussion and Analysis of Financial Condition and Results of Operations</w:t>
            </w:r>
          </w:p>
        </w:tc>
        <w:tc>
          <w:tcPr>
            <w:tcW w:w="740" w:type="dxa"/>
            <w:vAlign w:val="bottom"/>
            <w:gridSpan w:val="3"/>
          </w:tcPr>
          <w:p>
            <w:pPr>
              <w:jc w:val="right"/>
              <w:spacing w:after="0" w:line="206"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80" w:type="dxa"/>
            <w:vAlign w:val="bottom"/>
            <w:tcBorders>
              <w:top w:val="single" w:sz="8" w:color="0000FF"/>
              <w:bottom w:val="single" w:sz="8" w:color="0000FF"/>
            </w:tcBorders>
            <w:gridSpan w:val="13"/>
          </w:tcPr>
          <w:p>
            <w:pPr>
              <w:spacing w:after="0" w:line="206" w:lineRule="exact"/>
              <w:rPr>
                <w:sz w:val="20"/>
                <w:szCs w:val="20"/>
                <w:color w:val="auto"/>
              </w:rPr>
            </w:pPr>
            <w:r>
              <w:rPr>
                <w:rFonts w:ascii="Times New Roman" w:cs="Times New Roman" w:eastAsia="Times New Roman" w:hAnsi="Times New Roman"/>
                <w:sz w:val="18"/>
                <w:szCs w:val="18"/>
                <w:color w:val="0000FF"/>
                <w:w w:val="98"/>
              </w:rPr>
              <w:t>Item 3—Quantitative and Qualitative Disclosures about Market Risk</w:t>
            </w:r>
          </w:p>
        </w:tc>
        <w:tc>
          <w:tcPr>
            <w:tcW w:w="2160" w:type="dxa"/>
            <w:vAlign w:val="bottom"/>
            <w:tcBorders>
              <w:top w:val="single" w:sz="8" w:color="0000FF"/>
            </w:tcBorders>
            <w:gridSpan w:val="3"/>
          </w:tcPr>
          <w:p>
            <w:pPr>
              <w:spacing w:after="0"/>
              <w:rPr>
                <w:sz w:val="17"/>
                <w:szCs w:val="17"/>
                <w:color w:val="auto"/>
              </w:rPr>
            </w:pPr>
          </w:p>
        </w:tc>
        <w:tc>
          <w:tcPr>
            <w:tcW w:w="22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2380" w:type="dxa"/>
            <w:vAlign w:val="bottom"/>
            <w:tcBorders>
              <w:bottom w:val="single" w:sz="8" w:color="0000FF"/>
            </w:tcBorders>
            <w:gridSpan w:val="10"/>
          </w:tcPr>
          <w:p>
            <w:pPr>
              <w:spacing w:after="0" w:line="206" w:lineRule="exact"/>
              <w:rPr>
                <w:sz w:val="20"/>
                <w:szCs w:val="20"/>
                <w:color w:val="auto"/>
              </w:rPr>
            </w:pPr>
            <w:r>
              <w:rPr>
                <w:rFonts w:ascii="Times New Roman" w:cs="Times New Roman" w:eastAsia="Times New Roman" w:hAnsi="Times New Roman"/>
                <w:sz w:val="18"/>
                <w:szCs w:val="18"/>
                <w:color w:val="0000FF"/>
                <w:w w:val="97"/>
              </w:rPr>
              <w:t>Item 4—Controls and Procedures</w:t>
            </w:r>
          </w:p>
        </w:tc>
        <w:tc>
          <w:tcPr>
            <w:tcW w:w="692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0" w:type="dxa"/>
            <w:vAlign w:val="bottom"/>
            <w:gridSpan w:val="2"/>
            <w:vMerge w:val="continue"/>
          </w:tcPr>
          <w:p>
            <w:pPr>
              <w:spacing w:after="0"/>
              <w:rPr>
                <w:sz w:val="17"/>
                <w:szCs w:val="17"/>
                <w:color w:val="auto"/>
              </w:rPr>
            </w:pPr>
          </w:p>
        </w:tc>
        <w:tc>
          <w:tcPr>
            <w:tcW w:w="9300" w:type="dxa"/>
            <w:vAlign w:val="bottom"/>
            <w:gridSpan w:val="19"/>
          </w:tcPr>
          <w:p>
            <w:pPr>
              <w:spacing w:after="0" w:line="206" w:lineRule="exact"/>
              <w:rPr>
                <w:sz w:val="20"/>
                <w:szCs w:val="20"/>
                <w:color w:val="auto"/>
              </w:rPr>
            </w:pPr>
            <w:r>
              <w:rPr>
                <w:rFonts w:ascii="Times New Roman" w:cs="Times New Roman" w:eastAsia="Times New Roman" w:hAnsi="Times New Roman"/>
                <w:sz w:val="18"/>
                <w:szCs w:val="18"/>
                <w:color w:val="0000FF"/>
              </w:rPr>
              <w:t>OTHER INFORMATION</w:t>
            </w:r>
          </w:p>
        </w:tc>
        <w:tc>
          <w:tcPr>
            <w:tcW w:w="740" w:type="dxa"/>
            <w:vAlign w:val="bottom"/>
            <w:gridSpan w:val="3"/>
          </w:tcPr>
          <w:p>
            <w:pPr>
              <w:jc w:val="right"/>
              <w:spacing w:after="0" w:line="206"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206" w:lineRule="exact"/>
              <w:rPr>
                <w:sz w:val="20"/>
                <w:szCs w:val="20"/>
                <w:color w:val="auto"/>
              </w:rPr>
            </w:pPr>
            <w:r>
              <w:rPr>
                <w:rFonts w:ascii="Times New Roman" w:cs="Times New Roman" w:eastAsia="Times New Roman" w:hAnsi="Times New Roman"/>
                <w:sz w:val="18"/>
                <w:szCs w:val="18"/>
                <w:color w:val="0000FF"/>
              </w:rPr>
              <w:t>Item 1—Legal Proceedings</w:t>
            </w:r>
          </w:p>
        </w:tc>
        <w:tc>
          <w:tcPr>
            <w:tcW w:w="740" w:type="dxa"/>
            <w:vAlign w:val="bottom"/>
            <w:gridSpan w:val="3"/>
          </w:tcPr>
          <w:p>
            <w:pPr>
              <w:jc w:val="right"/>
              <w:spacing w:after="0" w:line="206"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Borders>
              <w:top w:val="single" w:sz="8" w:color="0000FF"/>
              <w:bottom w:val="single" w:sz="8" w:color="0000FF"/>
            </w:tcBorders>
            <w:gridSpan w:val="4"/>
          </w:tcPr>
          <w:p>
            <w:pPr>
              <w:spacing w:after="0" w:line="206" w:lineRule="exact"/>
              <w:rPr>
                <w:sz w:val="20"/>
                <w:szCs w:val="20"/>
                <w:color w:val="auto"/>
              </w:rPr>
            </w:pPr>
            <w:r>
              <w:rPr>
                <w:rFonts w:ascii="Times New Roman" w:cs="Times New Roman" w:eastAsia="Times New Roman" w:hAnsi="Times New Roman"/>
                <w:sz w:val="18"/>
                <w:szCs w:val="18"/>
                <w:color w:val="0000FF"/>
                <w:w w:val="97"/>
              </w:rPr>
              <w:t>Item 1A—Risk Factors</w:t>
            </w:r>
          </w:p>
        </w:tc>
        <w:tc>
          <w:tcPr>
            <w:tcW w:w="280" w:type="dxa"/>
            <w:vAlign w:val="bottom"/>
            <w:tcBorders>
              <w:top w:val="single" w:sz="8" w:color="0000FF"/>
            </w:tcBorders>
            <w:gridSpan w:val="3"/>
          </w:tcPr>
          <w:p>
            <w:pPr>
              <w:spacing w:after="0"/>
              <w:rPr>
                <w:sz w:val="17"/>
                <w:szCs w:val="17"/>
                <w:color w:val="auto"/>
              </w:rPr>
            </w:pPr>
          </w:p>
        </w:tc>
        <w:tc>
          <w:tcPr>
            <w:tcW w:w="736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920" w:type="dxa"/>
            <w:vAlign w:val="bottom"/>
            <w:tcBorders>
              <w:bottom w:val="single" w:sz="8" w:color="0000FF"/>
            </w:tcBorders>
            <w:gridSpan w:val="14"/>
          </w:tcPr>
          <w:p>
            <w:pPr>
              <w:spacing w:after="0" w:line="206" w:lineRule="exact"/>
              <w:rPr>
                <w:sz w:val="20"/>
                <w:szCs w:val="20"/>
                <w:color w:val="auto"/>
              </w:rPr>
            </w:pPr>
            <w:r>
              <w:rPr>
                <w:rFonts w:ascii="Times New Roman" w:cs="Times New Roman" w:eastAsia="Times New Roman" w:hAnsi="Times New Roman"/>
                <w:sz w:val="18"/>
                <w:szCs w:val="18"/>
                <w:color w:val="0000FF"/>
                <w:w w:val="98"/>
              </w:rPr>
              <w:t>Item 2—Unregistered Sales of Equity Securities and Use of Proceeds</w:t>
            </w:r>
          </w:p>
        </w:tc>
        <w:tc>
          <w:tcPr>
            <w:tcW w:w="438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20" w:type="dxa"/>
            <w:vAlign w:val="bottom"/>
            <w:tcBorders>
              <w:bottom w:val="single" w:sz="8" w:color="0000FF"/>
            </w:tcBorders>
            <w:gridSpan w:val="11"/>
          </w:tcPr>
          <w:p>
            <w:pPr>
              <w:spacing w:after="0" w:line="206" w:lineRule="exact"/>
              <w:rPr>
                <w:sz w:val="20"/>
                <w:szCs w:val="20"/>
                <w:color w:val="auto"/>
              </w:rPr>
            </w:pPr>
            <w:r>
              <w:rPr>
                <w:rFonts w:ascii="Times New Roman" w:cs="Times New Roman" w:eastAsia="Times New Roman" w:hAnsi="Times New Roman"/>
                <w:sz w:val="18"/>
                <w:szCs w:val="18"/>
                <w:color w:val="0000FF"/>
                <w:w w:val="97"/>
              </w:rPr>
              <w:t>Item 3—Defaults Upon Senior Securities</w:t>
            </w:r>
          </w:p>
        </w:tc>
        <w:tc>
          <w:tcPr>
            <w:tcW w:w="638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80" w:type="dxa"/>
            <w:vAlign w:val="bottom"/>
            <w:tcBorders>
              <w:bottom w:val="single" w:sz="8" w:color="0000FF"/>
            </w:tcBorders>
            <w:gridSpan w:val="10"/>
          </w:tcPr>
          <w:p>
            <w:pPr>
              <w:spacing w:after="0" w:line="206" w:lineRule="exact"/>
              <w:rPr>
                <w:sz w:val="20"/>
                <w:szCs w:val="20"/>
                <w:color w:val="auto"/>
              </w:rPr>
            </w:pPr>
            <w:r>
              <w:rPr>
                <w:rFonts w:ascii="Times New Roman" w:cs="Times New Roman" w:eastAsia="Times New Roman" w:hAnsi="Times New Roman"/>
                <w:sz w:val="18"/>
                <w:szCs w:val="18"/>
                <w:color w:val="0000FF"/>
                <w:w w:val="97"/>
              </w:rPr>
              <w:t>Item 4—Mine Safety Disclosures</w:t>
            </w:r>
          </w:p>
        </w:tc>
        <w:tc>
          <w:tcPr>
            <w:tcW w:w="692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206" w:lineRule="exact"/>
              <w:rPr>
                <w:sz w:val="20"/>
                <w:szCs w:val="20"/>
                <w:color w:val="auto"/>
              </w:rPr>
            </w:pPr>
            <w:r>
              <w:rPr>
                <w:rFonts w:ascii="Times New Roman" w:cs="Times New Roman" w:eastAsia="Times New Roman" w:hAnsi="Times New Roman"/>
                <w:sz w:val="18"/>
                <w:szCs w:val="18"/>
                <w:color w:val="0000FF"/>
              </w:rPr>
              <w:t>Item 5—Other Information</w:t>
            </w:r>
          </w:p>
        </w:tc>
        <w:tc>
          <w:tcPr>
            <w:tcW w:w="740" w:type="dxa"/>
            <w:vAlign w:val="bottom"/>
            <w:gridSpan w:val="3"/>
          </w:tcPr>
          <w:p>
            <w:pPr>
              <w:jc w:val="right"/>
              <w:spacing w:after="0" w:line="206"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Borders>
              <w:top w:val="single" w:sz="8" w:color="0000FF"/>
            </w:tcBorders>
            <w:gridSpan w:val="6"/>
          </w:tcPr>
          <w:p>
            <w:pPr>
              <w:spacing w:after="0" w:line="206" w:lineRule="exact"/>
              <w:rPr>
                <w:sz w:val="20"/>
                <w:szCs w:val="20"/>
                <w:color w:val="auto"/>
              </w:rPr>
            </w:pPr>
            <w:r>
              <w:rPr>
                <w:rFonts w:ascii="Times New Roman" w:cs="Times New Roman" w:eastAsia="Times New Roman" w:hAnsi="Times New Roman"/>
                <w:sz w:val="18"/>
                <w:szCs w:val="18"/>
                <w:color w:val="0000FF"/>
              </w:rPr>
              <w:t>Item 6—Exhibits</w:t>
            </w:r>
          </w:p>
        </w:tc>
        <w:tc>
          <w:tcPr>
            <w:tcW w:w="738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Borders>
              <w:top w:val="single" w:sz="8" w:color="0000FF"/>
            </w:tcBorders>
            <w:gridSpan w:val="3"/>
          </w:tcPr>
          <w:p>
            <w:pPr>
              <w:spacing w:after="0" w:line="206" w:lineRule="exact"/>
              <w:rPr>
                <w:sz w:val="20"/>
                <w:szCs w:val="20"/>
                <w:color w:val="auto"/>
              </w:rPr>
            </w:pPr>
            <w:r>
              <w:rPr>
                <w:rFonts w:ascii="Times New Roman" w:cs="Times New Roman" w:eastAsia="Times New Roman" w:hAnsi="Times New Roman"/>
                <w:sz w:val="18"/>
                <w:szCs w:val="18"/>
                <w:color w:val="0000FF"/>
              </w:rPr>
              <w:t>Signatures</w:t>
            </w:r>
          </w:p>
        </w:tc>
        <w:tc>
          <w:tcPr>
            <w:tcW w:w="808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223"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14"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86" w:lineRule="exact"/>
        <w:rPr>
          <w:sz w:val="20"/>
          <w:szCs w:val="20"/>
          <w:color w:val="auto"/>
        </w:rPr>
      </w:pPr>
    </w:p>
    <w:p>
      <w:pPr>
        <w:jc w:val="both"/>
        <w:ind w:firstLine="319"/>
        <w:spacing w:after="0" w:line="237"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factors, which may cause actual results to be materially different from those expressed or implied in such statements. These factors include, but are not limited to: general economic conditions, including the impact of inflation, particularly as it may impact our franchisees directly; our level of indebtedness; compliance with the terms of our securitized debt; our ability to refinance our current indebtedness or obtain additional financing; our dependence on information technology; potential cyber incidents; the implementation of corporate strategies, including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changes in U.S. government regulation and trade policies, including the imposition of tariffs and other trade barriers;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risks of major natural disasters, including earthquake, wildfire, tornado, flood or a man-made disaster, including terrorism, civil unrest or a cyber incident; risks of volatile and adverse weather conditions as a result of climate change; pandemics, epidemics, or other serious incidents; our success with development initiatives outside of our core business; the adequacy of our internal controls over financial reporting and future changes in accounting standards; changes in tax laws; failure to meet investor and stakeholder expectations regarding business responsibility matters; and other factors discussed from time to time in the "Risk Factors" section of the Company's Annual Report on Form 10-K for the fiscal year ended December 31, 2024, and in the Company's other filings with the Securities and Exchange Commission, many of which are beyond our control.</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Fiscal Quarter End</w:t>
      </w:r>
    </w:p>
    <w:p>
      <w:pPr>
        <w:spacing w:after="0" w:line="114" w:lineRule="exact"/>
        <w:rPr>
          <w:sz w:val="20"/>
          <w:szCs w:val="20"/>
          <w:color w:val="auto"/>
        </w:rPr>
      </w:pPr>
    </w:p>
    <w:p>
      <w:pPr>
        <w:jc w:val="both"/>
        <w:ind w:firstLine="319"/>
        <w:spacing w:after="0" w:line="245"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2025 began on December 30, 2024 and ended on March 30, 2025, and the second fiscal quarter of 2025 ended on June 29, 2025. The first fiscal quarter of 2024 began on January 1, 2024 and ended on March 31, 2024, and the second fiscal quarter of 2024 ended on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9"/>
        </w:trPr>
        <w:tc>
          <w:tcPr>
            <w:tcW w:w="6980" w:type="dxa"/>
            <w:vAlign w:val="bottom"/>
          </w:tcPr>
          <w:p>
            <w:pPr>
              <w:ind w:left="32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194,201</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186,650</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of $5,410 (2025) and $3,383 (2024)</w:t>
            </w:r>
          </w:p>
        </w:tc>
        <w:tc>
          <w:tcPr>
            <w:tcW w:w="34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91,223</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115,218</w:t>
            </w:r>
          </w:p>
        </w:tc>
        <w:tc>
          <w:tcPr>
            <w:tcW w:w="0" w:type="dxa"/>
            <w:vAlign w:val="bottom"/>
          </w:tcPr>
          <w:p>
            <w:pPr>
              <w:spacing w:after="0"/>
              <w:rPr>
                <w:sz w:val="1"/>
                <w:szCs w:val="1"/>
                <w:color w:val="auto"/>
              </w:rPr>
            </w:pPr>
          </w:p>
        </w:tc>
      </w:tr>
      <w:tr>
        <w:trPr>
          <w:trHeight w:val="210"/>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42,448</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gift card costs</w:t>
            </w:r>
          </w:p>
        </w:tc>
        <w:tc>
          <w:tcPr>
            <w:tcW w:w="34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19,982</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28,552</w:t>
            </w:r>
          </w:p>
        </w:tc>
        <w:tc>
          <w:tcPr>
            <w:tcW w:w="0" w:type="dxa"/>
            <w:vAlign w:val="bottom"/>
          </w:tcPr>
          <w:p>
            <w:pPr>
              <w:spacing w:after="0"/>
              <w:rPr>
                <w:sz w:val="1"/>
                <w:szCs w:val="1"/>
                <w:color w:val="auto"/>
              </w:rPr>
            </w:pPr>
          </w:p>
        </w:tc>
      </w:tr>
      <w:tr>
        <w:trPr>
          <w:trHeight w:val="210"/>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income taxes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18,340</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11,685</w:t>
            </w:r>
          </w:p>
        </w:tc>
        <w:tc>
          <w:tcPr>
            <w:tcW w:w="0" w:type="dxa"/>
            <w:vAlign w:val="bottom"/>
          </w:tcPr>
          <w:p>
            <w:pPr>
              <w:spacing w:after="0"/>
              <w:rPr>
                <w:sz w:val="1"/>
                <w:szCs w:val="1"/>
                <w:color w:val="auto"/>
              </w:rPr>
            </w:pPr>
          </w:p>
        </w:tc>
      </w:tr>
      <w:tr>
        <w:trPr>
          <w:trHeight w:val="204"/>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385,999</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restricted cash</w:t>
            </w:r>
          </w:p>
        </w:tc>
        <w:tc>
          <w:tcPr>
            <w:tcW w:w="34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0" w:type="dxa"/>
            <w:vAlign w:val="bottom"/>
          </w:tcPr>
          <w:p>
            <w:pPr>
              <w:spacing w:after="0"/>
              <w:rPr>
                <w:sz w:val="1"/>
                <w:szCs w:val="1"/>
                <w:color w:val="auto"/>
              </w:rPr>
            </w:pP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156,134</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4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341,526</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323,468</w:t>
            </w:r>
          </w:p>
        </w:tc>
        <w:tc>
          <w:tcPr>
            <w:tcW w:w="0" w:type="dxa"/>
            <w:vAlign w:val="bottom"/>
          </w:tcPr>
          <w:p>
            <w:pPr>
              <w:spacing w:after="0"/>
              <w:rPr>
                <w:sz w:val="1"/>
                <w:szCs w:val="1"/>
                <w:color w:val="auto"/>
              </w:rPr>
            </w:pP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rent receivable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24,804</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receivables, net of allowance of $1,033 (2025) and $1,354 (2024)</w:t>
            </w:r>
          </w:p>
        </w:tc>
        <w:tc>
          <w:tcPr>
            <w:tcW w:w="34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33,545</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35,873</w:t>
            </w:r>
          </w:p>
        </w:tc>
        <w:tc>
          <w:tcPr>
            <w:tcW w:w="0" w:type="dxa"/>
            <w:vAlign w:val="bottom"/>
          </w:tcPr>
          <w:p>
            <w:pPr>
              <w:spacing w:after="0"/>
              <w:rPr>
                <w:sz w:val="1"/>
                <w:szCs w:val="1"/>
                <w:color w:val="auto"/>
              </w:rPr>
            </w:pP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248,622</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4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568,710</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575,654</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26,852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20,530</w:t>
            </w:r>
          </w:p>
        </w:tc>
        <w:tc>
          <w:tcPr>
            <w:tcW w:w="0" w:type="dxa"/>
            <w:vAlign w:val="bottom"/>
          </w:tcPr>
          <w:p>
            <w:pPr>
              <w:spacing w:after="0"/>
              <w:rPr>
                <w:sz w:val="1"/>
                <w:szCs w:val="1"/>
                <w:color w:val="auto"/>
              </w:rPr>
            </w:pPr>
          </w:p>
        </w:tc>
      </w:tr>
      <w:tr>
        <w:trPr>
          <w:trHeight w:val="233"/>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1,789,947</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1,790,584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26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34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4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30,517</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37,718</w:t>
            </w:r>
          </w:p>
        </w:tc>
        <w:tc>
          <w:tcPr>
            <w:tcW w:w="0" w:type="dxa"/>
            <w:vAlign w:val="bottom"/>
          </w:tcPr>
          <w:p>
            <w:pPr>
              <w:spacing w:after="0"/>
              <w:rPr>
                <w:sz w:val="1"/>
                <w:szCs w:val="1"/>
                <w:color w:val="auto"/>
              </w:rPr>
            </w:pPr>
          </w:p>
        </w:tc>
      </w:tr>
      <w:tr>
        <w:trPr>
          <w:trHeight w:val="210"/>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Gift card liability</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177,584</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operating lease obligations</w:t>
            </w:r>
          </w:p>
        </w:tc>
        <w:tc>
          <w:tcPr>
            <w:tcW w:w="34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64,689</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65,336</w:t>
            </w:r>
          </w:p>
        </w:tc>
        <w:tc>
          <w:tcPr>
            <w:tcW w:w="0" w:type="dxa"/>
            <w:vAlign w:val="bottom"/>
          </w:tcPr>
          <w:p>
            <w:pPr>
              <w:spacing w:after="0"/>
              <w:rPr>
                <w:sz w:val="1"/>
                <w:szCs w:val="1"/>
                <w:color w:val="auto"/>
              </w:rPr>
            </w:pPr>
          </w:p>
        </w:tc>
      </w:tr>
      <w:tr>
        <w:trPr>
          <w:trHeight w:val="210"/>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maturities of finance lease and financing obligations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6,387</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34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16,418</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16,674</w:t>
            </w:r>
          </w:p>
        </w:tc>
        <w:tc>
          <w:tcPr>
            <w:tcW w:w="0" w:type="dxa"/>
            <w:vAlign w:val="bottom"/>
          </w:tcPr>
          <w:p>
            <w:pPr>
              <w:spacing w:after="0"/>
              <w:rPr>
                <w:sz w:val="1"/>
                <w:szCs w:val="1"/>
                <w:color w:val="auto"/>
              </w:rPr>
            </w:pPr>
          </w:p>
        </w:tc>
      </w:tr>
      <w:tr>
        <w:trPr>
          <w:trHeight w:val="210"/>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advertising expenses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payable</w:t>
            </w:r>
          </w:p>
        </w:tc>
        <w:tc>
          <w:tcPr>
            <w:tcW w:w="34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7,844</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7,790</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accrued expenses</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44,543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29,081</w:t>
            </w:r>
          </w:p>
        </w:tc>
        <w:tc>
          <w:tcPr>
            <w:tcW w:w="0" w:type="dxa"/>
            <w:vAlign w:val="bottom"/>
          </w:tcPr>
          <w:p>
            <w:pPr>
              <w:spacing w:after="0"/>
              <w:rPr>
                <w:sz w:val="1"/>
                <w:szCs w:val="1"/>
                <w:color w:val="auto"/>
              </w:rPr>
            </w:pPr>
          </w:p>
        </w:tc>
      </w:tr>
      <w:tr>
        <w:trPr>
          <w:trHeight w:val="208"/>
        </w:trPr>
        <w:tc>
          <w:tcPr>
            <w:tcW w:w="6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431,247</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445,305</w:t>
            </w:r>
          </w:p>
        </w:tc>
        <w:tc>
          <w:tcPr>
            <w:tcW w:w="0" w:type="dxa"/>
            <w:vAlign w:val="bottom"/>
          </w:tcPr>
          <w:p>
            <w:pPr>
              <w:spacing w:after="0"/>
              <w:rPr>
                <w:sz w:val="1"/>
                <w:szCs w:val="1"/>
                <w:color w:val="auto"/>
              </w:rPr>
            </w:pP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less current maturities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1,086,992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1,086,551</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obligations, less current maturities</w:t>
            </w:r>
          </w:p>
        </w:tc>
        <w:tc>
          <w:tcPr>
            <w:tcW w:w="34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325,487</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310,476</w:t>
            </w:r>
          </w:p>
        </w:tc>
        <w:tc>
          <w:tcPr>
            <w:tcW w:w="0" w:type="dxa"/>
            <w:vAlign w:val="bottom"/>
          </w:tcPr>
          <w:p>
            <w:pPr>
              <w:spacing w:after="0"/>
              <w:rPr>
                <w:sz w:val="1"/>
                <w:szCs w:val="1"/>
                <w:color w:val="auto"/>
              </w:rPr>
            </w:pP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maturities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34,286</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obligations, less current maturities</w:t>
            </w:r>
          </w:p>
        </w:tc>
        <w:tc>
          <w:tcPr>
            <w:tcW w:w="34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21,365</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23,251</w:t>
            </w:r>
          </w:p>
        </w:tc>
        <w:tc>
          <w:tcPr>
            <w:tcW w:w="0" w:type="dxa"/>
            <w:vAlign w:val="bottom"/>
          </w:tcPr>
          <w:p>
            <w:pPr>
              <w:spacing w:after="0"/>
              <w:rPr>
                <w:sz w:val="1"/>
                <w:szCs w:val="1"/>
                <w:color w:val="auto"/>
              </w:rPr>
            </w:pP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54,572</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franchise revenue, long-term</w:t>
            </w:r>
          </w:p>
        </w:tc>
        <w:tc>
          <w:tcPr>
            <w:tcW w:w="34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34,294</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36,700</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15,462</w:t>
            </w:r>
          </w:p>
        </w:tc>
        <w:tc>
          <w:tcPr>
            <w:tcW w:w="0" w:type="dxa"/>
            <w:vAlign w:val="bottom"/>
          </w:tcPr>
          <w:p>
            <w:pPr>
              <w:spacing w:after="0"/>
              <w:rPr>
                <w:sz w:val="1"/>
                <w:szCs w:val="1"/>
                <w:color w:val="auto"/>
              </w:rPr>
            </w:pPr>
          </w:p>
        </w:tc>
      </w:tr>
      <w:tr>
        <w:trPr>
          <w:trHeight w:val="208"/>
        </w:trPr>
        <w:tc>
          <w:tcPr>
            <w:tcW w:w="6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2,002,492</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2,006,603</w:t>
            </w:r>
          </w:p>
        </w:tc>
        <w:tc>
          <w:tcPr>
            <w:tcW w:w="0" w:type="dxa"/>
            <w:vAlign w:val="bottom"/>
          </w:tcPr>
          <w:p>
            <w:pPr>
              <w:spacing w:after="0"/>
              <w:rPr>
                <w:sz w:val="1"/>
                <w:szCs w:val="1"/>
                <w:color w:val="auto"/>
              </w:rPr>
            </w:pPr>
          </w:p>
        </w:tc>
      </w:tr>
      <w:tr>
        <w:trPr>
          <w:trHeight w:val="19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34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stock, $1 par value, 10,000,000 shares authorized; no shares issued and outstanding</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6980" w:type="dxa"/>
            <w:vAlign w:val="bottom"/>
            <w:shd w:val="clear" w:color="auto" w:fill="CCEEFF"/>
          </w:tcPr>
          <w:p>
            <w:pPr>
              <w:ind w:left="120"/>
              <w:spacing w:after="0" w:line="161" w:lineRule="exact"/>
              <w:rPr>
                <w:sz w:val="20"/>
                <w:szCs w:val="20"/>
                <w:color w:val="auto"/>
              </w:rPr>
            </w:pPr>
            <w:r>
              <w:rPr>
                <w:rFonts w:ascii="Times New Roman" w:cs="Times New Roman" w:eastAsia="Times New Roman" w:hAnsi="Times New Roman"/>
                <w:sz w:val="16"/>
                <w:szCs w:val="16"/>
                <w:color w:val="auto"/>
              </w:rPr>
              <w:t>Common stock, $0.01 par value; shares: 40,000,000 authorized; June 30, 2025 - 24,676,844 issued,</w:t>
            </w:r>
          </w:p>
        </w:tc>
        <w:tc>
          <w:tcPr>
            <w:tcW w:w="34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15,379,495 outstanding; December 31, 2024 - 24,756,637 issued, 15,273,210 outstanding</w:t>
            </w:r>
          </w:p>
        </w:tc>
        <w:tc>
          <w:tcPr>
            <w:tcW w:w="34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254,814</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189,849</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183,614</w:t>
            </w:r>
          </w:p>
        </w:tc>
        <w:tc>
          <w:tcPr>
            <w:tcW w:w="0" w:type="dxa"/>
            <w:vAlign w:val="bottom"/>
          </w:tcPr>
          <w:p>
            <w:pPr>
              <w:spacing w:after="0"/>
              <w:rPr>
                <w:sz w:val="1"/>
                <w:szCs w:val="1"/>
                <w:color w:val="auto"/>
              </w:rPr>
            </w:pPr>
          </w:p>
        </w:tc>
      </w:tr>
      <w:tr>
        <w:trPr>
          <w:trHeight w:val="210"/>
        </w:trPr>
        <w:tc>
          <w:tcPr>
            <w:tcW w:w="6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Treasury stock, at cost; shares: June 30, 2025 - 9,297,349; December 31, 2024 - 9,483,427</w:t>
            </w:r>
          </w:p>
        </w:tc>
        <w:tc>
          <w:tcPr>
            <w:tcW w:w="34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(638,685)</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(654,619)</w:t>
            </w:r>
          </w:p>
        </w:tc>
        <w:tc>
          <w:tcPr>
            <w:tcW w:w="0" w:type="dxa"/>
            <w:vAlign w:val="bottom"/>
          </w:tcPr>
          <w:p>
            <w:pPr>
              <w:spacing w:after="0"/>
              <w:rPr>
                <w:sz w:val="1"/>
                <w:szCs w:val="1"/>
                <w:color w:val="auto"/>
              </w:rPr>
            </w:pPr>
          </w:p>
        </w:tc>
      </w:tr>
      <w:tr>
        <w:trPr>
          <w:trHeight w:val="204"/>
        </w:trPr>
        <w:tc>
          <w:tcPr>
            <w:tcW w:w="69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(212,545)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(216,019)</w:t>
            </w:r>
          </w:p>
        </w:tc>
        <w:tc>
          <w:tcPr>
            <w:tcW w:w="0" w:type="dxa"/>
            <w:vAlign w:val="bottom"/>
          </w:tcPr>
          <w:p>
            <w:pPr>
              <w:spacing w:after="0"/>
              <w:rPr>
                <w:sz w:val="1"/>
                <w:szCs w:val="1"/>
                <w:color w:val="auto"/>
              </w:rPr>
            </w:pPr>
          </w:p>
        </w:tc>
      </w:tr>
      <w:tr>
        <w:trPr>
          <w:trHeight w:val="233"/>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34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1,789,947</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1,790,584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ectPr>
          <w:pgSz w:w="11900" w:h="16838" w:orient="portrait"/>
          <w:cols w:equalWidth="0" w:num="1">
            <w:col w:w="11140"/>
          </w:cols>
          <w:pgMar w:left="320" w:top="223" w:right="4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223" w:right="43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revenues:</w:t>
            </w:r>
          </w:p>
        </w:tc>
        <w:tc>
          <w:tcPr>
            <w:tcW w:w="4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Royalties, franchise fees and other</w:t>
            </w:r>
          </w:p>
        </w:tc>
        <w:tc>
          <w:tcPr>
            <w:tcW w:w="46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101,210</w:t>
            </w:r>
          </w:p>
        </w:tc>
        <w:tc>
          <w:tcPr>
            <w:tcW w:w="100" w:type="dxa"/>
            <w:vAlign w:val="bottom"/>
          </w:tcPr>
          <w:p>
            <w:pPr>
              <w:spacing w:after="0"/>
              <w:rPr>
                <w:sz w:val="18"/>
                <w:szCs w:val="18"/>
                <w:color w:val="auto"/>
              </w:rPr>
            </w:pP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101,980</w:t>
            </w:r>
          </w:p>
        </w:tc>
        <w:tc>
          <w:tcPr>
            <w:tcW w:w="8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196,934</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Advertising revenues</w:t>
            </w:r>
          </w:p>
        </w:tc>
        <w:tc>
          <w:tcPr>
            <w:tcW w:w="46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73,509</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74,518</w:t>
            </w:r>
          </w:p>
        </w:tc>
        <w:tc>
          <w:tcPr>
            <w:tcW w:w="8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143,999</w:t>
            </w:r>
          </w:p>
        </w:tc>
        <w:tc>
          <w:tcPr>
            <w:tcW w:w="10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149,779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franchise revenues</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176,498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340,933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Company restaurant sales</w:t>
            </w:r>
          </w:p>
        </w:tc>
        <w:tc>
          <w:tcPr>
            <w:tcW w:w="4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28,243</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49,816</w:t>
            </w: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Rental revenues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revenues</w:t>
            </w:r>
          </w:p>
        </w:tc>
        <w:tc>
          <w:tcPr>
            <w:tcW w:w="46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8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revenues</w:t>
            </w:r>
          </w:p>
        </w:tc>
        <w:tc>
          <w:tcPr>
            <w:tcW w:w="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230,784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206,267</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445,564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412,502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4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expenses: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Advertising expenses</w:t>
            </w:r>
          </w:p>
        </w:tc>
        <w:tc>
          <w:tcPr>
            <w:tcW w:w="4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73,509</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74,518</w:t>
            </w: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143,999</w:t>
            </w: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Bad debt (credit) expense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franchise expenses</w:t>
            </w:r>
          </w:p>
        </w:tc>
        <w:tc>
          <w:tcPr>
            <w:tcW w:w="46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11,398</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11,164</w:t>
            </w:r>
          </w:p>
        </w:tc>
        <w:tc>
          <w:tcPr>
            <w:tcW w:w="8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20,441</w:t>
            </w:r>
          </w:p>
        </w:tc>
        <w:tc>
          <w:tcPr>
            <w:tcW w:w="10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franchise expenses</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84,953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167,637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Company restaurant expenses</w:t>
            </w:r>
          </w:p>
        </w:tc>
        <w:tc>
          <w:tcPr>
            <w:tcW w:w="4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30,908</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52,914</w:t>
            </w: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Rental expenses: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from finance leases</w:t>
            </w:r>
          </w:p>
        </w:tc>
        <w:tc>
          <w:tcPr>
            <w:tcW w:w="4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rental expenses</w:t>
            </w:r>
          </w:p>
        </w:tc>
        <w:tc>
          <w:tcPr>
            <w:tcW w:w="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20,911</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40,952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rental expenses</w:t>
            </w:r>
          </w:p>
        </w:tc>
        <w:tc>
          <w:tcPr>
            <w:tcW w:w="4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21,146</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21,650</w:t>
            </w: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42,356</w:t>
            </w: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Financing expenses</w:t>
            </w:r>
          </w:p>
        </w:tc>
        <w:tc>
          <w:tcPr>
            <w:tcW w:w="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cost of revenues</w:t>
            </w:r>
          </w:p>
        </w:tc>
        <w:tc>
          <w:tcPr>
            <w:tcW w:w="46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138,555</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106,996</w:t>
            </w:r>
          </w:p>
        </w:tc>
        <w:tc>
          <w:tcPr>
            <w:tcW w:w="8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263,025</w:t>
            </w:r>
          </w:p>
        </w:tc>
        <w:tc>
          <w:tcPr>
            <w:tcW w:w="10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99,271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182,539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50,769</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46,858</w:t>
            </w: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102,106</w:t>
            </w: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Closure and impairment charges</w:t>
            </w:r>
          </w:p>
        </w:tc>
        <w:tc>
          <w:tcPr>
            <w:tcW w:w="4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7,001</w:t>
            </w: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4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(gain) on disposition of assets</w:t>
            </w:r>
          </w:p>
        </w:tc>
        <w:tc>
          <w:tcPr>
            <w:tcW w:w="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18,931</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31,224</w:t>
            </w: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31,726</w:t>
            </w: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(8,042)</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13,814</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23,182</w:t>
            </w: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22,011</w:t>
            </w: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46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8"/>
        </w:trPr>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46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23,179</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46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13,814</w:t>
            </w:r>
          </w:p>
        </w:tc>
        <w:tc>
          <w:tcPr>
            <w:tcW w:w="100" w:type="dxa"/>
            <w:vAlign w:val="bottom"/>
          </w:tcPr>
          <w:p>
            <w:pPr>
              <w:spacing w:after="0"/>
              <w:rPr>
                <w:sz w:val="18"/>
                <w:szCs w:val="18"/>
                <w:color w:val="auto"/>
              </w:rPr>
            </w:pP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23,182</w:t>
            </w:r>
          </w:p>
        </w:tc>
        <w:tc>
          <w:tcPr>
            <w:tcW w:w="8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22,011</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Net income allocated to unvested participating restricted stock</w:t>
            </w:r>
          </w:p>
        </w:tc>
        <w:tc>
          <w:tcPr>
            <w:tcW w:w="46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8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0" w:type="dxa"/>
            <w:vAlign w:val="bottom"/>
          </w:tcPr>
          <w:p>
            <w:pPr>
              <w:spacing w:after="0"/>
              <w:rPr>
                <w:sz w:val="1"/>
                <w:szCs w:val="1"/>
                <w:color w:val="auto"/>
              </w:rPr>
            </w:pPr>
          </w:p>
        </w:tc>
      </w:tr>
      <w:tr>
        <w:trPr>
          <w:trHeight w:val="208"/>
        </w:trPr>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46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22,479</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21,092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20" w:type="dxa"/>
            <w:vAlign w:val="bottom"/>
            <w:vMerge w:val="restart"/>
          </w:tcPr>
          <w:p>
            <w:pPr>
              <w:spacing w:after="0"/>
              <w:rPr>
                <w:sz w:val="6"/>
                <w:szCs w:val="6"/>
                <w:color w:val="auto"/>
              </w:rPr>
            </w:pPr>
          </w:p>
        </w:tc>
        <w:tc>
          <w:tcPr>
            <w:tcW w:w="5460" w:type="dxa"/>
            <w:vAlign w:val="bottom"/>
            <w:shd w:val="clear" w:color="auto" w:fill="CCEEFF"/>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 per share: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46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00" w:type="dxa"/>
            <w:vAlign w:val="bottom"/>
          </w:tcPr>
          <w:p>
            <w:pPr>
              <w:spacing w:after="0"/>
              <w:rPr>
                <w:sz w:val="20"/>
                <w:szCs w:val="20"/>
                <w:color w:val="auto"/>
              </w:rPr>
            </w:pP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20"/>
                <w:szCs w:val="20"/>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460" w:type="dxa"/>
            <w:vAlign w:val="bottom"/>
          </w:tcPr>
          <w:p>
            <w:pPr>
              <w:spacing w:after="0"/>
              <w:rPr>
                <w:sz w:val="16"/>
                <w:szCs w:val="16"/>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46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14,943</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46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14,879</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14,943</w:t>
            </w:r>
          </w:p>
        </w:tc>
        <w:tc>
          <w:tcPr>
            <w:tcW w:w="8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14,907</w:t>
            </w:r>
          </w:p>
        </w:tc>
        <w:tc>
          <w:tcPr>
            <w:tcW w:w="10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ectPr>
          <w:pgSz w:w="11900" w:h="16838" w:orient="portrait"/>
          <w:cols w:equalWidth="0" w:num="1">
            <w:col w:w="11260"/>
          </w:cols>
          <w:pgMar w:left="300" w:top="2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159385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60"/>
          </w:cols>
          <w:pgMar w:left="300" w:top="223"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p>
      <w:pPr>
        <w:spacing w:after="0" w:line="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p>
      <w:pPr>
        <w:spacing w:after="0" w:line="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1"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9"/>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w w:val="98"/>
              </w:rPr>
              <w:t>Three Months Ended June 30, 2025</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6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7"/>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40"/>
              <w:spacing w:after="0" w:line="159"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4"/>
          </w:tcPr>
          <w:p>
            <w:pPr>
              <w:ind w:left="40"/>
              <w:spacing w:after="0" w:line="159"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72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6"/>
              </w:rPr>
              <w:t>Earnings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80" w:type="dxa"/>
            <w:vAlign w:val="bottom"/>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15,635,229</w:t>
            </w:r>
          </w:p>
        </w:tc>
        <w:tc>
          <w:tcPr>
            <w:tcW w:w="80" w:type="dxa"/>
            <w:vAlign w:val="bottom"/>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80" w:type="dxa"/>
            <w:vAlign w:val="bottom"/>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233,443</w:t>
            </w:r>
          </w:p>
        </w:tc>
        <w:tc>
          <w:tcPr>
            <w:tcW w:w="80" w:type="dxa"/>
            <w:vAlign w:val="bottom"/>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183,857</w:t>
            </w:r>
          </w:p>
        </w:tc>
        <w:tc>
          <w:tcPr>
            <w:tcW w:w="80" w:type="dxa"/>
            <w:vAlign w:val="bottom"/>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righ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9,062,799</w:t>
            </w:r>
          </w:p>
        </w:tc>
        <w:tc>
          <w:tcPr>
            <w:tcW w:w="80" w:type="dxa"/>
            <w:vAlign w:val="bottom"/>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(633,218)</w:t>
            </w:r>
          </w:p>
        </w:tc>
        <w:tc>
          <w:tcPr>
            <w:tcW w:w="80" w:type="dxa"/>
            <w:vAlign w:val="bottom"/>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(215,746)</w:t>
            </w: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13,814</w:t>
            </w:r>
          </w:p>
        </w:tc>
        <w:tc>
          <w:tcPr>
            <w:tcW w:w="0" w:type="dxa"/>
            <w:vAlign w:val="bottom"/>
          </w:tcPr>
          <w:p>
            <w:pPr>
              <w:spacing w:after="0"/>
              <w:rPr>
                <w:sz w:val="1"/>
                <w:szCs w:val="1"/>
                <w:color w:val="auto"/>
              </w:rPr>
            </w:pPr>
          </w:p>
        </w:tc>
      </w:tr>
      <w:tr>
        <w:trPr>
          <w:trHeight w:val="215"/>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righ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8"/>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(5,962)</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8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10,359</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(10,359)</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8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8"/>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8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(7,822)</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(7,792)</w:t>
            </w:r>
          </w:p>
        </w:tc>
        <w:tc>
          <w:tcPr>
            <w:tcW w:w="0" w:type="dxa"/>
            <w:vAlign w:val="bottom"/>
          </w:tcPr>
          <w:p>
            <w:pPr>
              <w:spacing w:after="0"/>
              <w:rPr>
                <w:sz w:val="1"/>
                <w:szCs w:val="1"/>
                <w:color w:val="auto"/>
              </w:rPr>
            </w:pPr>
          </w:p>
        </w:tc>
      </w:tr>
      <w:tr>
        <w:trPr>
          <w:trHeight w:val="159"/>
        </w:trPr>
        <w:tc>
          <w:tcPr>
            <w:tcW w:w="33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15,379,495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236,117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189,849</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right w:val="single" w:sz="8" w:color="CCEEFF"/>
            </w:tcBorders>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9,297,349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(638,685)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(212,545)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1"/>
        </w:trPr>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w w:val="99"/>
              </w:rPr>
              <w:t>Six Months Ended June 30, 2025</w:t>
            </w: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6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7"/>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40"/>
              <w:spacing w:after="0" w:line="159"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4"/>
          </w:tcPr>
          <w:p>
            <w:pPr>
              <w:jc w:val="center"/>
              <w:ind w:right="18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72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6"/>
              </w:rPr>
              <w:t>Earnings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80" w:type="dxa"/>
            <w:vAlign w:val="bottom"/>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15,273,210</w:t>
            </w:r>
          </w:p>
        </w:tc>
        <w:tc>
          <w:tcPr>
            <w:tcW w:w="80" w:type="dxa"/>
            <w:vAlign w:val="bottom"/>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80" w:type="dxa"/>
            <w:vAlign w:val="bottom"/>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254,814</w:t>
            </w:r>
          </w:p>
        </w:tc>
        <w:tc>
          <w:tcPr>
            <w:tcW w:w="80" w:type="dxa"/>
            <w:vAlign w:val="bottom"/>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183,614</w:t>
            </w:r>
          </w:p>
        </w:tc>
        <w:tc>
          <w:tcPr>
            <w:tcW w:w="80" w:type="dxa"/>
            <w:vAlign w:val="bottom"/>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lef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9,483,427</w:t>
            </w:r>
          </w:p>
        </w:tc>
        <w:tc>
          <w:tcPr>
            <w:tcW w:w="80" w:type="dxa"/>
            <w:vAlign w:val="bottom"/>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(654,619)</w:t>
            </w:r>
          </w:p>
        </w:tc>
        <w:tc>
          <w:tcPr>
            <w:tcW w:w="80" w:type="dxa"/>
            <w:vAlign w:val="bottom"/>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(216,019)</w:t>
            </w: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22,011</w:t>
            </w:r>
          </w:p>
        </w:tc>
        <w:tc>
          <w:tcPr>
            <w:tcW w:w="0" w:type="dxa"/>
            <w:vAlign w:val="bottom"/>
          </w:tcPr>
          <w:p>
            <w:pPr>
              <w:spacing w:after="0"/>
              <w:rPr>
                <w:sz w:val="1"/>
                <w:szCs w:val="1"/>
                <w:color w:val="auto"/>
              </w:rPr>
            </w:pPr>
          </w:p>
        </w:tc>
      </w:tr>
      <w:tr>
        <w:trPr>
          <w:trHeight w:val="215"/>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lef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8"/>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(7,599)</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8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495,856</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(23,533)</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(495,856)</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23,533</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8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(72,922)</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0" w:type="dxa"/>
            <w:vAlign w:val="bottom"/>
          </w:tcPr>
          <w:p>
            <w:pPr>
              <w:spacing w:after="0"/>
              <w:rPr>
                <w:sz w:val="1"/>
                <w:szCs w:val="1"/>
                <w:color w:val="auto"/>
              </w:rPr>
            </w:pPr>
          </w:p>
        </w:tc>
      </w:tr>
      <w:tr>
        <w:trPr>
          <w:trHeight w:val="208"/>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6,616</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8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(15,776)</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(15,716)</w:t>
            </w:r>
          </w:p>
        </w:tc>
        <w:tc>
          <w:tcPr>
            <w:tcW w:w="0" w:type="dxa"/>
            <w:vAlign w:val="bottom"/>
          </w:tcPr>
          <w:p>
            <w:pPr>
              <w:spacing w:after="0"/>
              <w:rPr>
                <w:sz w:val="1"/>
                <w:szCs w:val="1"/>
                <w:color w:val="auto"/>
              </w:rPr>
            </w:pPr>
          </w:p>
        </w:tc>
      </w:tr>
      <w:tr>
        <w:trPr>
          <w:trHeight w:val="159"/>
        </w:trPr>
        <w:tc>
          <w:tcPr>
            <w:tcW w:w="33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15,379,495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236,117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189,849</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left w:val="single" w:sz="8" w:color="CCEEFF"/>
            </w:tcBorders>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9,297,349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(638,685)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(212,545)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223"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p>
      <w:pPr>
        <w:spacing w:after="0" w:line="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p>
      <w:pPr>
        <w:spacing w:after="0" w:line="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1"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9"/>
          </w:tcPr>
          <w:p>
            <w:pPr>
              <w:jc w:val="center"/>
              <w:ind w:left="500"/>
              <w:spacing w:after="0"/>
              <w:rPr>
                <w:sz w:val="20"/>
                <w:szCs w:val="20"/>
                <w:color w:val="auto"/>
              </w:rPr>
            </w:pPr>
            <w:r>
              <w:rPr>
                <w:rFonts w:ascii="Times New Roman" w:cs="Times New Roman" w:eastAsia="Times New Roman" w:hAnsi="Times New Roman"/>
                <w:sz w:val="16"/>
                <w:szCs w:val="16"/>
                <w:b w:val="1"/>
                <w:bCs w:val="1"/>
                <w:color w:val="auto"/>
                <w:w w:val="99"/>
              </w:rPr>
              <w:t>Three Months Ended June 30, 2024</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6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6"/>
                <w:szCs w:val="16"/>
                <w:b w:val="1"/>
                <w:bCs w:val="1"/>
                <w:color w:val="auto"/>
                <w:w w:val="98"/>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7"/>
              </w:rPr>
              <w:t>Retained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40"/>
              <w:spacing w:after="0" w:line="159"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4"/>
          </w:tcPr>
          <w:p>
            <w:pPr>
              <w:jc w:val="center"/>
              <w:ind w:right="2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72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Earnings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80" w:type="dxa"/>
            <w:vAlign w:val="bottom"/>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15,453,001</w:t>
            </w:r>
          </w:p>
        </w:tc>
        <w:tc>
          <w:tcPr>
            <w:tcW w:w="80" w:type="dxa"/>
            <w:vAlign w:val="bottom"/>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80" w:type="dxa"/>
            <w:vAlign w:val="bottom"/>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245,680</w:t>
            </w:r>
          </w:p>
        </w:tc>
        <w:tc>
          <w:tcPr>
            <w:tcW w:w="80" w:type="dxa"/>
            <w:vAlign w:val="bottom"/>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159,597</w:t>
            </w:r>
          </w:p>
        </w:tc>
        <w:tc>
          <w:tcPr>
            <w:tcW w:w="80" w:type="dxa"/>
            <w:vAlign w:val="bottom"/>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lef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9,377,123</w:t>
            </w:r>
          </w:p>
        </w:tc>
        <w:tc>
          <w:tcPr>
            <w:tcW w:w="100" w:type="dxa"/>
            <w:vAlign w:val="bottom"/>
            <w:tcBorders>
              <w:right w:val="single" w:sz="8" w:color="CCEEFF"/>
            </w:tcBorders>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(650,264)</w:t>
            </w:r>
          </w:p>
        </w:tc>
        <w:tc>
          <w:tcPr>
            <w:tcW w:w="100" w:type="dxa"/>
            <w:vAlign w:val="bottom"/>
            <w:tcBorders>
              <w:right w:val="single" w:sz="8" w:color="CCEEFF"/>
            </w:tcBorders>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(244,805)</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23,182</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 w:type="dxa"/>
            <w:vAlign w:val="bottom"/>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lef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80" w:type="dxa"/>
            <w:vAlign w:val="bottom"/>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lef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100" w:type="dxa"/>
            <w:vAlign w:val="bottom"/>
            <w:tcBorders>
              <w:right w:val="single" w:sz="8" w:color="CCEEFF"/>
            </w:tcBorders>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right w:val="single" w:sz="8" w:color="CCEEFF"/>
            </w:tcBorders>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80" w:type="dxa"/>
            <w:vAlign w:val="bottom"/>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lef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80" w:type="dxa"/>
            <w:vAlign w:val="bottom"/>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(7,807)</w:t>
            </w:r>
          </w:p>
        </w:tc>
        <w:tc>
          <w:tcPr>
            <w:tcW w:w="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lef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(7,771)</w:t>
            </w:r>
          </w:p>
        </w:tc>
        <w:tc>
          <w:tcPr>
            <w:tcW w:w="0" w:type="dxa"/>
            <w:vAlign w:val="bottom"/>
          </w:tcPr>
          <w:p>
            <w:pPr>
              <w:spacing w:after="0"/>
              <w:rPr>
                <w:sz w:val="1"/>
                <w:szCs w:val="1"/>
                <w:color w:val="auto"/>
              </w:rPr>
            </w:pPr>
          </w:p>
        </w:tc>
      </w:tr>
      <w:tr>
        <w:trPr>
          <w:trHeight w:val="159"/>
        </w:trPr>
        <w:tc>
          <w:tcPr>
            <w:tcW w:w="33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vMerge w:val="restart"/>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15,299,270</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249,265</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174,972</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left w:val="single" w:sz="8" w:color="CCEEFF"/>
            </w:tcBorders>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9,515,189</w:t>
            </w:r>
          </w:p>
        </w:tc>
        <w:tc>
          <w:tcPr>
            <w:tcW w:w="100" w:type="dxa"/>
            <w:vAlign w:val="bottom"/>
            <w:tcBorders>
              <w:right w:val="single" w:sz="8" w:color="CCEEFF"/>
            </w:tcBorders>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(656,118)</w:t>
            </w:r>
          </w:p>
        </w:tc>
        <w:tc>
          <w:tcPr>
            <w:tcW w:w="100" w:type="dxa"/>
            <w:vAlign w:val="bottom"/>
            <w:tcBorders>
              <w:right w:val="single" w:sz="8" w:color="CCEEFF"/>
            </w:tcBorders>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(231,702)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center"/>
              <w:ind w:left="500"/>
              <w:spacing w:after="0"/>
              <w:rPr>
                <w:sz w:val="20"/>
                <w:szCs w:val="20"/>
                <w:color w:val="auto"/>
              </w:rPr>
            </w:pPr>
            <w:r>
              <w:rPr>
                <w:rFonts w:ascii="Times New Roman" w:cs="Times New Roman" w:eastAsia="Times New Roman" w:hAnsi="Times New Roman"/>
                <w:sz w:val="16"/>
                <w:szCs w:val="16"/>
                <w:b w:val="1"/>
                <w:bCs w:val="1"/>
                <w:color w:val="auto"/>
                <w:w w:val="99"/>
              </w:rPr>
              <w:t>Six Months Ended June 30, 2024</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6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7"/>
              </w:rPr>
              <w:t>Retained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40"/>
              <w:spacing w:after="0" w:line="159"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4"/>
          </w:tcPr>
          <w:p>
            <w:pPr>
              <w:jc w:val="center"/>
              <w:ind w:right="2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72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0" w:type="dxa"/>
            <w:vAlign w:val="bottom"/>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15,344,768</w:t>
            </w:r>
          </w:p>
        </w:tc>
        <w:tc>
          <w:tcPr>
            <w:tcW w:w="80" w:type="dxa"/>
            <w:vAlign w:val="bottom"/>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80" w:type="dxa"/>
            <w:vAlign w:val="bottom"/>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shd w:val="clear" w:color="auto" w:fill="CCEEFF"/>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256,542</w:t>
            </w:r>
          </w:p>
        </w:tc>
        <w:tc>
          <w:tcPr>
            <w:tcW w:w="80" w:type="dxa"/>
            <w:vAlign w:val="bottom"/>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shd w:val="clear" w:color="auto" w:fill="CCEEFF"/>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150,008</w:t>
            </w:r>
          </w:p>
        </w:tc>
        <w:tc>
          <w:tcPr>
            <w:tcW w:w="80" w:type="dxa"/>
            <w:vAlign w:val="bottom"/>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righ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9,525,761</w:t>
            </w:r>
          </w:p>
        </w:tc>
        <w:tc>
          <w:tcPr>
            <w:tcW w:w="100" w:type="dxa"/>
            <w:vAlign w:val="bottom"/>
            <w:tcBorders>
              <w:left w:val="single" w:sz="8" w:color="CCEEFF"/>
            </w:tcBorders>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(657,709)</w:t>
            </w:r>
          </w:p>
        </w:tc>
        <w:tc>
          <w:tcPr>
            <w:tcW w:w="100" w:type="dxa"/>
            <w:vAlign w:val="bottom"/>
            <w:tcBorders>
              <w:left w:val="single" w:sz="8" w:color="CCEEFF"/>
            </w:tcBorders>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(250,974)</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40,655</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 w:type="dxa"/>
            <w:vAlign w:val="bottom"/>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6"/>
              </w:rPr>
              <w:t>(5)</w:t>
            </w:r>
          </w:p>
        </w:tc>
        <w:tc>
          <w:tcPr>
            <w:tcW w:w="100" w:type="dxa"/>
            <w:vAlign w:val="bottom"/>
            <w:tcBorders>
              <w:righ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8"/>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80" w:type="dxa"/>
            <w:vAlign w:val="bottom"/>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280,193</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(13,590)</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(280,193)</w:t>
            </w:r>
          </w:p>
        </w:tc>
        <w:tc>
          <w:tcPr>
            <w:tcW w:w="100" w:type="dxa"/>
            <w:vAlign w:val="bottom"/>
            <w:tcBorders>
              <w:left w:val="single" w:sz="8" w:color="CCEEFF"/>
            </w:tcBorders>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13,591</w:t>
            </w:r>
          </w:p>
        </w:tc>
        <w:tc>
          <w:tcPr>
            <w:tcW w:w="100" w:type="dxa"/>
            <w:vAlign w:val="bottom"/>
            <w:tcBorders>
              <w:left w:val="single" w:sz="8" w:color="CCEEFF"/>
            </w:tcBorders>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80" w:type="dxa"/>
            <w:vAlign w:val="bottom"/>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(52,040)</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0" w:type="dxa"/>
            <w:vAlign w:val="bottom"/>
          </w:tcPr>
          <w:p>
            <w:pPr>
              <w:spacing w:after="0"/>
              <w:rPr>
                <w:sz w:val="1"/>
                <w:szCs w:val="1"/>
                <w:color w:val="auto"/>
              </w:rPr>
            </w:pPr>
          </w:p>
        </w:tc>
      </w:tr>
      <w:tr>
        <w:trPr>
          <w:trHeight w:val="208"/>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8,757</w:t>
            </w: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on common stock</w:t>
            </w:r>
          </w:p>
        </w:tc>
        <w:tc>
          <w:tcPr>
            <w:tcW w:w="80" w:type="dxa"/>
            <w:vAlign w:val="bottom"/>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(15,691)</w:t>
            </w:r>
          </w:p>
        </w:tc>
        <w:tc>
          <w:tcPr>
            <w:tcW w:w="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(15,619)</w:t>
            </w:r>
          </w:p>
        </w:tc>
        <w:tc>
          <w:tcPr>
            <w:tcW w:w="0" w:type="dxa"/>
            <w:vAlign w:val="bottom"/>
          </w:tcPr>
          <w:p>
            <w:pPr>
              <w:spacing w:after="0"/>
              <w:rPr>
                <w:sz w:val="1"/>
                <w:szCs w:val="1"/>
                <w:color w:val="auto"/>
              </w:rPr>
            </w:pPr>
          </w:p>
        </w:tc>
      </w:tr>
      <w:tr>
        <w:trPr>
          <w:trHeight w:val="159"/>
        </w:trPr>
        <w:tc>
          <w:tcPr>
            <w:tcW w:w="332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stock units</w:t>
            </w: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15,299,270</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shd w:val="clear" w:color="auto" w:fill="CCEEFF"/>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249,265</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shd w:val="clear" w:color="auto" w:fill="CCEEFF"/>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174,972</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right w:val="single" w:sz="8" w:color="CCEEFF"/>
            </w:tcBorders>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9,515,189</w:t>
            </w:r>
          </w:p>
        </w:tc>
        <w:tc>
          <w:tcPr>
            <w:tcW w:w="100" w:type="dxa"/>
            <w:vAlign w:val="bottom"/>
            <w:tcBorders>
              <w:left w:val="single" w:sz="8" w:color="CCEEFF"/>
            </w:tcBorders>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(656,118)</w:t>
            </w:r>
          </w:p>
        </w:tc>
        <w:tc>
          <w:tcPr>
            <w:tcW w:w="100" w:type="dxa"/>
            <w:vAlign w:val="bottom"/>
            <w:tcBorders>
              <w:left w:val="single" w:sz="8" w:color="CCEEFF"/>
            </w:tcBorders>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(231,702)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223"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500" w:type="dxa"/>
            <w:vAlign w:val="bottom"/>
          </w:tcPr>
          <w:p>
            <w:pPr>
              <w:jc w:val="center"/>
              <w:ind w:left="2600"/>
              <w:spacing w:after="0"/>
              <w:rPr>
                <w:sz w:val="20"/>
                <w:szCs w:val="20"/>
                <w:color w:val="auto"/>
              </w:rPr>
            </w:pPr>
            <w:r>
              <w:rPr>
                <w:rFonts w:ascii="Times New Roman" w:cs="Times New Roman" w:eastAsia="Times New Roman" w:hAnsi="Times New Roman"/>
                <w:sz w:val="16"/>
                <w:szCs w:val="16"/>
                <w:b w:val="1"/>
                <w:bCs w:val="1"/>
                <w:color w:val="auto"/>
                <w:w w:val="99"/>
              </w:rPr>
              <w:t>Dine Brands Global, Inc. and Subsidiaries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500" w:type="dxa"/>
            <w:vAlign w:val="bottom"/>
          </w:tcPr>
          <w:p>
            <w:pPr>
              <w:jc w:val="center"/>
              <w:ind w:left="2580"/>
              <w:spacing w:after="0"/>
              <w:rPr>
                <w:sz w:val="20"/>
                <w:szCs w:val="20"/>
                <w:color w:val="auto"/>
              </w:rPr>
            </w:pPr>
            <w:r>
              <w:rPr>
                <w:rFonts w:ascii="Times New Roman" w:cs="Times New Roman" w:eastAsia="Times New Roman" w:hAnsi="Times New Roman"/>
                <w:sz w:val="16"/>
                <w:szCs w:val="16"/>
                <w:b w:val="1"/>
                <w:bCs w:val="1"/>
                <w:color w:val="auto"/>
                <w:w w:val="99"/>
              </w:rPr>
              <w:t>Consolidated Statements of Cash Flows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500" w:type="dxa"/>
            <w:vAlign w:val="bottom"/>
          </w:tcPr>
          <w:p>
            <w:pPr>
              <w:jc w:val="center"/>
              <w:ind w:left="2600"/>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500" w:type="dxa"/>
            <w:vAlign w:val="bottom"/>
          </w:tcPr>
          <w:p>
            <w:pPr>
              <w:jc w:val="center"/>
              <w:ind w:left="2600"/>
              <w:spacing w:after="0"/>
              <w:rPr>
                <w:sz w:val="20"/>
                <w:szCs w:val="20"/>
                <w:color w:val="auto"/>
              </w:rPr>
            </w:pP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16"/>
                <w:szCs w:val="16"/>
                <w:b w:val="1"/>
                <w:bCs w:val="1"/>
                <w:color w:val="auto"/>
                <w:w w:val="99"/>
              </w:rPr>
              <w:t>Unaudited)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22,011</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40,655</w:t>
            </w:r>
          </w:p>
        </w:tc>
        <w:tc>
          <w:tcPr>
            <w:tcW w:w="0" w:type="dxa"/>
            <w:vAlign w:val="bottom"/>
          </w:tcPr>
          <w:p>
            <w:pPr>
              <w:spacing w:after="0"/>
              <w:rPr>
                <w:sz w:val="1"/>
                <w:szCs w:val="1"/>
                <w:color w:val="auto"/>
              </w:rPr>
            </w:pPr>
          </w:p>
        </w:tc>
      </w:tr>
      <w:tr>
        <w:trPr>
          <w:trHeight w:val="210"/>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cash flows provided by operating activities: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20,820</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19,395</w:t>
            </w:r>
          </w:p>
        </w:tc>
        <w:tc>
          <w:tcPr>
            <w:tcW w:w="0" w:type="dxa"/>
            <w:vAlign w:val="bottom"/>
          </w:tcPr>
          <w:p>
            <w:pPr>
              <w:spacing w:after="0"/>
              <w:rPr>
                <w:sz w:val="1"/>
                <w:szCs w:val="1"/>
                <w:color w:val="auto"/>
              </w:rPr>
            </w:pPr>
          </w:p>
        </w:tc>
      </w:tr>
      <w:tr>
        <w:trPr>
          <w:trHeight w:val="210"/>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Non-cash closure and impairment charges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6,616</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8,757</w:t>
            </w:r>
          </w:p>
        </w:tc>
        <w:tc>
          <w:tcPr>
            <w:tcW w:w="0" w:type="dxa"/>
            <w:vAlign w:val="bottom"/>
          </w:tcPr>
          <w:p>
            <w:pPr>
              <w:spacing w:after="0"/>
              <w:rPr>
                <w:sz w:val="1"/>
                <w:szCs w:val="1"/>
                <w:color w:val="auto"/>
              </w:rPr>
            </w:pPr>
          </w:p>
        </w:tc>
      </w:tr>
      <w:tr>
        <w:trPr>
          <w:trHeight w:val="210"/>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(5,784)</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0" w:type="dxa"/>
            <w:vAlign w:val="bottom"/>
          </w:tcPr>
          <w:p>
            <w:pPr>
              <w:spacing w:after="0"/>
              <w:rPr>
                <w:sz w:val="1"/>
                <w:szCs w:val="1"/>
                <w:color w:val="auto"/>
              </w:rPr>
            </w:pPr>
          </w:p>
        </w:tc>
      </w:tr>
      <w:tr>
        <w:trPr>
          <w:trHeight w:val="210"/>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0"/>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Receivables, net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6,631</w:t>
            </w: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Deferred rent receivable</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0" w:type="dxa"/>
            <w:vAlign w:val="bottom"/>
          </w:tcPr>
          <w:p>
            <w:pPr>
              <w:spacing w:after="0"/>
              <w:rPr>
                <w:sz w:val="1"/>
                <w:szCs w:val="1"/>
                <w:color w:val="auto"/>
              </w:rPr>
            </w:pPr>
          </w:p>
        </w:tc>
      </w:tr>
      <w:tr>
        <w:trPr>
          <w:trHeight w:val="210"/>
        </w:trPr>
        <w:tc>
          <w:tcPr>
            <w:tcW w:w="8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Current income tax receivable and payable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Gift card receivable and payable</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(6,228)</w:t>
            </w:r>
          </w:p>
        </w:tc>
        <w:tc>
          <w:tcPr>
            <w:tcW w:w="0" w:type="dxa"/>
            <w:vAlign w:val="bottom"/>
          </w:tcPr>
          <w:p>
            <w:pPr>
              <w:spacing w:after="0"/>
              <w:rPr>
                <w:sz w:val="1"/>
                <w:szCs w:val="1"/>
                <w:color w:val="auto"/>
              </w:rPr>
            </w:pPr>
          </w:p>
        </w:tc>
      </w:tr>
      <w:tr>
        <w:trPr>
          <w:trHeight w:val="210"/>
        </w:trPr>
        <w:tc>
          <w:tcPr>
            <w:tcW w:w="8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4,472</w:t>
            </w: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w:t>
            </w:r>
          </w:p>
        </w:tc>
        <w:tc>
          <w:tcPr>
            <w:tcW w:w="0" w:type="dxa"/>
            <w:vAlign w:val="bottom"/>
          </w:tcPr>
          <w:p>
            <w:pPr>
              <w:spacing w:after="0"/>
              <w:rPr>
                <w:sz w:val="1"/>
                <w:szCs w:val="1"/>
                <w:color w:val="auto"/>
              </w:rPr>
            </w:pPr>
          </w:p>
        </w:tc>
      </w:tr>
      <w:tr>
        <w:trPr>
          <w:trHeight w:val="210"/>
        </w:trPr>
        <w:tc>
          <w:tcPr>
            <w:tcW w:w="8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(6,569)</w:t>
            </w: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(8,948)</w:t>
            </w:r>
          </w:p>
        </w:tc>
        <w:tc>
          <w:tcPr>
            <w:tcW w:w="0" w:type="dxa"/>
            <w:vAlign w:val="bottom"/>
          </w:tcPr>
          <w:p>
            <w:pPr>
              <w:spacing w:after="0"/>
              <w:rPr>
                <w:sz w:val="1"/>
                <w:szCs w:val="1"/>
                <w:color w:val="auto"/>
              </w:rPr>
            </w:pPr>
          </w:p>
        </w:tc>
      </w:tr>
      <w:tr>
        <w:trPr>
          <w:trHeight w:val="210"/>
        </w:trPr>
        <w:tc>
          <w:tcPr>
            <w:tcW w:w="8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advertising</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0"/>
        </w:trPr>
        <w:tc>
          <w:tcPr>
            <w:tcW w:w="8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 accrued expenses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0" w:type="dxa"/>
            <w:vAlign w:val="bottom"/>
          </w:tcPr>
          <w:p>
            <w:pPr>
              <w:spacing w:after="0"/>
              <w:rPr>
                <w:sz w:val="1"/>
                <w:szCs w:val="1"/>
                <w:color w:val="auto"/>
              </w:rPr>
            </w:pPr>
          </w:p>
        </w:tc>
      </w:tr>
      <w:tr>
        <w:trPr>
          <w:trHeight w:val="208"/>
        </w:trPr>
        <w:tc>
          <w:tcPr>
            <w:tcW w:w="8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10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53,105</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52,179</w:t>
            </w:r>
          </w:p>
        </w:tc>
        <w:tc>
          <w:tcPr>
            <w:tcW w:w="0" w:type="dxa"/>
            <w:vAlign w:val="bottom"/>
          </w:tcPr>
          <w:p>
            <w:pPr>
              <w:spacing w:after="0"/>
              <w:rPr>
                <w:sz w:val="1"/>
                <w:szCs w:val="1"/>
                <w:color w:val="auto"/>
              </w:rPr>
            </w:pPr>
          </w:p>
        </w:tc>
      </w:tr>
      <w:tr>
        <w:trPr>
          <w:trHeight w:val="20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Principal receipts from notes, equipment contracts and other long-term receivables</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7,542</w:t>
            </w:r>
          </w:p>
        </w:tc>
        <w:tc>
          <w:tcPr>
            <w:tcW w:w="0" w:type="dxa"/>
            <w:vAlign w:val="bottom"/>
          </w:tcPr>
          <w:p>
            <w:pPr>
              <w:spacing w:after="0"/>
              <w:rPr>
                <w:sz w:val="1"/>
                <w:szCs w:val="1"/>
                <w:color w:val="auto"/>
              </w:rPr>
            </w:pPr>
          </w:p>
        </w:tc>
      </w:tr>
      <w:tr>
        <w:trPr>
          <w:trHeight w:val="210"/>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0"/>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Additions to long-term receivables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Acquisition, net of cash acquired</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Additions to intangible assets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08"/>
        </w:trPr>
        <w:tc>
          <w:tcPr>
            <w:tcW w:w="8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10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(5,185)</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0" w:type="dxa"/>
            <w:vAlign w:val="bottom"/>
          </w:tcPr>
          <w:p>
            <w:pPr>
              <w:spacing w:after="0"/>
              <w:rPr>
                <w:sz w:val="1"/>
                <w:szCs w:val="1"/>
                <w:color w:val="auto"/>
              </w:rPr>
            </w:pPr>
          </w:p>
        </w:tc>
      </w:tr>
      <w:tr>
        <w:trPr>
          <w:trHeight w:val="20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(11,581)</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(15,707)</w:t>
            </w: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(7,599)</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0" w:type="dxa"/>
            <w:vAlign w:val="bottom"/>
          </w:tcPr>
          <w:p>
            <w:pPr>
              <w:spacing w:after="0"/>
              <w:rPr>
                <w:sz w:val="1"/>
                <w:szCs w:val="1"/>
                <w:color w:val="auto"/>
              </w:rPr>
            </w:pPr>
          </w:p>
        </w:tc>
      </w:tr>
      <w:tr>
        <w:trPr>
          <w:trHeight w:val="210"/>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Principal payments on finance lease and financing obligations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Repurchase of restricted stock for tax payments upon vesting</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0" w:type="dxa"/>
            <w:vAlign w:val="bottom"/>
          </w:tcPr>
          <w:p>
            <w:pPr>
              <w:spacing w:after="0"/>
              <w:rPr>
                <w:sz w:val="1"/>
                <w:szCs w:val="1"/>
                <w:color w:val="auto"/>
              </w:rPr>
            </w:pPr>
          </w:p>
        </w:tc>
      </w:tr>
      <w:tr>
        <w:trPr>
          <w:trHeight w:val="210"/>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Tax payments for share settlement of restricted stock units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4"/>
        </w:trPr>
        <w:tc>
          <w:tcPr>
            <w:tcW w:w="850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(33,314)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(33,308)</w:t>
            </w:r>
          </w:p>
        </w:tc>
        <w:tc>
          <w:tcPr>
            <w:tcW w:w="0" w:type="dxa"/>
            <w:vAlign w:val="bottom"/>
          </w:tcPr>
          <w:p>
            <w:pPr>
              <w:spacing w:after="0"/>
              <w:rPr>
                <w:sz w:val="1"/>
                <w:szCs w:val="1"/>
                <w:color w:val="auto"/>
              </w:rPr>
            </w:pPr>
          </w:p>
        </w:tc>
      </w:tr>
      <w:tr>
        <w:trPr>
          <w:trHeight w:val="208"/>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14,606</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17,799</w:t>
            </w:r>
          </w:p>
        </w:tc>
        <w:tc>
          <w:tcPr>
            <w:tcW w:w="0" w:type="dxa"/>
            <w:vAlign w:val="bottom"/>
          </w:tcPr>
          <w:p>
            <w:pPr>
              <w:spacing w:after="0"/>
              <w:rPr>
                <w:sz w:val="1"/>
                <w:szCs w:val="1"/>
                <w:color w:val="auto"/>
              </w:rPr>
            </w:pPr>
          </w:p>
        </w:tc>
      </w:tr>
      <w:tr>
        <w:trPr>
          <w:trHeight w:val="210"/>
        </w:trPr>
        <w:tc>
          <w:tcPr>
            <w:tcW w:w="8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248,598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200,592</w:t>
            </w:r>
          </w:p>
        </w:tc>
        <w:tc>
          <w:tcPr>
            <w:tcW w:w="0" w:type="dxa"/>
            <w:vAlign w:val="bottom"/>
          </w:tcPr>
          <w:p>
            <w:pPr>
              <w:spacing w:after="0"/>
              <w:rPr>
                <w:sz w:val="1"/>
                <w:szCs w:val="1"/>
                <w:color w:val="auto"/>
              </w:rPr>
            </w:pPr>
          </w:p>
        </w:tc>
      </w:tr>
      <w:tr>
        <w:trPr>
          <w:trHeight w:val="233"/>
        </w:trPr>
        <w:tc>
          <w:tcPr>
            <w:tcW w:w="85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263,204</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218,391</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 paid in cash</w:t>
            </w:r>
          </w:p>
        </w:tc>
        <w:tc>
          <w:tcPr>
            <w:tcW w:w="100" w:type="dxa"/>
            <w:vAlign w:val="bottom"/>
          </w:tcPr>
          <w:p>
            <w:pPr>
              <w:spacing w:after="0"/>
              <w:rPr>
                <w:sz w:val="18"/>
                <w:szCs w:val="18"/>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39,569</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39,711</w:t>
            </w:r>
          </w:p>
        </w:tc>
        <w:tc>
          <w:tcPr>
            <w:tcW w:w="0" w:type="dxa"/>
            <w:vAlign w:val="bottom"/>
          </w:tcPr>
          <w:p>
            <w:pPr>
              <w:spacing w:after="0"/>
              <w:rPr>
                <w:sz w:val="1"/>
                <w:szCs w:val="1"/>
                <w:color w:val="auto"/>
              </w:rPr>
            </w:pPr>
          </w:p>
        </w:tc>
      </w:tr>
      <w:tr>
        <w:trPr>
          <w:trHeight w:val="208"/>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taxes paid in cash</w:t>
            </w:r>
          </w:p>
        </w:tc>
        <w:tc>
          <w:tcPr>
            <w:tcW w:w="10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22,872</w:t>
            </w:r>
          </w:p>
        </w:tc>
        <w:tc>
          <w:tcPr>
            <w:tcW w:w="0" w:type="dxa"/>
            <w:vAlign w:val="bottom"/>
          </w:tcPr>
          <w:p>
            <w:pPr>
              <w:spacing w:after="0"/>
              <w:rPr>
                <w:sz w:val="1"/>
                <w:szCs w:val="1"/>
                <w:color w:val="auto"/>
              </w:rPr>
            </w:pPr>
          </w:p>
        </w:tc>
      </w:tr>
      <w:tr>
        <w:trPr>
          <w:trHeight w:val="217"/>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Non-cash conversion to notes receivable</w:t>
            </w:r>
          </w:p>
        </w:tc>
        <w:tc>
          <w:tcPr>
            <w:tcW w:w="100" w:type="dxa"/>
            <w:vAlign w:val="bottom"/>
          </w:tcPr>
          <w:p>
            <w:pPr>
              <w:spacing w:after="0"/>
              <w:rPr>
                <w:sz w:val="18"/>
                <w:szCs w:val="18"/>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0" w:type="dxa"/>
            <w:vAlign w:val="bottom"/>
          </w:tcPr>
          <w:p>
            <w:pPr>
              <w:spacing w:after="0"/>
              <w:rPr>
                <w:sz w:val="1"/>
                <w:szCs w:val="1"/>
                <w:color w:val="auto"/>
              </w:rPr>
            </w:pPr>
          </w:p>
        </w:tc>
      </w:tr>
      <w:tr>
        <w:trPr>
          <w:trHeight w:val="208"/>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Non-cash balance sheet gross-up of receivables and other accrued expenses</w:t>
            </w:r>
          </w:p>
        </w:tc>
        <w:tc>
          <w:tcPr>
            <w:tcW w:w="10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ectPr>
          <w:pgSz w:w="11900" w:h="16838" w:orient="portrait"/>
          <w:cols w:equalWidth="0" w:num="1">
            <w:col w:w="11220"/>
          </w:cols>
          <w:pgMar w:left="320" w:top="223" w:right="35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14"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six months ended June 30, 2025 are not necessarily indicative of the results that may be expected for the twelve months ending December 31, 2025.</w:t>
      </w:r>
    </w:p>
    <w:p>
      <w:pPr>
        <w:spacing w:after="0" w:line="7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consolidated balance sheet at December 31, 2024 has been derived from the audited consolidated financial statements at that date but does not include all of information and footnotes required by U.S. GAAP for complete financial statements.</w:t>
      </w:r>
    </w:p>
    <w:p>
      <w:pPr>
        <w:spacing w:after="0" w:line="5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consolidated financial statements and footnotes thereto included in the Company’s Annual Report on Form 10-K for the year ended December 31, 2024.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14"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2025 began on December 30, 2024 and ended on March 30, 2025, and the second fiscal quarter of 2025 ended on June 29, 2025. The first fiscal quarter of 2024 began on January 1, 2024 and ended on March 31, 2024, and the second fiscal quarter of 2024 ended on June 30, 2024.</w:t>
      </w:r>
    </w:p>
    <w:p>
      <w:pPr>
        <w:spacing w:after="0" w:line="7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that are consolidated in accordance with U.S. GAAP. All intercompany accounts and transactions have been eliminated in consolidation. Certain amounts in the Consolidated Financial Statements and associated notes may not foot due to rounding.</w:t>
      </w:r>
    </w:p>
    <w:p>
      <w:pPr>
        <w:spacing w:after="0" w:line="71"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are made in the calculation and assessment of the following: impairment of tangible and intangible assets and goodwill;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76" w:lineRule="exact"/>
        <w:rPr>
          <w:sz w:val="20"/>
          <w:szCs w:val="20"/>
          <w:color w:val="auto"/>
        </w:rPr>
      </w:pPr>
    </w:p>
    <w:p>
      <w:pPr>
        <w:ind w:left="320" w:right="8100" w:hanging="314"/>
        <w:spacing w:after="0" w:line="392" w:lineRule="auto"/>
        <w:tabs>
          <w:tab w:leader="none" w:pos="178"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 Accounting Pronouncements </w:t>
      </w:r>
      <w:r>
        <w:rPr>
          <w:rFonts w:ascii="Times New Roman" w:cs="Times New Roman" w:eastAsia="Times New Roman" w:hAnsi="Times New Roman"/>
          <w:sz w:val="17"/>
          <w:szCs w:val="17"/>
          <w:b w:val="1"/>
          <w:bCs w:val="1"/>
          <w:i w:val="1"/>
          <w:iCs w:val="1"/>
          <w:color w:val="auto"/>
        </w:rPr>
        <w:t>Recently Issued Accounting Standards</w:t>
      </w:r>
    </w:p>
    <w:p>
      <w:pPr>
        <w:spacing w:after="0" w:line="1"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 which updates reportable segment disclosure requirements. The ASU primarily requires enhanced disclosures about significant segment expenses and information used to assess segment performance that are regularly provided to the chief operating decision maker. The Company adopted ASU 2023-07 for interim periods beginning January 1, 2025, and applied the disclosure requirements retrospectively to all prior periods presented in the financial statements. Upon adoption, the new standard did not have an impact on the Company's Consolidated Balance Sheets, Consolidated Statements of Comprehensive Income, or the Consolidated Statements of Cash Flows.</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Standards Not Yet Adopted</w:t>
      </w:r>
    </w:p>
    <w:p>
      <w:pPr>
        <w:spacing w:after="0" w:line="116"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standard requires disaggregated information about a reporting entity’s effective tax rate reconciliation as well as information on income taxes paid. The guidance is effective for fiscal years beginning after December 15, 2024, with early adoption permitted, and should be applied on a prospective basis with the option to apply the standard retrospectively. The Company is currently evaluating the impact of adopting this ASU on our disclosures.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 (Continued)</w:t>
      </w:r>
    </w:p>
    <w:p>
      <w:pPr>
        <w:spacing w:after="0" w:line="393"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7"/>
          <w:szCs w:val="17"/>
          <w:color w:val="auto"/>
        </w:rPr>
        <w:t>In November 2024, the FASB issued ASU No. 2024-03, "Disaggregation of Income Statement Expenses," which requires public business entities to provide disaggregated disclosures, in the Notes to Consolidated Financial Statements, of certain expense categories that are included in expense line items on the face of the income statement. The guidance is effective for fiscal years beginning after December 15, 2026 and interim periods within fiscal years beginning after December 15, 2027 with early adoption permitted. The Company is currently evaluating the impact of adopting this ASU in our disclosures.</w:t>
      </w:r>
    </w:p>
    <w:p>
      <w:pPr>
        <w:spacing w:after="0" w:line="6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reviewed all other recently issued accounting pronouncements and concluded that they were either not applicable or not expected to have a significant impact to the consolidated financial statements.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w:t>
      </w:r>
    </w:p>
    <w:p>
      <w:pPr>
        <w:spacing w:after="0" w:line="114"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Franchise revenues and revenues from company-owned restaurants are recognized in accordance with current guidance for revenue recognition as codified in Accounting Standards Topic 606 (“ASC 606”). Under ASC 606, revenue is recognized upon transfer of control of promised services or goods to customers in an amount that reflects the consideration the Company expects to receive for those services or goods.</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Franchise Revenues</w:t>
      </w:r>
    </w:p>
    <w:p>
      <w:pPr>
        <w:spacing w:after="0" w:line="111" w:lineRule="exact"/>
        <w:rPr>
          <w:sz w:val="20"/>
          <w:szCs w:val="20"/>
          <w:color w:val="auto"/>
        </w:rPr>
      </w:pPr>
    </w:p>
    <w:p>
      <w:pPr>
        <w:jc w:val="both"/>
        <w:ind w:firstLine="319"/>
        <w:spacing w:after="0" w:line="229" w:lineRule="auto"/>
        <w:rPr>
          <w:sz w:val="20"/>
          <w:szCs w:val="20"/>
          <w:color w:val="auto"/>
        </w:rPr>
      </w:pPr>
      <w:r>
        <w:rPr>
          <w:rFonts w:ascii="Times New Roman" w:cs="Times New Roman" w:eastAsia="Times New Roman" w:hAnsi="Times New Roman"/>
          <w:sz w:val="18"/>
          <w:szCs w:val="18"/>
          <w:color w:val="auto"/>
        </w:rPr>
        <w:t>The Company franchises the Applebee's Neighborhood Grill &amp;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American full-service restaurant segment within the casual dining category of the restaurant industry,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family dining mid-scale full-service category of the restaurant industry, and the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(“Fuzzy's”) concept in the Mexican food segment within the fast-casual dining category of the restaurant industry. The franchise arrangement for the brands is documented in the form of a franchise agreement and, in most cases, a development agreement. The franchise arrangement between the Company as the franchisor and the franchisee as the customer requires the Company to perform various activities to support the brands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respective brand’s symbolic intellectual property over the term of the license. The services provided by the Company are highly interrelated with the franchise license and as such are considered to represent a single performance obligation.</w:t>
      </w:r>
    </w:p>
    <w:p>
      <w:pPr>
        <w:spacing w:after="0" w:line="88"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The transaction price in a standard franchise arrangement for the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Additionally, all domestic IHOP franchise agreements require franchisees to purchase proprietary pancake and waffle dry mix from the Company.</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recognizes the primary components of the transaction price as follows:</w:t>
      </w:r>
    </w:p>
    <w:p>
      <w:pPr>
        <w:spacing w:after="0" w:line="112" w:lineRule="exact"/>
        <w:rPr>
          <w:sz w:val="20"/>
          <w:szCs w:val="20"/>
          <w:color w:val="auto"/>
        </w:rPr>
      </w:pPr>
    </w:p>
    <w:p>
      <w:pPr>
        <w:jc w:val="both"/>
        <w:ind w:left="1280" w:hanging="318"/>
        <w:spacing w:after="0" w:line="256"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spacing w:after="0" w:line="1" w:lineRule="exact"/>
        <w:rPr>
          <w:rFonts w:ascii="Times New Roman" w:cs="Times New Roman" w:eastAsia="Times New Roman" w:hAnsi="Times New Roman"/>
          <w:sz w:val="18"/>
          <w:szCs w:val="18"/>
          <w:color w:val="auto"/>
        </w:rPr>
      </w:pPr>
    </w:p>
    <w:p>
      <w:pPr>
        <w:jc w:val="both"/>
        <w:ind w:left="1280" w:hanging="318"/>
        <w:spacing w:after="0" w:line="255"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entitled to royalties and advertising fees based on a percentage of the franchisee's gross sales as defined in the franchise agreement. Royalty and advertising revenues are recognized when the franchisee's reported sales occur. Depending on timing within a fiscal period, the recognition of revenue results in either what is considered a contract asset (unbilled receivable) or once billed, accounts receivable, and are included in “receivables, net” on the balance sheet;</w:t>
      </w:r>
    </w:p>
    <w:p>
      <w:pPr>
        <w:spacing w:after="0" w:line="10" w:lineRule="exact"/>
        <w:rPr>
          <w:rFonts w:ascii="Times New Roman" w:cs="Times New Roman" w:eastAsia="Times New Roman" w:hAnsi="Times New Roman"/>
          <w:sz w:val="18"/>
          <w:szCs w:val="18"/>
          <w:color w:val="auto"/>
        </w:rPr>
      </w:pPr>
    </w:p>
    <w:p>
      <w:pPr>
        <w:jc w:val="both"/>
        <w:ind w:left="1280" w:hanging="318"/>
        <w:spacing w:after="0" w:line="260"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proprietary pancake and waffle dry mix and other proprietary products is recognized in the period in which distributors ship the franchisee's order; recognition of revenue results in an accounts receivable included in “receivables, net” on the balance sheet.</w:t>
      </w:r>
    </w:p>
    <w:p>
      <w:pPr>
        <w:spacing w:after="0" w:line="7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In determining the amount and timing of revenues from contracts with customers, the Company exercises significant judgment with respect to collectability of the amount; however, the timing of recognition does not require significant judgments as it is based on either the term of the franchise agreement, the month of reported sales by the franchisee or the date of product shipment, none of which require estimation.</w:t>
      </w:r>
    </w:p>
    <w:p>
      <w:pPr>
        <w:spacing w:after="0" w:line="7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does not incur a significant amount of contract acquisition costs in conducting franchising activities. The Company believes its franchising arrangements do not contain a significant financing component.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 (Continued)</w:t>
      </w:r>
    </w:p>
    <w:p>
      <w:pPr>
        <w:spacing w:after="0" w:line="3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Company Restaurant Revenues</w:t>
      </w:r>
    </w:p>
    <w:p>
      <w:pPr>
        <w:spacing w:after="0" w:line="114"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Company restaurant revenues comprise retail sales at company-owned restaurants. Sales by company-owned restaurants are recognized when food and beverage items are sold. Company restaurant sales are reported net of sales taxes collected from guests that are remitted to the appropriate taxing authorities, with no significant judgements required.</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disaggregates franchise revenues by major type for the three and six months ended June 30, 2025 and 2024:</w:t>
      </w:r>
    </w:p>
    <w:p>
      <w:pPr>
        <w:spacing w:after="0" w:line="154" w:lineRule="exact"/>
        <w:rPr>
          <w:sz w:val="20"/>
          <w:szCs w:val="20"/>
          <w:color w:val="auto"/>
        </w:rPr>
      </w:pPr>
    </w:p>
    <w:tbl>
      <w:tblPr>
        <w:tblLayout w:type="fixed"/>
        <w:tblInd w:w="98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Borders>
              <w:bottom w:val="single" w:sz="8" w:color="auto"/>
            </w:tcBorders>
            <w:gridSpan w:val="5"/>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1"/>
        </w:trPr>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Revenues: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100" w:type="dxa"/>
            <w:vAlign w:val="bottom"/>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80" w:type="dxa"/>
            <w:vAlign w:val="bottom"/>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r>
      <w:tr>
        <w:trPr>
          <w:trHeight w:val="22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Advertising revenues</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2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Proprietary product sales and other</w:t>
            </w:r>
          </w:p>
        </w:tc>
        <w:tc>
          <w:tcPr>
            <w:tcW w:w="10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6"/>
        </w:trPr>
        <w:tc>
          <w:tcPr>
            <w:tcW w:w="3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Franchise and development fees</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4"/>
        </w:trPr>
        <w:tc>
          <w:tcPr>
            <w:tcW w:w="3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franchise revenues</w:t>
            </w:r>
          </w:p>
        </w:tc>
        <w:tc>
          <w:tcPr>
            <w:tcW w:w="100" w:type="dxa"/>
            <w:vAlign w:val="bottom"/>
          </w:tcPr>
          <w:p>
            <w:pPr>
              <w:spacing w:after="0"/>
              <w:rPr>
                <w:sz w:val="20"/>
                <w:szCs w:val="20"/>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80" w:type="dxa"/>
            <w:vAlign w:val="bottom"/>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the Company's contract liability for deferred franchise and development fees during the six months ended June 30, 2025 were as follows:</w:t>
      </w:r>
    </w:p>
    <w:p>
      <w:pPr>
        <w:spacing w:after="0" w:line="13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Deferred Franchise Revenue</w:t>
            </w: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(short- and long-term)</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9"/>
        </w:trPr>
        <w:tc>
          <w:tcPr>
            <w:tcW w:w="500" w:type="dxa"/>
            <w:vAlign w:val="bottom"/>
          </w:tcPr>
          <w:p>
            <w:pPr>
              <w:spacing w:after="0"/>
              <w:rPr>
                <w:sz w:val="20"/>
                <w:szCs w:val="20"/>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0" w:type="dxa"/>
            <w:vAlign w:val="bottom"/>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6"/>
        </w:trPr>
        <w:tc>
          <w:tcPr>
            <w:tcW w:w="50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as revenue during the six months ended June 30, 2025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6"/>
        </w:trPr>
        <w:tc>
          <w:tcPr>
            <w:tcW w:w="50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deferred during the six months ended June 30, 2025</w:t>
            </w:r>
          </w:p>
        </w:tc>
        <w:tc>
          <w:tcPr>
            <w:tcW w:w="100" w:type="dxa"/>
            <w:vAlign w:val="bottom"/>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9"/>
        </w:trPr>
        <w:tc>
          <w:tcPr>
            <w:tcW w:w="50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balance of deferred revenue as of June 30, 2025 is expected to be recognized as follows:</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0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
        </w:trPr>
        <w:tc>
          <w:tcPr>
            <w:tcW w:w="50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0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six months)</w:t>
            </w:r>
          </w:p>
        </w:tc>
        <w:tc>
          <w:tcPr>
            <w:tcW w:w="100" w:type="dxa"/>
            <w:vAlign w:val="bottom"/>
            <w:vMerge w:val="continue"/>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6"/>
        </w:trPr>
        <w:tc>
          <w:tcPr>
            <w:tcW w:w="50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6"/>
        </w:trPr>
        <w:tc>
          <w:tcPr>
            <w:tcW w:w="50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6"/>
        </w:trPr>
        <w:tc>
          <w:tcPr>
            <w:tcW w:w="50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6"/>
        </w:trPr>
        <w:tc>
          <w:tcPr>
            <w:tcW w:w="50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6"/>
        </w:trPr>
        <w:tc>
          <w:tcPr>
            <w:tcW w:w="500" w:type="dxa"/>
            <w:vAlign w:val="bottom"/>
          </w:tcPr>
          <w:p>
            <w:pPr>
              <w:spacing w:after="0"/>
              <w:rPr>
                <w:sz w:val="19"/>
                <w:szCs w:val="19"/>
                <w:color w:val="auto"/>
              </w:rPr>
            </w:pPr>
          </w:p>
        </w:tc>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44"/>
        </w:trPr>
        <w:tc>
          <w:tcPr>
            <w:tcW w:w="500" w:type="dxa"/>
            <w:vAlign w:val="bottom"/>
          </w:tcPr>
          <w:p>
            <w:pPr>
              <w:spacing w:after="0"/>
              <w:rPr>
                <w:sz w:val="20"/>
                <w:szCs w:val="20"/>
                <w:color w:val="auto"/>
              </w:rPr>
            </w:pPr>
          </w:p>
        </w:tc>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Receivables and Current Expected Credit Losses (“CECL”)</w:t>
      </w:r>
    </w:p>
    <w:p>
      <w:pPr>
        <w:spacing w:after="0" w:line="114"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 The Company records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Company's CECL methodology that assesses four components - historical losses, current conditions, reasonable and supportable forecasts, and a reversion to history, if applicable.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Receivables and Current Expected Credit Losses (Continued)</w:t>
      </w:r>
    </w:p>
    <w:p>
      <w:pPr>
        <w:spacing w:after="0" w:line="3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considers its portfolio segments to be the following:</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12"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Most of the Company’s short-term receivables due from franchisees are derived from royalty, advertising, and other franchise-related fees, and from distributors related to the sale of proprietary products to franchisees through the Company’s network of suppliers and distributors. During the six months ended June 30, 2025, the Company wrote off $0.9 million, predominantly related to Applebee's accounts receivable.</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Gift Card Receivable</w:t>
      </w:r>
    </w:p>
    <w:p>
      <w:pPr>
        <w:spacing w:after="0" w:line="1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Gift card receivable consist primarily of amounts due from third-party vendors. Receivables related to gift card sales are subject to seasonality and usually peak around year-end as a result of the December holiday season.</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Notes Receivable</w:t>
      </w:r>
    </w:p>
    <w:p>
      <w:pPr>
        <w:spacing w:after="0" w:line="112"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Notes receivable balances primarily relate to the conversion of certain past due franchisee accounts receivable to notes receivable, cash loans to franchisees for working capital purposes, notes receivable in connection with the sale of IHOP and Applebee's company restaurants, franchise fees and other notes. A portion of these notes have specific reserves recorded against them amounting to $1.1 million as of June 30, 2025.</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Equipment Leases Receivable</w:t>
      </w:r>
    </w:p>
    <w:p>
      <w:pPr>
        <w:spacing w:after="0" w:line="112"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Equipment leases receivable primarily relate to IHOP franchise development activity prior to 2003 when IHOP typically leased or purchased the restaurant site, built and equipped the restaurant, then franchised the restaurant to a franchisee. Equipment lease contracts are collateralized by the equipment in the restaurant. The estimated fair value of the equipment collateralizing these lease contracts are not deemed to be significant given the very seasoned and mature nature of this portfolio. The weighted average remaining life of the Company’s equipment leases is 2.2 years as of June 30, 2025.</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Real Estate Leases Receivable</w:t>
      </w:r>
    </w:p>
    <w:p>
      <w:pPr>
        <w:spacing w:after="0" w:line="112"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Real estate leases receivable primarily relate to IHOP franchise development activity prior to 2003 when IHOP provided the financing for leasing or subleasing the site. Real estate leases at June 30, 2025 comprised of 15 leases with a weighted average remaining life of 10.1 years, and relate to locations that IHOP is leasing from third parties and subleasing to franchisees.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340" w:type="dxa"/>
            <w:vAlign w:val="bottom"/>
            <w:tcBorders>
              <w:top w:val="single" w:sz="8" w:color="auto"/>
            </w:tcBorders>
            <w:gridSpan w:val="4"/>
          </w:tcPr>
          <w:p>
            <w:pPr>
              <w:jc w:val="right"/>
              <w:ind w:right="135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receivable</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24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Equipment leases receivable</w:t>
            </w:r>
          </w:p>
        </w:tc>
        <w:tc>
          <w:tcPr>
            <w:tcW w:w="24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leases receivable</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4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 and notes receivable</w:t>
            </w:r>
          </w:p>
        </w:tc>
        <w:tc>
          <w:tcPr>
            <w:tcW w:w="24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4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receivables</w:t>
            </w:r>
          </w:p>
        </w:tc>
        <w:tc>
          <w:tcPr>
            <w:tcW w:w="252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20" w:type="dxa"/>
            <w:vAlign w:val="bottom"/>
            <w:vMerge w:val="restart"/>
          </w:tcPr>
          <w:p>
            <w:pPr>
              <w:jc w:val="right"/>
              <w:ind w:right="147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20" w:type="dxa"/>
            <w:vAlign w:val="bottom"/>
            <w:tcBorders>
              <w:bottom w:val="single" w:sz="8" w:color="9A9A9A"/>
            </w:tcBorders>
          </w:tcPr>
          <w:p>
            <w:pPr>
              <w:spacing w:after="0"/>
              <w:rPr>
                <w:sz w:val="18"/>
                <w:szCs w:val="18"/>
                <w:color w:val="auto"/>
              </w:rPr>
            </w:pPr>
          </w:p>
        </w:tc>
        <w:tc>
          <w:tcPr>
            <w:tcW w:w="452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Receivables and Current Expected Credit Losses (Continued)</w:t>
      </w:r>
    </w:p>
    <w:p>
      <w:pPr>
        <w:spacing w:after="0" w:line="3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the allowance for credit losses during the six months ended June 30, 2025 were as follows:</w:t>
      </w:r>
    </w:p>
    <w:p>
      <w:pPr>
        <w:spacing w:after="0" w:line="12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Accounts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8"/>
              <w:spacing w:after="0" w:line="146"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w w:val="99"/>
              </w:rPr>
              <w:t>leases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7"/>
              </w:rPr>
              <w:t xml:space="preserve">Other </w:t>
            </w:r>
            <w:r>
              <w:rPr>
                <w:rFonts w:ascii="Times New Roman" w:cs="Times New Roman" w:eastAsia="Times New Roman" w:hAnsi="Times New Roman"/>
                <w:sz w:val="18"/>
                <w:szCs w:val="18"/>
                <w:b w:val="1"/>
                <w:bCs w:val="1"/>
                <w:color w:val="auto"/>
                <w:w w:val="97"/>
                <w:vertAlign w:val="superscript"/>
              </w:rPr>
              <w:t>(1)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9"/>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8"/>
              </w:rPr>
              <w:t>receivable</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8"/>
              </w:rPr>
              <w:t>receivable</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gridSpan w:val="3"/>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00" w:type="dxa"/>
            <w:vAlign w:val="bottom"/>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7"/>
              </w:rPr>
              <w:t>4.7</w:t>
            </w:r>
          </w:p>
        </w:tc>
        <w:tc>
          <w:tcPr>
            <w:tcW w:w="0" w:type="dxa"/>
            <w:vAlign w:val="bottom"/>
          </w:tcPr>
          <w:p>
            <w:pPr>
              <w:spacing w:after="0"/>
              <w:rPr>
                <w:sz w:val="1"/>
                <w:szCs w:val="1"/>
                <w:color w:val="auto"/>
              </w:rPr>
            </w:pPr>
          </w:p>
        </w:tc>
      </w:tr>
      <w:tr>
        <w:trPr>
          <w:trHeight w:val="22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ind w:left="417"/>
              <w:spacing w:after="0"/>
              <w:rPr>
                <w:sz w:val="20"/>
                <w:szCs w:val="20"/>
                <w:color w:val="auto"/>
              </w:rPr>
            </w:pPr>
            <w:r>
              <w:rPr>
                <w:rFonts w:ascii="Times New Roman" w:cs="Times New Roman" w:eastAsia="Times New Roman" w:hAnsi="Times New Roman"/>
                <w:sz w:val="18"/>
                <w:szCs w:val="18"/>
                <w:color w:val="auto"/>
                <w:w w:val="97"/>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center"/>
              <w:ind w:left="254"/>
              <w:spacing w:after="0"/>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r>
        <w:trPr>
          <w:trHeight w:val="22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provision adjustment</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214"/>
              <w:spacing w:after="0"/>
              <w:rPr>
                <w:sz w:val="20"/>
                <w:szCs w:val="20"/>
                <w:color w:val="auto"/>
              </w:rPr>
            </w:pPr>
            <w:r>
              <w:rPr>
                <w:rFonts w:ascii="Times New Roman" w:cs="Times New Roman" w:eastAsia="Times New Roman" w:hAnsi="Times New Roman"/>
                <w:sz w:val="18"/>
                <w:szCs w:val="18"/>
                <w:color w:val="auto"/>
                <w:w w:val="98"/>
              </w:rPr>
              <w:t>(0.2)</w:t>
            </w:r>
          </w:p>
        </w:tc>
        <w:tc>
          <w:tcPr>
            <w:tcW w:w="0" w:type="dxa"/>
            <w:vAlign w:val="bottom"/>
          </w:tcPr>
          <w:p>
            <w:pPr>
              <w:spacing w:after="0"/>
              <w:rPr>
                <w:sz w:val="1"/>
                <w:szCs w:val="1"/>
                <w:color w:val="auto"/>
              </w:rPr>
            </w:pPr>
          </w:p>
        </w:tc>
      </w:tr>
      <w:tr>
        <w:trPr>
          <w:trHeight w:val="22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417"/>
              <w:spacing w:after="0"/>
              <w:rPr>
                <w:sz w:val="20"/>
                <w:szCs w:val="20"/>
                <w:color w:val="auto"/>
              </w:rPr>
            </w:pPr>
            <w:r>
              <w:rPr>
                <w:rFonts w:ascii="Times New Roman" w:cs="Times New Roman" w:eastAsia="Times New Roman" w:hAnsi="Times New Roman"/>
                <w:sz w:val="18"/>
                <w:szCs w:val="18"/>
                <w:color w:val="auto"/>
                <w:w w:val="98"/>
              </w:rPr>
              <w:t>(0.9)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214"/>
              <w:spacing w:after="0"/>
              <w:rPr>
                <w:sz w:val="20"/>
                <w:szCs w:val="20"/>
                <w:color w:val="auto"/>
              </w:rPr>
            </w:pPr>
            <w:r>
              <w:rPr>
                <w:rFonts w:ascii="Times New Roman" w:cs="Times New Roman" w:eastAsia="Times New Roman" w:hAnsi="Times New Roman"/>
                <w:sz w:val="18"/>
                <w:szCs w:val="18"/>
                <w:color w:val="auto"/>
                <w:w w:val="98"/>
              </w:rPr>
              <w:t>(1.3)</w:t>
            </w:r>
          </w:p>
        </w:tc>
        <w:tc>
          <w:tcPr>
            <w:tcW w:w="0" w:type="dxa"/>
            <w:vAlign w:val="bottom"/>
          </w:tcPr>
          <w:p>
            <w:pPr>
              <w:spacing w:after="0"/>
              <w:rPr>
                <w:sz w:val="1"/>
                <w:szCs w:val="1"/>
                <w:color w:val="auto"/>
              </w:rPr>
            </w:pPr>
          </w:p>
        </w:tc>
      </w:tr>
      <w:tr>
        <w:trPr>
          <w:trHeight w:val="244"/>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10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7"/>
              </w:rPr>
              <w:t>6.4</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300" w:hanging="134"/>
        <w:spacing w:after="0"/>
        <w:tabs>
          <w:tab w:leader="none" w:pos="30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gift card receivable and credit card receivable.</w:t>
      </w:r>
    </w:p>
    <w:p>
      <w:pPr>
        <w:spacing w:after="0" w:line="122" w:lineRule="exact"/>
        <w:rPr>
          <w:sz w:val="20"/>
          <w:szCs w:val="20"/>
          <w:color w:val="auto"/>
        </w:rPr>
      </w:pPr>
    </w:p>
    <w:p>
      <w:pPr>
        <w:jc w:val="both"/>
        <w:ind w:right="100" w:firstLine="319"/>
        <w:spacing w:after="0" w:line="275" w:lineRule="auto"/>
        <w:rPr>
          <w:sz w:val="20"/>
          <w:szCs w:val="20"/>
          <w:color w:val="auto"/>
        </w:rPr>
      </w:pPr>
      <w:r>
        <w:rPr>
          <w:rFonts w:ascii="Times New Roman" w:cs="Times New Roman" w:eastAsia="Times New Roman" w:hAnsi="Times New Roman"/>
          <w:sz w:val="18"/>
          <w:szCs w:val="18"/>
          <w:color w:val="auto"/>
        </w:rPr>
        <w:t>The Company's primary credit quality indicator for all portfolio segments is delinquency. Generally, the notes receivable, leases receivable, equipment receivable, and other receivable (primarily consists of credit card receivable) are not delinquent.</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year of origination of the Company's financing receivables at June 30, 2025 is as follows:</w:t>
      </w:r>
    </w:p>
    <w:p>
      <w:pPr>
        <w:spacing w:after="0" w:line="19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20" w:type="dxa"/>
            <w:vAlign w:val="bottom"/>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Real estate leases</w:t>
            </w:r>
          </w:p>
        </w:tc>
        <w:tc>
          <w:tcPr>
            <w:tcW w:w="100" w:type="dxa"/>
            <w:vAlign w:val="bottom"/>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Equipment leases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5"/>
              <w:spacing w:after="0" w:line="144" w:lineRule="exact"/>
              <w:rPr>
                <w:sz w:val="20"/>
                <w:szCs w:val="20"/>
                <w:color w:val="auto"/>
              </w:rPr>
            </w:pPr>
            <w:r>
              <w:rPr>
                <w:rFonts w:ascii="Times New Roman" w:cs="Times New Roman" w:eastAsia="Times New Roman" w:hAnsi="Times New Roman"/>
                <w:sz w:val="14"/>
                <w:szCs w:val="14"/>
                <w:b w:val="1"/>
                <w:bCs w:val="1"/>
                <w:color w:val="auto"/>
              </w:rPr>
              <w:t>short and long-</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term</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6"/>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Prior</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does not place its financing receivables in non-accrual status.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14" w:lineRule="exact"/>
        <w:rPr>
          <w:sz w:val="20"/>
          <w:szCs w:val="20"/>
          <w:color w:val="auto"/>
        </w:rPr>
      </w:pPr>
    </w:p>
    <w:p>
      <w:pPr>
        <w:jc w:val="both"/>
        <w:ind w:right="100" w:firstLine="319"/>
        <w:spacing w:after="0" w:line="252" w:lineRule="auto"/>
        <w:rPr>
          <w:sz w:val="20"/>
          <w:szCs w:val="20"/>
          <w:color w:val="auto"/>
        </w:rPr>
      </w:pPr>
      <w:r>
        <w:rPr>
          <w:rFonts w:ascii="Times New Roman" w:cs="Times New Roman" w:eastAsia="Times New Roman" w:hAnsi="Times New Roman"/>
          <w:sz w:val="18"/>
          <w:szCs w:val="18"/>
          <w:color w:val="auto"/>
        </w:rPr>
        <w:t>The Company engages in leasing activity as both a lessee and a lessor. The Company currently leases from third parties the real property on which 488 IHOP franchisee-operated restaurants are located; the Company (as lessor) subleases the property to the franchisees that operate those restaurants. The Company also leases property it owns to the franchisees that operate 49 IHOP restaurants and one Applebee's restaurant. The Company leases from third parties the real property on which 59 Applebee's company-owned restaurants, 10 IHOP company-owned restaurants and one Fuzzy's company-owned restaurant are located. The Company also leases office space for its principal corporate office in Pasadena, California and a restaurant support center in Irving, Texas. The Company does not have a significant amount of non-real estate leases.</w:t>
      </w:r>
    </w:p>
    <w:p>
      <w:pPr>
        <w:spacing w:after="0" w:line="77" w:lineRule="exact"/>
        <w:rPr>
          <w:sz w:val="20"/>
          <w:szCs w:val="20"/>
          <w:color w:val="auto"/>
        </w:rPr>
      </w:pPr>
    </w:p>
    <w:p>
      <w:pPr>
        <w:jc w:val="both"/>
        <w:ind w:right="100" w:firstLine="319"/>
        <w:spacing w:after="0" w:line="252" w:lineRule="auto"/>
        <w:rPr>
          <w:sz w:val="20"/>
          <w:szCs w:val="20"/>
          <w:color w:val="auto"/>
        </w:rPr>
      </w:pPr>
      <w:r>
        <w:rPr>
          <w:rFonts w:ascii="Times New Roman" w:cs="Times New Roman" w:eastAsia="Times New Roman" w:hAnsi="Times New Roman"/>
          <w:sz w:val="18"/>
          <w:szCs w:val="18"/>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Restaurants associated with 294 of the Company's leases met the sales levels that required variable rent payments to the Company (as lessor), based on a percentage of restaurant sales during the six months ended June 30, 2025. Restaurants associated with 34 of the Company's leases met the sales levels that required variable rent payments by the Company (as lessee), based on a percentage of restaurant sales during the six months ended June 30, 2025.</w:t>
      </w:r>
    </w:p>
    <w:p>
      <w:pPr>
        <w:spacing w:after="0" w:line="200" w:lineRule="exact"/>
        <w:rPr>
          <w:sz w:val="20"/>
          <w:szCs w:val="20"/>
          <w:color w:val="auto"/>
        </w:rPr>
      </w:pPr>
    </w:p>
    <w:p>
      <w:pPr>
        <w:spacing w:after="0" w:line="3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223"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 (Continued)</w:t>
      </w:r>
    </w:p>
    <w:p>
      <w:pPr>
        <w:spacing w:after="0" w:line="3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lease (income) cost for the three and six months ended June 30, 2025 and 2024 was as follows:</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4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4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20" w:type="dxa"/>
            <w:vAlign w:val="bottom"/>
          </w:tcPr>
          <w:p>
            <w:pPr>
              <w:spacing w:after="0"/>
              <w:rPr>
                <w:sz w:val="18"/>
                <w:szCs w:val="18"/>
                <w:color w:val="auto"/>
              </w:rPr>
            </w:pPr>
          </w:p>
        </w:tc>
        <w:tc>
          <w:tcPr>
            <w:tcW w:w="2440" w:type="dxa"/>
            <w:vAlign w:val="bottom"/>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4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1"/>
        </w:trPr>
        <w:tc>
          <w:tcPr>
            <w:tcW w:w="4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9"/>
        </w:trPr>
        <w:tc>
          <w:tcPr>
            <w:tcW w:w="42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6"/>
        </w:trPr>
        <w:tc>
          <w:tcPr>
            <w:tcW w:w="420" w:type="dxa"/>
            <w:vAlign w:val="bottom"/>
          </w:tcPr>
          <w:p>
            <w:pPr>
              <w:spacing w:after="0"/>
              <w:rPr>
                <w:sz w:val="19"/>
                <w:szCs w:val="19"/>
                <w:color w:val="auto"/>
              </w:rPr>
            </w:pPr>
          </w:p>
        </w:tc>
        <w:tc>
          <w:tcPr>
            <w:tcW w:w="4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0" w:type="dxa"/>
            <w:vAlign w:val="bottom"/>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6"/>
        </w:trPr>
        <w:tc>
          <w:tcPr>
            <w:tcW w:w="420" w:type="dxa"/>
            <w:vAlign w:val="bottom"/>
          </w:tcPr>
          <w:p>
            <w:pPr>
              <w:spacing w:after="0"/>
              <w:rPr>
                <w:sz w:val="19"/>
                <w:szCs w:val="19"/>
                <w:color w:val="auto"/>
              </w:rPr>
            </w:pPr>
          </w:p>
        </w:tc>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2"/>
        </w:trPr>
        <w:tc>
          <w:tcPr>
            <w:tcW w:w="420" w:type="dxa"/>
            <w:vAlign w:val="bottom"/>
          </w:tcPr>
          <w:p>
            <w:pPr>
              <w:spacing w:after="0"/>
              <w:rPr>
                <w:sz w:val="21"/>
                <w:szCs w:val="21"/>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0" w:type="dxa"/>
            <w:vAlign w:val="bottom"/>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6"/>
        </w:trPr>
        <w:tc>
          <w:tcPr>
            <w:tcW w:w="4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6"/>
        </w:trPr>
        <w:tc>
          <w:tcPr>
            <w:tcW w:w="420" w:type="dxa"/>
            <w:vAlign w:val="bottom"/>
          </w:tcPr>
          <w:p>
            <w:pPr>
              <w:spacing w:after="0"/>
              <w:rPr>
                <w:sz w:val="19"/>
                <w:szCs w:val="19"/>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6"/>
        </w:trPr>
        <w:tc>
          <w:tcPr>
            <w:tcW w:w="420" w:type="dxa"/>
            <w:vAlign w:val="bottom"/>
          </w:tcPr>
          <w:p>
            <w:pPr>
              <w:spacing w:after="0"/>
              <w:rPr>
                <w:sz w:val="19"/>
                <w:szCs w:val="19"/>
                <w:color w:val="auto"/>
              </w:rPr>
            </w:pPr>
          </w:p>
        </w:tc>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44"/>
        </w:trPr>
        <w:tc>
          <w:tcPr>
            <w:tcW w:w="420" w:type="dxa"/>
            <w:vAlign w:val="bottom"/>
          </w:tcPr>
          <w:p>
            <w:pPr>
              <w:spacing w:after="0"/>
              <w:rPr>
                <w:sz w:val="20"/>
                <w:szCs w:val="20"/>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w:t>
            </w:r>
          </w:p>
        </w:tc>
        <w:tc>
          <w:tcPr>
            <w:tcW w:w="80" w:type="dxa"/>
            <w:vAlign w:val="bottom"/>
          </w:tcPr>
          <w:p>
            <w:pPr>
              <w:spacing w:after="0"/>
              <w:rPr>
                <w:sz w:val="20"/>
                <w:szCs w:val="20"/>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4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372"/>
        </w:trPr>
        <w:tc>
          <w:tcPr>
            <w:tcW w:w="764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8"/>
              </w:rPr>
              <w:t>Future minimum lease payments under noncancellable leases as lessee as of June 30, 2025 were as follows:</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1"/>
        </w:trPr>
        <w:tc>
          <w:tcPr>
            <w:tcW w:w="4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10"/>
        </w:trPr>
        <w:tc>
          <w:tcPr>
            <w:tcW w:w="4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Leases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1270</wp:posOffset>
            </wp:positionV>
            <wp:extent cx="18300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ind w:left="9300"/>
        <w:spacing w:after="0"/>
        <w:rPr>
          <w:sz w:val="20"/>
          <w:szCs w:val="20"/>
          <w:color w:val="auto"/>
        </w:rPr>
      </w:pPr>
      <w:r>
        <w:rPr>
          <w:rFonts w:ascii="Times New Roman" w:cs="Times New Roman" w:eastAsia="Times New Roman" w:hAnsi="Times New Roman"/>
          <w:sz w:val="14"/>
          <w:szCs w:val="14"/>
          <w:b w:val="1"/>
          <w:bCs w:val="1"/>
          <w:color w:val="auto"/>
        </w:rPr>
        <w:t>(In millions)</w:t>
      </w:r>
    </w:p>
    <w:p>
      <w:pPr>
        <w:sectPr>
          <w:pgSz w:w="11900" w:h="16838" w:orient="portrait"/>
          <w:cols w:equalWidth="0" w:num="1">
            <w:col w:w="11340"/>
          </w:cols>
          <w:pgMar w:left="320" w:top="223" w:right="239" w:bottom="1440" w:gutter="0" w:footer="0" w:header="0"/>
        </w:sectPr>
      </w:pP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2025 (remaining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-127635</wp:posOffset>
            </wp:positionV>
            <wp:extent cx="5085080" cy="143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85080" cy="14351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11430</wp:posOffset>
            </wp:positionV>
            <wp:extent cx="5085080" cy="143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85080" cy="14351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2027</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11430</wp:posOffset>
            </wp:positionV>
            <wp:extent cx="5085080" cy="143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85080" cy="14351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2029</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11430</wp:posOffset>
            </wp:positionV>
            <wp:extent cx="5085080" cy="151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85080" cy="151765"/>
                    </a:xfrm>
                    <a:prstGeom prst="rect">
                      <a:avLst/>
                    </a:prstGeom>
                    <a:noFill/>
                  </pic:spPr>
                </pic:pic>
              </a:graphicData>
            </a:graphic>
          </wp:anchor>
        </w:drawing>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minimum lease payments</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Less: interest/imputed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11430</wp:posOffset>
            </wp:positionV>
            <wp:extent cx="5085080" cy="151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85080" cy="151765"/>
                    </a:xfrm>
                    <a:prstGeom prst="rect">
                      <a:avLst/>
                    </a:prstGeom>
                    <a:noFill/>
                  </pic:spPr>
                </pic:pic>
              </a:graphicData>
            </a:graphic>
          </wp:anchor>
        </w:drawing>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obligations</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11430</wp:posOffset>
            </wp:positionV>
            <wp:extent cx="5085080" cy="168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85080" cy="168910"/>
                    </a:xfrm>
                    <a:prstGeom prst="rect">
                      <a:avLst/>
                    </a:prstGeom>
                    <a:noFill/>
                  </pic:spPr>
                </pic:pic>
              </a:graphicData>
            </a:graphic>
          </wp:anchor>
        </w:drawing>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Long-term lease obligations</w:t>
      </w: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Other lease information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384810</wp:posOffset>
            </wp:positionV>
            <wp:extent cx="3465830" cy="134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658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tcPr>
          <w:p>
            <w:pPr>
              <w:spacing w:after="0"/>
              <w:rPr>
                <w:sz w:val="19"/>
                <w:szCs w:val="19"/>
                <w:color w:val="auto"/>
              </w:rPr>
            </w:pPr>
          </w:p>
        </w:tc>
      </w:tr>
      <w:tr>
        <w:trPr>
          <w:trHeight w:val="226"/>
        </w:trPr>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20" w:type="dxa"/>
            <w:vAlign w:val="bottom"/>
          </w:tcPr>
          <w:p>
            <w:pPr>
              <w:spacing w:after="0"/>
              <w:rPr>
                <w:sz w:val="19"/>
                <w:szCs w:val="19"/>
                <w:color w:val="auto"/>
              </w:rPr>
            </w:pPr>
          </w:p>
        </w:tc>
      </w:tr>
      <w:tr>
        <w:trPr>
          <w:trHeight w:val="226"/>
        </w:trPr>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20" w:type="dxa"/>
            <w:vAlign w:val="bottom"/>
          </w:tcPr>
          <w:p>
            <w:pPr>
              <w:spacing w:after="0"/>
              <w:rPr>
                <w:sz w:val="19"/>
                <w:szCs w:val="19"/>
                <w:color w:val="auto"/>
              </w:rPr>
            </w:pPr>
          </w:p>
        </w:tc>
      </w:tr>
      <w:tr>
        <w:trPr>
          <w:trHeight w:val="226"/>
        </w:trPr>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20" w:type="dxa"/>
            <w:vAlign w:val="bottom"/>
          </w:tcPr>
          <w:p>
            <w:pPr>
              <w:spacing w:after="0"/>
              <w:rPr>
                <w:sz w:val="19"/>
                <w:szCs w:val="19"/>
                <w:color w:val="auto"/>
              </w:rPr>
            </w:pPr>
          </w:p>
        </w:tc>
      </w:tr>
      <w:tr>
        <w:trPr>
          <w:trHeight w:val="226"/>
        </w:trPr>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tcPr>
          <w:p>
            <w:pPr>
              <w:spacing w:after="0"/>
              <w:rPr>
                <w:sz w:val="19"/>
                <w:szCs w:val="19"/>
                <w:color w:val="auto"/>
              </w:rPr>
            </w:pPr>
          </w:p>
        </w:tc>
      </w:tr>
      <w:tr>
        <w:trPr>
          <w:trHeight w:val="226"/>
        </w:trPr>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20" w:type="dxa"/>
            <w:vAlign w:val="bottom"/>
          </w:tcPr>
          <w:p>
            <w:pPr>
              <w:spacing w:after="0"/>
              <w:rPr>
                <w:sz w:val="19"/>
                <w:szCs w:val="19"/>
                <w:color w:val="auto"/>
              </w:rPr>
            </w:pPr>
          </w:p>
        </w:tc>
      </w:tr>
      <w:tr>
        <w:trPr>
          <w:trHeight w:val="219"/>
        </w:trPr>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220" w:type="dxa"/>
            <w:vAlign w:val="bottom"/>
          </w:tcPr>
          <w:p>
            <w:pPr>
              <w:spacing w:after="0"/>
              <w:rPr>
                <w:sz w:val="19"/>
                <w:szCs w:val="19"/>
                <w:color w:val="auto"/>
              </w:rPr>
            </w:pPr>
          </w:p>
        </w:tc>
      </w:tr>
      <w:tr>
        <w:trPr>
          <w:trHeight w:val="226"/>
        </w:trPr>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20" w:type="dxa"/>
            <w:vAlign w:val="bottom"/>
          </w:tcPr>
          <w:p>
            <w:pPr>
              <w:spacing w:after="0"/>
              <w:rPr>
                <w:sz w:val="19"/>
                <w:szCs w:val="19"/>
                <w:color w:val="auto"/>
              </w:rPr>
            </w:pPr>
          </w:p>
        </w:tc>
      </w:tr>
      <w:tr>
        <w:trPr>
          <w:trHeight w:val="219"/>
        </w:trPr>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220" w:type="dxa"/>
            <w:vAlign w:val="bottom"/>
          </w:tcPr>
          <w:p>
            <w:pPr>
              <w:spacing w:after="0"/>
              <w:rPr>
                <w:sz w:val="19"/>
                <w:szCs w:val="19"/>
                <w:color w:val="auto"/>
              </w:rPr>
            </w:pPr>
          </w:p>
        </w:tc>
      </w:tr>
      <w:tr>
        <w:trPr>
          <w:trHeight w:val="226"/>
        </w:trPr>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tcPr>
          <w:p>
            <w:pPr>
              <w:spacing w:after="0"/>
              <w:rPr>
                <w:sz w:val="19"/>
                <w:szCs w:val="19"/>
                <w:color w:val="auto"/>
              </w:rPr>
            </w:pPr>
          </w:p>
        </w:tc>
      </w:tr>
      <w:tr>
        <w:trPr>
          <w:trHeight w:val="244"/>
        </w:trPr>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0"/>
                <w:szCs w:val="20"/>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20" w:type="dxa"/>
            <w:vAlign w:val="bottom"/>
          </w:tcPr>
          <w:p>
            <w:pPr>
              <w:spacing w:after="0"/>
              <w:rPr>
                <w:sz w:val="20"/>
                <w:szCs w:val="20"/>
                <w:color w:val="auto"/>
              </w:rPr>
            </w:pPr>
          </w:p>
        </w:tc>
      </w:tr>
      <w:tr>
        <w:trPr>
          <w:trHeight w:val="20"/>
        </w:trPr>
        <w:tc>
          <w:tcPr>
            <w:tcW w:w="2360" w:type="dxa"/>
            <w:vAlign w:val="bottom"/>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728"/>
        </w:trPr>
        <w:tc>
          <w:tcPr>
            <w:tcW w:w="316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80" w:type="dxa"/>
            <w:vAlign w:val="bottom"/>
            <w:gridSpan w:val="4"/>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20" w:type="dxa"/>
            <w:vAlign w:val="bottom"/>
          </w:tcPr>
          <w:p>
            <w:pPr>
              <w:spacing w:after="0"/>
              <w:rPr>
                <w:sz w:val="24"/>
                <w:szCs w:val="24"/>
                <w:color w:val="auto"/>
              </w:rPr>
            </w:pPr>
          </w:p>
        </w:tc>
      </w:tr>
      <w:tr>
        <w:trPr>
          <w:trHeight w:val="207"/>
        </w:trPr>
        <w:tc>
          <w:tcPr>
            <w:tcW w:w="134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bottom w:val="single" w:sz="8" w:color="auto"/>
            </w:tcBorders>
          </w:tcPr>
          <w:p>
            <w:pPr>
              <w:spacing w:after="0"/>
              <w:rPr>
                <w:sz w:val="18"/>
                <w:szCs w:val="18"/>
                <w:color w:val="auto"/>
              </w:rPr>
            </w:pPr>
          </w:p>
        </w:tc>
      </w:tr>
      <w:tr>
        <w:trPr>
          <w:trHeight w:val="194"/>
        </w:trPr>
        <w:tc>
          <w:tcPr>
            <w:tcW w:w="1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2">
            <w:col w:w="5160" w:space="720"/>
            <w:col w:w="5460"/>
          </w:cols>
          <w:pgMar w:left="320" w:top="223" w:right="239" w:bottom="1440" w:gutter="0" w:footer="0" w:header="0"/>
          <w:type w:val="continuous"/>
        </w:sectPr>
      </w:pPr>
    </w:p>
    <w:tbl>
      <w:tblPr>
        <w:tblLayout w:type="fixed"/>
        <w:tblInd w:w="320" w:type="dxa"/>
        <w:tblCellMar>
          <w:top w:w="0" w:type="dxa"/>
          <w:left w:w="0" w:type="dxa"/>
          <w:bottom w:w="0" w:type="dxa"/>
          <w:right w:w="0" w:type="dxa"/>
        </w:tblCellMar>
      </w:tblPr>
      <w:tr>
        <w:trPr>
          <w:trHeight w:val="22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obtained in exchange for operating lease obligations</w:t>
            </w:r>
          </w:p>
        </w:tc>
        <w:tc>
          <w:tcPr>
            <w:tcW w:w="60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60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60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620" w:type="dxa"/>
            <w:vAlign w:val="bottom"/>
            <w:gridSpan w:val="2"/>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obtained in exchange for finance lease obligations</w:t>
            </w:r>
          </w:p>
        </w:tc>
        <w:tc>
          <w:tcPr>
            <w:tcW w:w="100" w:type="dxa"/>
            <w:vAlign w:val="bottom"/>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181" w:lineRule="exact"/>
        <w:rPr>
          <w:sz w:val="20"/>
          <w:szCs w:val="20"/>
          <w:color w:val="auto"/>
        </w:rPr>
      </w:pPr>
    </w:p>
    <w:p>
      <w:pPr>
        <w:ind w:right="100" w:firstLine="319"/>
        <w:spacing w:after="0" w:line="275" w:lineRule="auto"/>
        <w:rPr>
          <w:sz w:val="20"/>
          <w:szCs w:val="20"/>
          <w:color w:val="auto"/>
        </w:rPr>
      </w:pPr>
      <w:r>
        <w:rPr>
          <w:rFonts w:ascii="Times New Roman" w:cs="Times New Roman" w:eastAsia="Times New Roman" w:hAnsi="Times New Roman"/>
          <w:sz w:val="18"/>
          <w:szCs w:val="18"/>
          <w:color w:val="auto"/>
        </w:rPr>
        <w:t>The weighted average remaining lease term as of June 30, 2025 was 5.7 years for finance leases and 6.4 years for operating leases. The weighted average discount rate as of June 30, 2025 was 9.1% for finance leases and 6.2% for operating leases.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three and six months ended June 30, 2025 and 2024, the Company made the following cash payments for leases: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w w:val="98"/>
              </w:rPr>
              <w:t>Three Months Ended June 30,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6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8"/>
                <w:szCs w:val="18"/>
                <w:color w:val="auto"/>
              </w:rPr>
            </w:pPr>
          </w:p>
        </w:tc>
      </w:tr>
      <w:tr>
        <w:trPr>
          <w:trHeight w:val="181"/>
        </w:trPr>
        <w:tc>
          <w:tcPr>
            <w:tcW w:w="6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39"/>
        </w:trPr>
        <w:tc>
          <w:tcPr>
            <w:tcW w:w="66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100" w:type="dxa"/>
            <w:vAlign w:val="bottom"/>
          </w:tcPr>
          <w:p>
            <w:pPr>
              <w:spacing w:after="0"/>
              <w:rPr>
                <w:sz w:val="20"/>
                <w:szCs w:val="20"/>
                <w:color w:val="auto"/>
              </w:rPr>
            </w:pPr>
          </w:p>
        </w:tc>
        <w:tc>
          <w:tcPr>
            <w:tcW w:w="90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98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0"/>
                <w:szCs w:val="20"/>
                <w:color w:val="auto"/>
              </w:rPr>
            </w:pPr>
          </w:p>
        </w:tc>
      </w:tr>
      <w:tr>
        <w:trPr>
          <w:trHeight w:val="226"/>
        </w:trPr>
        <w:tc>
          <w:tcPr>
            <w:tcW w:w="6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finance lease obligations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9"/>
                <w:szCs w:val="19"/>
                <w:color w:val="auto"/>
              </w:rPr>
            </w:pPr>
          </w:p>
        </w:tc>
      </w:tr>
      <w:tr>
        <w:trPr>
          <w:trHeight w:val="226"/>
        </w:trPr>
        <w:tc>
          <w:tcPr>
            <w:tcW w:w="66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operating leases</w:t>
            </w:r>
          </w:p>
        </w:tc>
        <w:tc>
          <w:tcPr>
            <w:tcW w:w="10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19.9</w:t>
            </w:r>
          </w:p>
        </w:tc>
        <w:tc>
          <w:tcPr>
            <w:tcW w:w="8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320" w:type="dxa"/>
            <w:vAlign w:val="bottom"/>
          </w:tcPr>
          <w:p>
            <w:pPr>
              <w:spacing w:after="0"/>
              <w:rPr>
                <w:sz w:val="19"/>
                <w:szCs w:val="19"/>
                <w:color w:val="auto"/>
              </w:rPr>
            </w:pPr>
          </w:p>
        </w:tc>
      </w:tr>
      <w:tr>
        <w:trPr>
          <w:trHeight w:val="232"/>
        </w:trPr>
        <w:tc>
          <w:tcPr>
            <w:tcW w:w="66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payments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0"/>
                <w:szCs w:val="20"/>
                <w:color w:val="auto"/>
              </w:rPr>
            </w:pPr>
          </w:p>
        </w:tc>
      </w:tr>
      <w:tr>
        <w:trPr>
          <w:trHeight w:val="871"/>
        </w:trPr>
        <w:tc>
          <w:tcPr>
            <w:tcW w:w="6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8"/>
        </w:trPr>
        <w:tc>
          <w:tcPr>
            <w:tcW w:w="660" w:type="dxa"/>
            <w:vAlign w:val="bottom"/>
            <w:tcBorders>
              <w:bottom w:val="single" w:sz="8" w:color="9A9A9A"/>
            </w:tcBorders>
          </w:tcPr>
          <w:p>
            <w:pPr>
              <w:spacing w:after="0"/>
              <w:rPr>
                <w:sz w:val="18"/>
                <w:szCs w:val="18"/>
                <w:color w:val="auto"/>
              </w:rPr>
            </w:pPr>
          </w:p>
        </w:tc>
        <w:tc>
          <w:tcPr>
            <w:tcW w:w="43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223" w:right="2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 (Continued)</w:t>
      </w:r>
    </w:p>
    <w:p>
      <w:pPr>
        <w:spacing w:after="0" w:line="3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income from operating leases for the three and six months ended June 30, 2025 and 2024 was as follows:</w:t>
      </w:r>
    </w:p>
    <w:p>
      <w:pPr>
        <w:spacing w:after="0" w:line="154" w:lineRule="exact"/>
        <w:rPr>
          <w:sz w:val="20"/>
          <w:szCs w:val="20"/>
          <w:color w:val="auto"/>
        </w:rPr>
      </w:pPr>
    </w:p>
    <w:tbl>
      <w:tblPr>
        <w:tblLayout w:type="fixed"/>
        <w:tblInd w:w="106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1"/>
        </w:trPr>
        <w:tc>
          <w:tcPr>
            <w:tcW w:w="3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lease payments</w:t>
            </w:r>
          </w:p>
        </w:tc>
        <w:tc>
          <w:tcPr>
            <w:tcW w:w="80" w:type="dxa"/>
            <w:vAlign w:val="bottom"/>
          </w:tcPr>
          <w:p>
            <w:pPr>
              <w:spacing w:after="0"/>
              <w:rPr>
                <w:sz w:val="20"/>
                <w:szCs w:val="20"/>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0"/>
                <w:szCs w:val="20"/>
                <w:color w:val="auto"/>
              </w:rPr>
            </w:pPr>
          </w:p>
        </w:tc>
        <w:tc>
          <w:tcPr>
            <w:tcW w:w="98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24.1</w:t>
            </w:r>
          </w:p>
        </w:tc>
        <w:tc>
          <w:tcPr>
            <w:tcW w:w="100" w:type="dxa"/>
            <w:vAlign w:val="bottom"/>
          </w:tcPr>
          <w:p>
            <w:pPr>
              <w:spacing w:after="0"/>
              <w:rPr>
                <w:sz w:val="20"/>
                <w:szCs w:val="20"/>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0"/>
                <w:szCs w:val="20"/>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6"/>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4"/>
        </w:trPr>
        <w:tc>
          <w:tcPr>
            <w:tcW w:w="3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80" w:type="dxa"/>
            <w:vAlign w:val="bottom"/>
          </w:tcPr>
          <w:p>
            <w:pPr>
              <w:spacing w:after="0"/>
              <w:rPr>
                <w:sz w:val="20"/>
                <w:szCs w:val="20"/>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0"/>
                <w:szCs w:val="20"/>
                <w:color w:val="auto"/>
              </w:rPr>
            </w:pPr>
          </w:p>
        </w:tc>
        <w:tc>
          <w:tcPr>
            <w:tcW w:w="98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28.6</w:t>
            </w:r>
          </w:p>
        </w:tc>
        <w:tc>
          <w:tcPr>
            <w:tcW w:w="100" w:type="dxa"/>
            <w:vAlign w:val="bottom"/>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Future minimum payments to be received as lessor under noncancellable operating leases as of June 30, 2025 were as follows: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9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
        </w:trPr>
        <w:tc>
          <w:tcPr>
            <w:tcW w:w="91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six months)</w:t>
            </w:r>
          </w:p>
        </w:tc>
        <w:tc>
          <w:tcPr>
            <w:tcW w:w="80" w:type="dxa"/>
            <w:vAlign w:val="bottom"/>
            <w:vMerge w:val="continue"/>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26"/>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2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26"/>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2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6"/>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44"/>
        </w:trPr>
        <w:tc>
          <w:tcPr>
            <w:tcW w:w="9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80" w:type="dxa"/>
            <w:vAlign w:val="bottom"/>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0" w:type="dxa"/>
            <w:vAlign w:val="bottom"/>
          </w:tcPr>
          <w:p>
            <w:pPr>
              <w:spacing w:after="0"/>
              <w:rPr>
                <w:sz w:val="1"/>
                <w:szCs w:val="1"/>
                <w:color w:val="auto"/>
              </w:rPr>
            </w:pP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income from real estate leases for the three and six months ended June 30, 2025 and 2024 was as follows: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213"/>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1"/>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9"/>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0"/>
                <w:szCs w:val="20"/>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1020" w:type="dxa"/>
            <w:vAlign w:val="bottom"/>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0"/>
                <w:szCs w:val="20"/>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income</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profit</w:t>
            </w:r>
          </w:p>
        </w:tc>
        <w:tc>
          <w:tcPr>
            <w:tcW w:w="100" w:type="dxa"/>
            <w:vAlign w:val="bottom"/>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9"/>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real estate lease income</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Future minimum payments to be received as lessor under noncancellable real estate leases as of June 30, 2025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0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six months)</w:t>
            </w:r>
          </w:p>
        </w:tc>
        <w:tc>
          <w:tcPr>
            <w:tcW w:w="5280" w:type="dxa"/>
            <w:vAlign w:val="bottom"/>
            <w:shd w:val="clear" w:color="auto" w:fill="CCEEFF"/>
          </w:tcPr>
          <w:p>
            <w:pPr>
              <w:spacing w:after="0"/>
              <w:rPr>
                <w:sz w:val="19"/>
                <w:szCs w:val="19"/>
                <w:color w:val="auto"/>
              </w:rPr>
            </w:pPr>
          </w:p>
        </w:tc>
        <w:tc>
          <w:tcPr>
            <w:tcW w:w="100" w:type="dxa"/>
            <w:vAlign w:val="bottom"/>
            <w:vMerge w:val="continue"/>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8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 w:type="dxa"/>
            <w:vAlign w:val="bottom"/>
          </w:tcPr>
          <w:p>
            <w:pPr>
              <w:spacing w:after="0"/>
              <w:rPr>
                <w:sz w:val="19"/>
                <w:szCs w:val="19"/>
                <w:color w:val="auto"/>
              </w:rPr>
            </w:pPr>
          </w:p>
        </w:tc>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52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unearned income</w:t>
            </w:r>
          </w:p>
        </w:tc>
        <w:tc>
          <w:tcPr>
            <w:tcW w:w="528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 w:type="dxa"/>
            <w:vAlign w:val="bottom"/>
          </w:tcPr>
          <w:p>
            <w:pPr>
              <w:spacing w:after="0"/>
              <w:rPr>
                <w:sz w:val="19"/>
                <w:szCs w:val="19"/>
                <w:color w:val="auto"/>
              </w:rPr>
            </w:pPr>
          </w:p>
        </w:tc>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real estate leases receivable</w:t>
            </w:r>
          </w:p>
        </w:tc>
        <w:tc>
          <w:tcPr>
            <w:tcW w:w="52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528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0"/>
                <w:szCs w:val="20"/>
                <w:color w:val="auto"/>
              </w:rPr>
            </w:pPr>
          </w:p>
        </w:tc>
        <w:tc>
          <w:tcPr>
            <w:tcW w:w="4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real estate leases receivable</w:t>
            </w:r>
          </w:p>
        </w:tc>
        <w:tc>
          <w:tcPr>
            <w:tcW w:w="52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bottom w:val="single" w:sz="8" w:color="CCEEFF"/>
            </w:tcBorders>
            <w:vMerge w:val="restart"/>
          </w:tcPr>
          <w:p>
            <w:pPr>
              <w:jc w:val="right"/>
              <w:ind w:right="387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0" w:type="dxa"/>
            <w:vAlign w:val="bottom"/>
            <w:tcBorders>
              <w:bottom w:val="single" w:sz="8" w:color="9A9A9A"/>
            </w:tcBorders>
          </w:tcPr>
          <w:p>
            <w:pPr>
              <w:spacing w:after="0"/>
              <w:rPr>
                <w:sz w:val="18"/>
                <w:szCs w:val="18"/>
                <w:color w:val="auto"/>
              </w:rPr>
            </w:pPr>
          </w:p>
        </w:tc>
        <w:tc>
          <w:tcPr>
            <w:tcW w:w="4000" w:type="dxa"/>
            <w:vAlign w:val="bottom"/>
            <w:tcBorders>
              <w:bottom w:val="single" w:sz="8" w:color="9A9A9A"/>
            </w:tcBorders>
          </w:tcPr>
          <w:p>
            <w:pPr>
              <w:spacing w:after="0"/>
              <w:rPr>
                <w:sz w:val="18"/>
                <w:szCs w:val="18"/>
                <w:color w:val="auto"/>
              </w:rPr>
            </w:pPr>
          </w:p>
        </w:tc>
        <w:tc>
          <w:tcPr>
            <w:tcW w:w="5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June 30, 2025 and December 31, 2024, long-term debt consisted of the following components:</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2"/>
        </w:trPr>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00" w:type="dxa"/>
            <w:vAlign w:val="bottom"/>
            <w:gridSpan w:val="4"/>
          </w:tcPr>
          <w:p>
            <w:pPr>
              <w:jc w:val="right"/>
              <w:ind w:right="127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9"/>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Series 2019-1 4.723%</w:t>
            </w: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A-2-II</w:t>
            </w:r>
          </w:p>
        </w:tc>
        <w:tc>
          <w:tcPr>
            <w:tcW w:w="100" w:type="dxa"/>
            <w:vAlign w:val="bottom"/>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r>
      <w:tr>
        <w:trPr>
          <w:trHeight w:val="173"/>
        </w:trPr>
        <w:tc>
          <w:tcPr>
            <w:tcW w:w="734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8"/>
                <w:szCs w:val="18"/>
                <w:color w:val="auto"/>
              </w:rPr>
              <w:t>Series 2022-1 Variable Funding Senior Notes, Class A-1, variable interest rate of 7.14% at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39"/>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2024</w:t>
            </w:r>
          </w:p>
        </w:tc>
        <w:tc>
          <w:tcPr>
            <w:tcW w:w="5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6"/>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Series 2023-1</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7.824%</w:t>
            </w: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Series 2025-1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6.720%</w:t>
            </w: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3"/>
        </w:trPr>
        <w:tc>
          <w:tcPr>
            <w:tcW w:w="10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w w:val="98"/>
              </w:rPr>
              <w:t>Series 2025-1</w:t>
            </w:r>
          </w:p>
        </w:tc>
        <w:tc>
          <w:tcPr>
            <w:tcW w:w="6320" w:type="dxa"/>
            <w:vAlign w:val="bottom"/>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Variable Funding Senior Notes, Class A-1, variable interest rate of 6.93% at June 30,</w:t>
            </w:r>
          </w:p>
        </w:tc>
        <w:tc>
          <w:tcPr>
            <w:tcW w:w="10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39"/>
        </w:trPr>
        <w:tc>
          <w:tcPr>
            <w:tcW w:w="1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shd w:val="clear" w:color="auto" w:fill="CCEEFF"/>
          </w:tcPr>
          <w:p>
            <w:pPr>
              <w:spacing w:after="0"/>
              <w:rPr>
                <w:sz w:val="20"/>
                <w:szCs w:val="20"/>
                <w:color w:val="auto"/>
              </w:rPr>
            </w:pPr>
          </w:p>
        </w:tc>
        <w:tc>
          <w:tcPr>
            <w:tcW w:w="57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3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9"/>
        </w:trPr>
        <w:tc>
          <w:tcPr>
            <w:tcW w:w="7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w:t>
            </w:r>
          </w:p>
        </w:tc>
      </w:tr>
      <w:tr>
        <w:trPr>
          <w:trHeight w:val="226"/>
        </w:trPr>
        <w:tc>
          <w:tcPr>
            <w:tcW w:w="73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4"/>
        </w:trPr>
        <w:tc>
          <w:tcPr>
            <w:tcW w:w="16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572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8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right="100" w:firstLine="319"/>
        <w:spacing w:after="0" w:line="249" w:lineRule="auto"/>
        <w:rPr>
          <w:sz w:val="20"/>
          <w:szCs w:val="20"/>
          <w:color w:val="auto"/>
        </w:rPr>
      </w:pPr>
      <w:r>
        <w:rPr>
          <w:rFonts w:ascii="Times New Roman" w:cs="Times New Roman" w:eastAsia="Times New Roman" w:hAnsi="Times New Roman"/>
          <w:sz w:val="18"/>
          <w:szCs w:val="18"/>
          <w:color w:val="auto"/>
        </w:rPr>
        <w:t xml:space="preserve">On June 5, 2019, Applebee’s Funding LLC and IHOP Funding LLC (the “Co-Issuers”), each a special purpose, wholly-owned indirect subsidiary of the Company, issued two tranches of fixed rate senior secured notes, the Series 2019-1 4.194% Fixed Rate Senior Secured Notes, Class A-2-I (“2019 Class A-2-I Notes”) in an initial aggregate principal amount of $700 million and the Series 2019-1 4.723% Fixed Rate Senior Secured Notes, Class A-2-II in an initial aggregate principal amount of $600 million (the “2019 Class A-2-II Notes” and, together with the 2019 Class A-2-I Notes, the “2019 Class A-2 Notes”). The 2019 Class A-2 Notes were issued pursuant to an offering exempt from registration under the Securities Act of 1933, as amended. The 2019 Class A-2-I Notes were voluntarily repaid in full on April 17, 2023 and the 2019 Class A-2-II Notes were voluntarily repaid in full on June 17, 2025 (discussed further below). For a description of the repaid 2019 Class A-2-I Notes, refer to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of the Notes to Consolidated Financial Statements included in the Company’s Annual Report on Form 10-K for the year ended December 31, 2022 and for a description of the repaid 2019 Class A-2-II Notes, refer to </w:t>
      </w:r>
      <w:r>
        <w:rPr>
          <w:rFonts w:ascii="Times New Roman" w:cs="Times New Roman" w:eastAsia="Times New Roman" w:hAnsi="Times New Roman"/>
          <w:sz w:val="18"/>
          <w:szCs w:val="18"/>
          <w:i w:val="1"/>
          <w:iCs w:val="1"/>
          <w:color w:val="auto"/>
        </w:rPr>
        <w:t xml:space="preserve">Note 8 — Long-Term Debt </w:t>
      </w:r>
      <w:r>
        <w:rPr>
          <w:rFonts w:ascii="Times New Roman" w:cs="Times New Roman" w:eastAsia="Times New Roman" w:hAnsi="Times New Roman"/>
          <w:sz w:val="18"/>
          <w:szCs w:val="18"/>
          <w:color w:val="auto"/>
        </w:rPr>
        <w:t>of the Notes to Consolidated Financial Statements included in the Company's Annual Report on Form 10-K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w:t>
      </w:r>
    </w:p>
    <w:p>
      <w:pPr>
        <w:spacing w:after="0" w:line="84" w:lineRule="exact"/>
        <w:rPr>
          <w:sz w:val="20"/>
          <w:szCs w:val="20"/>
          <w:color w:val="auto"/>
        </w:rPr>
      </w:pPr>
    </w:p>
    <w:p>
      <w:pPr>
        <w:jc w:val="both"/>
        <w:ind w:right="100" w:firstLine="319"/>
        <w:spacing w:after="0" w:line="260" w:lineRule="auto"/>
        <w:rPr>
          <w:sz w:val="20"/>
          <w:szCs w:val="20"/>
          <w:color w:val="auto"/>
        </w:rPr>
      </w:pPr>
      <w:r>
        <w:rPr>
          <w:rFonts w:ascii="Times New Roman" w:cs="Times New Roman" w:eastAsia="Times New Roman" w:hAnsi="Times New Roman"/>
          <w:sz w:val="18"/>
          <w:szCs w:val="18"/>
          <w:color w:val="auto"/>
        </w:rPr>
        <w:t>On April 17, 2023, the Co-Issuers completed a refinancing transaction and issued $500 million of Series 2023-1 7.824% Fixed Rate Senior Secured Notes, Class A-2 (the “2023 Class A-2 Notes”). The 2023 Class A-2 Notes were issued pursuant to an offering exempt from registration under the Securities Act of 1933, as amended.</w:t>
      </w:r>
    </w:p>
    <w:p>
      <w:pPr>
        <w:spacing w:after="0" w:line="71" w:lineRule="exact"/>
        <w:rPr>
          <w:sz w:val="20"/>
          <w:szCs w:val="20"/>
          <w:color w:val="auto"/>
        </w:rPr>
      </w:pPr>
    </w:p>
    <w:p>
      <w:pPr>
        <w:jc w:val="both"/>
        <w:ind w:right="100" w:firstLine="319"/>
        <w:spacing w:after="0" w:line="253" w:lineRule="auto"/>
        <w:rPr>
          <w:sz w:val="20"/>
          <w:szCs w:val="20"/>
          <w:color w:val="auto"/>
        </w:rPr>
      </w:pPr>
      <w:r>
        <w:rPr>
          <w:rFonts w:ascii="Times New Roman" w:cs="Times New Roman" w:eastAsia="Times New Roman" w:hAnsi="Times New Roman"/>
          <w:sz w:val="18"/>
          <w:szCs w:val="18"/>
          <w:color w:val="auto"/>
        </w:rPr>
        <w:t xml:space="preserve">On June 17, 2025, the Co-Issuers established a new revolving financing facility, the 2025-1 Variable Funding Senior Notes, Class A-1 (the “Credit Facility” or “2025 Class A-1 Notes”), that allows for drawings up to $325 million of variable funding notes on a revolving basis and the issuance of letters of credit. In connection with this transaction, the Co-Issuers terminated their $325 million revolving financing facility, the 2022-1 Variable Funding Senior Notes, Class A-1 (the "2022 Credit Facility"). For a description of the terminated 2022 Credit Facility, refer to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of the Notes to Consolidated Financial Statements included in the Company's Annual Report on Form 10-K for the year ended December 31, 2024.</w:t>
      </w:r>
    </w:p>
    <w:p>
      <w:pPr>
        <w:spacing w:after="0" w:line="78" w:lineRule="exact"/>
        <w:rPr>
          <w:sz w:val="20"/>
          <w:szCs w:val="20"/>
          <w:color w:val="auto"/>
        </w:rPr>
      </w:pPr>
    </w:p>
    <w:p>
      <w:pPr>
        <w:jc w:val="both"/>
        <w:ind w:right="100" w:firstLine="319"/>
        <w:spacing w:after="0" w:line="250" w:lineRule="auto"/>
        <w:rPr>
          <w:sz w:val="20"/>
          <w:szCs w:val="20"/>
          <w:color w:val="auto"/>
        </w:rPr>
      </w:pPr>
      <w:r>
        <w:rPr>
          <w:rFonts w:ascii="Times New Roman" w:cs="Times New Roman" w:eastAsia="Times New Roman" w:hAnsi="Times New Roman"/>
          <w:sz w:val="18"/>
          <w:szCs w:val="18"/>
          <w:color w:val="auto"/>
        </w:rPr>
        <w:t>Also on June 17, 2025, the Co-Issuers completed a refinancing transaction and issued $600 million of Series 2025-1 6.720% Fixed Rate Senior Secured Notes, Class A-2 (the “2025 Class A-2 Notes”). The 2025 Class A-2 Notes were issued pursuant to an offering exempt from registration under the Securities Act of 1933, as amended. The Company used the net proceeds of the 2025 Class A-2 Notes to repay the entire outstanding balance of approximately $594.0 million of the 2019 Class A-2-II Notes and to pay fees and expenses incurred in connection with the issuance of the 2025 Class A-2 Notes. The 2023 Class A-2 Notes and the 2025 Class A-1 Notes, together with the 2025 Class A-2 Notes are referred to collectively herein as the “Notes.” The Notes were issued in securitization transactions pursuant to which substantially all the domestic revenue-generating assets and domestic intellectual property held by the Co-Issuers and certain other special-purpose, wholly-owned indirect subsidiaries of the Company (the “Guarantors”) were pledged as collateral to secure the Notes.</w:t>
      </w:r>
    </w:p>
    <w:p>
      <w:pPr>
        <w:spacing w:after="0" w:line="81" w:lineRule="exact"/>
        <w:rPr>
          <w:sz w:val="20"/>
          <w:szCs w:val="20"/>
          <w:color w:val="auto"/>
        </w:rPr>
      </w:pPr>
    </w:p>
    <w:p>
      <w:pPr>
        <w:jc w:val="both"/>
        <w:ind w:right="100" w:firstLine="319"/>
        <w:spacing w:after="0" w:line="260" w:lineRule="auto"/>
        <w:rPr>
          <w:sz w:val="20"/>
          <w:szCs w:val="20"/>
          <w:color w:val="auto"/>
        </w:rPr>
      </w:pPr>
      <w:r>
        <w:rPr>
          <w:rFonts w:ascii="Times New Roman" w:cs="Times New Roman" w:eastAsia="Times New Roman" w:hAnsi="Times New Roman"/>
          <w:sz w:val="18"/>
          <w:szCs w:val="18"/>
          <w:color w:val="auto"/>
        </w:rPr>
        <w:t>The Notes were issued under a Base Indenture, dated as of September 30, 2014, amended and restated as of June 5, 2019 and further amended and restated as of April 17, 2023 (the “Base Indenture”). In addition, the 2019 Class A-2-II Notes were issued under the related Series 2019-1 Supplement to the Base Indenture, dated June 5, 2019 (the “Series 2019-1 Supplement”),</w:t>
      </w: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219"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 (Continued)</w:t>
      </w:r>
    </w:p>
    <w:p>
      <w:pPr>
        <w:spacing w:after="0" w:line="200" w:lineRule="exact"/>
        <w:rPr>
          <w:sz w:val="20"/>
          <w:szCs w:val="20"/>
          <w:color w:val="auto"/>
        </w:rPr>
      </w:pP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among the Co-Issuers and Citibank, N.A., as the trustee (in such capacity, the “Trustee”) and securities intermediary, the 2022 Credit Facility was issued under the related Series 2022-1 Supplement to the Base Indenture, dated August 12, 2022 (“Series 2022-1 Supplement”), among the Co-Issuers and Citibank, N.A., as Trustee and securities intermediary, the 2023 Class A-2 Notes were issued under the related Series 2023-1 Supplement to the Base Indenture, dated April 17, 2023 (the “Series 2023-1 Supplement”), among the Co-Issuers and Citibank, N.A., as Trustee and securities intermediary, and the 2025 Class A-2 Notes and the 2025 Class A-1 Notes were issued under the related Series 2025-1 Supplement to the Base Indenture, dated June 17, 2025 (the "Series 2025-1 Supplement"), among the Co-Issuers and Citibank, N.A., as Trustee and securities intermediary. The Base Indenture, Series 2023-1 Supplement, and Series 2025-1 Supplement (collectively, the “Indenture”) will allow the Co-Issuers to issue additional series of notes in the future subject to certain conditions set forth therein.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Class A-2 Notes</w:t>
      </w:r>
    </w:p>
    <w:p>
      <w:pPr>
        <w:spacing w:after="0" w:line="114"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The legal final maturity of the 2023 Class A-2 Notes is in March 2053, but it is anticipated that, unless repaid earlier to the extent permitted under the Indenture, the 2023 Class A-2 Notes will be repaid in June 2029 (the “2023 Class A-2 Anticipated Repayment Date”). If the Co-Issuers have not repaid or refinanced the 2023 Class A-2 Notes by the 2023 Class A-2 Anticipated Repayment Date, then additional interest will accrue on the 2023 Class A-2 Notes, as applicable, at the greater of: (A) 5.0% and (B) the amount, if any, by which the sum of the following exceeds the Series 2023-1 Class A-2 Note interest rate:</w:t>
      </w:r>
    </w:p>
    <w:p>
      <w:pPr>
        <w:spacing w:after="0" w:line="3" w:lineRule="exact"/>
        <w:rPr>
          <w:sz w:val="20"/>
          <w:szCs w:val="20"/>
          <w:color w:val="auto"/>
        </w:rPr>
      </w:pPr>
    </w:p>
    <w:p>
      <w:pPr>
        <w:ind w:firstLine="6"/>
        <w:spacing w:after="0" w:line="252" w:lineRule="auto"/>
        <w:tabs>
          <w:tab w:leader="none" w:pos="26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to maturity (adjusted to a quarterly bond-equivalent basis) on the 2023 Class A-2 Anticipated Repayment Date of the United States Treasury Security having a term closest to 10 years plus (y) 9.24% for the 2023 Class A-2 Notes.</w:t>
      </w:r>
    </w:p>
    <w:p>
      <w:pPr>
        <w:spacing w:after="0" w:line="7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While the 2023 Class A-2 Notes are outstanding, payment of principal and interest is required to be made on the 2023 Class A-2 Notes on a quarterly basis. The quarterly principal payment of $1.25 million on the 2023 Class A-2 Notes may be suspended when the leverage ratio for the Company and its subsidiaries is less than or equal to 5.25x.</w:t>
      </w:r>
    </w:p>
    <w:p>
      <w:pPr>
        <w:spacing w:after="0" w:line="7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As of June 30, 2025, the Company's leverage ratio was approximately 4.25x. As a result, quarterly principal payments on the 2023 Class A-2 Notes of $1.25 million currently are not required.</w:t>
      </w:r>
    </w:p>
    <w:p>
      <w:pPr>
        <w:spacing w:after="0" w:line="5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 may voluntarily repay the 2023 Class A-2 Notes at any time; however, if the 2023 Class A-2 Notes are repaid prior to certain dates, the Company would be required to pay make-whole premiums. As of June 30, 2025, the make-whole premium associated with voluntary prepayment of the 2023 Class A-2 Notes was approximately $23.9 million. The Company also would be subject to a make-whole premium in the event of a mandatory prepayment required following a Rapid Amortization Event or certain asset dispositions. The mandatory make-whole premium requirements are considered derivatives embedded in the Notes that must be bifurcated for separate valuation. The Company estimated the fair value of these derivatives to be immaterial as of June 30, 2025, based on the probability-weighted discounted cash flows associated with either event.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Class A-2 Notes</w:t>
      </w:r>
    </w:p>
    <w:p>
      <w:pPr>
        <w:spacing w:after="0" w:line="114"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legal final maturity of the 2025 Class A-2 Notes is in June 2055, but it is anticipated that, unless earlier prepaid to the extent permitted under the Indenture, the 2025 Class A-2 Notes will be repaid in June 2030 (the “2025 Class A-2 Anticipated Repayment Date”). If the Co-Issuers have not repaid or refinanced the 2025 Class A-2 Notes by the 2025 Class A-2 Anticipated Repayment Date, then additional interest will accrue on the 2025 Class A-2 Notes at the greater of: (A) 5.0% and (B) the amount, if any, by which the sum of the following exceeds the applicable Series 2025-1 Class A-2 Note interest rate: (x) the yield to maturity (adjusted to a quarterly bond-equivalent basis) on the applicable anticipated repayment date of the United States Treasury Security having a term closest to 10 years plus (y) 7.85%.</w:t>
      </w:r>
    </w:p>
    <w:p>
      <w:pPr>
        <w:spacing w:after="0" w:line="7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While the 2025 Class A-2 Notes are outstanding, payment of principal and interest is required to be made on the 2025 Class A-2 Notes on a quarterly basis. The quarterly principal payment of $1.5 million on the 2025 Class A-2 Notes may be suspended when the leverage ratio for the Company and its subsidiaries is less than or equal to 5.25x.</w:t>
      </w:r>
    </w:p>
    <w:p>
      <w:pPr>
        <w:spacing w:after="0" w:line="7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As of June 30, 2025, the Company's leverage ratio was approximately 4.25x. As a result, quarterly principal payments on the 2025 Class A-2 Notes of $1.5 million currently are not required.</w:t>
      </w:r>
    </w:p>
    <w:p>
      <w:pPr>
        <w:spacing w:after="0" w:line="5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 may voluntarily repay the 2025 Class A-2 Notes at any time; however, if the 2025 Class A-2 Notes are repaid prior to certain dates, the Company would be required to pay make-whole premiums. As of June 30, 2025, the make-whole premium associated with voluntary prepayment of the 2025 Class A-2 Notes was approximately $42.4 million. The Company also would be subject to a make-whole premium in the event of a mandatory prepayment required following a Rapid Amortization Event or certain asset dispositions. The mandatory make-whole premium requirements are considered derivatives embedded in the Notes that must be bifurcated for separate valuation. The Company estimated the fair value of these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 (Continued)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derivatives to be immaterial as of June 30, 2025, based on the probability-weighted discounted cash flows associated with either event.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Class A-1 Notes</w:t>
      </w:r>
    </w:p>
    <w:p>
      <w:pPr>
        <w:spacing w:after="0" w:line="114"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In June 2025,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Term SOFR Rate, in either case, plus 2.50%. The applicable interest rate for swingline advances and unreimbursed draws on outstanding letters of credit is a per annum base rate equal to the sum of (a) the greatest of (A) the Prime Rate in effect from time to time, (B) the Federal Funds Rate in effect from time to time plus 0.50% and (C) Term SOFR for a one-month tenor in effect at such time plus 0.50% plus (b) 2.00%.</w:t>
      </w:r>
    </w:p>
    <w:p>
      <w:pPr>
        <w:spacing w:after="0" w:line="7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legal final maturity of the Credit Facility is June 2055, but rapid amortization will apply if there are outstanding amounts under the Credit Facility after June 2030 (the “Class A-1 Renewal Date”). The 2025 Class A-1 Renewal Date may be extended at the Co-Issuers’ election for up to two successive one-year periods if certain conditions are met. If the Co-Issuers have not repaid or refinanced the Credit Facility by the 2025 Class A-1 Renewal Date (after giving effect to any extensions), then interest will accrue on the Credit Facility at a rate equal to 5.00% in addition to the regular interest rate applicable to the Credit Facility.</w:t>
      </w:r>
    </w:p>
    <w:p>
      <w:pPr>
        <w:spacing w:after="0" w:line="78"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As of June 30, 2025, the outstanding balance of the Credit Facility was $100 million. The amount of $0.6 million was pledged against the Credit Facility for outstanding letters of credit, leaving $224.4 million of the Credit Facility available for borrowing at June 30, 2025. It is anticipated that the principal and interest on the 2025 Class A-1 Notes will be repaid in full on or prior to the quarterly payment date in June 2030 (the “2025 Class A-1 Anticipated Repayment Date”), subject to two additional one-year extensions at the option of the Company upon the satisfaction of certain conditions. The letters of credit are used primarily to satisfy insurance-related collateral requirements. The weighted average interest rate for the period outstanding during the six months ended June 30, 2025 was 6.93%.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Program</w:t>
      </w:r>
    </w:p>
    <w:p>
      <w:pPr>
        <w:spacing w:after="0" w:line="114"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On February 16, 2023, the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and Restrictions</w:t>
      </w:r>
    </w:p>
    <w:p>
      <w:pPr>
        <w:spacing w:after="0" w:line="114"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Notes are subject to a series of covenants and restrictions customary for transactions of this type, including: (i) that the Co-Issuers maintain specified reserve accounts to be used to make required payments in respect of the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Notes are in stated ways defective or ineffective and (iv) covenants relating to recordkeeping, access to information and similar matters. The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Notes are also subject to certain customary events of default, including events relating to non-payment of required interest, principal or other amounts due on or with respect to the Notes, failure of the Securitization Entities to maintain the stated DSCR, failure to comply with covenants within certain time frames, certain bankruptcy events, breaches of specified representations and warranties and certain judgments.</w:t>
      </w:r>
    </w:p>
    <w:p>
      <w:pPr>
        <w:spacing w:after="0" w:line="81"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Trapping Event, A Rapid Amortization Event, a Manager Termination Event or a Default Event (each as defined in the Indenture) as described below. In a Cash Trapping Event, the Trustee is required to retain respective Cash Trapping Percentage (as defined in the Indenture) of excess cash flow in a restricted account. In a Rapid Amortization Event, all excess cash flow is retained and used to retire principal amounts of debt. In a Manager Termination Event, the Company may be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 (Continued)</w:t>
      </w:r>
    </w:p>
    <w:p>
      <w:pPr>
        <w:spacing w:after="0" w:line="200" w:lineRule="exact"/>
        <w:rPr>
          <w:sz w:val="20"/>
          <w:szCs w:val="20"/>
          <w:color w:val="auto"/>
        </w:rPr>
      </w:pPr>
    </w:p>
    <w:p>
      <w:pPr>
        <w:spacing w:after="0" w:line="20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replaced as manager of the assets securitized under the Indenture. In a Default Event, the outstanding principal amount and any accrued but unpaid interest can be called to become immediately due and payable. Key DSCRs are as follows:</w:t>
      </w:r>
    </w:p>
    <w:p>
      <w:pPr>
        <w:spacing w:after="0" w:line="57" w:lineRule="exact"/>
        <w:rPr>
          <w:sz w:val="20"/>
          <w:szCs w:val="20"/>
          <w:color w:val="auto"/>
        </w:rPr>
      </w:pPr>
    </w:p>
    <w:p>
      <w:pPr>
        <w:ind w:left="1280" w:hanging="318"/>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Trapping Event</w:t>
      </w:r>
    </w:p>
    <w:p>
      <w:pPr>
        <w:spacing w:after="0" w:line="111"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111"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111"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DSCR for the reporting period ended June 30, 2025 was approximately 3.3x.</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16"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In June 2025, the Company incurred costs of approximately $4.1 million in connection with the issuance of the Credit Facility. These debt issuance costs are deferred along with the unamortized costs of the terminated 2022 Credit Facility and are being amortized over the terms of the new arrangement. Amortization of $0.3 million and $0.7 million of these costs were included in interest expense for the three and six months ended June 30, 2025, respectively. Amortization of $0.3 million and $0.6 million of these costs were included in interest expense for the three and six months ended June 30, 2024, respectively. As of June 30, 2025, total unamortized debt issuance costs of $6.9 million related to the Credit Facility are classified as other non-current assets in the Consolidated Balance Sheets.</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2025 Class A-2 Notes</w:t>
      </w:r>
    </w:p>
    <w:p>
      <w:pPr>
        <w:spacing w:after="0" w:line="116"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The Company incurred costs of approximately $7.5 million in connection with the issuance of the 2025 Class A-2 Notes. These debt issuance costs are being amortized using the effective interest method over estimated life of the 2025 Class A-2 Notes. Amortization costs of $0.1 million were included in interest expense for the three and six months ended June 30, 2025. As of June 30, 2025, unamortized debt issuance costs of $7.4 million are reported as a direct reduction of the 2025 Class A-2 Notes in the Consolidated Balance Sheets.</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2023 Class A-2 Notes</w:t>
      </w:r>
    </w:p>
    <w:p>
      <w:pPr>
        <w:spacing w:after="0" w:line="116"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 incurred costs of approximately $8.0 million in connection with the issuance of the 2023 Class A-2 Notes. These debt issuance costs are being amortized using the effective interest method over the estimated life of the 2023 Class A-2 Notes. Amortization costs of $0.3 million and $0.6 million were included in interest expense for the three and six months ended June 30, 2025, respectively. Amortization costs of $0.3 million and $0.5 million were included in interest expense for the three and six months ended June 30, 2024, respectively. As of June 30, 2025, unamortized debt issuance costs of $5.6 million are reported as a direct reduction of the 2023 Class A-2 Notes in the Consolidated Balance Sheets.</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2019 Class A-2-II Notes</w:t>
      </w:r>
    </w:p>
    <w:p>
      <w:pPr>
        <w:spacing w:after="0" w:line="116"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Debt issuance costs incurred in connection with the issuance of the 2019 Class A-2-II Notes were amortized using the effective interest method over estimated life of each tranche of the 2019 Class A-2 Notes. The 2019 Class A-2-II Notes amortization costs of $0.2 million and $0.4 million were included in interest expense for the three and six months ended June 30, 2025, respectively. The 2019 Class A-2-II Notes amortization costs of $0.2 million and $0.5 million were included in interest expense for the three and six months ended June 30, 2024, respectively. In connection with the repayment of the 2019 Class A-2-II Notes discussed above, the Company recognized a loss on extinguishment of debt of $0.9 million, representing the remaining unamortized debt issuance costs.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1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 connection with the repayment of the 2019 Class A-2-II Notes, the Company recognized a loss on extinguishment of debt of $0.9 million, representing the remaining unamortized costs related to the 2019 Class A-2-II Notes.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Maturities of Long-term Debt</w:t>
      </w:r>
    </w:p>
    <w:p>
      <w:pPr>
        <w:spacing w:after="0" w:line="114" w:lineRule="exact"/>
        <w:rPr>
          <w:sz w:val="20"/>
          <w:szCs w:val="20"/>
          <w:color w:val="auto"/>
        </w:rPr>
      </w:pPr>
    </w:p>
    <w:p>
      <w:pPr>
        <w:ind w:left="640" w:hanging="315"/>
        <w:spacing w:after="0" w:line="25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of the 2023 Class A-2 Notes is in March 2053, but it is anticipated that, unless repaid earlier, to the extent permitted under the Indenture, the 2023 Class A-2 Notes will be repaid in June 2029.</w:t>
      </w:r>
    </w:p>
    <w:p>
      <w:pPr>
        <w:ind w:left="640" w:hanging="315"/>
        <w:spacing w:after="0" w:line="25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of the 2025 Class A-2 Notes is in June 2055, but it is anticipated that, unless repaid earlier, to the extent permitted under the Indenture, the 2025 Class A-2 Notes will be repaid in June 2030.</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2" w:lineRule="exact"/>
        <w:rPr>
          <w:sz w:val="20"/>
          <w:szCs w:val="20"/>
          <w:color w:val="auto"/>
        </w:rPr>
      </w:pPr>
    </w:p>
    <w:p>
      <w:pPr>
        <w:ind w:left="180" w:hanging="174"/>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(Continued)</w:t>
      </w:r>
    </w:p>
    <w:p>
      <w:pPr>
        <w:spacing w:after="0" w:line="200" w:lineRule="exact"/>
        <w:rPr>
          <w:rFonts w:ascii="Times New Roman" w:cs="Times New Roman" w:eastAsia="Times New Roman" w:hAnsi="Times New Roman"/>
          <w:sz w:val="18"/>
          <w:szCs w:val="18"/>
          <w:b w:val="1"/>
          <w:bCs w:val="1"/>
          <w:color w:val="auto"/>
        </w:rPr>
      </w:pPr>
    </w:p>
    <w:p>
      <w:pPr>
        <w:spacing w:after="0" w:line="205" w:lineRule="exact"/>
        <w:rPr>
          <w:rFonts w:ascii="Times New Roman" w:cs="Times New Roman" w:eastAsia="Times New Roman" w:hAnsi="Times New Roman"/>
          <w:sz w:val="18"/>
          <w:szCs w:val="18"/>
          <w:b w:val="1"/>
          <w:bCs w:val="1"/>
          <w:color w:val="auto"/>
        </w:rPr>
      </w:pPr>
    </w:p>
    <w:p>
      <w:pPr>
        <w:ind w:left="640" w:hanging="315"/>
        <w:spacing w:after="0" w:line="257" w:lineRule="auto"/>
        <w:tabs>
          <w:tab w:leader="none" w:pos="63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renewal date of the 2025 Class A-1 Notes is June 2030, subject to two additional one-year extensions at the option of the Company upon the satisfaction of certain conditions.</w:t>
      </w:r>
    </w:p>
    <w:p>
      <w:pPr>
        <w:ind w:left="640" w:hanging="315"/>
        <w:spacing w:after="0" w:line="246" w:lineRule="auto"/>
        <w:tabs>
          <w:tab w:leader="none" w:pos="63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2023 Class A-2 Notes totaling $1.25 million ($5.0 million per annum) are required if the Company's leverage ratio is greater than 5.25x.</w:t>
      </w:r>
    </w:p>
    <w:p>
      <w:pPr>
        <w:ind w:left="640" w:hanging="315"/>
        <w:spacing w:after="0" w:line="252" w:lineRule="auto"/>
        <w:tabs>
          <w:tab w:leader="none" w:pos="63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2025 Class A-2 Notes totaling $1.5 million ($6.0 million per annum) are required if the Company's leverage ratio is greater than 5.25x.</w:t>
      </w:r>
    </w:p>
    <w:p>
      <w:pPr>
        <w:spacing w:after="0" w:line="75" w:lineRule="exact"/>
        <w:rPr>
          <w:rFonts w:ascii="Times New Roman" w:cs="Times New Roman" w:eastAsia="Times New Roman" w:hAnsi="Times New Roman"/>
          <w:sz w:val="18"/>
          <w:szCs w:val="18"/>
          <w:color w:val="auto"/>
        </w:rPr>
      </w:pPr>
    </w:p>
    <w:p>
      <w:pPr>
        <w:ind w:left="180" w:hanging="174"/>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Dividends declared and paid per share for the three and six months ended June 30, 2025 and 2024 were as follows:</w:t>
      </w:r>
    </w:p>
    <w:p>
      <w:pPr>
        <w:spacing w:after="0" w:line="154" w:lineRule="exact"/>
        <w:rPr>
          <w:sz w:val="20"/>
          <w:szCs w:val="20"/>
          <w:color w:val="auto"/>
        </w:rPr>
      </w:pPr>
    </w:p>
    <w:tbl>
      <w:tblPr>
        <w:tblLayout w:type="fixed"/>
        <w:tblInd w:w="900" w:type="dxa"/>
        <w:tblCellMar>
          <w:top w:w="0" w:type="dxa"/>
          <w:left w:w="0" w:type="dxa"/>
          <w:bottom w:w="0" w:type="dxa"/>
          <w:right w:w="0" w:type="dxa"/>
        </w:tblCellMar>
      </w:tblPr>
      <w:tr>
        <w:trPr>
          <w:trHeight w:val="213"/>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Pr>
          <w:p>
            <w:pPr>
              <w:spacing w:after="0"/>
              <w:rPr>
                <w:sz w:val="18"/>
                <w:szCs w:val="18"/>
                <w:color w:val="auto"/>
              </w:rPr>
            </w:pPr>
          </w:p>
        </w:tc>
        <w:tc>
          <w:tcPr>
            <w:tcW w:w="1080" w:type="dxa"/>
            <w:vAlign w:val="bottom"/>
            <w:gridSpan w:val="2"/>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00" w:type="dxa"/>
            <w:vAlign w:val="bottom"/>
          </w:tcPr>
          <w:p>
            <w:pPr>
              <w:spacing w:after="0"/>
              <w:rPr>
                <w:sz w:val="19"/>
                <w:szCs w:val="19"/>
                <w:color w:val="auto"/>
              </w:rPr>
            </w:pPr>
          </w:p>
        </w:tc>
        <w:tc>
          <w:tcPr>
            <w:tcW w:w="900" w:type="dxa"/>
            <w:vAlign w:val="bottom"/>
            <w:tcBorders>
              <w:top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980" w:type="dxa"/>
            <w:vAlign w:val="bottom"/>
            <w:tcBorders>
              <w:top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0.51</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100" w:type="dxa"/>
            <w:vAlign w:val="bottom"/>
          </w:tcPr>
          <w:p>
            <w:pPr>
              <w:spacing w:after="0"/>
              <w:rPr>
                <w:sz w:val="20"/>
                <w:szCs w:val="20"/>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0"/>
                <w:szCs w:val="20"/>
                <w:color w:val="auto"/>
              </w:rPr>
            </w:pPr>
          </w:p>
        </w:tc>
        <w:tc>
          <w:tcPr>
            <w:tcW w:w="98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0.51</w:t>
            </w:r>
          </w:p>
        </w:tc>
        <w:tc>
          <w:tcPr>
            <w:tcW w:w="10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six months ended June 30, 2025 and 2024, the Company paid dividends of $15.8 million and $15.7 million, respectively.</w:t>
      </w:r>
    </w:p>
    <w:p>
      <w:pPr>
        <w:spacing w:after="0" w:line="1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On May 14, 2025, the Board of Directors declared a second quarter 2025 cash dividend of $0.51 per share of common stock, paid on July 9, 2025 to the stockholders of record as of the close of business on June 20, 2025.</w:t>
      </w:r>
    </w:p>
    <w:p>
      <w:pPr>
        <w:spacing w:after="0" w:line="5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On February 21, 2025, the Board of Directors declared a first quarter 2025 cash dividend of $0.51 per share of common stock, paid on April 4, 2025 to the stockholders of record as of the close of business on March 17, 2025.</w:t>
      </w:r>
    </w:p>
    <w:p>
      <w:pPr>
        <w:spacing w:after="0" w:line="5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On November 22, 2024, the Board of Directors declared a fourth quarter 2024 cash dividend of $0.51 per share of common stock, paid on January 7, 2025 to the stockholders of record as of the close of business on December 20, 2024.</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16"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In February 2022, the Company’s Board of Directors approved a stock repurchase program, effective April 1, 2022, authorizing the Company to repurchase up to $250 million of the Company’s common stock (the “2022 Repurchase Program”) on an opportunistic basis from time to time in the open market or in privately negotiated transactions based on business, market, applicable legal requirements and other considerations. The 2022 Repurchase Program, as approved by the Board of Directors, does not require the repurchase of a specific number of shares and can be terminated at any time.</w:t>
      </w:r>
    </w:p>
    <w:p>
      <w:pPr>
        <w:spacing w:after="0" w:line="7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During the six months ended June 30, 2025, the Company repurchased 309,778 shares of common stock at a cost of $7.6 million. Cumulatively, the Company repurchased 2,175,177 shares at a cost of $124.3 million. As of June 30, 2025, a remaining amount of $125.7 million in the value of shares may be repurchased under the 2022 Repurchase Program.</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16"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six months ended June 30, 2025, the Company re-issued 495,856 shares of treasury stock at a total FIFO cost of $23.5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14"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Company's effective tax rate was 30.6% for the six months ended June 30, 2025, as compared to 26.4% for the six months ended June 30, 2024. The effective tax rate for the six months ended June 30, 2025 was higher than the rate of the prior comparable period primarily due to a lower tax deduction related to stock-based compensation, resulting from the changes in our stock price.</w:t>
      </w:r>
    </w:p>
    <w:p>
      <w:pPr>
        <w:spacing w:after="0" w:line="7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7"/>
          <w:szCs w:val="17"/>
          <w:color w:val="auto"/>
        </w:rPr>
        <w:t>The total gross unrecognized tax benefit as of June 30, 2025 and December 31, 2024 was $2.8 million and $2.5 million, respectively, excluding interest, penalties and related income tax benefits. The Company estimates the unrecognized tax benefit as of June 30, 2025 may decrease over the upcoming 12 months by $0.1 million related to settlements with taxing authorities and statute of limitations expirations. For the remaining liability, due to the uncertainties related to these tax matters, the Company is unable to make a reasonable estimate as to when cash settlement with a taxing authority will occur.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Income Taxes (Continued)</w:t>
      </w:r>
    </w:p>
    <w:p>
      <w:pPr>
        <w:spacing w:after="0" w:line="200" w:lineRule="exact"/>
        <w:rPr>
          <w:sz w:val="20"/>
          <w:szCs w:val="20"/>
          <w:color w:val="auto"/>
        </w:rPr>
      </w:pPr>
    </w:p>
    <w:p>
      <w:pPr>
        <w:spacing w:after="0" w:line="211" w:lineRule="exact"/>
        <w:rPr>
          <w:sz w:val="20"/>
          <w:szCs w:val="20"/>
          <w:color w:val="auto"/>
        </w:rPr>
      </w:pPr>
    </w:p>
    <w:p>
      <w:pPr>
        <w:jc w:val="both"/>
        <w:ind w:firstLine="319"/>
        <w:spacing w:after="0" w:line="238" w:lineRule="auto"/>
        <w:rPr>
          <w:sz w:val="20"/>
          <w:szCs w:val="20"/>
          <w:color w:val="auto"/>
        </w:rPr>
      </w:pPr>
      <w:r>
        <w:rPr>
          <w:rFonts w:ascii="Times New Roman" w:cs="Times New Roman" w:eastAsia="Times New Roman" w:hAnsi="Times New Roman"/>
          <w:sz w:val="18"/>
          <w:szCs w:val="18"/>
          <w:color w:val="auto"/>
        </w:rPr>
        <w:t>The accrued interest as of June 30, 2025 and December 31, 2024 was $0.9 million and $0.8 million, respectively, excluding any related income tax benefits. The Company recognizes interest accrued related to unrecognized tax benefits and penalties as a component of the income tax provision recognized in the Consolidated Statements of Comprehensive Income.</w:t>
      </w:r>
    </w:p>
    <w:p>
      <w:pPr>
        <w:spacing w:after="0" w:line="88"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2021 and state or non-United States tax examinations by tax authorities for years before 2020. The Company believes that adequate reserves have been provided relating to all matters contained in the tax periods open to examination.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included in general and administrative expenses in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135"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1"/>
        </w:trPr>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9"/>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classified awards expense</w:t>
            </w:r>
          </w:p>
        </w:tc>
        <w:tc>
          <w:tcPr>
            <w:tcW w:w="100" w:type="dxa"/>
            <w:vAlign w:val="bottom"/>
          </w:tcPr>
          <w:p>
            <w:pPr>
              <w:spacing w:after="0"/>
              <w:rPr>
                <w:sz w:val="20"/>
                <w:szCs w:val="20"/>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98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7"/>
              </w:rPr>
              <w:t>6.7</w:t>
            </w:r>
          </w:p>
        </w:tc>
        <w:tc>
          <w:tcPr>
            <w:tcW w:w="100" w:type="dxa"/>
            <w:vAlign w:val="bottom"/>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6"/>
        </w:trPr>
        <w:tc>
          <w:tcPr>
            <w:tcW w:w="4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Liability classified awards expense</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75"/>
              <w:spacing w:after="0"/>
              <w:rPr>
                <w:sz w:val="20"/>
                <w:szCs w:val="20"/>
                <w:color w:val="auto"/>
              </w:rPr>
            </w:pPr>
            <w:r>
              <w:rPr>
                <w:rFonts w:ascii="Times New Roman" w:cs="Times New Roman" w:eastAsia="Times New Roman" w:hAnsi="Times New Roman"/>
                <w:sz w:val="18"/>
                <w:szCs w:val="18"/>
                <w:color w:val="auto"/>
                <w:w w:val="92"/>
              </w:rPr>
              <w:t>(0.2)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 w:type="dxa"/>
            <w:vAlign w:val="bottom"/>
          </w:tcPr>
          <w:p>
            <w:pPr>
              <w:spacing w:after="0"/>
              <w:rPr>
                <w:sz w:val="20"/>
                <w:szCs w:val="20"/>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98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7"/>
              </w:rPr>
              <w:t>6.5</w:t>
            </w:r>
          </w:p>
        </w:tc>
        <w:tc>
          <w:tcPr>
            <w:tcW w:w="10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As of June 30, 2025, total unrecognized compensation expense of $20.9 million related to restricted stock and restricted stock units and $1.6 million related to stock options is expected to be recognized over a weighted average period of 1.7 years for restricted stock and restricted stock units and 1.1 years for stock options.</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Stock Options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Stock option balances at June 30, 2025, and activity for the six months ended June 30, 2025 were as follows:</w:t>
      </w:r>
    </w:p>
    <w:p>
      <w:pPr>
        <w:spacing w:after="0" w:line="13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0" w:type="dxa"/>
            <w:vAlign w:val="bottom"/>
          </w:tcPr>
          <w:p>
            <w:pPr>
              <w:spacing w:after="0"/>
              <w:rPr>
                <w:sz w:val="1"/>
                <w:szCs w:val="1"/>
                <w:color w:val="auto"/>
              </w:rPr>
            </w:pPr>
          </w:p>
        </w:tc>
      </w:tr>
      <w:tr>
        <w:trPr>
          <w:trHeight w:val="159"/>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114"/>
              <w:spacing w:after="0" w:line="159"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77"/>
              <w:spacing w:after="0" w:line="159"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159"/>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114"/>
              <w:spacing w:after="0" w:line="159"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8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7"/>
              </w:rPr>
              <w:t>Contractual Term</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77"/>
              <w:spacing w:after="0" w:line="159" w:lineRule="exact"/>
              <w:rPr>
                <w:sz w:val="20"/>
                <w:szCs w:val="20"/>
                <w:color w:val="auto"/>
              </w:rPr>
            </w:pPr>
            <w:r>
              <w:rPr>
                <w:rFonts w:ascii="Times New Roman" w:cs="Times New Roman" w:eastAsia="Times New Roman" w:hAnsi="Times New Roman"/>
                <w:sz w:val="16"/>
                <w:szCs w:val="16"/>
                <w:b w:val="1"/>
                <w:bCs w:val="1"/>
                <w:color w:val="auto"/>
                <w:w w:val="95"/>
              </w:rPr>
              <w:t>Value (in</w:t>
            </w:r>
          </w:p>
        </w:tc>
        <w:tc>
          <w:tcPr>
            <w:tcW w:w="0" w:type="dxa"/>
            <w:vAlign w:val="bottom"/>
          </w:tcPr>
          <w:p>
            <w:pPr>
              <w:spacing w:after="0"/>
              <w:rPr>
                <w:sz w:val="1"/>
                <w:szCs w:val="1"/>
                <w:color w:val="auto"/>
              </w:rPr>
            </w:pPr>
          </w:p>
        </w:tc>
      </w:tr>
      <w:tr>
        <w:trPr>
          <w:trHeight w:val="211"/>
        </w:trPr>
        <w:tc>
          <w:tcPr>
            <w:tcW w:w="452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Under Option</w:t>
            </w:r>
          </w:p>
        </w:tc>
        <w:tc>
          <w:tcPr>
            <w:tcW w:w="8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Price Per Share</w:t>
            </w:r>
          </w:p>
        </w:tc>
        <w:tc>
          <w:tcPr>
            <w:tcW w:w="8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Years)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7"/>
              </w:rPr>
              <w:t>Millions)</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00" w:type="dxa"/>
            <w:vAlign w:val="bottom"/>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524,646</w:t>
            </w:r>
          </w:p>
        </w:tc>
        <w:tc>
          <w:tcPr>
            <w:tcW w:w="80" w:type="dxa"/>
            <w:vAlign w:val="bottom"/>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80" w:type="dxa"/>
            <w:vAlign w:val="bottom"/>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00" w:type="dxa"/>
            <w:vAlign w:val="bottom"/>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80" w:type="dxa"/>
            <w:vAlign w:val="bottom"/>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13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5"/>
              </w:rPr>
              <w:t>5.02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June 30, 2025</w:t>
            </w:r>
          </w:p>
        </w:tc>
        <w:tc>
          <w:tcPr>
            <w:tcW w:w="100" w:type="dxa"/>
            <w:vAlign w:val="bottom"/>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497,055</w:t>
            </w:r>
          </w:p>
        </w:tc>
        <w:tc>
          <w:tcPr>
            <w:tcW w:w="8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80" w:type="dxa"/>
            <w:vAlign w:val="bottom"/>
          </w:tcPr>
          <w:p>
            <w:pPr>
              <w:spacing w:after="0"/>
              <w:rPr>
                <w:sz w:val="20"/>
                <w:szCs w:val="20"/>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4.95</w:t>
            </w:r>
          </w:p>
        </w:tc>
        <w:tc>
          <w:tcPr>
            <w:tcW w:w="10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52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Exercisable at June 30, 2025</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423,858</w:t>
            </w:r>
          </w:p>
        </w:tc>
        <w:tc>
          <w:tcPr>
            <w:tcW w:w="28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72.39</w:t>
            </w:r>
          </w:p>
        </w:tc>
        <w:tc>
          <w:tcPr>
            <w:tcW w:w="1360" w:type="dxa"/>
            <w:vAlign w:val="bottom"/>
            <w:gridSpan w:val="2"/>
          </w:tcPr>
          <w:p>
            <w:pPr>
              <w:jc w:val="center"/>
              <w:ind w:left="11"/>
              <w:spacing w:after="0" w:line="199" w:lineRule="exact"/>
              <w:rPr>
                <w:sz w:val="20"/>
                <w:szCs w:val="20"/>
                <w:color w:val="auto"/>
              </w:rPr>
            </w:pPr>
            <w:r>
              <w:rPr>
                <w:rFonts w:ascii="Times New Roman" w:cs="Times New Roman" w:eastAsia="Times New Roman" w:hAnsi="Times New Roman"/>
                <w:sz w:val="18"/>
                <w:szCs w:val="18"/>
                <w:color w:val="auto"/>
                <w:w w:val="95"/>
              </w:rPr>
              <w:t>4.35</w:t>
            </w:r>
          </w:p>
        </w:tc>
        <w:tc>
          <w:tcPr>
            <w:tcW w:w="26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760"/>
              <w:spacing w:after="0" w:line="19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closing stock price of the Company’s common stock on the last trading day of the second quarter of 2025 and the exercise price, multiplied by the number of in-the-money options) that would have been received by the option holders had all option holders exercised their options on June 30, 2025. The aggregate intrinsic value will change based on the fair market value of the Company’s common stock and the number of in-the-money options.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 (Continued)</w:t>
      </w:r>
    </w:p>
    <w:p>
      <w:pPr>
        <w:spacing w:after="0" w:line="200" w:lineRule="exact"/>
        <w:rPr>
          <w:sz w:val="20"/>
          <w:szCs w:val="20"/>
          <w:color w:val="auto"/>
        </w:rPr>
      </w:pPr>
    </w:p>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Restricted Stock and Restricted Stock Units</w:t>
      </w:r>
    </w:p>
    <w:p>
      <w:pPr>
        <w:spacing w:after="0" w:line="116"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Outstanding balances as of June 30, 2025, and activity related to restricted stock and restricted stock units for the six months ended June 30, 2025 were as follows:</w:t>
      </w:r>
    </w:p>
    <w:p>
      <w:pPr>
        <w:spacing w:after="0" w:line="7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Stock-Settled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4"/>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of 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19"/>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9"/>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6"/>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9"/>
              <w:spacing w:after="0" w:line="146"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0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9"/>
              <w:spacing w:after="0" w:line="146"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94"/>
        </w:trPr>
        <w:tc>
          <w:tcPr>
            <w:tcW w:w="5340" w:type="dxa"/>
            <w:vAlign w:val="bottom"/>
            <w:tcBorders>
              <w:bottom w:val="single" w:sz="8" w:color="CCEEFF"/>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5"/>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0" w:type="dxa"/>
            <w:vAlign w:val="bottom"/>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421,459</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tcPr>
          <w:p>
            <w:pPr>
              <w:spacing w:after="0"/>
              <w:rPr>
                <w:sz w:val="19"/>
                <w:szCs w:val="19"/>
                <w:color w:val="auto"/>
              </w:rPr>
            </w:pPr>
          </w:p>
        </w:tc>
        <w:tc>
          <w:tcPr>
            <w:tcW w:w="1320" w:type="dxa"/>
            <w:vAlign w:val="bottom"/>
            <w:shd w:val="clear" w:color="auto" w:fill="CCEEFF"/>
          </w:tcPr>
          <w:p>
            <w:pPr>
              <w:jc w:val="center"/>
              <w:ind w:left="598"/>
              <w:spacing w:after="0"/>
              <w:rPr>
                <w:sz w:val="20"/>
                <w:szCs w:val="20"/>
                <w:color w:val="auto"/>
              </w:rPr>
            </w:pPr>
            <w:r>
              <w:rPr>
                <w:rFonts w:ascii="Times New Roman" w:cs="Times New Roman" w:eastAsia="Times New Roman" w:hAnsi="Times New Roman"/>
                <w:sz w:val="18"/>
                <w:szCs w:val="18"/>
                <w:color w:val="auto"/>
                <w:w w:val="96"/>
              </w:rPr>
              <w:t>72,953</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0" w:type="dxa"/>
            <w:vAlign w:val="bottom"/>
          </w:tcPr>
          <w:p>
            <w:pPr>
              <w:spacing w:after="0"/>
              <w:rPr>
                <w:sz w:val="1"/>
                <w:szCs w:val="1"/>
                <w:color w:val="auto"/>
              </w:rPr>
            </w:pPr>
          </w:p>
        </w:tc>
      </w:tr>
      <w:tr>
        <w:trPr>
          <w:trHeight w:val="22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Pr>
          <w:p>
            <w:pPr>
              <w:spacing w:after="0"/>
              <w:rPr>
                <w:sz w:val="19"/>
                <w:szCs w:val="19"/>
                <w:color w:val="auto"/>
              </w:rPr>
            </w:pPr>
          </w:p>
        </w:tc>
        <w:tc>
          <w:tcPr>
            <w:tcW w:w="1320" w:type="dxa"/>
            <w:vAlign w:val="bottom"/>
          </w:tcPr>
          <w:p>
            <w:pPr>
              <w:jc w:val="center"/>
              <w:ind w:left="598"/>
              <w:spacing w:after="0"/>
              <w:rPr>
                <w:sz w:val="20"/>
                <w:szCs w:val="20"/>
                <w:color w:val="auto"/>
              </w:rPr>
            </w:pPr>
            <w:r>
              <w:rPr>
                <w:rFonts w:ascii="Times New Roman" w:cs="Times New Roman" w:eastAsia="Times New Roman" w:hAnsi="Times New Roman"/>
                <w:sz w:val="18"/>
                <w:szCs w:val="18"/>
                <w:color w:val="auto"/>
                <w:w w:val="96"/>
              </w:rPr>
              <w:t>53,974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0" w:type="dxa"/>
            <w:vAlign w:val="bottom"/>
          </w:tcPr>
          <w:p>
            <w:pPr>
              <w:spacing w:after="0"/>
              <w:rPr>
                <w:sz w:val="1"/>
                <w:szCs w:val="1"/>
                <w:color w:val="auto"/>
              </w:rPr>
            </w:pPr>
          </w:p>
        </w:tc>
      </w:tr>
      <w:tr>
        <w:trPr>
          <w:trHeight w:val="22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20" w:type="dxa"/>
            <w:vAlign w:val="bottom"/>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(184,964)</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100" w:type="dxa"/>
            <w:vAlign w:val="bottom"/>
          </w:tcPr>
          <w:p>
            <w:pPr>
              <w:spacing w:after="0"/>
              <w:rPr>
                <w:sz w:val="19"/>
                <w:szCs w:val="19"/>
                <w:color w:val="auto"/>
              </w:rPr>
            </w:pPr>
          </w:p>
        </w:tc>
        <w:tc>
          <w:tcPr>
            <w:tcW w:w="1320" w:type="dxa"/>
            <w:vAlign w:val="bottom"/>
            <w:shd w:val="clear" w:color="auto" w:fill="CCEEFF"/>
          </w:tcPr>
          <w:p>
            <w:pPr>
              <w:jc w:val="center"/>
              <w:ind w:left="558"/>
              <w:spacing w:after="0"/>
              <w:rPr>
                <w:sz w:val="20"/>
                <w:szCs w:val="20"/>
                <w:color w:val="auto"/>
              </w:rPr>
            </w:pPr>
            <w:r>
              <w:rPr>
                <w:rFonts w:ascii="Times New Roman" w:cs="Times New Roman" w:eastAsia="Times New Roman" w:hAnsi="Times New Roman"/>
                <w:sz w:val="18"/>
                <w:szCs w:val="18"/>
                <w:color w:val="auto"/>
                <w:w w:val="97"/>
              </w:rPr>
              <w:t>(34,030)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0" w:type="dxa"/>
            <w:vAlign w:val="bottom"/>
          </w:tcPr>
          <w:p>
            <w:pPr>
              <w:spacing w:after="0"/>
              <w:rPr>
                <w:sz w:val="1"/>
                <w:szCs w:val="1"/>
                <w:color w:val="auto"/>
              </w:rPr>
            </w:pPr>
          </w:p>
        </w:tc>
      </w:tr>
      <w:tr>
        <w:trPr>
          <w:trHeight w:val="226"/>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(40,074)</w:t>
            </w:r>
          </w:p>
        </w:tc>
        <w:tc>
          <w:tcPr>
            <w:tcW w:w="100" w:type="dxa"/>
            <w:vAlign w:val="bottom"/>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ind w:left="558"/>
              <w:spacing w:after="0"/>
              <w:rPr>
                <w:sz w:val="20"/>
                <w:szCs w:val="20"/>
                <w:color w:val="auto"/>
              </w:rPr>
            </w:pPr>
            <w:r>
              <w:rPr>
                <w:rFonts w:ascii="Times New Roman" w:cs="Times New Roman" w:eastAsia="Times New Roman" w:hAnsi="Times New Roman"/>
                <w:sz w:val="18"/>
                <w:szCs w:val="18"/>
                <w:color w:val="auto"/>
                <w:w w:val="97"/>
              </w:rPr>
              <w:t>(36,516)</w:t>
            </w:r>
          </w:p>
        </w:tc>
        <w:tc>
          <w:tcPr>
            <w:tcW w:w="100" w:type="dxa"/>
            <w:vAlign w:val="bottom"/>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20" w:type="dxa"/>
            <w:vAlign w:val="bottom"/>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692,277</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tcPr>
          <w:p>
            <w:pPr>
              <w:spacing w:after="0"/>
              <w:rPr>
                <w:sz w:val="20"/>
                <w:szCs w:val="20"/>
                <w:color w:val="auto"/>
              </w:rPr>
            </w:pPr>
          </w:p>
        </w:tc>
        <w:tc>
          <w:tcPr>
            <w:tcW w:w="1320" w:type="dxa"/>
            <w:vAlign w:val="bottom"/>
            <w:tcBorders>
              <w:bottom w:val="single" w:sz="8" w:color="auto"/>
            </w:tcBorders>
            <w:shd w:val="clear" w:color="auto" w:fill="CCEEFF"/>
          </w:tcPr>
          <w:p>
            <w:pPr>
              <w:jc w:val="center"/>
              <w:ind w:left="598"/>
              <w:spacing w:after="0"/>
              <w:rPr>
                <w:sz w:val="20"/>
                <w:szCs w:val="20"/>
                <w:color w:val="auto"/>
              </w:rPr>
            </w:pPr>
            <w:r>
              <w:rPr>
                <w:rFonts w:ascii="Times New Roman" w:cs="Times New Roman" w:eastAsia="Times New Roman" w:hAnsi="Times New Roman"/>
                <w:sz w:val="18"/>
                <w:szCs w:val="18"/>
                <w:color w:val="auto"/>
                <w:w w:val="96"/>
              </w:rPr>
              <w:t>56,381</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Long-Term Incentive Awards</w:t>
      </w:r>
    </w:p>
    <w:p>
      <w:pPr>
        <w:spacing w:after="0" w:line="116"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Company has granted cash long-term incentive awards (“LTIP awards”) to certain employees. The 2023 and 2024 LTIP awards vest at the end of the three-year period and are determined using multipliers from 0% to 200% of the target award based on the total stockholder return of Dine Brands Global common stock compared to the total stockholder returns of a peer group of companies.</w:t>
      </w:r>
    </w:p>
    <w:p>
      <w:pPr>
        <w:spacing w:after="0" w:line="71"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The 2025 LTIP awards vest at the end of the three-year period and are determined using multipliers from 0% to 200% of the target award based on the Company's cumulative adjusted EBITDA, as defined and reflected in the Company’s earnings release and/or financial statements for each of the three years in the performance period, subject to adjustment based on the total stockholder returns of a peer group of companies. As of June 30, 2025, the cumulative performance target of the 2025 LTIP awards is not known; therefore, no compensation expense related to the 2025 LTIP award has been recognized.</w:t>
      </w:r>
    </w:p>
    <w:p>
      <w:pPr>
        <w:spacing w:after="0" w:line="7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LTIP awards are considered stock-based compensation and are classified as liabilities measured at fair value as of the respective period end. For the three months ended June 30, 2025 and 2024, credits of $0.5 million and $0.6 million, respectively, were included in total stock-based compensation expense related to LTIP awards. For the six months ended June 30, 2025 and 2024, a credit of $0.2 million and an expense of $0.1 million, respectively, were included in total stock-based compensation expense related to LTIP awards. At June 30, 2025 and December 31, 2024, liabilities of $0.6 million and $0.8 million, respectively, related to LTIP awards were included as part of accrued employee compensation and benefits and other non-current liabilities in the Consolidated Balance Sheets.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Share</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computation of the Company's basic and diluted net income per share is as follows:</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7"/>
        </w:trPr>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81"/>
        </w:trPr>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income per common share: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8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80" w:type="dxa"/>
            <w:vAlign w:val="bottom"/>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22,011</w:t>
            </w:r>
          </w:p>
        </w:tc>
        <w:tc>
          <w:tcPr>
            <w:tcW w:w="80" w:type="dxa"/>
            <w:vAlign w:val="bottom"/>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226"/>
        </w:trPr>
        <w:tc>
          <w:tcPr>
            <w:tcW w:w="5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allocated to unvested participating restricted stock</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basic</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22,479</w:t>
            </w:r>
          </w:p>
        </w:tc>
        <w:tc>
          <w:tcPr>
            <w:tcW w:w="8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21,092</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0" w:type="dxa"/>
            <w:vAlign w:val="bottom"/>
          </w:tcPr>
          <w:p>
            <w:pPr>
              <w:spacing w:after="0"/>
              <w:rPr>
                <w:sz w:val="1"/>
                <w:szCs w:val="1"/>
                <w:color w:val="auto"/>
              </w:rPr>
            </w:pPr>
          </w:p>
        </w:tc>
      </w:tr>
      <w:tr>
        <w:trPr>
          <w:trHeight w:val="226"/>
        </w:trPr>
        <w:tc>
          <w:tcPr>
            <w:tcW w:w="5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Effect of unvested participating restricted stock in two-class calculation</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diluted</w:t>
            </w:r>
          </w:p>
        </w:tc>
        <w:tc>
          <w:tcPr>
            <w:tcW w:w="100" w:type="dxa"/>
            <w:vAlign w:val="bottom"/>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8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22,479</w:t>
            </w:r>
          </w:p>
        </w:tc>
        <w:tc>
          <w:tcPr>
            <w:tcW w:w="80" w:type="dxa"/>
            <w:vAlign w:val="bottom"/>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21,092</w:t>
            </w:r>
          </w:p>
        </w:tc>
        <w:tc>
          <w:tcPr>
            <w:tcW w:w="8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basic</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8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26"/>
        </w:trPr>
        <w:tc>
          <w:tcPr>
            <w:tcW w:w="5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diluted</w:t>
            </w:r>
          </w:p>
        </w:tc>
        <w:tc>
          <w:tcPr>
            <w:tcW w:w="100" w:type="dxa"/>
            <w:vAlign w:val="bottom"/>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8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80" w:type="dxa"/>
            <w:vAlign w:val="bottom"/>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8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640" w:type="dxa"/>
            <w:vAlign w:val="bottom"/>
          </w:tcPr>
          <w:p>
            <w:pPr>
              <w:ind w:left="220"/>
              <w:spacing w:after="0" w:line="199"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0.89</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1"/>
              <w:spacing w:after="0" w:line="19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1"/>
              <w:spacing w:after="0" w:line="19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w:t>
      </w:r>
    </w:p>
    <w:p>
      <w:pPr>
        <w:spacing w:after="0" w:line="114" w:lineRule="exact"/>
        <w:rPr>
          <w:sz w:val="20"/>
          <w:szCs w:val="20"/>
          <w:color w:val="auto"/>
        </w:rPr>
      </w:pPr>
    </w:p>
    <w:p>
      <w:pPr>
        <w:jc w:val="both"/>
        <w:ind w:right="100" w:firstLine="319"/>
        <w:spacing w:after="0" w:line="275" w:lineRule="auto"/>
        <w:rPr>
          <w:sz w:val="20"/>
          <w:szCs w:val="20"/>
          <w:color w:val="auto"/>
        </w:rPr>
      </w:pPr>
      <w:r>
        <w:rPr>
          <w:rFonts w:ascii="Times New Roman" w:cs="Times New Roman" w:eastAsia="Times New Roman" w:hAnsi="Times New Roman"/>
          <w:sz w:val="18"/>
          <w:szCs w:val="18"/>
          <w:color w:val="auto"/>
        </w:rPr>
        <w:t>The chief executive officer is the Company's chief operating decision maker ("CODM"). The CODM uses each segments' revenue and operating profit to assess its performance.</w:t>
      </w:r>
    </w:p>
    <w:p>
      <w:pPr>
        <w:spacing w:after="0" w:line="57" w:lineRule="exact"/>
        <w:rPr>
          <w:sz w:val="20"/>
          <w:szCs w:val="20"/>
          <w:color w:val="auto"/>
        </w:rPr>
      </w:pPr>
    </w:p>
    <w:p>
      <w:pPr>
        <w:jc w:val="both"/>
        <w:ind w:right="100" w:firstLine="319"/>
        <w:spacing w:after="0" w:line="255" w:lineRule="auto"/>
        <w:rPr>
          <w:sz w:val="20"/>
          <w:szCs w:val="20"/>
          <w:color w:val="auto"/>
        </w:rPr>
      </w:pPr>
      <w:r>
        <w:rPr>
          <w:rFonts w:ascii="Times New Roman" w:cs="Times New Roman" w:eastAsia="Times New Roman" w:hAnsi="Times New Roman"/>
          <w:sz w:val="18"/>
          <w:szCs w:val="18"/>
          <w:color w:val="auto"/>
        </w:rPr>
        <w:t>The CODM uses revenue and operating profit for each segment primarily in the annual budget and forecasting process, and in the quarterly budget-to-actual analysis when making decisions about the allocation of operating and capital resources to each segment. The CODM also uses operating profit to assess the performance of each segment by comparing the results of each segment with one another and in determining the compensation of certain employees. The CODM does not consider asset information when evaluating operating segments, therefore total segment assets are not presented.</w:t>
      </w:r>
    </w:p>
    <w:p>
      <w:pPr>
        <w:spacing w:after="0" w:line="77" w:lineRule="exact"/>
        <w:rPr>
          <w:sz w:val="20"/>
          <w:szCs w:val="20"/>
          <w:color w:val="auto"/>
        </w:rPr>
      </w:pPr>
    </w:p>
    <w:p>
      <w:pPr>
        <w:jc w:val="both"/>
        <w:ind w:right="100" w:firstLine="319"/>
        <w:spacing w:after="0" w:line="255" w:lineRule="auto"/>
        <w:rPr>
          <w:sz w:val="20"/>
          <w:szCs w:val="20"/>
          <w:color w:val="auto"/>
        </w:rPr>
      </w:pPr>
      <w:r>
        <w:rPr>
          <w:rFonts w:ascii="Times New Roman" w:cs="Times New Roman" w:eastAsia="Times New Roman" w:hAnsi="Times New Roman"/>
          <w:sz w:val="18"/>
          <w:szCs w:val="18"/>
          <w:color w:val="auto"/>
        </w:rPr>
        <w:t>The Company identifies its reporting segments based on the organizational units used by management to monitor performance and make operating decisions. The Company currently has six operating segments: Applebee's franchise operations, IHOP franchise operations, Fuzzy's franchise operations, rental operations, financing operations, and company-owned restaurant operations. The Company has four reporting segments: franchise operations (an aggregation of each restaurant concept's franchise operations), company-owned restaurant operations, rental operations and financing operations.</w:t>
      </w:r>
    </w:p>
    <w:p>
      <w:pPr>
        <w:spacing w:after="0" w:line="77" w:lineRule="exact"/>
        <w:rPr>
          <w:sz w:val="20"/>
          <w:szCs w:val="20"/>
          <w:color w:val="auto"/>
        </w:rPr>
      </w:pPr>
    </w:p>
    <w:p>
      <w:pPr>
        <w:jc w:val="both"/>
        <w:ind w:right="100" w:firstLine="361"/>
        <w:spacing w:after="0" w:line="272" w:lineRule="auto"/>
        <w:rPr>
          <w:sz w:val="20"/>
          <w:szCs w:val="20"/>
          <w:color w:val="auto"/>
        </w:rPr>
      </w:pPr>
      <w:r>
        <w:rPr>
          <w:rFonts w:ascii="Times New Roman" w:cs="Times New Roman" w:eastAsia="Times New Roman" w:hAnsi="Times New Roman"/>
          <w:sz w:val="17"/>
          <w:szCs w:val="17"/>
          <w:color w:val="auto"/>
        </w:rPr>
        <w:t>As of June 30, 2025, the franchise operations segment consisted of 1,514 restaurants operated by Applebee’s franchisees in the United States, two U.S. territories and 15 countries outside the United States; 1,786 restaurants operated by IHOP franchisees and area licensees in the United States, two U.S. territories and 15 countries outside the United States; and 112 restaurants operated by Fuzzy's franchisees in the United States. Franchise operations revenue consists primarily of franchise royalty revenues, franchise advertising revenue, sales of proprietary products to franchisees, and other franchise fees. Franchise operations expenses include advertising expense, the cost of proprietary products, pre-opening training expenses and other franchise-related costs.</w:t>
      </w:r>
    </w:p>
    <w:p>
      <w:pPr>
        <w:spacing w:after="0" w:line="61" w:lineRule="exact"/>
        <w:rPr>
          <w:sz w:val="20"/>
          <w:szCs w:val="20"/>
          <w:color w:val="auto"/>
        </w:rPr>
      </w:pPr>
    </w:p>
    <w:p>
      <w:pPr>
        <w:jc w:val="both"/>
        <w:ind w:right="100" w:firstLine="319"/>
        <w:spacing w:after="0" w:line="252" w:lineRule="auto"/>
        <w:rPr>
          <w:sz w:val="20"/>
          <w:szCs w:val="20"/>
          <w:color w:val="auto"/>
        </w:rPr>
      </w:pPr>
      <w:r>
        <w:rPr>
          <w:rFonts w:ascii="Times New Roman" w:cs="Times New Roman" w:eastAsia="Times New Roman" w:hAnsi="Times New Roman"/>
          <w:sz w:val="18"/>
          <w:szCs w:val="18"/>
          <w:color w:val="auto"/>
        </w:rPr>
        <w:t>Rental operations revenue includes revenue from operating leases and interest income from real estate leases. Rental operations expenses are costs of operating leases and interest expense from finance leases on which the Company is the lessee. Financing operations revenue primarily consists of interest income from the financing of IHOP equipment leases and franchise fees and interest income on notes receivable due from franchisees. Financing operations expenses primarily are the cost of taxes related to IHOP equipment leases. As of June 30, 2025, the company restaurants segment consisted of 59 company-owned Applebee's restaurants, 10 company-owned IHOP restaurants, and one company-owned Fuzzy's restaurant located in the United States. Company-owned restaurant operation revenue consists of retail sales at company-owned</w:t>
      </w:r>
    </w:p>
    <w:p>
      <w:pPr>
        <w:spacing w:after="0" w:line="200" w:lineRule="exact"/>
        <w:rPr>
          <w:sz w:val="20"/>
          <w:szCs w:val="20"/>
          <w:color w:val="auto"/>
        </w:rPr>
      </w:pPr>
    </w:p>
    <w:p>
      <w:pPr>
        <w:spacing w:after="0" w:line="3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219"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 Global, Inc.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 (Continued)</w:t>
      </w:r>
    </w:p>
    <w:p>
      <w:pPr>
        <w:spacing w:after="0" w:line="200" w:lineRule="exact"/>
        <w:rPr>
          <w:sz w:val="20"/>
          <w:szCs w:val="20"/>
          <w:color w:val="auto"/>
        </w:rPr>
      </w:pPr>
    </w:p>
    <w:p>
      <w:pPr>
        <w:spacing w:after="0" w:line="20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restaurants. Company-owned restaurant operation expenses are operating expenses such as food, beverage, labor, benefits, utilities, rent and other operating costs.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on segments and a reconciliation of operating profit to income before income taxes is as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920" w:type="dxa"/>
            <w:vAlign w:val="bottom"/>
            <w:tcBorders>
              <w:bottom w:val="single" w:sz="8" w:color="auto"/>
            </w:tcBorders>
            <w:gridSpan w:val="5"/>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 2025</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Franchise</w:t>
            </w:r>
          </w:p>
        </w:tc>
        <w:tc>
          <w:tcPr>
            <w:tcW w:w="200" w:type="dxa"/>
            <w:vAlign w:val="bottom"/>
          </w:tcPr>
          <w:p>
            <w:pPr>
              <w:spacing w:after="0"/>
              <w:rPr>
                <w:sz w:val="14"/>
                <w:szCs w:val="14"/>
                <w:color w:val="auto"/>
              </w:rPr>
            </w:pPr>
          </w:p>
        </w:tc>
        <w:tc>
          <w:tcPr>
            <w:tcW w:w="1160" w:type="dxa"/>
            <w:vAlign w:val="bottom"/>
          </w:tcPr>
          <w:p>
            <w:pPr>
              <w:jc w:val="right"/>
              <w:ind w:right="211"/>
              <w:spacing w:after="0" w:line="166" w:lineRule="exact"/>
              <w:rPr>
                <w:sz w:val="20"/>
                <w:szCs w:val="20"/>
                <w:color w:val="auto"/>
              </w:rPr>
            </w:pPr>
            <w:r>
              <w:rPr>
                <w:rFonts w:ascii="Times New Roman" w:cs="Times New Roman" w:eastAsia="Times New Roman" w:hAnsi="Times New Roman"/>
                <w:sz w:val="18"/>
                <w:szCs w:val="18"/>
                <w:b w:val="1"/>
                <w:bCs w:val="1"/>
                <w:color w:val="auto"/>
              </w:rPr>
              <w:t>Company</w:t>
            </w:r>
          </w:p>
        </w:tc>
        <w:tc>
          <w:tcPr>
            <w:tcW w:w="240" w:type="dxa"/>
            <w:vAlign w:val="bottom"/>
          </w:tcPr>
          <w:p>
            <w:pPr>
              <w:spacing w:after="0"/>
              <w:rPr>
                <w:sz w:val="14"/>
                <w:szCs w:val="14"/>
                <w:color w:val="auto"/>
              </w:rPr>
            </w:pPr>
          </w:p>
        </w:tc>
        <w:tc>
          <w:tcPr>
            <w:tcW w:w="1120" w:type="dxa"/>
            <w:vAlign w:val="bottom"/>
            <w:vMerge w:val="restart"/>
          </w:tcPr>
          <w:p>
            <w:pPr>
              <w:jc w:val="center"/>
              <w:ind w:right="133"/>
              <w:spacing w:after="0"/>
              <w:rPr>
                <w:sz w:val="20"/>
                <w:szCs w:val="20"/>
                <w:color w:val="auto"/>
              </w:rPr>
            </w:pPr>
            <w:r>
              <w:rPr>
                <w:rFonts w:ascii="Times New Roman" w:cs="Times New Roman" w:eastAsia="Times New Roman" w:hAnsi="Times New Roman"/>
                <w:sz w:val="18"/>
                <w:szCs w:val="18"/>
                <w:b w:val="1"/>
                <w:bCs w:val="1"/>
                <w:color w:val="auto"/>
                <w:w w:val="97"/>
              </w:rPr>
              <w:t>Rental</w:t>
            </w:r>
          </w:p>
        </w:tc>
        <w:tc>
          <w:tcPr>
            <w:tcW w:w="220" w:type="dxa"/>
            <w:vAlign w:val="bottom"/>
          </w:tcPr>
          <w:p>
            <w:pPr>
              <w:spacing w:after="0"/>
              <w:rPr>
                <w:sz w:val="14"/>
                <w:szCs w:val="14"/>
                <w:color w:val="auto"/>
              </w:rPr>
            </w:pPr>
          </w:p>
        </w:tc>
        <w:tc>
          <w:tcPr>
            <w:tcW w:w="1180" w:type="dxa"/>
            <w:vAlign w:val="bottom"/>
            <w:vMerge w:val="restart"/>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280" w:type="dxa"/>
            <w:vAlign w:val="bottom"/>
          </w:tcPr>
          <w:p>
            <w:pPr>
              <w:spacing w:after="0"/>
              <w:rPr>
                <w:sz w:val="14"/>
                <w:szCs w:val="14"/>
                <w:color w:val="auto"/>
              </w:rPr>
            </w:pPr>
          </w:p>
        </w:tc>
        <w:tc>
          <w:tcPr>
            <w:tcW w:w="980" w:type="dxa"/>
            <w:vAlign w:val="bottom"/>
            <w:vMerge w:val="restart"/>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45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8"/>
              </w:rPr>
              <w:t>Restaurants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27.5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0.3</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230.8</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Advertising revenue</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1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excluding advertising revenue</w:t>
            </w:r>
          </w:p>
        </w:tc>
        <w:tc>
          <w:tcPr>
            <w:tcW w:w="18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101.2</w:t>
            </w:r>
          </w:p>
        </w:tc>
        <w:tc>
          <w:tcPr>
            <w:tcW w:w="2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28.2</w:t>
            </w:r>
          </w:p>
        </w:tc>
        <w:tc>
          <w:tcPr>
            <w:tcW w:w="2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27.5</w:t>
            </w:r>
          </w:p>
        </w:tc>
        <w:tc>
          <w:tcPr>
            <w:tcW w:w="220" w:type="dxa"/>
            <w:vAlign w:val="bottom"/>
          </w:tcPr>
          <w:p>
            <w:pPr>
              <w:spacing w:after="0"/>
              <w:rPr>
                <w:sz w:val="19"/>
                <w:szCs w:val="19"/>
                <w:color w:val="auto"/>
              </w:rPr>
            </w:pPr>
          </w:p>
        </w:tc>
        <w:tc>
          <w:tcPr>
            <w:tcW w:w="11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0.3</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157.3</w:t>
            </w:r>
          </w:p>
        </w:tc>
        <w:tc>
          <w:tcPr>
            <w:tcW w:w="0" w:type="dxa"/>
            <w:vAlign w:val="bottom"/>
          </w:tcPr>
          <w:p>
            <w:pPr>
              <w:spacing w:after="0"/>
              <w:rPr>
                <w:sz w:val="1"/>
                <w:szCs w:val="1"/>
                <w:color w:val="auto"/>
              </w:rPr>
            </w:pPr>
          </w:p>
        </w:tc>
      </w:tr>
      <w:tr>
        <w:trPr>
          <w:trHeight w:val="266"/>
        </w:trPr>
        <w:tc>
          <w:tcPr>
            <w:tcW w:w="4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1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88.3</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92.2</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(direct)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G&amp;A expenses (direct and allocated)</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55.3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0.2</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profit</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0" w:type="dxa"/>
            <w:vAlign w:val="bottom"/>
          </w:tcPr>
          <w:p>
            <w:pPr>
              <w:spacing w:after="0"/>
              <w:rPr>
                <w:sz w:val="1"/>
                <w:szCs w:val="1"/>
                <w:color w:val="auto"/>
              </w:rPr>
            </w:pPr>
          </w:p>
        </w:tc>
      </w:tr>
      <w:tr>
        <w:trPr>
          <w:trHeight w:val="22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(unallocated)</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(unallocated)</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G&amp;A expenses (unallocated)</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6"/>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5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Dine Brand Global, Inc. and Subsidiaries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 (Continued)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26"/>
        </w:trPr>
        <w:tc>
          <w:tcPr>
            <w:tcW w:w="4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900" w:type="dxa"/>
            <w:vAlign w:val="bottom"/>
            <w:tcBorders>
              <w:bottom w:val="single" w:sz="8" w:color="auto"/>
            </w:tcBorders>
            <w:gridSpan w:val="5"/>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7"/>
              </w:rPr>
              <w:t>Six Months Ended June 30, 2025</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Franchise</w:t>
            </w:r>
          </w:p>
        </w:tc>
        <w:tc>
          <w:tcPr>
            <w:tcW w:w="200" w:type="dxa"/>
            <w:vAlign w:val="bottom"/>
          </w:tcPr>
          <w:p>
            <w:pPr>
              <w:spacing w:after="0"/>
              <w:rPr>
                <w:sz w:val="14"/>
                <w:szCs w:val="14"/>
                <w:color w:val="auto"/>
              </w:rPr>
            </w:pPr>
          </w:p>
        </w:tc>
        <w:tc>
          <w:tcPr>
            <w:tcW w:w="1160" w:type="dxa"/>
            <w:vAlign w:val="bottom"/>
          </w:tcPr>
          <w:p>
            <w:pPr>
              <w:jc w:val="right"/>
              <w:ind w:right="211"/>
              <w:spacing w:after="0" w:line="166" w:lineRule="exact"/>
              <w:rPr>
                <w:sz w:val="20"/>
                <w:szCs w:val="20"/>
                <w:color w:val="auto"/>
              </w:rPr>
            </w:pPr>
            <w:r>
              <w:rPr>
                <w:rFonts w:ascii="Times New Roman" w:cs="Times New Roman" w:eastAsia="Times New Roman" w:hAnsi="Times New Roman"/>
                <w:sz w:val="18"/>
                <w:szCs w:val="18"/>
                <w:b w:val="1"/>
                <w:bCs w:val="1"/>
                <w:color w:val="auto"/>
              </w:rPr>
              <w:t>Company</w:t>
            </w:r>
          </w:p>
        </w:tc>
        <w:tc>
          <w:tcPr>
            <w:tcW w:w="240" w:type="dxa"/>
            <w:vAlign w:val="bottom"/>
          </w:tcPr>
          <w:p>
            <w:pPr>
              <w:spacing w:after="0"/>
              <w:rPr>
                <w:sz w:val="14"/>
                <w:szCs w:val="14"/>
                <w:color w:val="auto"/>
              </w:rPr>
            </w:pPr>
          </w:p>
        </w:tc>
        <w:tc>
          <w:tcPr>
            <w:tcW w:w="1100" w:type="dxa"/>
            <w:vAlign w:val="bottom"/>
            <w:vMerge w:val="restart"/>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w w:val="97"/>
              </w:rPr>
              <w:t>Rental</w:t>
            </w:r>
          </w:p>
        </w:tc>
        <w:tc>
          <w:tcPr>
            <w:tcW w:w="240" w:type="dxa"/>
            <w:vAlign w:val="bottom"/>
          </w:tcPr>
          <w:p>
            <w:pPr>
              <w:spacing w:after="0"/>
              <w:rPr>
                <w:sz w:val="14"/>
                <w:szCs w:val="14"/>
                <w:color w:val="auto"/>
              </w:rPr>
            </w:pPr>
          </w:p>
        </w:tc>
        <w:tc>
          <w:tcPr>
            <w:tcW w:w="1160" w:type="dxa"/>
            <w:vAlign w:val="bottom"/>
            <w:vMerge w:val="restart"/>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280" w:type="dxa"/>
            <w:vAlign w:val="bottom"/>
          </w:tcPr>
          <w:p>
            <w:pPr>
              <w:spacing w:after="0"/>
              <w:rPr>
                <w:sz w:val="14"/>
                <w:szCs w:val="14"/>
                <w:color w:val="auto"/>
              </w:rPr>
            </w:pPr>
          </w:p>
        </w:tc>
        <w:tc>
          <w:tcPr>
            <w:tcW w:w="98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4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8"/>
              </w:rPr>
              <w:t>Restaurants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340.9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49.8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54.2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0.6</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445.6</w:t>
            </w:r>
          </w:p>
        </w:tc>
        <w:tc>
          <w:tcPr>
            <w:tcW w:w="0" w:type="dxa"/>
            <w:vAlign w:val="bottom"/>
          </w:tcPr>
          <w:p>
            <w:pPr>
              <w:spacing w:after="0"/>
              <w:rPr>
                <w:sz w:val="1"/>
                <w:szCs w:val="1"/>
                <w:color w:val="auto"/>
              </w:rPr>
            </w:pPr>
          </w:p>
        </w:tc>
      </w:tr>
      <w:tr>
        <w:trPr>
          <w:trHeight w:val="22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Advertising revenue</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1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excluding advertising revenue</w:t>
            </w:r>
          </w:p>
        </w:tc>
        <w:tc>
          <w:tcPr>
            <w:tcW w:w="18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196.9</w:t>
            </w:r>
          </w:p>
        </w:tc>
        <w:tc>
          <w:tcPr>
            <w:tcW w:w="2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49.8</w:t>
            </w:r>
          </w:p>
        </w:tc>
        <w:tc>
          <w:tcPr>
            <w:tcW w:w="24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54.2</w:t>
            </w:r>
          </w:p>
        </w:tc>
        <w:tc>
          <w:tcPr>
            <w:tcW w:w="24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0.6</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301.6</w:t>
            </w:r>
          </w:p>
        </w:tc>
        <w:tc>
          <w:tcPr>
            <w:tcW w:w="0" w:type="dxa"/>
            <w:vAlign w:val="bottom"/>
          </w:tcPr>
          <w:p>
            <w:pPr>
              <w:spacing w:after="0"/>
              <w:rPr>
                <w:sz w:val="1"/>
                <w:szCs w:val="1"/>
                <w:color w:val="auto"/>
              </w:rPr>
            </w:pPr>
          </w:p>
        </w:tc>
      </w:tr>
      <w:tr>
        <w:trPr>
          <w:trHeight w:val="266"/>
        </w:trPr>
        <w:tc>
          <w:tcPr>
            <w:tcW w:w="44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6"/>
        </w:trPr>
        <w:tc>
          <w:tcPr>
            <w:tcW w:w="44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1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173.3</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24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0.5</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0" w:type="dxa"/>
            <w:vAlign w:val="bottom"/>
          </w:tcPr>
          <w:p>
            <w:pPr>
              <w:spacing w:after="0"/>
              <w:rPr>
                <w:sz w:val="1"/>
                <w:szCs w:val="1"/>
                <w:color w:val="auto"/>
              </w:rPr>
            </w:pPr>
          </w:p>
        </w:tc>
      </w:tr>
      <w:tr>
        <w:trPr>
          <w:trHeight w:val="22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(direct)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G&amp;A expenses (direct and allocated)</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108.1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0.5</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114.1</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profit</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w:t>
            </w:r>
          </w:p>
        </w:tc>
        <w:tc>
          <w:tcPr>
            <w:tcW w:w="0" w:type="dxa"/>
            <w:vAlign w:val="bottom"/>
          </w:tcPr>
          <w:p>
            <w:pPr>
              <w:spacing w:after="0"/>
              <w:rPr>
                <w:sz w:val="1"/>
                <w:szCs w:val="1"/>
                <w:color w:val="auto"/>
              </w:rPr>
            </w:pPr>
          </w:p>
        </w:tc>
      </w:tr>
      <w:tr>
        <w:trPr>
          <w:trHeight w:val="22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(unallocated)</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(unallocated)</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G&amp;A expenses (unallocated)</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6"/>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219"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 Global, Inc.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 (Continued)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 w:type="dxa"/>
            <w:vAlign w:val="bottom"/>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900" w:type="dxa"/>
            <w:vAlign w:val="bottom"/>
            <w:tcBorders>
              <w:bottom w:val="single" w:sz="8" w:color="auto"/>
            </w:tcBorders>
            <w:gridSpan w:val="5"/>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 2024</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Franchise</w:t>
            </w:r>
          </w:p>
        </w:tc>
        <w:tc>
          <w:tcPr>
            <w:tcW w:w="200" w:type="dxa"/>
            <w:vAlign w:val="bottom"/>
          </w:tcPr>
          <w:p>
            <w:pPr>
              <w:spacing w:after="0"/>
              <w:rPr>
                <w:sz w:val="14"/>
                <w:szCs w:val="14"/>
                <w:color w:val="auto"/>
              </w:rPr>
            </w:pPr>
          </w:p>
        </w:tc>
        <w:tc>
          <w:tcPr>
            <w:tcW w:w="1160" w:type="dxa"/>
            <w:vAlign w:val="bottom"/>
          </w:tcPr>
          <w:p>
            <w:pPr>
              <w:jc w:val="right"/>
              <w:ind w:right="211"/>
              <w:spacing w:after="0" w:line="166" w:lineRule="exact"/>
              <w:rPr>
                <w:sz w:val="20"/>
                <w:szCs w:val="20"/>
                <w:color w:val="auto"/>
              </w:rPr>
            </w:pPr>
            <w:r>
              <w:rPr>
                <w:rFonts w:ascii="Times New Roman" w:cs="Times New Roman" w:eastAsia="Times New Roman" w:hAnsi="Times New Roman"/>
                <w:sz w:val="18"/>
                <w:szCs w:val="18"/>
                <w:b w:val="1"/>
                <w:bCs w:val="1"/>
                <w:color w:val="auto"/>
              </w:rPr>
              <w:t>Company</w:t>
            </w:r>
          </w:p>
        </w:tc>
        <w:tc>
          <w:tcPr>
            <w:tcW w:w="240" w:type="dxa"/>
            <w:vAlign w:val="bottom"/>
          </w:tcPr>
          <w:p>
            <w:pPr>
              <w:spacing w:after="0"/>
              <w:rPr>
                <w:sz w:val="14"/>
                <w:szCs w:val="14"/>
                <w:color w:val="auto"/>
              </w:rPr>
            </w:pPr>
          </w:p>
        </w:tc>
        <w:tc>
          <w:tcPr>
            <w:tcW w:w="1100" w:type="dxa"/>
            <w:vAlign w:val="bottom"/>
            <w:vMerge w:val="restart"/>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w w:val="97"/>
              </w:rPr>
              <w:t>Rental</w:t>
            </w:r>
          </w:p>
        </w:tc>
        <w:tc>
          <w:tcPr>
            <w:tcW w:w="240" w:type="dxa"/>
            <w:vAlign w:val="bottom"/>
          </w:tcPr>
          <w:p>
            <w:pPr>
              <w:spacing w:after="0"/>
              <w:rPr>
                <w:sz w:val="14"/>
                <w:szCs w:val="14"/>
                <w:color w:val="auto"/>
              </w:rPr>
            </w:pPr>
          </w:p>
        </w:tc>
        <w:tc>
          <w:tcPr>
            <w:tcW w:w="1160" w:type="dxa"/>
            <w:vAlign w:val="bottom"/>
            <w:vMerge w:val="restart"/>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28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8"/>
              </w:rPr>
              <w:t>Restaurants</w:t>
            </w:r>
          </w:p>
        </w:tc>
        <w:tc>
          <w:tcPr>
            <w:tcW w:w="2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44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176.5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0.5</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Advertising revenue</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excluding advertising revenue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102.0</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24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0.5</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44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4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91.5</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4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0.4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(direct)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G&amp;A expenses (direct and allocated)</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60.3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0.4</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0" w:type="dxa"/>
            <w:vAlign w:val="bottom"/>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profit</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(unallocated)</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(unallocated)</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G&amp;A expenses (unallocated)</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0"/>
                <w:szCs w:val="20"/>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 w:type="dxa"/>
            <w:vAlign w:val="bottom"/>
            <w:tcBorders>
              <w:bottom w:val="single" w:sz="8" w:color="9A9A9A"/>
            </w:tcBorders>
          </w:tcPr>
          <w:p>
            <w:pPr>
              <w:spacing w:after="0"/>
              <w:rPr>
                <w:sz w:val="18"/>
                <w:szCs w:val="18"/>
                <w:color w:val="auto"/>
              </w:rPr>
            </w:pPr>
          </w:p>
        </w:tc>
        <w:tc>
          <w:tcPr>
            <w:tcW w:w="44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 Global, Inc.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 (Continued)</w:t>
      </w:r>
    </w:p>
    <w:p>
      <w:pPr>
        <w:spacing w:after="0" w:line="200" w:lineRule="exact"/>
        <w:rPr>
          <w:sz w:val="20"/>
          <w:szCs w:val="20"/>
          <w:color w:val="auto"/>
        </w:rPr>
      </w:pPr>
    </w:p>
    <w:p>
      <w:pPr>
        <w:spacing w:after="0" w:line="251" w:lineRule="exact"/>
        <w:rPr>
          <w:sz w:val="20"/>
          <w:szCs w:val="20"/>
          <w:color w:val="auto"/>
        </w:rPr>
      </w:pPr>
    </w:p>
    <w:tbl>
      <w:tblPr>
        <w:tblLayout w:type="fixed"/>
        <w:tblInd w:w="100" w:type="dxa"/>
        <w:tblCellMar>
          <w:top w:w="0" w:type="dxa"/>
          <w:left w:w="0" w:type="dxa"/>
          <w:bottom w:w="0" w:type="dxa"/>
          <w:right w:w="0" w:type="dxa"/>
        </w:tblCellMar>
      </w:tblPr>
      <w:tr>
        <w:trPr>
          <w:trHeight w:val="226"/>
        </w:trPr>
        <w:tc>
          <w:tcPr>
            <w:tcW w:w="43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940" w:type="dxa"/>
            <w:vAlign w:val="bottom"/>
            <w:tcBorders>
              <w:bottom w:val="single" w:sz="8" w:color="auto"/>
            </w:tcBorders>
            <w:gridSpan w:val="5"/>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7"/>
              </w:rPr>
              <w:t>Six Months Ended June 30, 2024</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Franchise</w:t>
            </w:r>
          </w:p>
        </w:tc>
        <w:tc>
          <w:tcPr>
            <w:tcW w:w="180" w:type="dxa"/>
            <w:vAlign w:val="bottom"/>
          </w:tcPr>
          <w:p>
            <w:pPr>
              <w:spacing w:after="0"/>
              <w:rPr>
                <w:sz w:val="14"/>
                <w:szCs w:val="14"/>
                <w:color w:val="auto"/>
              </w:rPr>
            </w:pPr>
          </w:p>
        </w:tc>
        <w:tc>
          <w:tcPr>
            <w:tcW w:w="1180" w:type="dxa"/>
            <w:vAlign w:val="bottom"/>
          </w:tcPr>
          <w:p>
            <w:pPr>
              <w:jc w:val="right"/>
              <w:ind w:right="231"/>
              <w:spacing w:after="0" w:line="166" w:lineRule="exact"/>
              <w:rPr>
                <w:sz w:val="20"/>
                <w:szCs w:val="20"/>
                <w:color w:val="auto"/>
              </w:rPr>
            </w:pPr>
            <w:r>
              <w:rPr>
                <w:rFonts w:ascii="Times New Roman" w:cs="Times New Roman" w:eastAsia="Times New Roman" w:hAnsi="Times New Roman"/>
                <w:sz w:val="18"/>
                <w:szCs w:val="18"/>
                <w:b w:val="1"/>
                <w:bCs w:val="1"/>
                <w:color w:val="auto"/>
              </w:rPr>
              <w:t>Company</w:t>
            </w:r>
          </w:p>
        </w:tc>
        <w:tc>
          <w:tcPr>
            <w:tcW w:w="220" w:type="dxa"/>
            <w:vAlign w:val="bottom"/>
          </w:tcPr>
          <w:p>
            <w:pPr>
              <w:spacing w:after="0"/>
              <w:rPr>
                <w:sz w:val="14"/>
                <w:szCs w:val="14"/>
                <w:color w:val="auto"/>
              </w:rPr>
            </w:pPr>
          </w:p>
        </w:tc>
        <w:tc>
          <w:tcPr>
            <w:tcW w:w="1140" w:type="dxa"/>
            <w:vAlign w:val="bottom"/>
            <w:vMerge w:val="restart"/>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w w:val="97"/>
              </w:rPr>
              <w:t>Rental</w:t>
            </w:r>
          </w:p>
        </w:tc>
        <w:tc>
          <w:tcPr>
            <w:tcW w:w="220" w:type="dxa"/>
            <w:vAlign w:val="bottom"/>
          </w:tcPr>
          <w:p>
            <w:pPr>
              <w:spacing w:after="0"/>
              <w:rPr>
                <w:sz w:val="14"/>
                <w:szCs w:val="14"/>
                <w:color w:val="auto"/>
              </w:rPr>
            </w:pPr>
          </w:p>
        </w:tc>
        <w:tc>
          <w:tcPr>
            <w:tcW w:w="1180" w:type="dxa"/>
            <w:vAlign w:val="bottom"/>
            <w:vMerge w:val="restart"/>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280" w:type="dxa"/>
            <w:vAlign w:val="bottom"/>
          </w:tcPr>
          <w:p>
            <w:pPr>
              <w:spacing w:after="0"/>
              <w:rPr>
                <w:sz w:val="14"/>
                <w:szCs w:val="14"/>
                <w:color w:val="auto"/>
              </w:rPr>
            </w:pPr>
          </w:p>
        </w:tc>
        <w:tc>
          <w:tcPr>
            <w:tcW w:w="98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4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Restaurants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352.4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58.6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1.0</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412.5</w:t>
            </w: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Advertising revenue</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1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excluding advertising revenue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22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262.7</w:t>
            </w:r>
          </w:p>
        </w:tc>
        <w:tc>
          <w:tcPr>
            <w:tcW w:w="0" w:type="dxa"/>
            <w:vAlign w:val="bottom"/>
          </w:tcPr>
          <w:p>
            <w:pPr>
              <w:spacing w:after="0"/>
              <w:rPr>
                <w:sz w:val="1"/>
                <w:szCs w:val="1"/>
                <w:color w:val="auto"/>
              </w:rPr>
            </w:pPr>
          </w:p>
        </w:tc>
      </w:tr>
      <w:tr>
        <w:trPr>
          <w:trHeight w:val="266"/>
        </w:trPr>
        <w:tc>
          <w:tcPr>
            <w:tcW w:w="4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1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180.9</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22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0.8</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196.7</w:t>
            </w: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(direct)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G&amp;A expenses (direct and allocated)</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117.7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0.8</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133.4</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profit</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133.4</w:t>
            </w:r>
          </w:p>
        </w:tc>
        <w:tc>
          <w:tcPr>
            <w:tcW w:w="0" w:type="dxa"/>
            <w:vAlign w:val="bottom"/>
          </w:tcPr>
          <w:p>
            <w:pPr>
              <w:spacing w:after="0"/>
              <w:rPr>
                <w:sz w:val="1"/>
                <w:szCs w:val="1"/>
                <w:color w:val="auto"/>
              </w:rPr>
            </w:pPr>
          </w:p>
        </w:tc>
      </w:tr>
      <w:tr>
        <w:trPr>
          <w:trHeight w:val="22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(unallocated)</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(unallocated)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G&amp;A expenses (unallocated)</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6"/>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460" w:hanging="135"/>
        <w:spacing w:after="0"/>
        <w:tabs>
          <w:tab w:leader="none" w:pos="46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each reportable segment, the other segment item category includes:</w:t>
      </w:r>
    </w:p>
    <w:p>
      <w:pPr>
        <w:spacing w:after="0" w:line="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Franchise: Costs of proprietary products, bad debt expense, pre-opening training expenses and other franchise-related costs.</w:t>
      </w:r>
    </w:p>
    <w:p>
      <w:pPr>
        <w:spacing w:after="0" w:line="1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Company Restaurants: Operating expenses at company-owned restaurants and include food, beverage, labor, benefits, utilities, rent and other operating costs.</w:t>
      </w:r>
    </w:p>
    <w:p>
      <w:pPr>
        <w:spacing w:after="0" w:line="1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Rental: Costs of operating leases and interest expense of finance leases on franchisee-operated restaurants.</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Financing: Costs of restaurant equipment.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Closure and Impairment Charges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Closure and impairment charges for the three and six months ended June 30, 2025 and 2024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7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Pr>
          <w:p>
            <w:pPr>
              <w:spacing w:after="0"/>
              <w:rPr>
                <w:sz w:val="18"/>
                <w:szCs w:val="18"/>
                <w:color w:val="auto"/>
              </w:rPr>
            </w:pPr>
          </w:p>
        </w:tc>
      </w:tr>
      <w:tr>
        <w:trPr>
          <w:trHeight w:val="187"/>
        </w:trPr>
        <w:tc>
          <w:tcPr>
            <w:tcW w:w="7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32"/>
        </w:trPr>
        <w:tc>
          <w:tcPr>
            <w:tcW w:w="720" w:type="dxa"/>
            <w:vAlign w:val="bottom"/>
          </w:tcPr>
          <w:p>
            <w:pPr>
              <w:spacing w:after="0"/>
              <w:rPr>
                <w:sz w:val="20"/>
                <w:szCs w:val="20"/>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charges</w:t>
            </w:r>
          </w:p>
        </w:tc>
        <w:tc>
          <w:tcPr>
            <w:tcW w:w="100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20"/>
                <w:szCs w:val="20"/>
                <w:color w:val="auto"/>
              </w:rPr>
            </w:pPr>
          </w:p>
        </w:tc>
      </w:tr>
      <w:tr>
        <w:trPr>
          <w:trHeight w:val="226"/>
        </w:trPr>
        <w:tc>
          <w:tcPr>
            <w:tcW w:w="72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 impairment charges</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r>
      <w:tr>
        <w:trPr>
          <w:trHeight w:val="244"/>
        </w:trPr>
        <w:tc>
          <w:tcPr>
            <w:tcW w:w="720" w:type="dxa"/>
            <w:vAlign w:val="bottom"/>
          </w:tcPr>
          <w:p>
            <w:pPr>
              <w:spacing w:after="0"/>
              <w:rPr>
                <w:sz w:val="20"/>
                <w:szCs w:val="20"/>
                <w:color w:val="auto"/>
              </w:rPr>
            </w:pPr>
          </w:p>
        </w:tc>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closure and impairment charges</w:t>
            </w:r>
          </w:p>
        </w:tc>
        <w:tc>
          <w:tcPr>
            <w:tcW w:w="1000" w:type="dxa"/>
            <w:vAlign w:val="bottom"/>
            <w:tcBorders>
              <w:top w:val="single" w:sz="8" w:color="auto"/>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20"/>
                <w:szCs w:val="20"/>
                <w:color w:val="auto"/>
              </w:rPr>
            </w:pPr>
          </w:p>
        </w:tc>
      </w:tr>
      <w:tr>
        <w:trPr>
          <w:trHeight w:val="20"/>
        </w:trPr>
        <w:tc>
          <w:tcPr>
            <w:tcW w:w="72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864"/>
        </w:trPr>
        <w:tc>
          <w:tcPr>
            <w:tcW w:w="7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8"/>
        </w:trPr>
        <w:tc>
          <w:tcPr>
            <w:tcW w:w="720" w:type="dxa"/>
            <w:vAlign w:val="bottom"/>
            <w:tcBorders>
              <w:bottom w:val="single" w:sz="8" w:color="9A9A9A"/>
            </w:tcBorders>
          </w:tcPr>
          <w:p>
            <w:pPr>
              <w:spacing w:after="0"/>
              <w:rPr>
                <w:sz w:val="18"/>
                <w:szCs w:val="18"/>
                <w:color w:val="auto"/>
              </w:rPr>
            </w:pPr>
          </w:p>
        </w:tc>
        <w:tc>
          <w:tcPr>
            <w:tcW w:w="414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Closure and Impairment Charges (Continued)</w:t>
      </w:r>
    </w:p>
    <w:p>
      <w:pPr>
        <w:spacing w:after="0" w:line="393"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The closure charges for the three and six months ended June 30, 2025 were primarily related to the acquisition and closure of certain IHOP restaurants in March 2025 and the establishment of or revisions to existing closure reserves, including accretion, for restaurants closed prior to December 31, 2024. The closure charges for the three and six months ended June 30, 2024 were related to the establishment of or revisions to existing closure reserves, including accretion, for restaurants closed prior to December 31, 2023.</w:t>
      </w:r>
    </w:p>
    <w:p>
      <w:pPr>
        <w:spacing w:after="0" w:line="63" w:lineRule="exact"/>
        <w:rPr>
          <w:sz w:val="20"/>
          <w:szCs w:val="20"/>
          <w:color w:val="auto"/>
        </w:rPr>
      </w:pPr>
    </w:p>
    <w:p>
      <w:pPr>
        <w:jc w:val="both"/>
        <w:ind w:firstLine="319"/>
        <w:spacing w:after="0" w:line="259" w:lineRule="auto"/>
        <w:rPr>
          <w:sz w:val="20"/>
          <w:szCs w:val="20"/>
          <w:color w:val="auto"/>
        </w:rPr>
      </w:pPr>
      <w:r>
        <w:rPr>
          <w:rFonts w:ascii="Times New Roman" w:cs="Times New Roman" w:eastAsia="Times New Roman" w:hAnsi="Times New Roman"/>
          <w:sz w:val="18"/>
          <w:szCs w:val="18"/>
          <w:color w:val="auto"/>
        </w:rPr>
        <w:t>The other asset impairment charges for the six months ended June 30, 2025 was primarily attributable to the strategic realignment of the IHOP Cincinnati market resulting in the acquisition and closure of certain IHOP restaurants in March 2025.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14"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The Company does not have a material amount of financial assets or liabilities that are required under U.S. GAAP to be measured on a recurring basis at fair value. The Company is not a party to any material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7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believes the fair values of cash equivalents, accounts receivable and accounts payable approximate their carrying amounts due to their short duration.</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values of the Company's long-term debt, excluding the Credit Facility, at June 30, 2025 and December 31, 2024 were as follows:</w:t>
      </w:r>
    </w:p>
    <w:p>
      <w:pPr>
        <w:spacing w:after="0" w:line="154" w:lineRule="exact"/>
        <w:rPr>
          <w:sz w:val="20"/>
          <w:szCs w:val="20"/>
          <w:color w:val="auto"/>
        </w:rPr>
      </w:pPr>
    </w:p>
    <w:tbl>
      <w:tblPr>
        <w:tblLayout w:type="fixed"/>
        <w:tblInd w:w="84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2"/>
        </w:trPr>
        <w:tc>
          <w:tcPr>
            <w:tcW w:w="6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80" w:type="dxa"/>
            <w:vAlign w:val="bottom"/>
            <w:gridSpan w:val="4"/>
          </w:tcPr>
          <w:p>
            <w:pPr>
              <w:jc w:val="right"/>
              <w:ind w:right="143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64"/>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Face Value</w:t>
            </w:r>
          </w:p>
        </w:tc>
        <w:tc>
          <w:tcPr>
            <w:tcW w:w="100" w:type="dxa"/>
            <w:vAlign w:val="bottom"/>
          </w:tcPr>
          <w:p>
            <w:pPr>
              <w:spacing w:after="0"/>
              <w:rPr>
                <w:sz w:val="22"/>
                <w:szCs w:val="22"/>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602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1,104.9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1,095.5</w:t>
            </w:r>
          </w:p>
        </w:tc>
      </w:tr>
      <w:tr>
        <w:trPr>
          <w:trHeight w:val="20"/>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fair values were determined based on Level 2 inputs, including information gathered from brokers who trade in the Company’s long-term debt, as well as information on notes that are similar to those of the Company.</w:t>
      </w:r>
    </w:p>
    <w:p>
      <w:pPr>
        <w:spacing w:after="0" w:line="55" w:lineRule="exact"/>
        <w:rPr>
          <w:sz w:val="20"/>
          <w:szCs w:val="20"/>
          <w:color w:val="auto"/>
        </w:rPr>
      </w:pPr>
    </w:p>
    <w:p>
      <w:pPr>
        <w:ind w:left="320" w:right="8460" w:hanging="314"/>
        <w:spacing w:after="0" w:line="392" w:lineRule="auto"/>
        <w:tabs>
          <w:tab w:leader="none" w:pos="267"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Litigation, Claims and Disputes</w:t>
      </w:r>
    </w:p>
    <w:p>
      <w:pPr>
        <w:spacing w:after="0" w:line="1"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116"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In connection with the refranchising of Applebee’s restaurants to franchisees, the Company has, in certain cases, guaranteed or has potential continuing liability for lease payments totaling $331.8 million as of June 30, 2025. This amount represents the maximum potential liability for future payments under these leases. These leases have been assigned to the buyers and expire at the end of the respective lease terms, which range from 2025 through 2058. Excluding unexercised option periods, the Company's potential liability for future payments under these leases is $85.1 million. In the event of default, the indemnity and default clauses in the sale or assignment agreements govern the Company's ability to pursue and recover damages incurred.</w:t>
      </w:r>
    </w:p>
    <w:p>
      <w:pPr>
        <w:spacing w:after="0" w:line="76" w:lineRule="exact"/>
        <w:rPr>
          <w:sz w:val="20"/>
          <w:szCs w:val="20"/>
          <w:color w:val="auto"/>
        </w:rPr>
      </w:pPr>
    </w:p>
    <w:p>
      <w:pPr>
        <w:ind w:left="320" w:right="7600" w:hanging="314"/>
        <w:spacing w:after="0" w:line="370" w:lineRule="auto"/>
        <w:tabs>
          <w:tab w:leader="none" w:pos="267"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Cash Equivalents and Restricted Cash </w:t>
      </w:r>
      <w:r>
        <w:rPr>
          <w:rFonts w:ascii="Times New Roman" w:cs="Times New Roman" w:eastAsia="Times New Roman" w:hAnsi="Times New Roman"/>
          <w:sz w:val="18"/>
          <w:szCs w:val="18"/>
          <w:b w:val="1"/>
          <w:bCs w:val="1"/>
          <w:i w:val="1"/>
          <w:iCs w:val="1"/>
          <w:color w:val="auto"/>
        </w:rPr>
        <w:t>Cash and Cash Equivalents</w:t>
      </w:r>
    </w:p>
    <w:p>
      <w:pPr>
        <w:spacing w:after="0" w:line="1"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These cash equivalents are stated at cost which approximates market value. Cash held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Cash, Cash Equivalents and Restricted Cash (Continued)</w:t>
      </w:r>
    </w:p>
    <w:p>
      <w:pPr>
        <w:spacing w:after="0" w:line="200" w:lineRule="exact"/>
        <w:rPr>
          <w:sz w:val="20"/>
          <w:szCs w:val="20"/>
          <w:color w:val="auto"/>
        </w:rPr>
      </w:pPr>
    </w:p>
    <w:p>
      <w:pPr>
        <w:spacing w:after="0" w:line="2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related to IHOP advertising funds and the Company's gift card programs is not considered to be restricted cash as there are no restrictions on the use of these funds.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cash and cash equivalents were as follows:</w:t>
      </w:r>
    </w:p>
    <w:p>
      <w:pPr>
        <w:spacing w:after="0" w:line="327"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2"/>
        </w:trPr>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80" w:type="dxa"/>
            <w:vAlign w:val="bottom"/>
            <w:gridSpan w:val="4"/>
          </w:tcPr>
          <w:p>
            <w:pPr>
              <w:jc w:val="right"/>
              <w:ind w:right="141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advertising funds and gift card programs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2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depository accounts</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19"/>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r>
      <w:tr>
        <w:trPr>
          <w:trHeight w:val="20"/>
        </w:trPr>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Current Restricted Cash</w:t>
      </w:r>
    </w:p>
    <w:p>
      <w:pPr>
        <w:spacing w:after="0" w:line="116"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Current restricted cash primarily consisted of funds required to be held in trust in connection with the Company's securitized debt and funds from Applebee's franchisees pursuant to franchise agreements, usage of which was restricted to advertising activities.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current restricted cash were as follows:</w:t>
      </w:r>
    </w:p>
    <w:p>
      <w:pPr>
        <w:spacing w:after="0" w:line="327"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2"/>
        </w:trPr>
        <w:tc>
          <w:tcPr>
            <w:tcW w:w="7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gridSpan w:val="3"/>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5"/>
                <w:szCs w:val="15"/>
                <w:color w:val="auto"/>
              </w:rPr>
            </w:pPr>
          </w:p>
        </w:tc>
      </w:tr>
      <w:tr>
        <w:trPr>
          <w:trHeight w:val="23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 reserves</w:t>
            </w:r>
          </w:p>
        </w:tc>
        <w:tc>
          <w:tcPr>
            <w:tcW w:w="80" w:type="dxa"/>
            <w:vAlign w:val="bottom"/>
          </w:tcPr>
          <w:p>
            <w:pPr>
              <w:spacing w:after="0"/>
              <w:rPr>
                <w:sz w:val="20"/>
                <w:szCs w:val="20"/>
                <w:color w:val="auto"/>
              </w:rPr>
            </w:pPr>
          </w:p>
        </w:tc>
        <w:tc>
          <w:tcPr>
            <w:tcW w:w="1400" w:type="dxa"/>
            <w:vAlign w:val="bottom"/>
            <w:shd w:val="clear" w:color="auto" w:fill="CCEEFF"/>
          </w:tcPr>
          <w:p>
            <w:pPr>
              <w:jc w:val="right"/>
              <w:ind w:right="12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0"/>
                <w:szCs w:val="20"/>
                <w:color w:val="auto"/>
              </w:rPr>
            </w:pP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6"/>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advertising funds</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9"/>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restricted cash</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right"/>
              <w:ind w:right="12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0"/>
        </w:trPr>
        <w:tc>
          <w:tcPr>
            <w:tcW w:w="7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Non-current Restricted Cash</w:t>
      </w:r>
    </w:p>
    <w:p>
      <w:pPr>
        <w:spacing w:after="0" w:line="116"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Non-current restricted cash was $22.0 million at June 30, 2025 and $19.5 million at December 31, 2024 and represents interest reserves required to be set aside for the duration of the Company's securitized debt.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Business Acquisition</w:t>
      </w:r>
    </w:p>
    <w:p>
      <w:pPr>
        <w:spacing w:after="0" w:line="11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On March 5, 2025, the Company entered into a cooperation agreement with an IHOP franchisee to acquire 10 IHOP restaurants across Ohio and Kentucky for $0.2 million of consideration. The Company entered into the transaction to invest in the system, improve operations through innovation tests and create a blueprint for franchisee success and growth for the Company. Due to the fair value of the assets acquired exceeding the consideration transferred, the transaction resulted in a $0.2 million gain on bargain purchase, which is recorded under General and administrative expenses in the Consolidated Statements of Comprehensive Income for the three and six months ended June 30, 2025.</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net assets acquired at the date of acquisition (in millions):</w:t>
      </w:r>
    </w:p>
    <w:p>
      <w:pPr>
        <w:sectPr>
          <w:pgSz w:w="11900" w:h="16838" w:orient="portrait"/>
          <w:cols w:equalWidth="0" w:num="1">
            <w:col w:w="11240"/>
          </w:cols>
          <w:pgMar w:left="320" w:top="219" w:right="339" w:bottom="1440" w:gutter="0" w:footer="0" w:header="0"/>
        </w:sectPr>
      </w:pP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Equipment and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1724660</wp:posOffset>
            </wp:positionH>
            <wp:positionV relativeFrom="paragraph">
              <wp:posOffset>-127635</wp:posOffset>
            </wp:positionV>
            <wp:extent cx="2445385" cy="143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45385" cy="143510"/>
                    </a:xfrm>
                    <a:prstGeom prst="rect">
                      <a:avLst/>
                    </a:prstGeom>
                    <a:noFill/>
                  </pic:spPr>
                </pic:pic>
              </a:graphicData>
            </a:graphic>
          </wp:anchor>
        </w:drawing>
      </w:r>
    </w:p>
    <w:p>
      <w:pPr>
        <w:spacing w:after="0" w:line="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Inventory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1724660</wp:posOffset>
            </wp:positionH>
            <wp:positionV relativeFrom="paragraph">
              <wp:posOffset>18415</wp:posOffset>
            </wp:positionV>
            <wp:extent cx="2445385" cy="143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45385" cy="143510"/>
                    </a:xfrm>
                    <a:prstGeom prst="rect">
                      <a:avLst/>
                    </a:prstGeom>
                    <a:noFill/>
                  </pic:spPr>
                </pic:pic>
              </a:graphicData>
            </a:graphic>
          </wp:anchor>
        </w:drawing>
      </w:r>
    </w:p>
    <w:p>
      <w:pPr>
        <w:spacing w:after="0" w:line="1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Total identifiable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1724660</wp:posOffset>
            </wp:positionH>
            <wp:positionV relativeFrom="paragraph">
              <wp:posOffset>15240</wp:posOffset>
            </wp:positionV>
            <wp:extent cx="2445385" cy="168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45385" cy="168910"/>
                    </a:xfrm>
                    <a:prstGeom prst="rect">
                      <a:avLst/>
                    </a:prstGeom>
                    <a:noFill/>
                  </pic:spPr>
                </pic:pic>
              </a:graphicData>
            </a:graphic>
          </wp:anchor>
        </w:drawing>
      </w:r>
    </w:p>
    <w:p>
      <w:pPr>
        <w:spacing w:after="0" w:line="26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1724660</wp:posOffset>
            </wp:positionH>
            <wp:positionV relativeFrom="paragraph">
              <wp:posOffset>15240</wp:posOffset>
            </wp:positionV>
            <wp:extent cx="2445385" cy="168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45385" cy="168910"/>
                    </a:xfrm>
                    <a:prstGeom prst="rect">
                      <a:avLst/>
                    </a:prstGeom>
                    <a:noFill/>
                  </pic:spPr>
                </pic:pic>
              </a:graphicData>
            </a:graphic>
          </wp:anchor>
        </w:drawing>
      </w:r>
    </w:p>
    <w:p>
      <w:pPr>
        <w:spacing w:after="0" w:line="3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Bargain purchase gain</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96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6"/>
        </w:trPr>
        <w:tc>
          <w:tcPr>
            <w:tcW w:w="9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6"/>
        </w:trPr>
        <w:tc>
          <w:tcPr>
            <w:tcW w:w="9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9"/>
        </w:trPr>
        <w:tc>
          <w:tcPr>
            <w:tcW w:w="9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66"/>
        </w:trPr>
        <w:tc>
          <w:tcPr>
            <w:tcW w:w="9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6"/>
        </w:trPr>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4"/>
        </w:trPr>
        <w:tc>
          <w:tcPr>
            <w:tcW w:w="96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9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2">
            <w:col w:w="5960" w:space="720"/>
            <w:col w:w="4560"/>
          </w:cols>
          <w:pgMar w:left="320" w:top="219" w:right="339" w:bottom="1440" w:gutter="0" w:footer="0" w:header="0"/>
          <w:type w:val="continuous"/>
        </w:sect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On May 19, 2025, the Company entered into Assignment of Membership Interest and Amendment to Limited Liability Company Operating Agreements with an Applebee's franchisee to acquire 12 Applebee's restaurants across Kentucky, Indiana, Arkansas, and Oklahoma for $1.3 million of consideration. The Company entered into the transaction to invest in the system, improve operations through innovation tests and create a blueprint for franchisee success and growth for the Company. There were no significant indirect costs related to the transaction as of June 30, 2025.</w:t>
      </w:r>
    </w:p>
    <w:p>
      <w:pPr>
        <w:sectPr>
          <w:pgSz w:w="11900" w:h="16838" w:orient="portrait"/>
          <w:cols w:equalWidth="0" w:num="1">
            <w:col w:w="11240"/>
          </w:cols>
          <w:pgMar w:left="320" w:top="219" w:right="339"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Business Acquisition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net assets acquired at the date of acquisition (in millions):</w:t>
      </w:r>
    </w:p>
    <w:p>
      <w:pPr>
        <w:spacing w:after="0" w:line="157" w:lineRule="exact"/>
        <w:rPr>
          <w:sz w:val="20"/>
          <w:szCs w:val="20"/>
          <w:color w:val="auto"/>
        </w:rPr>
      </w:pPr>
    </w:p>
    <w:tbl>
      <w:tblPr>
        <w:tblLayout w:type="fixed"/>
        <w:tblInd w:w="2720" w:type="dxa"/>
        <w:tblCellMar>
          <w:top w:w="0" w:type="dxa"/>
          <w:left w:w="0" w:type="dxa"/>
          <w:bottom w:w="0" w:type="dxa"/>
          <w:right w:w="0" w:type="dxa"/>
        </w:tblCellMar>
      </w:tblPr>
      <w:tr>
        <w:trPr>
          <w:trHeight w:val="22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Off-market leases</w:t>
            </w:r>
          </w:p>
        </w:tc>
        <w:tc>
          <w:tcPr>
            <w:tcW w:w="120" w:type="dxa"/>
            <w:vAlign w:val="bottom"/>
          </w:tcPr>
          <w:p>
            <w:pPr>
              <w:spacing w:after="0"/>
              <w:rPr>
                <w:sz w:val="19"/>
                <w:szCs w:val="19"/>
                <w:color w:val="auto"/>
              </w:rPr>
            </w:pPr>
          </w:p>
        </w:tc>
        <w:tc>
          <w:tcPr>
            <w:tcW w:w="96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751"/>
              <w:spacing w:after="0"/>
              <w:rPr>
                <w:sz w:val="20"/>
                <w:szCs w:val="20"/>
                <w:color w:val="auto"/>
              </w:rPr>
            </w:pPr>
            <w:r>
              <w:rPr>
                <w:rFonts w:ascii="Times New Roman" w:cs="Times New Roman" w:eastAsia="Times New Roman" w:hAnsi="Times New Roman"/>
                <w:sz w:val="18"/>
                <w:szCs w:val="18"/>
                <w:color w:val="auto"/>
                <w:w w:val="97"/>
              </w:rPr>
              <w:t>1.2</w:t>
            </w:r>
          </w:p>
        </w:tc>
      </w:tr>
      <w:tr>
        <w:trPr>
          <w:trHeight w:val="22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jc w:val="center"/>
              <w:ind w:left="751"/>
              <w:spacing w:after="0"/>
              <w:rPr>
                <w:sz w:val="20"/>
                <w:szCs w:val="20"/>
                <w:color w:val="auto"/>
              </w:rPr>
            </w:pPr>
            <w:r>
              <w:rPr>
                <w:rFonts w:ascii="Times New Roman" w:cs="Times New Roman" w:eastAsia="Times New Roman" w:hAnsi="Times New Roman"/>
                <w:sz w:val="18"/>
                <w:szCs w:val="18"/>
                <w:color w:val="auto"/>
                <w:w w:val="97"/>
              </w:rPr>
              <w:t>0.9</w:t>
            </w:r>
          </w:p>
        </w:tc>
      </w:tr>
      <w:tr>
        <w:trPr>
          <w:trHeight w:val="22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and other current assets</w:t>
            </w:r>
          </w:p>
        </w:tc>
        <w:tc>
          <w:tcPr>
            <w:tcW w:w="120" w:type="dxa"/>
            <w:vAlign w:val="bottom"/>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51"/>
              <w:spacing w:after="0"/>
              <w:rPr>
                <w:sz w:val="20"/>
                <w:szCs w:val="20"/>
                <w:color w:val="auto"/>
              </w:rPr>
            </w:pPr>
            <w:r>
              <w:rPr>
                <w:rFonts w:ascii="Times New Roman" w:cs="Times New Roman" w:eastAsia="Times New Roman" w:hAnsi="Times New Roman"/>
                <w:sz w:val="18"/>
                <w:szCs w:val="18"/>
                <w:color w:val="auto"/>
                <w:w w:val="97"/>
              </w:rPr>
              <w:t>0.4</w:t>
            </w:r>
          </w:p>
        </w:tc>
      </w:tr>
      <w:tr>
        <w:trPr>
          <w:trHeight w:val="21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jc w:val="center"/>
              <w:ind w:left="751"/>
              <w:spacing w:after="0"/>
              <w:rPr>
                <w:sz w:val="20"/>
                <w:szCs w:val="20"/>
                <w:color w:val="auto"/>
              </w:rPr>
            </w:pPr>
            <w:r>
              <w:rPr>
                <w:rFonts w:ascii="Times New Roman" w:cs="Times New Roman" w:eastAsia="Times New Roman" w:hAnsi="Times New Roman"/>
                <w:sz w:val="18"/>
                <w:szCs w:val="18"/>
                <w:color w:val="auto"/>
                <w:w w:val="97"/>
              </w:rPr>
              <w:t>2.5</w:t>
            </w:r>
          </w:p>
        </w:tc>
      </w:tr>
      <w:tr>
        <w:trPr>
          <w:trHeight w:val="159"/>
        </w:trPr>
        <w:tc>
          <w:tcPr>
            <w:tcW w:w="3840" w:type="dxa"/>
            <w:vAlign w:val="bottom"/>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26"/>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51"/>
              <w:spacing w:after="0"/>
              <w:rPr>
                <w:sz w:val="20"/>
                <w:szCs w:val="20"/>
                <w:color w:val="auto"/>
              </w:rPr>
            </w:pPr>
            <w:r>
              <w:rPr>
                <w:rFonts w:ascii="Times New Roman" w:cs="Times New Roman" w:eastAsia="Times New Roman" w:hAnsi="Times New Roman"/>
                <w:sz w:val="18"/>
                <w:szCs w:val="18"/>
                <w:color w:val="auto"/>
                <w:w w:val="98"/>
              </w:rPr>
              <w:t>(2.8)</w:t>
            </w:r>
          </w:p>
        </w:tc>
      </w:tr>
      <w:tr>
        <w:trPr>
          <w:trHeight w:val="21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identifiable liabilities acquired</w:t>
            </w:r>
          </w:p>
        </w:tc>
        <w:tc>
          <w:tcPr>
            <w:tcW w:w="120" w:type="dxa"/>
            <w:vAlign w:val="bottom"/>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51"/>
              <w:spacing w:after="0"/>
              <w:rPr>
                <w:sz w:val="20"/>
                <w:szCs w:val="20"/>
                <w:color w:val="auto"/>
              </w:rPr>
            </w:pPr>
            <w:r>
              <w:rPr>
                <w:rFonts w:ascii="Times New Roman" w:cs="Times New Roman" w:eastAsia="Times New Roman" w:hAnsi="Times New Roman"/>
                <w:sz w:val="18"/>
                <w:szCs w:val="18"/>
                <w:color w:val="auto"/>
                <w:w w:val="98"/>
              </w:rPr>
              <w:t>(0.3)</w:t>
            </w:r>
          </w:p>
        </w:tc>
      </w:tr>
      <w:tr>
        <w:trPr>
          <w:trHeight w:val="226"/>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51"/>
              <w:spacing w:after="0"/>
              <w:rPr>
                <w:sz w:val="20"/>
                <w:szCs w:val="20"/>
                <w:color w:val="auto"/>
              </w:rPr>
            </w:pPr>
            <w:r>
              <w:rPr>
                <w:rFonts w:ascii="Times New Roman" w:cs="Times New Roman" w:eastAsia="Times New Roman" w:hAnsi="Times New Roman"/>
                <w:sz w:val="18"/>
                <w:szCs w:val="18"/>
                <w:color w:val="auto"/>
                <w:w w:val="97"/>
              </w:rPr>
              <w:t>1.6</w:t>
            </w:r>
          </w:p>
        </w:tc>
      </w:tr>
      <w:tr>
        <w:trPr>
          <w:trHeight w:val="244"/>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120" w:type="dxa"/>
            <w:vAlign w:val="bottom"/>
          </w:tcPr>
          <w:p>
            <w:pPr>
              <w:spacing w:after="0"/>
              <w:rPr>
                <w:sz w:val="20"/>
                <w:szCs w:val="20"/>
                <w:color w:val="auto"/>
              </w:rPr>
            </w:pPr>
          </w:p>
        </w:tc>
        <w:tc>
          <w:tcPr>
            <w:tcW w:w="96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center"/>
              <w:ind w:left="751"/>
              <w:spacing w:after="0"/>
              <w:rPr>
                <w:sz w:val="20"/>
                <w:szCs w:val="20"/>
                <w:color w:val="auto"/>
              </w:rPr>
            </w:pPr>
            <w:r>
              <w:rPr>
                <w:rFonts w:ascii="Times New Roman" w:cs="Times New Roman" w:eastAsia="Times New Roman" w:hAnsi="Times New Roman"/>
                <w:sz w:val="18"/>
                <w:szCs w:val="18"/>
                <w:color w:val="auto"/>
                <w:w w:val="97"/>
              </w:rPr>
              <w:t>1.3</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7"/>
          <w:szCs w:val="17"/>
          <w:color w:val="auto"/>
        </w:rPr>
        <w:t>The purchase price allocation is preliminary, subject to finalization of certain transition cut-off adjustments typical with transactions of this nature. There are no significant unresolved contingencies. The Company does not expect there will be material adjustments to the preliminary purchase price allocation.</w:t>
      </w:r>
    </w:p>
    <w:p>
      <w:pPr>
        <w:spacing w:after="0" w:line="167" w:lineRule="exact"/>
        <w:rPr>
          <w:sz w:val="20"/>
          <w:szCs w:val="20"/>
          <w:color w:val="auto"/>
        </w:rPr>
      </w:pPr>
    </w:p>
    <w:p>
      <w:pPr>
        <w:jc w:val="both"/>
        <w:ind w:firstLine="319"/>
        <w:spacing w:after="0"/>
        <w:rPr>
          <w:sz w:val="20"/>
          <w:szCs w:val="20"/>
          <w:color w:val="auto"/>
        </w:rPr>
      </w:pPr>
      <w:r>
        <w:rPr>
          <w:rFonts w:ascii="Times New Roman" w:cs="Times New Roman" w:eastAsia="Times New Roman" w:hAnsi="Times New Roman"/>
          <w:sz w:val="18"/>
          <w:szCs w:val="18"/>
          <w:color w:val="auto"/>
        </w:rPr>
        <w:t>The results of operation of these restaurants are included in the Company's consolidated results from the acquisition date. The Company has not presented pro forma results of the restaurants for periods prior to the acquisition because the business is not considered significant as measured by the amount of the Company's investment in and assets of the business relative to the Company's consolidated balance sheet and by the income before income taxes of the business relative to the Company's average income before income taxes for the most recent five-year period excluding loss years.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w:t>
      </w:r>
    </w:p>
    <w:p>
      <w:pPr>
        <w:spacing w:after="0" w:line="100" w:lineRule="exact"/>
        <w:rPr>
          <w:sz w:val="20"/>
          <w:szCs w:val="20"/>
          <w:color w:val="auto"/>
        </w:rPr>
      </w:pPr>
    </w:p>
    <w:p>
      <w:pPr>
        <w:jc w:val="both"/>
        <w:ind w:firstLine="319"/>
        <w:spacing w:after="0" w:line="245" w:lineRule="auto"/>
        <w:rPr>
          <w:sz w:val="20"/>
          <w:szCs w:val="20"/>
          <w:color w:val="auto"/>
        </w:rPr>
      </w:pPr>
      <w:r>
        <w:rPr>
          <w:rFonts w:ascii="Times New Roman" w:cs="Times New Roman" w:eastAsia="Times New Roman" w:hAnsi="Times New Roman"/>
          <w:sz w:val="18"/>
          <w:szCs w:val="18"/>
          <w:color w:val="auto"/>
        </w:rPr>
        <w:t>Subsequent to the end of the second quarter of 2025, on July 4, 2025, the One Big Beautiful Bill Act (“OBBBA”) was enacted. The OBBBA amends U.S. tax law, including provisions related to bonus depreciation, research and development expensing, and interest expense deduction, among other provisions. The Company is currently evaluating the impact of the OBBBA on its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4"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 and the MD&amp;A contained in the Company’s Annual Report on Form 10-K for the fiscal year ended December 31, 2024.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 Except where the context indicates otherwise, the words “we,” “us,” “our,” “Dine Brands Global” and the “Company” refer to Dine Brands Global, Inc., together with its subsidiaries that are consolidated in accordance with United States generally accepted accounting principles (“U.S. GAAP”).</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1" w:lineRule="exact"/>
        <w:rPr>
          <w:sz w:val="20"/>
          <w:szCs w:val="20"/>
          <w:color w:val="auto"/>
        </w:rPr>
      </w:pPr>
    </w:p>
    <w:p>
      <w:pPr>
        <w:jc w:val="both"/>
        <w:ind w:firstLine="319"/>
        <w:spacing w:after="0" w:line="197" w:lineRule="auto"/>
        <w:rPr>
          <w:sz w:val="20"/>
          <w:szCs w:val="20"/>
          <w:color w:val="auto"/>
        </w:rPr>
      </w:pPr>
      <w:r>
        <w:rPr>
          <w:rFonts w:ascii="Times New Roman" w:cs="Times New Roman" w:eastAsia="Times New Roman" w:hAnsi="Times New Roman"/>
          <w:sz w:val="18"/>
          <w:szCs w:val="18"/>
          <w:color w:val="auto"/>
        </w:rPr>
        <w:t>Through various subsidiaries, we own and franchise the Applebee's Neighborhood Grill &amp;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American full-service segment within the casual dining category of the restaurant industry,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mid-scale full-service restaurant segment within the family dining category of the restaurant industry, and the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(“Fuzzy's”) concept in the Mexican limited-service restaurant segment within the fast-casual dining category of the restaurant industry. References herein to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restaurants are to these three restaurant concepts, whether operated by franchisees, area licensees and their sub-licensees (collectively, “area licensees”) or by us. With close to 3,500 restaurants, we are one of the largest full-service restaurant companies in the world.</w:t>
      </w:r>
    </w:p>
    <w:p>
      <w:pPr>
        <w:spacing w:after="0" w:line="91"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We identify our business segments based on the organizational units used by management to monitor performance and make operating decisions. We currently have six operating segments: Applebee's franchise operations, IHOP franchise operations, Fuzzy's franchise operations, rental operations, financing operations, and company-owned restaurant operations. We have four reportable segments: franchise operations (an aggregation of each restaurant concept's franchise operations), rental operations, financing operations, and company-owned restaurant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Results</w:t>
      </w:r>
    </w:p>
    <w:p>
      <w:pPr>
        <w:spacing w:after="0" w:line="1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financial tables appearing in this MD&amp;A present amounts in millions of dollars that are rounded from our consolidated financial statements presented in thousands of dollars. As a result, the tables may not foot or crossfoot due to rounding.</w:t>
      </w:r>
    </w:p>
    <w:p>
      <w:pPr>
        <w:spacing w:after="0" w:line="23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66"/>
        </w:trPr>
        <w:tc>
          <w:tcPr>
            <w:tcW w:w="2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vMerge w:val="restart"/>
          </w:tcPr>
          <w:p>
            <w:pPr>
              <w:jc w:val="center"/>
              <w:ind w:right="80"/>
              <w:spacing w:after="0" w:line="133"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vMerge w:val="restart"/>
          </w:tcPr>
          <w:p>
            <w:pPr>
              <w:jc w:val="center"/>
              <w:ind w:right="99"/>
              <w:spacing w:after="0" w:line="133" w:lineRule="exact"/>
              <w:rPr>
                <w:sz w:val="20"/>
                <w:szCs w:val="20"/>
                <w:color w:val="auto"/>
              </w:rPr>
            </w:pPr>
            <w:r>
              <w:rPr>
                <w:rFonts w:ascii="Times New Roman" w:cs="Times New Roman" w:eastAsia="Times New Roman" w:hAnsi="Times New Roman"/>
                <w:sz w:val="14"/>
                <w:szCs w:val="14"/>
                <w:b w:val="1"/>
                <w:bCs w:val="1"/>
                <w:color w:val="auto"/>
                <w:w w:val="99"/>
              </w:rPr>
              <w:t>(Unfavorable)</w:t>
            </w:r>
          </w:p>
        </w:tc>
        <w:tc>
          <w:tcPr>
            <w:tcW w:w="0" w:type="dxa"/>
            <w:vAlign w:val="bottom"/>
          </w:tcPr>
          <w:p>
            <w:pPr>
              <w:spacing w:after="0"/>
              <w:rPr>
                <w:sz w:val="1"/>
                <w:szCs w:val="1"/>
                <w:color w:val="auto"/>
              </w:rPr>
            </w:pPr>
          </w:p>
        </w:tc>
      </w:tr>
      <w:tr>
        <w:trPr>
          <w:trHeight w:val="46"/>
        </w:trPr>
        <w:tc>
          <w:tcPr>
            <w:tcW w:w="2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4"/>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vMerge w:val="continue"/>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vMerge w:val="continue"/>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vMerge w:val="continue"/>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vMerge w:val="continue"/>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vMerge w:val="continue"/>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vMerge w:val="continue"/>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6"/>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7"/>
              </w:rPr>
              <w:t>27.0 %</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7"/>
              </w:rPr>
              <w:t>25.8 %</w:t>
            </w:r>
          </w:p>
        </w:tc>
        <w:tc>
          <w:tcPr>
            <w:tcW w:w="8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7"/>
              </w:rPr>
              <w:t>30.6 %</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26.4 %</w:t>
            </w:r>
          </w:p>
        </w:tc>
        <w:tc>
          <w:tcPr>
            <w:tcW w:w="8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76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100" w:type="dxa"/>
            <w:vAlign w:val="bottom"/>
            <w:vMerge w:val="continue"/>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vMerge w:val="continue"/>
          </w:tcPr>
          <w:p>
            <w:pPr>
              <w:spacing w:after="0"/>
              <w:rPr>
                <w:sz w:val="21"/>
                <w:szCs w:val="21"/>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vMerge w:val="continue"/>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vMerge w:val="continue"/>
          </w:tcPr>
          <w:p>
            <w:pPr>
              <w:spacing w:after="0"/>
              <w:rPr>
                <w:sz w:val="21"/>
                <w:szCs w:val="21"/>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vMerge w:val="continue"/>
          </w:tcPr>
          <w:p>
            <w:pPr>
              <w:spacing w:after="0"/>
              <w:rPr>
                <w:sz w:val="21"/>
                <w:szCs w:val="21"/>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vMerge w:val="continue"/>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760" w:type="dxa"/>
            <w:vAlign w:val="bottom"/>
            <w:tcBorders>
              <w:bottom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decrease</w:t>
            </w:r>
          </w:p>
        </w:tc>
        <w:tc>
          <w:tcPr>
            <w:tcW w:w="100" w:type="dxa"/>
            <w:vAlign w:val="bottom"/>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 decrease</w:t>
            </w:r>
          </w:p>
        </w:tc>
        <w:tc>
          <w:tcPr>
            <w:tcW w:w="0" w:type="dxa"/>
            <w:vAlign w:val="bottom"/>
          </w:tcPr>
          <w:p>
            <w:pPr>
              <w:spacing w:after="0"/>
              <w:rPr>
                <w:sz w:val="1"/>
                <w:szCs w:val="1"/>
                <w:color w:val="auto"/>
              </w:rPr>
            </w:pPr>
          </w:p>
        </w:tc>
      </w:tr>
      <w:tr>
        <w:trPr>
          <w:trHeight w:val="251"/>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0.0 %</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effective tax rate for the three and six months ended June 30, 2025 was higher than the rate of the comparable prior periods primarily due to a lower tax deduction related to stock-based compensation, resulting from the changes in our stock price.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00"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highlights the primary components of the decrease in our income before income taxes for the three and six months ended June 30, 2025, compared to our income before income taxes for the comparable prior periods (in millions):</w:t>
      </w:r>
    </w:p>
    <w:p>
      <w:pPr>
        <w:spacing w:after="0" w:line="95"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6"/>
          <w:szCs w:val="16"/>
          <w:b w:val="1"/>
          <w:bCs w:val="1"/>
          <w:color w:val="auto"/>
        </w:rPr>
        <w:t>Favorable</w:t>
      </w:r>
    </w:p>
    <w:p>
      <w:pPr>
        <w:jc w:val="center"/>
        <w:ind w:left="7220"/>
        <w:spacing w:after="0"/>
        <w:rPr>
          <w:sz w:val="20"/>
          <w:szCs w:val="20"/>
          <w:color w:val="auto"/>
        </w:rPr>
      </w:pPr>
      <w:r>
        <w:rPr>
          <w:rFonts w:ascii="Times New Roman" w:cs="Times New Roman" w:eastAsia="Times New Roman" w:hAnsi="Times New Roman"/>
          <w:sz w:val="16"/>
          <w:szCs w:val="16"/>
          <w:b w:val="1"/>
          <w:bCs w:val="1"/>
          <w:color w:val="auto"/>
        </w:rPr>
        <w:t>(Unfavorable) Variance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6985</wp:posOffset>
            </wp:positionV>
            <wp:extent cx="27863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jc w:val="right"/>
        <w:ind w:right="20"/>
        <w:spacing w:after="0"/>
        <w:tabs>
          <w:tab w:leader="none" w:pos="1880" w:val="left"/>
        </w:tabs>
        <w:rPr>
          <w:sz w:val="20"/>
          <w:szCs w:val="20"/>
          <w:color w:val="auto"/>
        </w:rPr>
      </w:pPr>
      <w:r>
        <w:rPr>
          <w:rFonts w:ascii="Times New Roman" w:cs="Times New Roman" w:eastAsia="Times New Roman" w:hAnsi="Times New Roman"/>
          <w:sz w:val="14"/>
          <w:szCs w:val="14"/>
          <w:b w:val="1"/>
          <w:bCs w:val="1"/>
          <w:color w:val="auto"/>
        </w:rPr>
        <w:t>Three Months Ended June 30, 2025</w:t>
      </w:r>
      <w:r>
        <w:rPr>
          <w:sz w:val="20"/>
          <w:szCs w:val="20"/>
          <w:color w:val="auto"/>
        </w:rPr>
        <w:tab/>
      </w:r>
      <w:r>
        <w:rPr>
          <w:rFonts w:ascii="Times New Roman" w:cs="Times New Roman" w:eastAsia="Times New Roman" w:hAnsi="Times New Roman"/>
          <w:sz w:val="14"/>
          <w:szCs w:val="14"/>
          <w:b w:val="1"/>
          <w:bCs w:val="1"/>
          <w:color w:val="auto"/>
        </w:rPr>
        <w:t>Six Months Ended June 30, 202</w:t>
      </w:r>
    </w:p>
    <w:p>
      <w:pPr>
        <w:sectPr>
          <w:pgSz w:w="11900" w:h="16838" w:orient="portrait"/>
          <w:cols w:equalWidth="0" w:num="1">
            <w:col w:w="11340"/>
          </w:cols>
          <w:pgMar w:left="320" w:top="223" w:right="239" w:bottom="1440" w:gutter="0" w:footer="0" w:header="0"/>
        </w:sectPr>
      </w:pPr>
    </w:p>
    <w:p>
      <w:pPr>
        <w:spacing w:after="0" w:line="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Increase (decrease) in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15240</wp:posOffset>
            </wp:positionV>
            <wp:extent cx="4149090" cy="143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49090" cy="143510"/>
                    </a:xfrm>
                    <a:prstGeom prst="rect">
                      <a:avLst/>
                    </a:prstGeom>
                    <a:noFill/>
                  </pic:spPr>
                </pic:pic>
              </a:graphicData>
            </a:graphic>
          </wp:anchor>
        </w:drawing>
      </w:r>
    </w:p>
    <w:p>
      <w:pPr>
        <w:spacing w:after="0" w:line="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Applebee's franchise operations</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IHOP franchise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11430</wp:posOffset>
            </wp:positionV>
            <wp:extent cx="4149090" cy="143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149090" cy="14351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8"/>
          <w:szCs w:val="18"/>
          <w:color w:val="auto"/>
        </w:rPr>
        <w:t>Fuzzy's franchise operations</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Company restaurant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11430</wp:posOffset>
            </wp:positionV>
            <wp:extent cx="4149090" cy="143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149090" cy="14351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8"/>
          <w:szCs w:val="18"/>
          <w:color w:val="auto"/>
        </w:rPr>
        <w:t>Rental and financing operations</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decrease in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15240</wp:posOffset>
            </wp:positionV>
            <wp:extent cx="4149090" cy="143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49090" cy="143510"/>
                    </a:xfrm>
                    <a:prstGeom prst="rect">
                      <a:avLst/>
                    </a:prstGeom>
                    <a:noFill/>
                  </pic:spPr>
                </pic:pic>
              </a:graphicData>
            </a:graphic>
          </wp:anchor>
        </w:drawing>
      </w:r>
    </w:p>
    <w:p>
      <w:pPr>
        <w:spacing w:after="0" w:line="5" w:lineRule="exact"/>
        <w:rPr>
          <w:sz w:val="20"/>
          <w:szCs w:val="20"/>
          <w:color w:val="auto"/>
        </w:rPr>
      </w:pPr>
    </w:p>
    <w:p>
      <w:pPr>
        <w:ind w:left="340" w:right="1820"/>
        <w:spacing w:after="0" w:line="261" w:lineRule="auto"/>
        <w:rPr>
          <w:sz w:val="20"/>
          <w:szCs w:val="20"/>
          <w:color w:val="auto"/>
        </w:rPr>
      </w:pPr>
      <w:r>
        <w:rPr>
          <w:rFonts w:ascii="Times New Roman" w:cs="Times New Roman" w:eastAsia="Times New Roman" w:hAnsi="Times New Roman"/>
          <w:sz w:val="18"/>
          <w:szCs w:val="18"/>
          <w:color w:val="auto"/>
        </w:rPr>
        <w:t>Increase in general and administrative ("G&amp;A") expenses Decrease in 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0</wp:posOffset>
            </wp:positionV>
            <wp:extent cx="4149090" cy="143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149090" cy="14351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Change in loss (gain) on disposition of assets</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 in 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11430</wp:posOffset>
            </wp:positionV>
            <wp:extent cx="4149090" cy="143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49090" cy="14351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Increase in closure and impairment charges</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 in 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11430</wp:posOffset>
            </wp:positionV>
            <wp:extent cx="4149090" cy="168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49090" cy="168910"/>
                    </a:xfrm>
                    <a:prstGeom prst="rect">
                      <a:avLst/>
                    </a:prstGeom>
                    <a:noFill/>
                  </pic:spPr>
                </pic:pic>
              </a:graphicData>
            </a:graphic>
          </wp:anchor>
        </w:drawing>
      </w:r>
    </w:p>
    <w:p>
      <w:pPr>
        <w:spacing w:after="0" w:line="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Decrease in income before income taxes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94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96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6"/>
        </w:trPr>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6"/>
        </w:trPr>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6"/>
        </w:trPr>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9"/>
        </w:trPr>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6"/>
        </w:trPr>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6"/>
        </w:trPr>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6"/>
        </w:trPr>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6"/>
        </w:trPr>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6"/>
        </w:trPr>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6"/>
        </w:trPr>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4"/>
        </w:trPr>
        <w:tc>
          <w:tcPr>
            <w:tcW w:w="940" w:type="dxa"/>
            <w:vAlign w:val="bottom"/>
            <w:tcBorders>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20"/>
                <w:szCs w:val="20"/>
                <w:color w:val="auto"/>
              </w:rPr>
            </w:pPr>
          </w:p>
        </w:tc>
        <w:tc>
          <w:tcPr>
            <w:tcW w:w="960" w:type="dxa"/>
            <w:vAlign w:val="bottom"/>
            <w:tcBorders>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-2057400</wp:posOffset>
            </wp:positionV>
            <wp:extent cx="27863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6240" w:space="720"/>
            <w:col w:w="4380"/>
          </w:cols>
          <w:pgMar w:left="320" w:top="223" w:right="239" w:bottom="1440" w:gutter="0" w:footer="0" w:header="0"/>
          <w:type w:val="continuous"/>
        </w:sectPr>
      </w:pPr>
    </w:p>
    <w:p>
      <w:pPr>
        <w:jc w:val="both"/>
        <w:ind w:right="100" w:firstLine="319"/>
        <w:spacing w:after="0" w:line="251" w:lineRule="auto"/>
        <w:rPr>
          <w:sz w:val="20"/>
          <w:szCs w:val="20"/>
          <w:color w:val="auto"/>
        </w:rPr>
      </w:pPr>
      <w:r>
        <w:rPr>
          <w:rFonts w:ascii="Times New Roman" w:cs="Times New Roman" w:eastAsia="Times New Roman" w:hAnsi="Times New Roman"/>
          <w:sz w:val="18"/>
          <w:szCs w:val="18"/>
          <w:color w:val="auto"/>
        </w:rPr>
        <w:t>Total gross profit for the three months ended June 30, 2025 decreased compared with the same period of the prior year due to decreased revenue from franchise, company restaurant and rental operations. In addition, income before income taxes for the three months ended June 30, 2025 decreased compared with the prior year period primarily due to a decrease in gross profit, an increase in G&amp;A expenses and a loss on extinguishment of debt in the current period. The increase in G&amp;A expenses is primarily attributable to an increase in compensation-related expenses and an increase in professional service fees, both due in part to the G&amp;A expenses related to company restaurant operations as well as dual brand and remodel initiatives. The loss on extinguishment of debt for the three months ended June 30, 2025 relates to the write-off of the unamortized debt issuance costs of the 2019 Class A-2-II Notes that were voluntarily fully repaid in June 2025.</w:t>
      </w:r>
    </w:p>
    <w:p>
      <w:pPr>
        <w:spacing w:after="0" w:line="78" w:lineRule="exact"/>
        <w:rPr>
          <w:sz w:val="20"/>
          <w:szCs w:val="20"/>
          <w:color w:val="auto"/>
        </w:rPr>
      </w:pPr>
    </w:p>
    <w:p>
      <w:pPr>
        <w:jc w:val="both"/>
        <w:ind w:right="100" w:firstLine="319"/>
        <w:spacing w:after="0" w:line="251" w:lineRule="auto"/>
        <w:rPr>
          <w:sz w:val="20"/>
          <w:szCs w:val="20"/>
          <w:color w:val="auto"/>
        </w:rPr>
      </w:pPr>
      <w:r>
        <w:rPr>
          <w:rFonts w:ascii="Times New Roman" w:cs="Times New Roman" w:eastAsia="Times New Roman" w:hAnsi="Times New Roman"/>
          <w:sz w:val="18"/>
          <w:szCs w:val="18"/>
          <w:color w:val="auto"/>
        </w:rPr>
        <w:t>Total gross profit for the six months ended June 30, 2025 decreased compared with the same period of the prior year due to decreased revenue from franchise, rental and company restaurant operations. In addition, income before income taxes for the six months ended June 30, 2025 decreased compared with the prior year period due to a decrease in gross profit, an increase in closure and impairment charges and an increase in G&amp;A expenses. The increase in closure and impairment charges was primarily attributable to the strategic realignment of the IHOP Cincinnati market resulting in the acquisition and closure of certain IHOP restaurants in March 2025. The increase in G&amp;A expenses is primarily due to an increase in professional service and legal fees and costs related to company restaurant operations as well as dual brand and remodel initiatives, partially offset by a decrease in stock-based compensation and a decrease in software maintenance costs.</w:t>
      </w:r>
    </w:p>
    <w:p>
      <w:pPr>
        <w:spacing w:after="0" w:line="78" w:lineRule="exact"/>
        <w:rPr>
          <w:sz w:val="20"/>
          <w:szCs w:val="20"/>
          <w:color w:val="auto"/>
        </w:rPr>
      </w:pPr>
    </w:p>
    <w:p>
      <w:pPr>
        <w:jc w:val="both"/>
        <w:ind w:right="100" w:firstLine="319"/>
        <w:spacing w:after="0" w:line="260" w:lineRule="auto"/>
        <w:rPr>
          <w:sz w:val="20"/>
          <w:szCs w:val="20"/>
          <w:color w:val="auto"/>
        </w:rPr>
      </w:pPr>
      <w:r>
        <w:rPr>
          <w:rFonts w:ascii="Times New Roman" w:cs="Times New Roman" w:eastAsia="Times New Roman" w:hAnsi="Times New Roman"/>
          <w:sz w:val="18"/>
          <w:szCs w:val="18"/>
          <w:color w:val="auto"/>
        </w:rPr>
        <w:t>Increases in commodity, labor and other restaurant operating costs experienced at restaurants owned and operated by our franchisees could impact us to the extent our franchisees are adversely impacted by a sustained decline in their operating margins. At company-owned restaurants, when applicable, increases in commodity, labor and other restaurant operating costs impact us directly.</w:t>
      </w:r>
    </w:p>
    <w:p>
      <w:pPr>
        <w:spacing w:after="0" w:line="69" w:lineRule="exact"/>
        <w:rPr>
          <w:sz w:val="20"/>
          <w:szCs w:val="20"/>
          <w:color w:val="auto"/>
        </w:rPr>
      </w:pPr>
    </w:p>
    <w:p>
      <w:pPr>
        <w:jc w:val="both"/>
        <w:ind w:right="100" w:firstLine="319"/>
        <w:spacing w:after="0" w:line="27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“Consolidated Results of Operations - Comparison of the Three and Six Months Ended June 30, 2025 and 2024”</w:t>
      </w:r>
      <w:r>
        <w:rPr>
          <w:rFonts w:ascii="Times New Roman" w:cs="Times New Roman" w:eastAsia="Times New Roman" w:hAnsi="Times New Roman"/>
          <w:sz w:val="18"/>
          <w:szCs w:val="18"/>
          <w:color w:val="auto"/>
        </w:rPr>
        <w:t xml:space="preserve"> for additional discussion of the changes shown above.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14" w:lineRule="exact"/>
        <w:rPr>
          <w:sz w:val="20"/>
          <w:szCs w:val="20"/>
          <w:color w:val="auto"/>
        </w:rPr>
      </w:pPr>
    </w:p>
    <w:p>
      <w:pPr>
        <w:jc w:val="both"/>
        <w:ind w:right="100" w:firstLine="319"/>
        <w:spacing w:after="0" w:line="253" w:lineRule="auto"/>
        <w:rPr>
          <w:sz w:val="20"/>
          <w:szCs w:val="20"/>
          <w:color w:val="auto"/>
        </w:rPr>
      </w:pPr>
      <w:r>
        <w:rPr>
          <w:rFonts w:ascii="Times New Roman" w:cs="Times New Roman" w:eastAsia="Times New Roman" w:hAnsi="Times New Roman"/>
          <w:sz w:val="18"/>
          <w:szCs w:val="18"/>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IHOP and Fuzzy's restaurants will impact our system-wide retail sales that drive franchise royalty revenues. Restaurant development also impacts franchise revenues in the form of initial franchise fees and, in the case of IHOP and Fuzzy's restaurants, sales of proprietary products.</w:t>
      </w: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223" w:right="2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key performance indicators for the three and six months ended June 30, 2025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5"/>
          </w:tcPr>
          <w:p>
            <w:pPr>
              <w:jc w:val="center"/>
              <w:ind w:left="8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1120" w:type="dxa"/>
            <w:vAlign w:val="bottom"/>
          </w:tcPr>
          <w:p>
            <w:pPr>
              <w:spacing w:after="0"/>
              <w:rPr>
                <w:sz w:val="18"/>
                <w:szCs w:val="18"/>
                <w:color w:val="auto"/>
              </w:rPr>
            </w:pPr>
          </w:p>
        </w:tc>
      </w:tr>
      <w:tr>
        <w:trPr>
          <w:trHeight w:val="215"/>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June 30, 2025</w:t>
            </w:r>
          </w:p>
        </w:tc>
        <w:tc>
          <w:tcPr>
            <w:tcW w:w="1120" w:type="dxa"/>
            <w:vAlign w:val="bottom"/>
            <w:tcBorders>
              <w:bottom w:val="single" w:sz="8" w:color="auto"/>
            </w:tcBorders>
          </w:tcPr>
          <w:p>
            <w:pPr>
              <w:spacing w:after="0"/>
              <w:rPr>
                <w:sz w:val="18"/>
                <w:szCs w:val="18"/>
                <w:color w:val="auto"/>
              </w:rPr>
            </w:pPr>
          </w:p>
        </w:tc>
      </w:tr>
      <w:tr>
        <w:trPr>
          <w:trHeight w:val="207"/>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Applebee's</w:t>
            </w:r>
          </w:p>
        </w:tc>
        <w:tc>
          <w:tcPr>
            <w:tcW w:w="100" w:type="dxa"/>
            <w:vAlign w:val="bottom"/>
          </w:tcPr>
          <w:p>
            <w:pPr>
              <w:spacing w:after="0"/>
              <w:rPr>
                <w:sz w:val="18"/>
                <w:szCs w:val="18"/>
                <w:color w:val="auto"/>
              </w:rPr>
            </w:pPr>
          </w:p>
        </w:tc>
        <w:tc>
          <w:tcPr>
            <w:tcW w:w="134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IHOP</w:t>
            </w:r>
          </w:p>
        </w:tc>
        <w:tc>
          <w:tcPr>
            <w:tcW w:w="92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Fuzzy's</w:t>
            </w:r>
          </w:p>
        </w:tc>
        <w:tc>
          <w:tcPr>
            <w:tcW w:w="100" w:type="dxa"/>
            <w:vAlign w:val="bottom"/>
          </w:tcPr>
          <w:p>
            <w:pPr>
              <w:spacing w:after="0"/>
              <w:rPr>
                <w:sz w:val="18"/>
                <w:szCs w:val="18"/>
                <w:color w:val="auto"/>
              </w:rPr>
            </w:pP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Applebee's</w:t>
            </w: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IHOP</w:t>
            </w:r>
          </w:p>
        </w:tc>
        <w:tc>
          <w:tcPr>
            <w:tcW w:w="11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Fuzzy's</w:t>
            </w:r>
          </w:p>
        </w:tc>
      </w:tr>
      <w:tr>
        <w:trPr>
          <w:trHeight w:val="154"/>
        </w:trPr>
        <w:tc>
          <w:tcPr>
            <w:tcW w:w="398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Sales percentage increase (decrease) in reported retail</w:t>
            </w:r>
          </w:p>
        </w:tc>
        <w:tc>
          <w:tcPr>
            <w:tcW w:w="100" w:type="dxa"/>
            <w:vAlign w:val="bottom"/>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r>
      <w:tr>
        <w:trPr>
          <w:trHeight w:val="23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- 2025 vs. 2024</w:t>
            </w:r>
          </w:p>
        </w:tc>
        <w:tc>
          <w:tcPr>
            <w:tcW w:w="100" w:type="dxa"/>
            <w:vAlign w:val="bottom"/>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0"/>
                <w:szCs w:val="20"/>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173"/>
        </w:trPr>
        <w:tc>
          <w:tcPr>
            <w:tcW w:w="39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 Increase (decrease) in domestic system-wide same-</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restaurant sales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franchise restaurant reduction </w:t>
            </w:r>
            <w:r>
              <w:rPr>
                <w:rFonts w:ascii="Times New Roman" w:cs="Times New Roman" w:eastAsia="Times New Roman" w:hAnsi="Times New Roman"/>
                <w:sz w:val="10"/>
                <w:szCs w:val="10"/>
                <w:color w:val="auto"/>
              </w:rPr>
              <w:t>(1)</w:t>
            </w:r>
          </w:p>
        </w:tc>
        <w:tc>
          <w:tcPr>
            <w:tcW w:w="100" w:type="dxa"/>
            <w:vAlign w:val="bottom"/>
          </w:tcPr>
          <w:p>
            <w:pPr>
              <w:spacing w:after="0"/>
              <w:rPr>
                <w:sz w:val="19"/>
                <w:szCs w:val="19"/>
                <w:color w:val="auto"/>
              </w:rPr>
            </w:pPr>
          </w:p>
        </w:tc>
        <w:tc>
          <w:tcPr>
            <w:tcW w:w="11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0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160" w:type="dxa"/>
            <w:vAlign w:val="bottom"/>
            <w:tcBorders>
              <w:right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1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11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r>
      <w:tr>
        <w:trPr>
          <w:trHeight w:val="302"/>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decrease in total effective restaurants </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24"/>
                <w:szCs w:val="24"/>
                <w:color w:val="auto"/>
              </w:rPr>
            </w:pPr>
          </w:p>
        </w:tc>
        <w:tc>
          <w:tcPr>
            <w:tcW w:w="11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4"/>
                <w:szCs w:val="24"/>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11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4"/>
                <w:szCs w:val="24"/>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w:t>
            </w: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94" w:lineRule="exact"/>
        <w:rPr>
          <w:sz w:val="20"/>
          <w:szCs w:val="20"/>
          <w:color w:val="auto"/>
        </w:rPr>
      </w:pPr>
    </w:p>
    <w:p>
      <w:pPr>
        <w:ind w:left="460" w:hanging="135"/>
        <w:spacing w:after="0"/>
        <w:tabs>
          <w:tab w:leader="none" w:pos="46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Franchise and area license restaurant closings, net of openings, during the three and six months ended June 30, 2025.</w:t>
      </w:r>
    </w:p>
    <w:p>
      <w:pPr>
        <w:spacing w:after="0" w:line="81" w:lineRule="exact"/>
        <w:rPr>
          <w:rFonts w:ascii="Times New Roman" w:cs="Times New Roman" w:eastAsia="Times New Roman" w:hAnsi="Times New Roman"/>
          <w:sz w:val="17"/>
          <w:szCs w:val="17"/>
          <w:color w:val="auto"/>
          <w:vertAlign w:val="superscript"/>
        </w:rPr>
      </w:pPr>
    </w:p>
    <w:p>
      <w:pPr>
        <w:ind w:left="320" w:firstLine="5"/>
        <w:spacing w:after="0" w:line="291" w:lineRule="auto"/>
        <w:tabs>
          <w:tab w:leader="none" w:pos="473"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Change in the weighted average number of franchise, area license and company-owned restaurants open during the three and six months ended June 30, 2025, compared to the weighted average number of those open during the same periods of 2024.</w:t>
      </w:r>
    </w:p>
    <w:p>
      <w:pPr>
        <w:spacing w:after="0" w:line="65"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change in total effective restaurants for each brand reflects both permanent closures, net of openings, over the past 12 months as well as the weighted effect of restaurants temporarily closed during each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47625</wp:posOffset>
            </wp:positionV>
            <wp:extent cx="5270500" cy="2319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70500" cy="2319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Applebee’s system-wide domestic same-restaurant sales increased 4.9% for the three months ended June 30, 2025 and 1.3% for the six months ended June 30, 2025 as compared to the same periods of 2024. The increase in same-restaurant sales was primarily due to an increase in traffic and average check.</w:t>
      </w:r>
    </w:p>
    <w:p>
      <w:pPr>
        <w:spacing w:after="0" w:line="5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Based on data from Black Box Intelligence, a restaurant sales reporting firm (“Black Box”), Applebee's increase in same-restaurant sales for the three months ended June 30, 2025 outperformed, and for the six months ended June 30, 2025 underperformed the casual dining segment of the restaurant industry (excluding Applebee's) as compared with the same respective periods of 2024.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Off-Premise Sales Data</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5"/>
        </w:trPr>
        <w:tc>
          <w:tcPr>
            <w:tcW w:w="5240" w:type="dxa"/>
            <w:vAlign w:val="bottom"/>
            <w:tcBorders>
              <w:bottom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52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463.0</w:t>
            </w:r>
          </w:p>
        </w:tc>
      </w:tr>
      <w:tr>
        <w:trPr>
          <w:trHeight w:val="232"/>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r>
    </w:tbl>
    <w:p>
      <w:pPr>
        <w:spacing w:after="0" w:line="157" w:lineRule="exact"/>
        <w:rPr>
          <w:sz w:val="20"/>
          <w:szCs w:val="20"/>
          <w:color w:val="auto"/>
        </w:rPr>
      </w:pPr>
    </w:p>
    <w:p>
      <w:pPr>
        <w:ind w:left="140" w:hanging="134"/>
        <w:spacing w:after="0"/>
        <w:tabs>
          <w:tab w:leader="none" w:pos="14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to-go, delivery and catering sales for comparable 2025 and 2024 restaurants.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485775</wp:posOffset>
            </wp:positionV>
            <wp:extent cx="5270500" cy="2319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70500" cy="2319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100" w:firstLine="319"/>
        <w:spacing w:after="0" w:line="245" w:lineRule="auto"/>
        <w:rPr>
          <w:sz w:val="20"/>
          <w:szCs w:val="20"/>
          <w:color w:val="auto"/>
        </w:rPr>
      </w:pPr>
      <w:r>
        <w:rPr>
          <w:rFonts w:ascii="Times New Roman" w:cs="Times New Roman" w:eastAsia="Times New Roman" w:hAnsi="Times New Roman"/>
          <w:sz w:val="18"/>
          <w:szCs w:val="18"/>
          <w:color w:val="auto"/>
        </w:rPr>
        <w:t>IHOP's system-wide domestic same-restaurant sales decreased 2.3% for the three months ended June 30, 2025 as compared to the same period of 2024, primarily due to a decrease in average check. IHOP's system-wide domestic same-restaurant sales decreased 2.5% for the six months ended June 30, 2025 as compared to the same period of 2024, primarily due to a decrease in average check and a decrease in traffic.</w:t>
      </w:r>
    </w:p>
    <w:p>
      <w:pPr>
        <w:spacing w:after="0" w:line="83" w:lineRule="exact"/>
        <w:rPr>
          <w:sz w:val="20"/>
          <w:szCs w:val="20"/>
          <w:color w:val="auto"/>
        </w:rPr>
      </w:pPr>
    </w:p>
    <w:p>
      <w:pPr>
        <w:jc w:val="both"/>
        <w:ind w:right="100" w:firstLine="319"/>
        <w:spacing w:after="0" w:line="259" w:lineRule="auto"/>
        <w:rPr>
          <w:sz w:val="20"/>
          <w:szCs w:val="20"/>
          <w:color w:val="auto"/>
        </w:rPr>
      </w:pPr>
      <w:r>
        <w:rPr>
          <w:rFonts w:ascii="Times New Roman" w:cs="Times New Roman" w:eastAsia="Times New Roman" w:hAnsi="Times New Roman"/>
          <w:sz w:val="18"/>
          <w:szCs w:val="18"/>
          <w:color w:val="auto"/>
        </w:rPr>
        <w:t>Based on data from Black Box, IHOP's same-restaurant sales for the three and six months ended June 30, 2025 underperformed the family dining segment of the restaurant industry (excluding IHOP) as compared with the same respective periods of 2024.</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Off-Premise Sales Data</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5"/>
        </w:trPr>
        <w:tc>
          <w:tcPr>
            <w:tcW w:w="5240" w:type="dxa"/>
            <w:vAlign w:val="bottom"/>
            <w:tcBorders>
              <w:bottom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52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305.5</w:t>
            </w:r>
          </w:p>
        </w:tc>
      </w:tr>
      <w:tr>
        <w:trPr>
          <w:trHeight w:val="232"/>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r>
    </w:tbl>
    <w:p>
      <w:pPr>
        <w:spacing w:after="0" w:line="159" w:lineRule="exact"/>
        <w:rPr>
          <w:sz w:val="20"/>
          <w:szCs w:val="20"/>
          <w:color w:val="auto"/>
        </w:rPr>
      </w:pPr>
    </w:p>
    <w:p>
      <w:pPr>
        <w:ind w:left="140" w:hanging="134"/>
        <w:spacing w:after="0"/>
        <w:tabs>
          <w:tab w:leader="none" w:pos="14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Primarily to-go, delivery and catering sales for comparable 2025 and 2024 restaurants.</w:t>
      </w:r>
    </w:p>
    <w:p>
      <w:pPr>
        <w:spacing w:after="0" w:line="9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Quarterly Domestic Same-Restaurant Sales - Fuzzy's</w:t>
      </w:r>
    </w:p>
    <w:p>
      <w:pPr>
        <w:spacing w:after="0" w:line="114" w:lineRule="exact"/>
        <w:rPr>
          <w:sz w:val="20"/>
          <w:szCs w:val="20"/>
          <w:color w:val="auto"/>
        </w:rPr>
      </w:pPr>
    </w:p>
    <w:p>
      <w:pPr>
        <w:jc w:val="both"/>
        <w:ind w:right="100" w:firstLine="319"/>
        <w:spacing w:after="0" w:line="260" w:lineRule="auto"/>
        <w:rPr>
          <w:sz w:val="20"/>
          <w:szCs w:val="20"/>
          <w:color w:val="auto"/>
        </w:rPr>
      </w:pPr>
      <w:r>
        <w:rPr>
          <w:rFonts w:ascii="Times New Roman" w:cs="Times New Roman" w:eastAsia="Times New Roman" w:hAnsi="Times New Roman"/>
          <w:sz w:val="18"/>
          <w:szCs w:val="18"/>
          <w:color w:val="auto"/>
        </w:rPr>
        <w:t>Fuzzy's system-wide domestic same-restaurant sales decreased 11.8% for the three months ended June 30, 2025 and 12.0% for the six months ended June 30, 2025 as compared to the same respective periods of 2024. The decrease in same-restaurant sales was primarily due to a decrease in traffic and a decrease in average check.</w:t>
      </w:r>
    </w:p>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235"/>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Fuzzy's Off-Premise Sales Data</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5"/>
        </w:trPr>
        <w:tc>
          <w:tcPr>
            <w:tcW w:w="5160" w:type="dxa"/>
            <w:vAlign w:val="bottom"/>
            <w:tcBorders>
              <w:bottom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516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38.1</w:t>
            </w:r>
          </w:p>
        </w:tc>
      </w:tr>
      <w:tr>
        <w:trPr>
          <w:trHeight w:val="232"/>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37.4 %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7"/>
              </w:rPr>
              <w:t>39.4 %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7"/>
              </w:rPr>
              <w:t>38.1 %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4"/>
              </w:rPr>
              <w:t>40.1 %</w:t>
            </w:r>
          </w:p>
        </w:tc>
      </w:tr>
    </w:tbl>
    <w:p>
      <w:pPr>
        <w:spacing w:after="0" w:line="157" w:lineRule="exact"/>
        <w:rPr>
          <w:sz w:val="20"/>
          <w:szCs w:val="20"/>
          <w:color w:val="auto"/>
        </w:rPr>
      </w:pPr>
    </w:p>
    <w:p>
      <w:pPr>
        <w:ind w:left="140" w:hanging="134"/>
        <w:spacing w:after="0"/>
        <w:tabs>
          <w:tab w:leader="none" w:pos="140"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to-go, delivery and catering sales for comparable 2025 and 2024 restaurants.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Data</w:t>
      </w:r>
    </w:p>
    <w:p>
      <w:pPr>
        <w:spacing w:after="0" w:line="114" w:lineRule="exact"/>
        <w:rPr>
          <w:sz w:val="20"/>
          <w:szCs w:val="20"/>
          <w:color w:val="auto"/>
        </w:rPr>
      </w:pPr>
    </w:p>
    <w:p>
      <w:pPr>
        <w:jc w:val="both"/>
        <w:ind w:right="100" w:firstLine="319"/>
        <w:spacing w:after="0" w:line="251" w:lineRule="auto"/>
        <w:rPr>
          <w:sz w:val="20"/>
          <w:szCs w:val="20"/>
          <w:color w:val="auto"/>
        </w:rPr>
      </w:pPr>
      <w:r>
        <w:rPr>
          <w:rFonts w:ascii="Times New Roman" w:cs="Times New Roman" w:eastAsia="Times New Roman" w:hAnsi="Times New Roman"/>
          <w:sz w:val="18"/>
          <w:szCs w:val="18"/>
          <w:color w:val="auto"/>
        </w:rPr>
        <w:t>The following table sets forth the number of “Effective Restaurants” in the Applebee’s, IHOP and Fuzzy's systems and information regarding the percentage change in sales at those restaurants compared to the same period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are based on a percentage of their sales. Management also uses this information to make decisions about plans for future development of additional restaurants as well as evaluation of current operations.</w:t>
      </w: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223"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7"/>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Restaurant Data</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7"/>
        </w:trPr>
        <w:tc>
          <w:tcPr>
            <w:tcW w:w="5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1,577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1,627</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1,587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1,631</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1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4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6"/>
        </w:trPr>
        <w:tc>
          <w:tcPr>
            <w:tcW w:w="51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(c)(e)</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6"/>
        </w:trPr>
        <w:tc>
          <w:tcPr>
            <w:tcW w:w="514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weekly domestic unit sales (in thousands)</w:t>
            </w:r>
          </w:p>
        </w:tc>
        <w:tc>
          <w:tcPr>
            <w:tcW w:w="100" w:type="dxa"/>
            <w:vAlign w:val="bottom"/>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66"/>
        </w:trPr>
        <w:tc>
          <w:tcPr>
            <w:tcW w:w="5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Restaurant Data</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1,647</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2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Area license</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1,791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1,802</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1,795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1,801</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1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4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173"/>
        </w:trPr>
        <w:tc>
          <w:tcPr>
            <w:tcW w:w="514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Domestic same-restaurant sales percentage change, including area</w:t>
            </w:r>
          </w:p>
        </w:tc>
        <w:tc>
          <w:tcPr>
            <w:tcW w:w="10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140" w:type="dxa"/>
            <w:vAlign w:val="bottom"/>
            <w:shd w:val="clear" w:color="auto" w:fill="CCEEFF"/>
          </w:tcPr>
          <w:p>
            <w:pPr>
              <w:ind w:left="220"/>
              <w:spacing w:after="0" w:line="239" w:lineRule="exact"/>
              <w:rPr>
                <w:sz w:val="20"/>
                <w:szCs w:val="20"/>
                <w:color w:val="auto"/>
              </w:rPr>
            </w:pPr>
            <w:r>
              <w:rPr>
                <w:rFonts w:ascii="Times New Roman" w:cs="Times New Roman" w:eastAsia="Times New Roman" w:hAnsi="Times New Roman"/>
                <w:sz w:val="18"/>
                <w:szCs w:val="18"/>
                <w:color w:val="auto"/>
              </w:rPr>
              <w:t>license restaurants</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6"/>
        </w:trPr>
        <w:tc>
          <w:tcPr>
            <w:tcW w:w="51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(c)(e)</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6"/>
        </w:trPr>
        <w:tc>
          <w:tcPr>
            <w:tcW w:w="514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weekly unit sales (in thousands)</w:t>
            </w:r>
          </w:p>
        </w:tc>
        <w:tc>
          <w:tcPr>
            <w:tcW w:w="100" w:type="dxa"/>
            <w:vAlign w:val="bottom"/>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6"/>
        </w:trPr>
        <w:tc>
          <w:tcPr>
            <w:tcW w:w="51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Area License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66"/>
        </w:trPr>
        <w:tc>
          <w:tcPr>
            <w:tcW w:w="5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Fuzzy's Restaurant Data</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6"/>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111</w:t>
            </w:r>
          </w:p>
        </w:tc>
        <w:tc>
          <w:tcPr>
            <w:tcW w:w="100" w:type="dxa"/>
            <w:vAlign w:val="bottom"/>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125</w:t>
            </w:r>
          </w:p>
        </w:tc>
        <w:tc>
          <w:tcPr>
            <w:tcW w:w="80" w:type="dxa"/>
            <w:vAlign w:val="bottom"/>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113</w:t>
            </w:r>
          </w:p>
        </w:tc>
        <w:tc>
          <w:tcPr>
            <w:tcW w:w="100" w:type="dxa"/>
            <w:vAlign w:val="bottom"/>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127</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line="212"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6"/>
        </w:trPr>
        <w:tc>
          <w:tcPr>
            <w:tcW w:w="514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4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2"/>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weekly domestic unit sales (in thousands)</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0"/>
                <w:szCs w:val="20"/>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320" w:hanging="314"/>
        <w:spacing w:after="0" w:line="264" w:lineRule="auto"/>
        <w:tabs>
          <w:tab w:leader="none" w:pos="30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Restaurants” are the weighted average number of restaurants open in each fiscal period, adjusted to account for restaurants open for only a portion of the period. Information is presented for all Effective Restaurants in the Applebee’s, IHOP and Fuzzy's systems, which consist of restaurants owned by franchisees and area licensees as well as those owned by the Company. Effective Restaurants do not include units operated as ghost kitchens (small kitchens with no store-front presence, used to fill off-premise orders).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320" w:hanging="314"/>
        <w:spacing w:after="0" w:line="261" w:lineRule="auto"/>
        <w:tabs>
          <w:tab w:leader="none" w:pos="27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“System-wide sales” are retail sales at Applebee’s and Fuzzy's restaurants operated by franchisees and IHOP restaurants operated by franchisees and area licensees, as reported to the Company, in addition to retail sales at company-owned Applebee's, IHOP and Fuzzy's restaurants. System-wide sales do not include retail sales of ghost kitchens.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IHOP and Fuzzy's franchise restaurants, IHOP area license restaurants, and Applebee's, IHOP and Fuzzy's company-owned restaurants were as follows:</w:t>
      </w:r>
    </w:p>
    <w:p>
      <w:pPr>
        <w:spacing w:after="0" w:line="119"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2"/>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Reported sales (in millions)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Applebee's franchise restaurant sales</w:t>
            </w:r>
          </w:p>
        </w:tc>
        <w:tc>
          <w:tcPr>
            <w:tcW w:w="100" w:type="dxa"/>
            <w:vAlign w:val="bottom"/>
            <w:vMerge w:val="continue"/>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1,105.0</w:t>
            </w:r>
          </w:p>
        </w:tc>
        <w:tc>
          <w:tcPr>
            <w:tcW w:w="100" w:type="dxa"/>
            <w:vAlign w:val="bottom"/>
            <w:vMerge w:val="continue"/>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1,102.0</w:t>
            </w:r>
          </w:p>
        </w:tc>
        <w:tc>
          <w:tcPr>
            <w:tcW w:w="100" w:type="dxa"/>
            <w:vAlign w:val="bottom"/>
            <w:vMerge w:val="continue"/>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2,160.1</w:t>
            </w:r>
          </w:p>
        </w:tc>
        <w:tc>
          <w:tcPr>
            <w:tcW w:w="80" w:type="dxa"/>
            <w:vAlign w:val="bottom"/>
            <w:vMerge w:val="continue"/>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2,222.9</w:t>
            </w:r>
          </w:p>
        </w:tc>
        <w:tc>
          <w:tcPr>
            <w:tcW w:w="0" w:type="dxa"/>
            <w:vAlign w:val="bottom"/>
          </w:tcPr>
          <w:p>
            <w:pPr>
              <w:spacing w:after="0"/>
              <w:rPr>
                <w:sz w:val="1"/>
                <w:szCs w:val="1"/>
                <w:color w:val="auto"/>
              </w:rPr>
            </w:pPr>
          </w:p>
        </w:tc>
      </w:tr>
      <w:tr>
        <w:trPr>
          <w:trHeight w:val="192"/>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Applebee's company-owned restaurants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IHOP franchise restaurant sales</w:t>
            </w: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799.9</w:t>
            </w: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822.0</w:t>
            </w: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1,580.2</w:t>
            </w:r>
          </w:p>
        </w:tc>
        <w:tc>
          <w:tcPr>
            <w:tcW w:w="8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1,625.9</w:t>
            </w:r>
          </w:p>
        </w:tc>
        <w:tc>
          <w:tcPr>
            <w:tcW w:w="0" w:type="dxa"/>
            <w:vAlign w:val="bottom"/>
          </w:tcPr>
          <w:p>
            <w:pPr>
              <w:spacing w:after="0"/>
              <w:rPr>
                <w:sz w:val="1"/>
                <w:szCs w:val="1"/>
                <w:color w:val="auto"/>
              </w:rPr>
            </w:pPr>
          </w:p>
        </w:tc>
      </w:tr>
      <w:tr>
        <w:trPr>
          <w:trHeight w:val="192"/>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IHOP area license restaurant sales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146.3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152.9</w:t>
            </w:r>
          </w:p>
        </w:tc>
        <w:tc>
          <w:tcPr>
            <w:tcW w:w="0" w:type="dxa"/>
            <w:vAlign w:val="bottom"/>
          </w:tcPr>
          <w:p>
            <w:pPr>
              <w:spacing w:after="0"/>
              <w:rPr>
                <w:sz w:val="1"/>
                <w:szCs w:val="1"/>
                <w:color w:val="auto"/>
              </w:rPr>
            </w:pPr>
          </w:p>
        </w:tc>
      </w:tr>
      <w:tr>
        <w:trPr>
          <w:trHeight w:val="20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IHOP company-owned restaurants</w:t>
            </w: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Fuzzy's franchise restaurant sales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20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Fuzzy's company-owned restaurants</w:t>
            </w: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99"/>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2,051.3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4,018.8</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4,101.4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260" w:hanging="254"/>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percentage change” reflects, for each category of restaurants, the percentage change in sales in any given fiscal period compared to the prior period for all restaurants in that category.</w:t>
      </w:r>
    </w:p>
    <w:p>
      <w:pPr>
        <w:spacing w:after="0" w:line="51" w:lineRule="exact"/>
        <w:rPr>
          <w:rFonts w:ascii="Times New Roman" w:cs="Times New Roman" w:eastAsia="Times New Roman" w:hAnsi="Times New Roman"/>
          <w:sz w:val="14"/>
          <w:szCs w:val="14"/>
          <w:color w:val="auto"/>
        </w:rPr>
      </w:pPr>
    </w:p>
    <w:p>
      <w:pPr>
        <w:jc w:val="both"/>
        <w:ind w:left="320" w:hanging="314"/>
        <w:spacing w:after="0" w:line="274" w:lineRule="auto"/>
        <w:tabs>
          <w:tab w:leader="none" w:pos="283"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same-restaurant sales percentage change” reflects the percentage change in sales in any given fiscal period, compared to the same weeks in the prior period, for domestic restaurants that have been operated during both periods that are being compared and have been open for at least 18 months. Because of new restaurant openings and restaurant closures, the domestic restaurants open throughout both fiscal periods being compared may be different from period to period.</w:t>
      </w:r>
    </w:p>
    <w:p>
      <w:pPr>
        <w:spacing w:after="0" w:line="19" w:lineRule="exact"/>
        <w:rPr>
          <w:rFonts w:ascii="Times New Roman" w:cs="Times New Roman" w:eastAsia="Times New Roman" w:hAnsi="Times New Roman"/>
          <w:sz w:val="14"/>
          <w:szCs w:val="14"/>
          <w:color w:val="auto"/>
        </w:rPr>
      </w:pPr>
    </w:p>
    <w:p>
      <w:pPr>
        <w:ind w:left="320" w:hanging="314"/>
        <w:spacing w:after="0" w:line="291" w:lineRule="auto"/>
        <w:tabs>
          <w:tab w:leader="none" w:pos="311"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franchise sales percentage change for 2025 was impacted by the acquisition of 47 Applebee's restaurants in November 2024, 10 IHOP restaurants in March 2025, and 12 Applebee's restaurants in May 2025 now reported as company-owned.</w:t>
      </w:r>
    </w:p>
    <w:p>
      <w:pPr>
        <w:spacing w:after="0" w:line="380"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 Activity</w:t>
            </w:r>
          </w:p>
        </w:tc>
        <w:tc>
          <w:tcPr>
            <w:tcW w:w="100" w:type="dxa"/>
            <w:vAlign w:val="bottom"/>
          </w:tcPr>
          <w:p>
            <w:pPr>
              <w:spacing w:after="0"/>
              <w:rPr>
                <w:sz w:val="20"/>
                <w:szCs w:val="20"/>
                <w:color w:val="auto"/>
              </w:rPr>
            </w:pPr>
          </w:p>
        </w:tc>
        <w:tc>
          <w:tcPr>
            <w:tcW w:w="27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80" w:type="dxa"/>
            <w:vAlign w:val="bottom"/>
          </w:tcPr>
          <w:p>
            <w:pPr>
              <w:spacing w:after="0"/>
              <w:rPr>
                <w:sz w:val="20"/>
                <w:szCs w:val="20"/>
                <w:color w:val="auto"/>
              </w:rPr>
            </w:pPr>
          </w:p>
        </w:tc>
        <w:tc>
          <w:tcPr>
            <w:tcW w:w="272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2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55"/>
        </w:trPr>
        <w:tc>
          <w:tcPr>
            <w:tcW w:w="516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Applebee's</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740" w:type="dxa"/>
            <w:vAlign w:val="bottom"/>
            <w:shd w:val="clear" w:color="auto" w:fill="000000"/>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Summary - beginning of period:</w:t>
            </w:r>
          </w:p>
        </w:tc>
        <w:tc>
          <w:tcPr>
            <w:tcW w:w="10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0" w:type="dxa"/>
            <w:vAlign w:val="bottom"/>
          </w:tcPr>
          <w:p>
            <w:pPr>
              <w:spacing w:after="0"/>
              <w:rPr>
                <w:sz w:val="1"/>
                <w:szCs w:val="1"/>
                <w:color w:val="auto"/>
              </w:rPr>
            </w:pPr>
          </w:p>
        </w:tc>
      </w:tr>
      <w:tr>
        <w:trPr>
          <w:trHeight w:val="215"/>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Applebee's restaurants, beginning of period</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1,594</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1,636</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1,614</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1,642</w:t>
            </w:r>
          </w:p>
        </w:tc>
        <w:tc>
          <w:tcPr>
            <w:tcW w:w="0" w:type="dxa"/>
            <w:vAlign w:val="bottom"/>
          </w:tcPr>
          <w:p>
            <w:pPr>
              <w:spacing w:after="0"/>
              <w:rPr>
                <w:sz w:val="1"/>
                <w:szCs w:val="1"/>
                <w:color w:val="auto"/>
              </w:rPr>
            </w:pPr>
          </w:p>
        </w:tc>
      </w:tr>
      <w:tr>
        <w:trPr>
          <w:trHeight w:val="20"/>
        </w:trPr>
        <w:tc>
          <w:tcPr>
            <w:tcW w:w="74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40" w:type="dxa"/>
            <w:vAlign w:val="bottom"/>
            <w:shd w:val="clear" w:color="auto" w:fill="CCEEFF"/>
          </w:tcPr>
          <w:p>
            <w:pPr>
              <w:spacing w:after="0"/>
              <w:rPr>
                <w:sz w:val="20"/>
                <w:szCs w:val="20"/>
                <w:color w:val="auto"/>
              </w:rPr>
            </w:pPr>
          </w:p>
        </w:tc>
        <w:tc>
          <w:tcPr>
            <w:tcW w:w="44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Franchise restaurants opened:</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8"/>
        </w:trPr>
        <w:tc>
          <w:tcPr>
            <w:tcW w:w="5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franchise restaurants opened</w:t>
            </w:r>
          </w:p>
        </w:tc>
        <w:tc>
          <w:tcPr>
            <w:tcW w:w="100" w:type="dxa"/>
            <w:vAlign w:val="bottom"/>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1"/>
        </w:trPr>
        <w:tc>
          <w:tcPr>
            <w:tcW w:w="5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Franchise restaurants permanently closed:</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8"/>
        </w:trPr>
        <w:tc>
          <w:tcPr>
            <w:tcW w:w="5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franchise restaurants permanently closed</w:t>
            </w:r>
          </w:p>
        </w:tc>
        <w:tc>
          <w:tcPr>
            <w:tcW w:w="100" w:type="dxa"/>
            <w:vAlign w:val="bottom"/>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5"/>
        </w:trPr>
        <w:tc>
          <w:tcPr>
            <w:tcW w:w="5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Net franchise restaurant reduction</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0" w:type="dxa"/>
            <w:vAlign w:val="bottom"/>
          </w:tcPr>
          <w:p>
            <w:pPr>
              <w:spacing w:after="0"/>
              <w:rPr>
                <w:sz w:val="1"/>
                <w:szCs w:val="1"/>
                <w:color w:val="auto"/>
              </w:rPr>
            </w:pPr>
          </w:p>
        </w:tc>
      </w:tr>
      <w:tr>
        <w:trPr>
          <w:trHeight w:val="205"/>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 restaurants acquired by the Company</w:t>
            </w:r>
          </w:p>
        </w:tc>
        <w:tc>
          <w:tcPr>
            <w:tcW w:w="100" w:type="dxa"/>
            <w:vAlign w:val="bottom"/>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decrease in franchise restaurants</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0" w:type="dxa"/>
            <w:vAlign w:val="bottom"/>
          </w:tcPr>
          <w:p>
            <w:pPr>
              <w:spacing w:after="0"/>
              <w:rPr>
                <w:sz w:val="1"/>
                <w:szCs w:val="1"/>
                <w:color w:val="auto"/>
              </w:rPr>
            </w:pPr>
          </w:p>
        </w:tc>
      </w:tr>
      <w:tr>
        <w:trPr>
          <w:trHeight w:val="20"/>
        </w:trPr>
        <w:tc>
          <w:tcPr>
            <w:tcW w:w="74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40" w:type="dxa"/>
            <w:vAlign w:val="bottom"/>
            <w:shd w:val="clear" w:color="auto" w:fill="CCEEFF"/>
          </w:tcPr>
          <w:p>
            <w:pPr>
              <w:spacing w:after="0"/>
              <w:rPr>
                <w:sz w:val="20"/>
                <w:szCs w:val="20"/>
                <w:color w:val="auto"/>
              </w:rPr>
            </w:pPr>
          </w:p>
        </w:tc>
        <w:tc>
          <w:tcPr>
            <w:tcW w:w="44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Summary - end of period:</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0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80" w:type="dxa"/>
            <w:vAlign w:val="bottom"/>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1,514</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Applebee's restaurants, end of period</w:t>
            </w:r>
          </w:p>
        </w:tc>
        <w:tc>
          <w:tcPr>
            <w:tcW w:w="100" w:type="dxa"/>
            <w:vAlign w:val="bottom"/>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1,573</w:t>
            </w:r>
          </w:p>
        </w:tc>
        <w:tc>
          <w:tcPr>
            <w:tcW w:w="100" w:type="dxa"/>
            <w:vAlign w:val="bottom"/>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1,625</w:t>
            </w:r>
          </w:p>
        </w:tc>
        <w:tc>
          <w:tcPr>
            <w:tcW w:w="80" w:type="dxa"/>
            <w:vAlign w:val="bottom"/>
          </w:tcPr>
          <w:p>
            <w:pPr>
              <w:spacing w:after="0"/>
              <w:rPr>
                <w:sz w:val="19"/>
                <w:szCs w:val="19"/>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1,573</w:t>
            </w:r>
          </w:p>
        </w:tc>
        <w:tc>
          <w:tcPr>
            <w:tcW w:w="100" w:type="dxa"/>
            <w:vAlign w:val="bottom"/>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1,468</w:t>
            </w:r>
          </w:p>
        </w:tc>
        <w:tc>
          <w:tcPr>
            <w:tcW w:w="100" w:type="dxa"/>
            <w:vAlign w:val="bottom"/>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1,520</w:t>
            </w:r>
          </w:p>
        </w:tc>
        <w:tc>
          <w:tcPr>
            <w:tcW w:w="80" w:type="dxa"/>
            <w:vAlign w:val="bottom"/>
          </w:tcPr>
          <w:p>
            <w:pPr>
              <w:spacing w:after="0"/>
              <w:rPr>
                <w:sz w:val="15"/>
                <w:szCs w:val="15"/>
                <w:color w:val="auto"/>
              </w:rPr>
            </w:pPr>
          </w:p>
        </w:tc>
        <w:tc>
          <w:tcPr>
            <w:tcW w:w="1320" w:type="dxa"/>
            <w:vAlign w:val="bottom"/>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rPr>
              <w:t>1,468</w:t>
            </w:r>
          </w:p>
        </w:tc>
        <w:tc>
          <w:tcPr>
            <w:tcW w:w="100" w:type="dxa"/>
            <w:vAlign w:val="bottom"/>
          </w:tcPr>
          <w:p>
            <w:pPr>
              <w:spacing w:after="0"/>
              <w:rPr>
                <w:sz w:val="15"/>
                <w:szCs w:val="15"/>
                <w:color w:val="auto"/>
              </w:rPr>
            </w:pPr>
          </w:p>
        </w:tc>
        <w:tc>
          <w:tcPr>
            <w:tcW w:w="13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1,520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 Activity</w:t>
            </w:r>
          </w:p>
        </w:tc>
        <w:tc>
          <w:tcPr>
            <w:tcW w:w="100" w:type="dxa"/>
            <w:vAlign w:val="bottom"/>
          </w:tcPr>
          <w:p>
            <w:pPr>
              <w:spacing w:after="0"/>
              <w:rPr>
                <w:sz w:val="20"/>
                <w:szCs w:val="20"/>
                <w:color w:val="auto"/>
              </w:rPr>
            </w:pPr>
          </w:p>
        </w:tc>
        <w:tc>
          <w:tcPr>
            <w:tcW w:w="27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80" w:type="dxa"/>
            <w:vAlign w:val="bottom"/>
          </w:tcPr>
          <w:p>
            <w:pPr>
              <w:spacing w:after="0"/>
              <w:rPr>
                <w:sz w:val="20"/>
                <w:szCs w:val="20"/>
                <w:color w:val="auto"/>
              </w:rPr>
            </w:pPr>
          </w:p>
        </w:tc>
        <w:tc>
          <w:tcPr>
            <w:tcW w:w="272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205"/>
        </w:trPr>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51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66"/>
        </w:trPr>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192"/>
        </w:trPr>
        <w:tc>
          <w:tcPr>
            <w:tcW w:w="420" w:type="dxa"/>
            <w:vAlign w:val="bottom"/>
            <w:tcBorders>
              <w:bottom w:val="single" w:sz="8" w:color="auto"/>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w w:val="97"/>
              </w:rPr>
              <w:t>IHOP</w:t>
            </w:r>
          </w:p>
        </w:tc>
        <w:tc>
          <w:tcPr>
            <w:tcW w:w="474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r>
      <w:tr>
        <w:trPr>
          <w:trHeight w:val="210"/>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Summary - beginning of period:</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10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8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r>
      <w:tr>
        <w:trPr>
          <w:trHeight w:val="208"/>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Area license</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5"/>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IHOP restaurants, beginning of period</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1,814</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1,809</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1,824</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1,814</w:t>
            </w: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2"/>
        </w:trPr>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08"/>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Franchise/area license restaurants opened:</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 franchise</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8"/>
        </w:trPr>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Domestic area license</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7"/>
        </w:trPr>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International franchise</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0"/>
        </w:trPr>
        <w:tc>
          <w:tcPr>
            <w:tcW w:w="516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6"/>
                <w:szCs w:val="16"/>
                <w:color w:val="auto"/>
              </w:rPr>
              <w:t>International area license</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1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franchise/area license restaurants opened</w:t>
            </w:r>
          </w:p>
        </w:tc>
        <w:tc>
          <w:tcPr>
            <w:tcW w:w="100" w:type="dxa"/>
            <w:vAlign w:val="bottom"/>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1"/>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Franchise/area license restaurants permanently closed:</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8"/>
        </w:trPr>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 franchise</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8"/>
        </w:trPr>
        <w:tc>
          <w:tcPr>
            <w:tcW w:w="51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Domestic area license</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7"/>
        </w:trPr>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International franchise</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516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6"/>
                <w:szCs w:val="16"/>
                <w:color w:val="auto"/>
              </w:rPr>
              <w:t>International area license</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1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franchise/area license restaurants permanently closed</w:t>
            </w:r>
          </w:p>
        </w:tc>
        <w:tc>
          <w:tcPr>
            <w:tcW w:w="100" w:type="dxa"/>
            <w:vAlign w:val="bottom"/>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5"/>
        </w:trPr>
        <w:tc>
          <w:tcPr>
            <w:tcW w:w="51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Net franchise/area license restaurant (reduction) addition</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r>
      <w:tr>
        <w:trPr>
          <w:trHeight w:val="205"/>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 restaurants acquired by the Company</w:t>
            </w:r>
          </w:p>
        </w:tc>
        <w:tc>
          <w:tcPr>
            <w:tcW w:w="100" w:type="dxa"/>
            <w:vAlign w:val="bottom"/>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Net (decrease) increase in franchise/area license restaurants</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2"/>
        </w:trPr>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10"/>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Summary - end of period:</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0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8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w:t>
            </w:r>
          </w:p>
        </w:tc>
      </w:tr>
      <w:tr>
        <w:trPr>
          <w:trHeight w:val="208"/>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Area license</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5"/>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IHOP restaurants, end of period</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1,796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1,811</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1,796</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1,811</w:t>
            </w: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6"/>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100" w:type="dxa"/>
            <w:vAlign w:val="bottom"/>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80" w:type="dxa"/>
            <w:vAlign w:val="bottom"/>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100" w:type="dxa"/>
            <w:vAlign w:val="bottom"/>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r>
      <w:tr>
        <w:trPr>
          <w:trHeight w:val="210"/>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68"/>
        </w:trPr>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183"/>
        </w:trPr>
        <w:tc>
          <w:tcPr>
            <w:tcW w:w="520" w:type="dxa"/>
            <w:vAlign w:val="bottom"/>
            <w:tcBorders>
              <w:bottom w:val="single" w:sz="8" w:color="auto"/>
            </w:tcBorders>
            <w:gridSpan w:val="2"/>
          </w:tcPr>
          <w:p>
            <w:pPr>
              <w:spacing w:after="0" w:line="173" w:lineRule="exact"/>
              <w:rPr>
                <w:sz w:val="20"/>
                <w:szCs w:val="20"/>
                <w:color w:val="auto"/>
              </w:rPr>
            </w:pPr>
            <w:r>
              <w:rPr>
                <w:rFonts w:ascii="Times New Roman" w:cs="Times New Roman" w:eastAsia="Times New Roman" w:hAnsi="Times New Roman"/>
                <w:sz w:val="16"/>
                <w:szCs w:val="16"/>
                <w:b w:val="1"/>
                <w:bCs w:val="1"/>
                <w:color w:val="auto"/>
                <w:w w:val="96"/>
              </w:rPr>
              <w:t>Fuzzy's</w:t>
            </w:r>
          </w:p>
        </w:tc>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22"/>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Summary - beginning of period:</w:t>
            </w:r>
          </w:p>
        </w:tc>
        <w:tc>
          <w:tcPr>
            <w:tcW w:w="10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08"/>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5"/>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8"/>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Fuzzy's restaurants, beginning of period</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w:t>
            </w: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2"/>
        </w:trPr>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08"/>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 restaurants opened:</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 restaurants permanently closed:</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5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5"/>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Net franchise restaurant reduction</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r>
      <w:tr>
        <w:trPr>
          <w:trHeight w:val="205"/>
        </w:trPr>
        <w:tc>
          <w:tcPr>
            <w:tcW w:w="51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Refranchised from Company restaurants</w:t>
            </w:r>
          </w:p>
        </w:tc>
        <w:tc>
          <w:tcPr>
            <w:tcW w:w="100" w:type="dxa"/>
            <w:vAlign w:val="bottom"/>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Net decrease in franchise restaurants</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60"/>
          </w:cols>
          <w:pgMar w:left="320" w:top="223" w:right="7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 Activity</w:t>
            </w:r>
          </w:p>
        </w:tc>
        <w:tc>
          <w:tcPr>
            <w:tcW w:w="100" w:type="dxa"/>
            <w:vAlign w:val="bottom"/>
          </w:tcPr>
          <w:p>
            <w:pPr>
              <w:spacing w:after="0"/>
              <w:rPr>
                <w:sz w:val="20"/>
                <w:szCs w:val="20"/>
                <w:color w:val="auto"/>
              </w:rPr>
            </w:pPr>
          </w:p>
        </w:tc>
        <w:tc>
          <w:tcPr>
            <w:tcW w:w="27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80" w:type="dxa"/>
            <w:vAlign w:val="bottom"/>
          </w:tcPr>
          <w:p>
            <w:pPr>
              <w:spacing w:after="0"/>
              <w:rPr>
                <w:sz w:val="20"/>
                <w:szCs w:val="20"/>
                <w:color w:val="auto"/>
              </w:rPr>
            </w:pPr>
          </w:p>
        </w:tc>
        <w:tc>
          <w:tcPr>
            <w:tcW w:w="272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0" w:type="dxa"/>
            <w:vAlign w:val="bottom"/>
          </w:tcPr>
          <w:p>
            <w:pPr>
              <w:spacing w:after="0"/>
              <w:rPr>
                <w:sz w:val="1"/>
                <w:szCs w:val="1"/>
                <w:color w:val="auto"/>
              </w:rPr>
            </w:pPr>
          </w:p>
        </w:tc>
      </w:tr>
      <w:tr>
        <w:trPr>
          <w:trHeight w:val="205"/>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16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Summary - end of period:</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3"/>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Fuzzy's restaurants, end of period</w:t>
            </w:r>
          </w:p>
        </w:tc>
        <w:tc>
          <w:tcPr>
            <w:tcW w:w="100" w:type="dxa"/>
            <w:vAlign w:val="bottom"/>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100" w:type="dxa"/>
            <w:vAlign w:val="bottom"/>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w:t>
            </w:r>
          </w:p>
        </w:tc>
        <w:tc>
          <w:tcPr>
            <w:tcW w:w="80" w:type="dxa"/>
            <w:vAlign w:val="bottom"/>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100" w:type="dxa"/>
            <w:vAlign w:val="bottom"/>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28"/>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The restaurant counts and activity presented above include 20 dual-branded international and one dual-branded domestic Applebee's and IHOP restaurants at June 30, 2025, and 10 dual-branded international Applebee's and IHOP restaurants at June 30, 2024, which are separately counted in each of our brands' restaurant counts and activity. Dual-branded restaurants are defined as restaurants that reside in one location and operate two of our restaurant concepts under two separate franchise agreements.</w:t>
      </w:r>
    </w:p>
    <w:p>
      <w:pPr>
        <w:spacing w:after="0" w:line="7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closures presented in the tables above represent permanent closures of restaurants. Temporary closures, which can occur for a variety of reasons, are not reflected as reductions in this table and are included in the summary counts at the beginning and end of each period shown. Temporary closures are reflected in the weighted calculation of Effective Restaurants presented in the preceding Restaurant Data table.</w:t>
      </w:r>
    </w:p>
    <w:p>
      <w:pPr>
        <w:spacing w:after="0" w:line="71"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Closures of restaurants adversely impact our system-wide retail sales that drive our franchise royalty revenues as well as, in the case of IHOP and Fuzzy's restaurants, sales of proprietary products. Further, with certain restaurants, we own or lease the underlying property and sublease it to the applicable franchisee. Thus, our rental income also could be adversely affected due to the loss of such income, as well as our obligation to make rental or other payments for such properties.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June 30, 2025 and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Impacting Comparability of Financial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 of Franchise Restaurants</w:t>
      </w:r>
    </w:p>
    <w:p>
      <w:pPr>
        <w:spacing w:after="0" w:line="152"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June 30, 2025, we operated 47 Applebee's restaurants across Georgia, Texas, Arkansas, Illinois, Kentucky, Tennessee, Mississippi and Missouri acquired in November 2024 and 10 IHOP restaurants in Ohio and Kentucky acquired in March 2025. During the three months ended June 30, 2025 we also operated 12 Applebee's restaurants across Kentucky, Indiana, Arkansas, and Oklahoma acquired in May 2025. During the three and six months ended June 30, 2024, we did not operate any Applebee's and IHOP restaurants.</w:t>
      </w:r>
    </w:p>
    <w:p>
      <w:pPr>
        <w:spacing w:after="0" w:line="7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While we currently intend to own and operate these restaurants for the near term, we will assess and monitor opportunities to refranchise these restaurants under favorable circumstances. From time to time, we may acquire restaurants from franchisees for a variety of reasons which is consistent with and should not be considered a change in our business strategy to operate as a highly franchised company.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4"/>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restart"/>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40" w:type="dxa"/>
            <w:vAlign w:val="bottom"/>
            <w:gridSpan w:val="4"/>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vMerge w:val="restart"/>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Favorable</w:t>
            </w:r>
          </w:p>
        </w:tc>
        <w:tc>
          <w:tcPr>
            <w:tcW w:w="0" w:type="dxa"/>
            <w:vAlign w:val="bottom"/>
          </w:tcPr>
          <w:p>
            <w:pPr>
              <w:spacing w:after="0"/>
              <w:rPr>
                <w:sz w:val="1"/>
                <w:szCs w:val="1"/>
                <w:color w:val="auto"/>
              </w:rPr>
            </w:pPr>
          </w:p>
        </w:tc>
      </w:tr>
      <w:tr>
        <w:trPr>
          <w:trHeight w:val="26"/>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4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restart"/>
          </w:tcPr>
          <w:p>
            <w:pPr>
              <w:jc w:val="center"/>
              <w:ind w:right="76"/>
              <w:spacing w:after="0" w:line="159" w:lineRule="exact"/>
              <w:rPr>
                <w:sz w:val="20"/>
                <w:szCs w:val="20"/>
                <w:color w:val="auto"/>
              </w:rPr>
            </w:pPr>
            <w:r>
              <w:rPr>
                <w:rFonts w:ascii="Times New Roman" w:cs="Times New Roman" w:eastAsia="Times New Roman" w:hAnsi="Times New Roman"/>
                <w:sz w:val="16"/>
                <w:szCs w:val="16"/>
                <w:b w:val="1"/>
                <w:bCs w:val="1"/>
                <w:color w:val="auto"/>
                <w:w w:val="99"/>
              </w:rPr>
              <w:t>(Unfavorable)</w:t>
            </w:r>
          </w:p>
        </w:tc>
        <w:tc>
          <w:tcPr>
            <w:tcW w:w="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vMerge w:val="restart"/>
          </w:tcPr>
          <w:p>
            <w:pPr>
              <w:jc w:val="center"/>
              <w:ind w:right="35"/>
              <w:spacing w:after="0" w:line="159" w:lineRule="exact"/>
              <w:rPr>
                <w:sz w:val="20"/>
                <w:szCs w:val="20"/>
                <w:color w:val="auto"/>
              </w:rPr>
            </w:pPr>
            <w:r>
              <w:rPr>
                <w:rFonts w:ascii="Times New Roman" w:cs="Times New Roman" w:eastAsia="Times New Roman" w:hAnsi="Times New Roman"/>
                <w:sz w:val="16"/>
                <w:szCs w:val="16"/>
                <w:b w:val="1"/>
                <w:bCs w:val="1"/>
                <w:color w:val="auto"/>
                <w:w w:val="99"/>
              </w:rPr>
              <w:t>(Unfavorable)</w:t>
            </w:r>
          </w:p>
        </w:tc>
        <w:tc>
          <w:tcPr>
            <w:tcW w:w="0" w:type="dxa"/>
            <w:vAlign w:val="bottom"/>
          </w:tcPr>
          <w:p>
            <w:pPr>
              <w:spacing w:after="0"/>
              <w:rPr>
                <w:sz w:val="1"/>
                <w:szCs w:val="1"/>
                <w:color w:val="auto"/>
              </w:rPr>
            </w:pPr>
          </w:p>
        </w:tc>
      </w:tr>
      <w:tr>
        <w:trPr>
          <w:trHeight w:val="36"/>
        </w:trPr>
        <w:tc>
          <w:tcPr>
            <w:tcW w:w="2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vMerge w:val="restart"/>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vMerge w:val="restart"/>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0" w:type="dxa"/>
            <w:vAlign w:val="bottom"/>
          </w:tcPr>
          <w:p>
            <w:pPr>
              <w:spacing w:after="0"/>
              <w:rPr>
                <w:sz w:val="1"/>
                <w:szCs w:val="1"/>
                <w:color w:val="auto"/>
              </w:rPr>
            </w:pPr>
          </w:p>
        </w:tc>
      </w:tr>
      <w:tr>
        <w:trPr>
          <w:trHeight w:val="183"/>
        </w:trPr>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Franchise operations</w:t>
            </w:r>
          </w:p>
        </w:tc>
        <w:tc>
          <w:tcPr>
            <w:tcW w:w="100" w:type="dxa"/>
            <w:vAlign w:val="bottom"/>
            <w:vMerge w:val="continue"/>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vMerge w:val="continue"/>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80" w:type="dxa"/>
            <w:vAlign w:val="bottom"/>
            <w:vMerge w:val="continue"/>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vMerge w:val="continue"/>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vMerge w:val="continue"/>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vMerge w:val="continue"/>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6"/>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Rental operations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6"/>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26"/>
        </w:trPr>
        <w:tc>
          <w:tcPr>
            <w:tcW w:w="2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operations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4"/>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8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20"/>
                <w:szCs w:val="20"/>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84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Change vs. prior period</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11.9 %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Total revenue for the three and six months ended June 30, 2025 increased compared with the same periods of the prior year, primarily due to the operation of 47 Applebee's restaurants acquired in November 2024 and ten IHOP restaurants acquired in March 2025 (and to a lesser extent for the six-month period, 12 Applebee's restaurants acquired in May 2025), partially offset by the decreases in franchise and rental operations revenue. The decrease in franchise operations revenue was primarily attributable to the decreases in IHOP and Fuzzy's domestic same-restaurant sales, the decrease in the number of effective franchise restaurants and the decrease in proprietary product sales partially offset by an increase in Applebee's domestic same-restaurant sales. Rental operations revenue for the three months ended June 30, 2025 decreased compared with the same period of the prior year, primarily due to lease terminations. Rental operations revenue for the six months ended June 30, 2025 decreased compared with the same period of the prior year, primarily due to lease terminations and a decrease in percentage rent due to lower system sales.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80" w:type="dxa"/>
            <w:vAlign w:val="bottom"/>
          </w:tcPr>
          <w:p>
            <w:pPr>
              <w:spacing w:after="0"/>
              <w:rPr>
                <w:sz w:val="20"/>
                <w:szCs w:val="20"/>
                <w:color w:val="auto"/>
              </w:rPr>
            </w:pPr>
          </w:p>
        </w:tc>
        <w:tc>
          <w:tcPr>
            <w:tcW w:w="2720" w:type="dxa"/>
            <w:vAlign w:val="bottom"/>
            <w:gridSpan w:val="5"/>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4"/>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79"/>
        </w:trPr>
        <w:tc>
          <w:tcPr>
            <w:tcW w:w="2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36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restart"/>
          </w:tcPr>
          <w:p>
            <w:pPr>
              <w:jc w:val="center"/>
              <w:ind w:right="60"/>
              <w:spacing w:after="0" w:line="106"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vMerge w:val="restart"/>
          </w:tcPr>
          <w:p>
            <w:pPr>
              <w:jc w:val="center"/>
              <w:ind w:right="79"/>
              <w:spacing w:after="0" w:line="106"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vMerge w:val="restart"/>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8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Franchise operations</w:t>
            </w:r>
          </w:p>
        </w:tc>
        <w:tc>
          <w:tcPr>
            <w:tcW w:w="80" w:type="dxa"/>
            <w:vAlign w:val="bottom"/>
          </w:tcPr>
          <w:p>
            <w:pPr>
              <w:spacing w:after="0"/>
              <w:rPr>
                <w:sz w:val="20"/>
                <w:szCs w:val="20"/>
                <w:color w:val="auto"/>
              </w:rPr>
            </w:pPr>
          </w:p>
        </w:tc>
        <w:tc>
          <w:tcPr>
            <w:tcW w:w="86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5"/>
              </w:rPr>
              <w:t>88.3</w:t>
            </w:r>
          </w:p>
        </w:tc>
        <w:tc>
          <w:tcPr>
            <w:tcW w:w="100" w:type="dxa"/>
            <w:vAlign w:val="bottom"/>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173.3</w:t>
            </w:r>
          </w:p>
        </w:tc>
        <w:tc>
          <w:tcPr>
            <w:tcW w:w="80" w:type="dxa"/>
            <w:vAlign w:val="bottom"/>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80" w:type="dxa"/>
            <w:vAlign w:val="bottom"/>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6"/>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Rental operations</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8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6"/>
        </w:trPr>
        <w:tc>
          <w:tcPr>
            <w:tcW w:w="2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operations</w:t>
            </w:r>
          </w:p>
        </w:tc>
        <w:tc>
          <w:tcPr>
            <w:tcW w:w="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profit</w:t>
            </w:r>
          </w:p>
        </w:tc>
        <w:tc>
          <w:tcPr>
            <w:tcW w:w="80" w:type="dxa"/>
            <w:vAlign w:val="bottom"/>
          </w:tcPr>
          <w:p>
            <w:pPr>
              <w:spacing w:after="0"/>
              <w:rPr>
                <w:sz w:val="20"/>
                <w:szCs w:val="20"/>
                <w:color w:val="auto"/>
              </w:rPr>
            </w:pPr>
          </w:p>
        </w:tc>
        <w:tc>
          <w:tcPr>
            <w:tcW w:w="86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5"/>
              </w:rPr>
              <w:t>92.2</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182.5</w:t>
            </w:r>
          </w:p>
        </w:tc>
        <w:tc>
          <w:tcPr>
            <w:tcW w:w="8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8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88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Change vs. prior period</w:t>
            </w:r>
          </w:p>
        </w:tc>
        <w:tc>
          <w:tcPr>
            <w:tcW w:w="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20"/>
              <w:spacing w:after="0" w:line="199" w:lineRule="exact"/>
              <w:rPr>
                <w:sz w:val="20"/>
                <w:szCs w:val="20"/>
                <w:color w:val="auto"/>
              </w:rPr>
            </w:pPr>
            <w:r>
              <w:rPr>
                <w:rFonts w:ascii="Times New Roman" w:cs="Times New Roman" w:eastAsia="Times New Roman" w:hAnsi="Times New Roman"/>
                <w:sz w:val="18"/>
                <w:szCs w:val="18"/>
                <w:color w:val="auto"/>
                <w:w w:val="96"/>
              </w:rPr>
              <w:t>(7.1)%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500"/>
              <w:spacing w:after="0" w:line="199" w:lineRule="exact"/>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Total gross profit for the three months ended June 30, 2025 decreased compared with the same period of the prior year, primarily due to decreased gross profit from franchise operations and decreased gross profit from company restaurant operations. The franchise operations gross profit decreased primarily due to lower Applebee's and IHOP franchise operations gross profit (see Franchise Operations section below for further details). The company restaurant operations gross profit decreased primarily due to the operation of the 59 Applebee's restaurants and ten IHOP restaurants acquired over the last eight months as mentioned above which the Company is investing in and working towards improving their operations.</w:t>
      </w:r>
    </w:p>
    <w:p>
      <w:pPr>
        <w:spacing w:after="0" w:line="78"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Total gross profit for the six months ended June 30, 2025 decreased compared with the same period of the prior year, primarily due to decreased gross profit from franchise operations as well as decreased gross profit from rental and company restaurant operations. The franchise operations gross profit decreased primarily due to lower Applebee's and IHOP franchise operations gross profit (see Franchise Operations section below for further details). The decrease in rental operations gross profit for the six months ended June 30, 2025 was primarily due to decreased rental revenue as described above. The company restaurant operations gross profit decreased primarily due to the operation of the 59 Applebee's restaurants and ten IHOP restaurants acquired over the last eight months as mentioned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Franchise Operations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4"/>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4"/>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center"/>
              <w:ind w:right="62"/>
              <w:spacing w:after="0" w:line="119"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center"/>
              <w:ind w:right="62"/>
              <w:spacing w:after="0" w:line="119"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46"/>
        </w:trPr>
        <w:tc>
          <w:tcPr>
            <w:tcW w:w="3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7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number of restaurants)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Effective Franchise Restaurants:</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Applebee’s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1,525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1,537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IHOP</w:t>
            </w: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1,781</w:t>
            </w:r>
          </w:p>
        </w:tc>
        <w:tc>
          <w:tcPr>
            <w:tcW w:w="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1,802</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1,789</w:t>
            </w:r>
          </w:p>
        </w:tc>
        <w:tc>
          <w:tcPr>
            <w:tcW w:w="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1,801</w:t>
            </w:r>
          </w:p>
        </w:tc>
        <w:tc>
          <w:tcPr>
            <w:tcW w:w="10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3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Fuzzy's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 franchise fees</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45.7</w:t>
            </w:r>
          </w:p>
        </w:tc>
        <w:tc>
          <w:tcPr>
            <w:tcW w:w="8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86.7</w:t>
            </w:r>
          </w:p>
        </w:tc>
        <w:tc>
          <w:tcPr>
            <w:tcW w:w="8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 franchise fees</w:t>
            </w: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52.6</w:t>
            </w:r>
          </w:p>
        </w:tc>
        <w:tc>
          <w:tcPr>
            <w:tcW w:w="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55.3</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105.1</w:t>
            </w:r>
          </w:p>
        </w:tc>
        <w:tc>
          <w:tcPr>
            <w:tcW w:w="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0"/>
        </w:trPr>
        <w:tc>
          <w:tcPr>
            <w:tcW w:w="3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Fuzzy's franchise fees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Advertising fees</w:t>
            </w:r>
          </w:p>
        </w:tc>
        <w:tc>
          <w:tcPr>
            <w:tcW w:w="100" w:type="dxa"/>
            <w:vAlign w:val="bottom"/>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73.5</w:t>
            </w:r>
          </w:p>
        </w:tc>
        <w:tc>
          <w:tcPr>
            <w:tcW w:w="8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74.5</w:t>
            </w:r>
          </w:p>
        </w:tc>
        <w:tc>
          <w:tcPr>
            <w:tcW w:w="8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144.0</w:t>
            </w:r>
          </w:p>
        </w:tc>
        <w:tc>
          <w:tcPr>
            <w:tcW w:w="8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149.8</w:t>
            </w:r>
          </w:p>
        </w:tc>
        <w:tc>
          <w:tcPr>
            <w:tcW w:w="10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4"/>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174.7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340.9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352.4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Expenses:</w:t>
            </w: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w:t>
            </w: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3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Fuzzy's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Advertising expenses</w:t>
            </w:r>
          </w:p>
        </w:tc>
        <w:tc>
          <w:tcPr>
            <w:tcW w:w="100" w:type="dxa"/>
            <w:vAlign w:val="bottom"/>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73.5</w:t>
            </w:r>
          </w:p>
        </w:tc>
        <w:tc>
          <w:tcPr>
            <w:tcW w:w="8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74.5</w:t>
            </w:r>
          </w:p>
        </w:tc>
        <w:tc>
          <w:tcPr>
            <w:tcW w:w="8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144.0</w:t>
            </w:r>
          </w:p>
        </w:tc>
        <w:tc>
          <w:tcPr>
            <w:tcW w:w="8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149.8</w:t>
            </w:r>
          </w:p>
        </w:tc>
        <w:tc>
          <w:tcPr>
            <w:tcW w:w="10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4"/>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expenses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86.4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167.7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Gross Profit:</w:t>
            </w: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41.6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w:t>
            </w: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44.2</w:t>
            </w:r>
          </w:p>
        </w:tc>
        <w:tc>
          <w:tcPr>
            <w:tcW w:w="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46.0</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88.0</w:t>
            </w:r>
          </w:p>
        </w:tc>
        <w:tc>
          <w:tcPr>
            <w:tcW w:w="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0"/>
        </w:trPr>
        <w:tc>
          <w:tcPr>
            <w:tcW w:w="3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Fuzzy's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3"/>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gross profit</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88.3</w:t>
            </w:r>
          </w:p>
        </w:tc>
        <w:tc>
          <w:tcPr>
            <w:tcW w:w="8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91.5</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173.3</w:t>
            </w:r>
          </w:p>
        </w:tc>
        <w:tc>
          <w:tcPr>
            <w:tcW w:w="8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180.9</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320" w:type="dxa"/>
            <w:vAlign w:val="bottom"/>
          </w:tcPr>
          <w:p>
            <w:pPr>
              <w:ind w:left="20"/>
              <w:spacing w:after="0" w:line="185" w:lineRule="exact"/>
              <w:rPr>
                <w:sz w:val="20"/>
                <w:szCs w:val="20"/>
                <w:color w:val="auto"/>
              </w:rPr>
            </w:pPr>
            <w:r>
              <w:rPr>
                <w:rFonts w:ascii="Times New Roman" w:cs="Times New Roman" w:eastAsia="Times New Roman" w:hAnsi="Times New Roman"/>
                <w:sz w:val="16"/>
                <w:szCs w:val="16"/>
                <w:color w:val="auto"/>
              </w:rPr>
              <w:t xml:space="preserve">Gross profit as % of franchise revenue </w:t>
            </w:r>
            <w:r>
              <w:rPr>
                <w:rFonts w:ascii="Times New Roman" w:cs="Times New Roman" w:eastAsia="Times New Roman" w:hAnsi="Times New Roman"/>
                <w:sz w:val="20"/>
                <w:szCs w:val="20"/>
                <w:color w:val="auto"/>
                <w:vertAlign w:val="superscript"/>
              </w:rPr>
              <w:t>(2)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320" w:type="dxa"/>
            <w:vAlign w:val="bottom"/>
            <w:tcBorders>
              <w:bottom w:val="single" w:sz="8" w:color="CCEEFF"/>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6"/>
                <w:szCs w:val="16"/>
                <w:color w:val="auto"/>
              </w:rPr>
              <w:t xml:space="preserve">Gross profit as % of franchise fees </w:t>
            </w:r>
            <w:r>
              <w:rPr>
                <w:rFonts w:ascii="Times New Roman" w:cs="Times New Roman" w:eastAsia="Times New Roman" w:hAnsi="Times New Roman"/>
                <w:sz w:val="20"/>
                <w:szCs w:val="20"/>
                <w:color w:val="auto"/>
                <w:vertAlign w:val="superscript"/>
              </w:rPr>
              <w:t>(2)(3)</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87.2 %</w:t>
            </w:r>
          </w:p>
        </w:tc>
        <w:tc>
          <w:tcPr>
            <w:tcW w:w="8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89.8 %</w:t>
            </w:r>
          </w:p>
        </w:tc>
        <w:tc>
          <w:tcPr>
            <w:tcW w:w="80" w:type="dxa"/>
            <w:vAlign w:val="bottom"/>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88.0 %</w:t>
            </w:r>
          </w:p>
        </w:tc>
        <w:tc>
          <w:tcPr>
            <w:tcW w:w="8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89.3 %</w:t>
            </w:r>
          </w:p>
        </w:tc>
        <w:tc>
          <w:tcPr>
            <w:tcW w:w="100" w:type="dxa"/>
            <w:vAlign w:val="bottom"/>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108" w:lineRule="exact"/>
        <w:rPr>
          <w:sz w:val="20"/>
          <w:szCs w:val="20"/>
          <w:color w:val="auto"/>
        </w:rPr>
      </w:pPr>
    </w:p>
    <w:p>
      <w:pPr>
        <w:ind w:left="160" w:right="20" w:hanging="154"/>
        <w:spacing w:after="0"/>
        <w:tabs>
          <w:tab w:leader="none" w:pos="131"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Effective Franchise Restaurants are the weighted average number of franchise and area license restaurants open in each fiscal period, adjusted to account for restaurants open for only a portion of the period.</w:t>
      </w:r>
    </w:p>
    <w:p>
      <w:pPr>
        <w:spacing w:after="0" w:line="159" w:lineRule="exact"/>
        <w:rPr>
          <w:rFonts w:ascii="Times New Roman" w:cs="Times New Roman" w:eastAsia="Times New Roman" w:hAnsi="Times New Roman"/>
          <w:sz w:val="16"/>
          <w:szCs w:val="16"/>
          <w:color w:val="auto"/>
          <w:vertAlign w:val="superscript"/>
        </w:rPr>
      </w:pPr>
    </w:p>
    <w:p>
      <w:pPr>
        <w:ind w:left="140" w:hanging="134"/>
        <w:spacing w:after="0"/>
        <w:tabs>
          <w:tab w:leader="none" w:pos="14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calculated on actual amounts, not rounded amounts presented above.</w:t>
      </w:r>
    </w:p>
    <w:p>
      <w:pPr>
        <w:spacing w:after="0" w:line="11" w:lineRule="exact"/>
        <w:rPr>
          <w:rFonts w:ascii="Times New Roman" w:cs="Times New Roman" w:eastAsia="Times New Roman" w:hAnsi="Times New Roman"/>
          <w:sz w:val="9"/>
          <w:szCs w:val="9"/>
          <w:color w:val="auto"/>
        </w:rPr>
      </w:pPr>
    </w:p>
    <w:p>
      <w:pPr>
        <w:ind w:left="160" w:hanging="154"/>
        <w:spacing w:after="0"/>
        <w:tabs>
          <w:tab w:leader="none" w:pos="152"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From time to time, advertising fee revenue may be different from advertising expenses in a given accounting period. Over the long term, advertising activity should not generate gross profit or loss.</w:t>
      </w:r>
    </w:p>
    <w:p>
      <w:pPr>
        <w:spacing w:after="0" w:line="23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Applebee's franchise fee revenue for the three months ended June 30, 2025 increased 6.2% as compared with the same period of the prior year, primarily due to an increase in termination fees and the favorable impact on royalties from a 5.0% increase in domestic franchise same-restaurant sales, partially offset by the decrease in the number of effective franchise restaurants due in part to our acquisition of 47 Applebee's restaurants in November 2024 and 12 Applebee's restaurants in May 2025.</w:t>
      </w:r>
    </w:p>
    <w:p>
      <w:pPr>
        <w:spacing w:after="0" w:line="7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Applebee's franchise fee revenue for the six months ended June 30, 2025 increased 0.3% as compared with the same period of the prior year, primarily due to an increase in termination fees and the favorable impact on royalties from a 1.5% increase in domestic franchise same-restaurant sales, partially offset by the decrease in the number of effective franchise restaurants due in part to our acquisition of 47 Applebee's restaurants and a decrease in accelerated franchise fee revenue recognition due to restaurant closures.</w:t>
      </w:r>
    </w:p>
    <w:p>
      <w:pPr>
        <w:spacing w:after="0" w:line="7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Applebee's franchise expenses for the three and six months ended June 30, 2025 increased $4.8 million and $6.0 million, respectively, compared with the same period of the prior year primarily due to an increase in bad debt expense mainly resulting from a recovery of bad debt expense in the same period of the prior year as well as an increase in refranchising costs.</w:t>
      </w:r>
    </w:p>
    <w:p>
      <w:pPr>
        <w:spacing w:after="0" w:line="7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IHOP franchise fee revenue for the three months ended June 30, 2025 decreased 4.9% as compared with the same period of the prior year, primarily due to a decrease in proprietary product sales and the unfavorable impact on royalties of a 2.2% decrease in domestic franchise same-restaurant sales and a decrease in the number of effective franchise restaurants partially offset by an increase in termination fees.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IHOP franchise fee revenue for the six months ended June 30, 2025 decreased 4.2%, as compared with the same period of the prior year, primarily due to a 2.4% decrease in domestic franchise same-restaurant sales and a decrease in the number of effective franchise restaurants as well as a decrease in proprietary product sales.</w:t>
      </w:r>
    </w:p>
    <w:p>
      <w:pPr>
        <w:spacing w:after="0" w:line="7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IHOP franchise expense for the three months ended June 30, 2025 decreased $0.8 million as compared with the same period of the prior year, primarily due to a decrease in franchisor advertising contribution.</w:t>
      </w:r>
    </w:p>
    <w:p>
      <w:pPr>
        <w:spacing w:after="0" w:line="5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IHOP franchise expenses for the six months ended June 30, 2025 decreased $1.5 million as compared with the same period of the prior year, primarily due to a decrease in franchisor advertising contribution and a decrease in the cost of proprietary product sales, partially offset by an increase in bad debt expense and an increase in franchisee IT support costs.</w:t>
      </w:r>
    </w:p>
    <w:p>
      <w:pPr>
        <w:spacing w:after="0" w:line="7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Fuzzy's franchise fee revenue for the three months ended June 30, 2025 decreased $0.7 million as compared with the same period of the prior year, primarily due to the unfavorable impact on royalties of a 11.8% decrease in franchise same-restaurant sales and a decrease in the number of effective franchise restaurants.</w:t>
      </w:r>
    </w:p>
    <w:p>
      <w:pPr>
        <w:spacing w:after="0" w:line="7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Fuzzy's franchise fee revenue for the six months ended June 30, 2025 decreased $1.3 million as compared with the same period of the prior year, primarily due to the unfavorable impact on royalties of a 12.0% decrease in franchise same-restaurant sales and a decrease in the number of effective franchise restaurants.</w:t>
      </w:r>
    </w:p>
    <w:p>
      <w:pPr>
        <w:spacing w:after="0" w:line="71"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Fuzzy's franchise expenses for the three and six months ended June 30, 2025 decreased $1.5 million and $2.4 million, respectively, as compared with the same periods of the prior year primarily due to a decrease in franchisor advertising contribution and a decrease in bad debt expense.</w:t>
      </w:r>
    </w:p>
    <w:p>
      <w:pPr>
        <w:spacing w:after="0" w:line="93" w:lineRule="exact"/>
        <w:rPr>
          <w:sz w:val="20"/>
          <w:szCs w:val="20"/>
          <w:color w:val="auto"/>
        </w:rPr>
      </w:pPr>
    </w:p>
    <w:tbl>
      <w:tblPr>
        <w:tblLayout w:type="fixed"/>
        <w:tblInd w:w="180" w:type="dxa"/>
        <w:tblCellMar>
          <w:top w:w="0" w:type="dxa"/>
          <w:left w:w="0" w:type="dxa"/>
          <w:bottom w:w="0" w:type="dxa"/>
          <w:right w:w="0" w:type="dxa"/>
        </w:tblCellMar>
      </w:tblPr>
      <w:tr>
        <w:trPr>
          <w:trHeight w:val="236"/>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Revenues and Expenses</w:t>
            </w:r>
          </w:p>
        </w:tc>
        <w:tc>
          <w:tcPr>
            <w:tcW w:w="100" w:type="dxa"/>
            <w:vAlign w:val="bottom"/>
          </w:tcPr>
          <w:p>
            <w:pPr>
              <w:spacing w:after="0"/>
              <w:rPr>
                <w:sz w:val="20"/>
                <w:szCs w:val="20"/>
                <w:color w:val="auto"/>
              </w:rPr>
            </w:pPr>
          </w:p>
        </w:tc>
        <w:tc>
          <w:tcPr>
            <w:tcW w:w="2380" w:type="dxa"/>
            <w:vAlign w:val="bottom"/>
            <w:gridSpan w:val="5"/>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gridSpan w:val="4"/>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restart"/>
          </w:tcPr>
          <w:p>
            <w:pPr>
              <w:jc w:val="right"/>
              <w:ind w:right="159"/>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restart"/>
          </w:tcPr>
          <w:p>
            <w:pPr>
              <w:jc w:val="right"/>
              <w:ind w:right="157"/>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8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Applebee’s</w:t>
            </w:r>
          </w:p>
        </w:tc>
        <w:tc>
          <w:tcPr>
            <w:tcW w:w="100" w:type="dxa"/>
            <w:vAlign w:val="bottom"/>
          </w:tcPr>
          <w:p>
            <w:pPr>
              <w:spacing w:after="0"/>
              <w:rPr>
                <w:sz w:val="20"/>
                <w:szCs w:val="20"/>
                <w:color w:val="auto"/>
              </w:rPr>
            </w:pPr>
          </w:p>
        </w:tc>
        <w:tc>
          <w:tcPr>
            <w:tcW w:w="72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6"/>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IHOP</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Fuzzy's</w:t>
            </w:r>
          </w:p>
        </w:tc>
        <w:tc>
          <w:tcPr>
            <w:tcW w:w="100" w:type="dxa"/>
            <w:vAlign w:val="bottom"/>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advertising revenues and expenses</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Advertising revenues and expenses for the three and six months ended June 30, 2025 decreased compared to the same periods of the prior year primarily due to fewer effective franchise restaurants due in part to our acquisition of company restaurants (whose contributions to the respective brand's national advertising fund are reflected as company restaurant expenses instead of advertising revenue) and the decreases in IHOP and Fuzzy's domestic franchise same-restaurant sales, partially offset by the increase in Applebee's domestic franchise same-restaurant sales.</w:t>
      </w:r>
    </w:p>
    <w:p>
      <w:pPr>
        <w:spacing w:after="0" w:line="7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It is our accounting policy to recognize any deficiency in advertising fee revenue compared to advertising expenditure or any recovery of a previously recognized deficiency in advertising fee revenue compared to advertising expenditure in the fourth quarter of our fiscal year.</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Rental Operations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4"/>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center"/>
              <w:ind w:right="62"/>
              <w:spacing w:after="0" w:line="113"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restart"/>
          </w:tcPr>
          <w:p>
            <w:pPr>
              <w:jc w:val="center"/>
              <w:ind w:right="41"/>
              <w:spacing w:after="0" w:line="113"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6"/>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Rental revenues</w:t>
            </w:r>
          </w:p>
        </w:tc>
        <w:tc>
          <w:tcPr>
            <w:tcW w:w="100" w:type="dxa"/>
            <w:vAlign w:val="bottom"/>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8"/>
                <w:szCs w:val="18"/>
                <w:color w:val="auto"/>
                <w:w w:val="98"/>
              </w:rPr>
              <w:t>(1.5)</w:t>
            </w:r>
          </w:p>
        </w:tc>
        <w:tc>
          <w:tcPr>
            <w:tcW w:w="80" w:type="dxa"/>
            <w:vAlign w:val="bottom"/>
          </w:tcPr>
          <w:p>
            <w:pPr>
              <w:spacing w:after="0"/>
              <w:rPr>
                <w:sz w:val="20"/>
                <w:szCs w:val="20"/>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61"/>
              <w:spacing w:after="0"/>
              <w:rPr>
                <w:sz w:val="20"/>
                <w:szCs w:val="20"/>
                <w:color w:val="auto"/>
              </w:rPr>
            </w:pPr>
            <w:r>
              <w:rPr>
                <w:rFonts w:ascii="Times New Roman" w:cs="Times New Roman" w:eastAsia="Times New Roman" w:hAnsi="Times New Roman"/>
                <w:sz w:val="18"/>
                <w:szCs w:val="18"/>
                <w:color w:val="auto"/>
                <w:w w:val="98"/>
              </w:rPr>
              <w:t>(4.4)</w:t>
            </w:r>
          </w:p>
        </w:tc>
        <w:tc>
          <w:tcPr>
            <w:tcW w:w="0" w:type="dxa"/>
            <w:vAlign w:val="bottom"/>
          </w:tcPr>
          <w:p>
            <w:pPr>
              <w:spacing w:after="0"/>
              <w:rPr>
                <w:sz w:val="1"/>
                <w:szCs w:val="1"/>
                <w:color w:val="auto"/>
              </w:rPr>
            </w:pPr>
          </w:p>
        </w:tc>
      </w:tr>
      <w:tr>
        <w:trPr>
          <w:trHeight w:val="226"/>
        </w:trPr>
        <w:tc>
          <w:tcPr>
            <w:tcW w:w="3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Rental expenses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62"/>
              <w:spacing w:after="0"/>
              <w:rPr>
                <w:sz w:val="20"/>
                <w:szCs w:val="20"/>
                <w:color w:val="auto"/>
              </w:rPr>
            </w:pPr>
            <w:r>
              <w:rPr>
                <w:rFonts w:ascii="Times New Roman" w:cs="Times New Roman" w:eastAsia="Times New Roman" w:hAnsi="Times New Roman"/>
                <w:sz w:val="18"/>
                <w:szCs w:val="18"/>
                <w:color w:val="auto"/>
                <w:w w:val="97"/>
              </w:rPr>
              <w:t>0.5</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 gross profit</w:t>
            </w:r>
          </w:p>
        </w:tc>
        <w:tc>
          <w:tcPr>
            <w:tcW w:w="100" w:type="dxa"/>
            <w:vAlign w:val="bottom"/>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center"/>
              <w:ind w:left="522"/>
              <w:spacing w:after="0"/>
              <w:rPr>
                <w:sz w:val="20"/>
                <w:szCs w:val="20"/>
                <w:color w:val="auto"/>
              </w:rPr>
            </w:pPr>
            <w:r>
              <w:rPr>
                <w:rFonts w:ascii="Times New Roman" w:cs="Times New Roman" w:eastAsia="Times New Roman" w:hAnsi="Times New Roman"/>
                <w:sz w:val="18"/>
                <w:szCs w:val="18"/>
                <w:color w:val="auto"/>
                <w:w w:val="98"/>
              </w:rPr>
              <w:t>(1.0)</w:t>
            </w:r>
          </w:p>
        </w:tc>
        <w:tc>
          <w:tcPr>
            <w:tcW w:w="80" w:type="dxa"/>
            <w:vAlign w:val="bottom"/>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ind w:left="561"/>
              <w:spacing w:after="0"/>
              <w:rPr>
                <w:sz w:val="20"/>
                <w:szCs w:val="20"/>
                <w:color w:val="auto"/>
              </w:rPr>
            </w:pPr>
            <w:r>
              <w:rPr>
                <w:rFonts w:ascii="Times New Roman" w:cs="Times New Roman" w:eastAsia="Times New Roman" w:hAnsi="Times New Roman"/>
                <w:sz w:val="18"/>
                <w:szCs w:val="18"/>
                <w:color w:val="auto"/>
                <w:w w:val="98"/>
              </w:rPr>
              <w:t>(3.2)</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46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 xml:space="preserve">Gross profit as % of rental revenue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23.2 %</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25.4 %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320"/>
              <w:spacing w:after="0" w:line="199" w:lineRule="exact"/>
              <w:rPr>
                <w:sz w:val="20"/>
                <w:szCs w:val="20"/>
                <w:color w:val="auto"/>
              </w:rPr>
            </w:pPr>
            <w:r>
              <w:rPr>
                <w:rFonts w:ascii="Times New Roman" w:cs="Times New Roman" w:eastAsia="Times New Roman" w:hAnsi="Times New Roman"/>
                <w:sz w:val="18"/>
                <w:szCs w:val="18"/>
                <w:color w:val="auto"/>
                <w:w w:val="97"/>
              </w:rPr>
              <w:t>21.8 %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420"/>
              <w:spacing w:after="0" w:line="199" w:lineRule="exact"/>
              <w:rPr>
                <w:sz w:val="20"/>
                <w:szCs w:val="20"/>
                <w:color w:val="auto"/>
              </w:rPr>
            </w:pPr>
            <w:r>
              <w:rPr>
                <w:rFonts w:ascii="Times New Roman" w:cs="Times New Roman" w:eastAsia="Times New Roman" w:hAnsi="Times New Roman"/>
                <w:sz w:val="18"/>
                <w:szCs w:val="18"/>
                <w:color w:val="auto"/>
                <w:w w:val="97"/>
              </w:rPr>
              <w:t>25.5 %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108" w:lineRule="exact"/>
        <w:rPr>
          <w:sz w:val="20"/>
          <w:szCs w:val="20"/>
          <w:color w:val="auto"/>
        </w:rPr>
      </w:pPr>
    </w:p>
    <w:p>
      <w:pPr>
        <w:ind w:left="140" w:hanging="134"/>
        <w:spacing w:after="0"/>
        <w:tabs>
          <w:tab w:leader="none" w:pos="14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calculated on actual amounts, not rounded amounts presented above.</w:t>
      </w:r>
    </w:p>
    <w:p>
      <w:pPr>
        <w:spacing w:after="0" w:line="122"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Rental operations relate primarily to IHOP franchise restaurants. Rental income includes sublease revenue from operating leases and interest income from real estate leases. Rental expenses are costs of prime operating leases and interest expense on prime finance leases.</w:t>
      </w:r>
    </w:p>
    <w:p>
      <w:pPr>
        <w:spacing w:after="0" w:line="57" w:lineRule="exact"/>
        <w:rPr>
          <w:sz w:val="20"/>
          <w:szCs w:val="20"/>
          <w:color w:val="auto"/>
        </w:rPr>
      </w:pPr>
    </w:p>
    <w:p>
      <w:pPr>
        <w:ind w:right="400" w:firstLine="319"/>
        <w:spacing w:after="0" w:line="275" w:lineRule="auto"/>
        <w:rPr>
          <w:sz w:val="20"/>
          <w:szCs w:val="20"/>
          <w:color w:val="auto"/>
        </w:rPr>
      </w:pPr>
      <w:r>
        <w:rPr>
          <w:rFonts w:ascii="Times New Roman" w:cs="Times New Roman" w:eastAsia="Times New Roman" w:hAnsi="Times New Roman"/>
          <w:sz w:val="18"/>
          <w:szCs w:val="18"/>
          <w:color w:val="auto"/>
        </w:rPr>
        <w:t>Rental operations gross profit for the three months ended June 30, 2025 decreased as compared to the same period of the prior year, primarily due to operating lease terminations.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60" w:firstLine="319"/>
        <w:spacing w:after="0" w:line="275" w:lineRule="auto"/>
        <w:rPr>
          <w:sz w:val="20"/>
          <w:szCs w:val="20"/>
          <w:color w:val="auto"/>
        </w:rPr>
      </w:pPr>
      <w:r>
        <w:rPr>
          <w:rFonts w:ascii="Times New Roman" w:cs="Times New Roman" w:eastAsia="Times New Roman" w:hAnsi="Times New Roman"/>
          <w:sz w:val="18"/>
          <w:szCs w:val="18"/>
          <w:color w:val="auto"/>
        </w:rPr>
        <w:t>Rental operations gross profit for the six months ended June 30, 2025 decreased as compared to the same period of the prior year, primarily due to lease terminations and a decrease in percentage rent due to lower system sales.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Company Restaurant and Financing</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0" w:type="dxa"/>
            <w:vAlign w:val="bottom"/>
          </w:tcPr>
          <w:p>
            <w:pPr>
              <w:spacing w:after="0"/>
              <w:rPr>
                <w:sz w:val="1"/>
                <w:szCs w:val="1"/>
                <w:color w:val="auto"/>
              </w:rPr>
            </w:pPr>
          </w:p>
        </w:tc>
      </w:tr>
      <w:tr>
        <w:trPr>
          <w:trHeight w:val="173"/>
        </w:trPr>
        <w:tc>
          <w:tcPr>
            <w:tcW w:w="336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i w:val="1"/>
                <w:iCs w:val="1"/>
                <w:color w:val="auto"/>
              </w:rPr>
              <w:t>Operations</w:t>
            </w:r>
          </w:p>
        </w:tc>
        <w:tc>
          <w:tcPr>
            <w:tcW w:w="100" w:type="dxa"/>
            <w:vAlign w:val="bottom"/>
          </w:tcPr>
          <w:p>
            <w:pPr>
              <w:spacing w:after="0"/>
              <w:rPr>
                <w:sz w:val="15"/>
                <w:szCs w:val="15"/>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3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jc w:val="center"/>
              <w:ind w:right="63"/>
              <w:spacing w:after="0" w:line="60" w:lineRule="exact"/>
              <w:rPr>
                <w:sz w:val="20"/>
                <w:szCs w:val="20"/>
                <w:color w:val="auto"/>
              </w:rPr>
            </w:pPr>
            <w:r>
              <w:rPr>
                <w:rFonts w:ascii="Times New Roman" w:cs="Times New Roman" w:eastAsia="Times New Roman" w:hAnsi="Times New Roman"/>
                <w:sz w:val="6"/>
                <w:szCs w:val="6"/>
                <w:b w:val="1"/>
                <w:bCs w:val="1"/>
                <w:color w:val="auto"/>
              </w:rPr>
              <w:t>(Unfavorable)</w:t>
            </w:r>
          </w:p>
        </w:tc>
        <w:tc>
          <w:tcPr>
            <w:tcW w:w="1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jc w:val="center"/>
              <w:ind w:right="42"/>
              <w:spacing w:after="0" w:line="60" w:lineRule="exact"/>
              <w:rPr>
                <w:sz w:val="20"/>
                <w:szCs w:val="20"/>
                <w:color w:val="auto"/>
              </w:rPr>
            </w:pPr>
            <w:r>
              <w:rPr>
                <w:rFonts w:ascii="Times New Roman" w:cs="Times New Roman" w:eastAsia="Times New Roman" w:hAnsi="Times New Roman"/>
                <w:sz w:val="6"/>
                <w:szCs w:val="6"/>
                <w:b w:val="1"/>
                <w:bCs w:val="1"/>
                <w:color w:val="auto"/>
              </w:rPr>
              <w:t>(Unfavorable)</w:t>
            </w: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0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restaurant sales</w:t>
            </w:r>
          </w:p>
        </w:tc>
        <w:tc>
          <w:tcPr>
            <w:tcW w:w="100" w:type="dxa"/>
            <w:vAlign w:val="bottom"/>
          </w:tcPr>
          <w:p>
            <w:pPr>
              <w:spacing w:after="0"/>
              <w:rPr>
                <w:sz w:val="19"/>
                <w:szCs w:val="19"/>
                <w:color w:val="auto"/>
              </w:rPr>
            </w:pP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86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26"/>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restaurant expenses</w:t>
            </w:r>
          </w:p>
        </w:tc>
        <w:tc>
          <w:tcPr>
            <w:tcW w:w="100" w:type="dxa"/>
            <w:vAlign w:val="bottom"/>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1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company restaurants operations</w:t>
            </w:r>
          </w:p>
        </w:tc>
        <w:tc>
          <w:tcPr>
            <w:tcW w:w="100" w:type="dxa"/>
            <w:vAlign w:val="bottom"/>
          </w:tcPr>
          <w:p>
            <w:pPr>
              <w:spacing w:after="0"/>
              <w:rPr>
                <w:sz w:val="19"/>
                <w:szCs w:val="19"/>
                <w:color w:val="auto"/>
              </w:rPr>
            </w:pP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80" w:type="dxa"/>
            <w:vAlign w:val="bottom"/>
            <w:gridSpan w:val="2"/>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960" w:type="dxa"/>
            <w:vAlign w:val="bottom"/>
            <w:gridSpan w:val="2"/>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6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Financing Operations</w:t>
            </w:r>
          </w:p>
        </w:tc>
        <w:tc>
          <w:tcPr>
            <w:tcW w:w="10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revenues</w:t>
            </w:r>
          </w:p>
        </w:tc>
        <w:tc>
          <w:tcPr>
            <w:tcW w:w="100" w:type="dxa"/>
            <w:vAlign w:val="bottom"/>
          </w:tcPr>
          <w:p>
            <w:pPr>
              <w:spacing w:after="0"/>
              <w:rPr>
                <w:sz w:val="19"/>
                <w:szCs w:val="19"/>
                <w:color w:val="auto"/>
              </w:rPr>
            </w:pP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86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6"/>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expenses</w:t>
            </w:r>
          </w:p>
        </w:tc>
        <w:tc>
          <w:tcPr>
            <w:tcW w:w="100" w:type="dxa"/>
            <w:vAlign w:val="bottom"/>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9"/>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financing operations</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319"/>
        <w:spacing w:after="0" w:line="254" w:lineRule="auto"/>
        <w:rPr>
          <w:sz w:val="20"/>
          <w:szCs w:val="20"/>
          <w:color w:val="auto"/>
        </w:rPr>
      </w:pPr>
      <w:r>
        <w:rPr>
          <w:rFonts w:ascii="Times New Roman" w:cs="Times New Roman" w:eastAsia="Times New Roman" w:hAnsi="Times New Roman"/>
          <w:sz w:val="18"/>
          <w:szCs w:val="18"/>
          <w:color w:val="auto"/>
        </w:rPr>
        <w:t>As discussed under "</w:t>
      </w:r>
      <w:r>
        <w:rPr>
          <w:rFonts w:ascii="Times New Roman" w:cs="Times New Roman" w:eastAsia="Times New Roman" w:hAnsi="Times New Roman"/>
          <w:sz w:val="18"/>
          <w:szCs w:val="18"/>
          <w:i w:val="1"/>
          <w:iCs w:val="1"/>
          <w:color w:val="auto"/>
        </w:rPr>
        <w:t>Events Impacting Comparability of Financial Information</w:t>
      </w:r>
      <w:r>
        <w:rPr>
          <w:rFonts w:ascii="Times New Roman" w:cs="Times New Roman" w:eastAsia="Times New Roman" w:hAnsi="Times New Roman"/>
          <w:sz w:val="18"/>
          <w:szCs w:val="18"/>
          <w:color w:val="auto"/>
        </w:rPr>
        <w:t>," company restaurant operations for the six months ended June 30, 2025 included 47 Applebee's restaurants acquired in November 2024, 10 IHOP restaurants acquired in March 2025, 12 Applebee's restaurants acquired in May 2025, and one Fuzzy's restaurant. Company restaurant operations for the six months ended June 30, 2024 included one Fuzzy's restaurant. Company segment restaurant expenses may include costs associated with acquired restaurants in the process of being refranchised. There were no acquired restaurants expenses during the six months ended June 30, 2024.</w:t>
      </w:r>
    </w:p>
    <w:p>
      <w:pPr>
        <w:spacing w:after="0" w:line="75"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Financing revenues primarily consist of interest income from the financing of IHOP equipment leases and franchise fees as well as interest income on notes receivable due from franchisees. Financing expenses are sales and use taxes related to IHOP equipment leases. Financing revenue and gross profit for the three and six months ended June 30, 2025 declined compared to the same period of the prior year, primarily due to progressive decline in interest income as note balances are repaid.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G&amp;A Expenses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0" w:type="dxa"/>
            <w:vAlign w:val="bottom"/>
          </w:tcPr>
          <w:p>
            <w:pPr>
              <w:spacing w:after="0"/>
              <w:rPr>
                <w:sz w:val="1"/>
                <w:szCs w:val="1"/>
                <w:color w:val="auto"/>
              </w:rPr>
            </w:pPr>
          </w:p>
        </w:tc>
      </w:tr>
      <w:tr>
        <w:trPr>
          <w:trHeight w:val="108"/>
        </w:trPr>
        <w:tc>
          <w:tcPr>
            <w:tcW w:w="3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jc w:val="center"/>
              <w:ind w:right="67"/>
              <w:spacing w:after="0" w:line="113"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restart"/>
          </w:tcPr>
          <w:p>
            <w:pPr>
              <w:jc w:val="center"/>
              <w:ind w:right="46"/>
              <w:spacing w:after="0" w:line="113"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G&amp;A expenses</w:t>
            </w:r>
          </w:p>
        </w:tc>
        <w:tc>
          <w:tcPr>
            <w:tcW w:w="80" w:type="dxa"/>
            <w:vAlign w:val="bottom"/>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22"/>
                <w:szCs w:val="22"/>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2"/>
                <w:szCs w:val="22"/>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G&amp;A expenses for the three months ended June 30, 2025 increased 8.3% compared to the same period of the prior year, primarily due to an increase in compensation-related expenses and an increase in professional service fees, both due in part to the G&amp;A expenses related to company restaurant operations as well as dual brand and remodel initiatives.</w:t>
      </w:r>
    </w:p>
    <w:p>
      <w:pPr>
        <w:spacing w:after="0" w:line="7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G&amp;A expenses, including costs related to company restaurant operations, for the six months ended June 30, 2025 increased 3.1% compared to the same period of the prior year, primarily due to an increase in professional service and legal fees and costs related to company restaurant operations as well as dual brand and remodel initiatives, partially offset by a decrease in stock-based compensation and a decrease in software maintenance costs.</w:t>
      </w:r>
    </w:p>
    <w:p>
      <w:pPr>
        <w:spacing w:after="0" w:line="107"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 Items</w:t>
            </w:r>
          </w:p>
        </w:tc>
        <w:tc>
          <w:tcPr>
            <w:tcW w:w="100" w:type="dxa"/>
            <w:vAlign w:val="bottom"/>
          </w:tcPr>
          <w:p>
            <w:pPr>
              <w:spacing w:after="0"/>
              <w:rPr>
                <w:sz w:val="20"/>
                <w:szCs w:val="20"/>
                <w:color w:val="auto"/>
              </w:rPr>
            </w:pPr>
          </w:p>
        </w:tc>
        <w:tc>
          <w:tcPr>
            <w:tcW w:w="2400" w:type="dxa"/>
            <w:vAlign w:val="bottom"/>
            <w:gridSpan w:val="5"/>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gridSpan w:val="4"/>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0" w:type="dxa"/>
            <w:vAlign w:val="bottom"/>
          </w:tcPr>
          <w:p>
            <w:pPr>
              <w:spacing w:after="0"/>
              <w:rPr>
                <w:sz w:val="1"/>
                <w:szCs w:val="1"/>
                <w:color w:val="auto"/>
              </w:rPr>
            </w:pPr>
          </w:p>
        </w:tc>
      </w:tr>
      <w:tr>
        <w:trPr>
          <w:trHeight w:val="106"/>
        </w:trPr>
        <w:tc>
          <w:tcPr>
            <w:tcW w:w="3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restart"/>
          </w:tcPr>
          <w:p>
            <w:pPr>
              <w:jc w:val="center"/>
              <w:ind w:right="59"/>
              <w:spacing w:after="0" w:line="125"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restart"/>
          </w:tcPr>
          <w:p>
            <w:pPr>
              <w:jc w:val="center"/>
              <w:ind w:right="37"/>
              <w:spacing w:after="0" w:line="125" w:lineRule="exact"/>
              <w:rPr>
                <w:sz w:val="20"/>
                <w:szCs w:val="20"/>
                <w:color w:val="auto"/>
              </w:rPr>
            </w:pPr>
            <w:r>
              <w:rPr>
                <w:rFonts w:ascii="Times New Roman" w:cs="Times New Roman" w:eastAsia="Times New Roman" w:hAnsi="Times New Roman"/>
                <w:sz w:val="14"/>
                <w:szCs w:val="14"/>
                <w:b w:val="1"/>
                <w:bCs w:val="1"/>
                <w:color w:val="auto"/>
                <w:w w:val="99"/>
              </w:rPr>
              <w:t>(Unfavorable)</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20"/>
                <w:szCs w:val="20"/>
                <w:color w:val="auto"/>
              </w:rPr>
            </w:pPr>
          </w:p>
        </w:tc>
        <w:tc>
          <w:tcPr>
            <w:tcW w:w="7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579"/>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8"/>
                <w:szCs w:val="18"/>
                <w:color w:val="auto"/>
                <w:w w:val="97"/>
              </w:rPr>
              <w:t>0.4</w:t>
            </w:r>
          </w:p>
        </w:tc>
        <w:tc>
          <w:tcPr>
            <w:tcW w:w="0" w:type="dxa"/>
            <w:vAlign w:val="bottom"/>
          </w:tcPr>
          <w:p>
            <w:pPr>
              <w:spacing w:after="0"/>
              <w:rPr>
                <w:sz w:val="1"/>
                <w:szCs w:val="1"/>
                <w:color w:val="auto"/>
              </w:rPr>
            </w:pPr>
          </w:p>
        </w:tc>
      </w:tr>
      <w:tr>
        <w:trPr>
          <w:trHeight w:val="226"/>
        </w:trPr>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ind w:left="579"/>
              <w:spacing w:after="0"/>
              <w:rPr>
                <w:sz w:val="20"/>
                <w:szCs w:val="20"/>
                <w:color w:val="auto"/>
              </w:rPr>
            </w:pPr>
            <w:r>
              <w:rPr>
                <w:rFonts w:ascii="Times New Roman" w:cs="Times New Roman" w:eastAsia="Times New Roman" w:hAnsi="Times New Roman"/>
                <w:sz w:val="18"/>
                <w:szCs w:val="18"/>
                <w:color w:val="auto"/>
                <w:w w:val="98"/>
              </w:rPr>
              <w:t>(0.9)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ind w:left="577"/>
              <w:spacing w:after="0"/>
              <w:rPr>
                <w:sz w:val="20"/>
                <w:szCs w:val="20"/>
                <w:color w:val="auto"/>
              </w:rPr>
            </w:pPr>
            <w:r>
              <w:rPr>
                <w:rFonts w:ascii="Times New Roman" w:cs="Times New Roman" w:eastAsia="Times New Roman" w:hAnsi="Times New Roman"/>
                <w:sz w:val="18"/>
                <w:szCs w:val="18"/>
                <w:color w:val="auto"/>
                <w:w w:val="98"/>
              </w:rPr>
              <w:t>(0.9)</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0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79"/>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77"/>
              <w:spacing w:after="0"/>
              <w:rPr>
                <w:sz w:val="20"/>
                <w:szCs w:val="20"/>
                <w:color w:val="auto"/>
              </w:rPr>
            </w:pPr>
            <w:r>
              <w:rPr>
                <w:rFonts w:ascii="Times New Roman" w:cs="Times New Roman" w:eastAsia="Times New Roman" w:hAnsi="Times New Roman"/>
                <w:sz w:val="18"/>
                <w:szCs w:val="18"/>
                <w:color w:val="auto"/>
                <w:w w:val="98"/>
              </w:rPr>
              <w:t>(5.9)</w:t>
            </w:r>
          </w:p>
        </w:tc>
        <w:tc>
          <w:tcPr>
            <w:tcW w:w="0" w:type="dxa"/>
            <w:vAlign w:val="bottom"/>
          </w:tcPr>
          <w:p>
            <w:pPr>
              <w:spacing w:after="0"/>
              <w:rPr>
                <w:sz w:val="1"/>
                <w:szCs w:val="1"/>
                <w:color w:val="auto"/>
              </w:rPr>
            </w:pPr>
          </w:p>
        </w:tc>
      </w:tr>
      <w:tr>
        <w:trPr>
          <w:trHeight w:val="226"/>
        </w:trPr>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ind w:left="579"/>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ind w:left="617"/>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100" w:type="dxa"/>
            <w:vAlign w:val="bottom"/>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79"/>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617"/>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1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and expenses</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8"/>
                <w:szCs w:val="18"/>
                <w:color w:val="auto"/>
                <w:w w:val="98"/>
              </w:rPr>
              <w:t>(1.3)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8"/>
                <w:szCs w:val="18"/>
                <w:color w:val="auto"/>
                <w:w w:val="98"/>
              </w:rPr>
              <w:t>(6.4)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112"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Interest expense, net for the three months ended June 30, 2025 was slightly lower than the same period of the prior year, primarily due to a decrease in interest rates on our Credit Facility offset by a decrease in interest income from lower yields.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100" w:firstLine="319"/>
        <w:spacing w:after="0" w:line="275" w:lineRule="auto"/>
        <w:rPr>
          <w:sz w:val="20"/>
          <w:szCs w:val="20"/>
          <w:color w:val="auto"/>
        </w:rPr>
      </w:pPr>
      <w:r>
        <w:rPr>
          <w:rFonts w:ascii="Times New Roman" w:cs="Times New Roman" w:eastAsia="Times New Roman" w:hAnsi="Times New Roman"/>
          <w:sz w:val="18"/>
          <w:szCs w:val="18"/>
          <w:color w:val="auto"/>
        </w:rPr>
        <w:t>Interest expense, net for the six months ended June 30, 2025 decreased compared to the same period of the prior year, primarily due to a decrease in interest rates on our Credit Facility.</w:t>
      </w:r>
    </w:p>
    <w:p>
      <w:pPr>
        <w:spacing w:after="0" w:line="57" w:lineRule="exact"/>
        <w:rPr>
          <w:sz w:val="20"/>
          <w:szCs w:val="20"/>
          <w:color w:val="auto"/>
        </w:rPr>
      </w:pPr>
    </w:p>
    <w:p>
      <w:pPr>
        <w:jc w:val="both"/>
        <w:ind w:right="100" w:firstLine="319"/>
        <w:spacing w:after="0" w:line="275" w:lineRule="auto"/>
        <w:rPr>
          <w:sz w:val="20"/>
          <w:szCs w:val="20"/>
          <w:color w:val="auto"/>
        </w:rPr>
      </w:pPr>
      <w:r>
        <w:rPr>
          <w:rFonts w:ascii="Times New Roman" w:cs="Times New Roman" w:eastAsia="Times New Roman" w:hAnsi="Times New Roman"/>
          <w:sz w:val="18"/>
          <w:szCs w:val="18"/>
          <w:color w:val="auto"/>
        </w:rPr>
        <w:t>The Company repaid the entire outstanding balance of approximately $594.0 million of its 2019 Class A-2-II Notes during the three months ended June 30, 2025 and recognized a $0.9 million loss on extinguishment of debt from the write-off of the related remaining issuance costs.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Closure and impairment charges</w:t>
      </w:r>
    </w:p>
    <w:p>
      <w:pPr>
        <w:spacing w:after="0" w:line="112" w:lineRule="exact"/>
        <w:rPr>
          <w:sz w:val="20"/>
          <w:szCs w:val="20"/>
          <w:color w:val="auto"/>
        </w:rPr>
      </w:pPr>
    </w:p>
    <w:p>
      <w:pPr>
        <w:jc w:val="both"/>
        <w:ind w:right="100" w:firstLine="319"/>
        <w:spacing w:after="0" w:line="275" w:lineRule="auto"/>
        <w:rPr>
          <w:sz w:val="20"/>
          <w:szCs w:val="20"/>
          <w:color w:val="auto"/>
        </w:rPr>
      </w:pPr>
      <w:r>
        <w:rPr>
          <w:rFonts w:ascii="Times New Roman" w:cs="Times New Roman" w:eastAsia="Times New Roman" w:hAnsi="Times New Roman"/>
          <w:sz w:val="18"/>
          <w:szCs w:val="18"/>
          <w:color w:val="auto"/>
        </w:rPr>
        <w:t>Closure and impairment charges for the three months ended June 30, 2025 increased $0.7 million compared to the same period of the prior year primarily attributable to revisions to existing closure reserves, including accretion, for IHOP restaurants closed prior to 2025.</w:t>
      </w:r>
    </w:p>
    <w:p>
      <w:pPr>
        <w:spacing w:after="0" w:line="57" w:lineRule="exact"/>
        <w:rPr>
          <w:sz w:val="20"/>
          <w:szCs w:val="20"/>
          <w:color w:val="auto"/>
        </w:rPr>
      </w:pPr>
    </w:p>
    <w:p>
      <w:pPr>
        <w:jc w:val="both"/>
        <w:ind w:right="100" w:firstLine="319"/>
        <w:spacing w:after="0" w:line="260" w:lineRule="auto"/>
        <w:rPr>
          <w:sz w:val="20"/>
          <w:szCs w:val="20"/>
          <w:color w:val="auto"/>
        </w:rPr>
      </w:pPr>
      <w:r>
        <w:rPr>
          <w:rFonts w:ascii="Times New Roman" w:cs="Times New Roman" w:eastAsia="Times New Roman" w:hAnsi="Times New Roman"/>
          <w:sz w:val="18"/>
          <w:szCs w:val="18"/>
          <w:color w:val="auto"/>
        </w:rPr>
        <w:t>Closure and impairment charges for the six months ended June 30, 2025 increased $5.9 million compared to the same period of the prior year primarily attributable to the strategic realignment of the IHOP Cincinnati market resulting in the acquisition and closure of certain IHOP restaurants in March 2025 and revisions to existing closure reserves including accretion.</w:t>
      </w:r>
    </w:p>
    <w:p>
      <w:pPr>
        <w:sectPr>
          <w:pgSz w:w="11900" w:h="16838" w:orient="portrait"/>
          <w:cols w:equalWidth="0" w:num="1">
            <w:col w:w="11340"/>
          </w:cols>
          <w:pgMar w:left="320" w:top="223" w:right="239" w:bottom="1440" w:gutter="0" w:footer="0" w:header="0"/>
        </w:sectPr>
      </w:pP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-120015</wp:posOffset>
            </wp:positionV>
            <wp:extent cx="1939925" cy="143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39925" cy="14351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11430</wp:posOffset>
            </wp:positionV>
            <wp:extent cx="1939925" cy="143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39925" cy="14351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280" w:type="dxa"/>
            <w:vAlign w:val="bottom"/>
            <w:gridSpan w:val="4"/>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60" w:type="dxa"/>
            <w:vAlign w:val="bottom"/>
            <w:gridSpan w:val="4"/>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06"/>
        </w:trPr>
        <w:tc>
          <w:tcPr>
            <w:tcW w:w="220" w:type="dxa"/>
            <w:vAlign w:val="bottom"/>
          </w:tcPr>
          <w:p>
            <w:pPr>
              <w:spacing w:after="0"/>
              <w:rPr>
                <w:sz w:val="9"/>
                <w:szCs w:val="9"/>
                <w:color w:val="auto"/>
              </w:rPr>
            </w:pPr>
          </w:p>
        </w:tc>
        <w:tc>
          <w:tcPr>
            <w:tcW w:w="22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restart"/>
          </w:tcPr>
          <w:p>
            <w:pPr>
              <w:jc w:val="center"/>
              <w:ind w:right="82"/>
              <w:spacing w:after="0" w:line="125" w:lineRule="exact"/>
              <w:rPr>
                <w:sz w:val="20"/>
                <w:szCs w:val="20"/>
                <w:color w:val="auto"/>
              </w:rPr>
            </w:pPr>
            <w:r>
              <w:rPr>
                <w:rFonts w:ascii="Times New Roman" w:cs="Times New Roman" w:eastAsia="Times New Roman" w:hAnsi="Times New Roman"/>
                <w:sz w:val="14"/>
                <w:szCs w:val="14"/>
                <w:b w:val="1"/>
                <w:bCs w:val="1"/>
                <w:color w:val="auto"/>
                <w:w w:val="99"/>
              </w:rPr>
              <w:t>(Unfavorable)</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6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vMerge w:val="restart"/>
          </w:tcPr>
          <w:p>
            <w:pPr>
              <w:jc w:val="center"/>
              <w:ind w:right="40"/>
              <w:spacing w:after="0" w:line="125"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24"/>
        </w:trPr>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0"/>
                <w:szCs w:val="20"/>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6"/>
        </w:trPr>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6"/>
        </w:trPr>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26.4 %</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181" w:lineRule="exact"/>
        <w:rPr>
          <w:sz w:val="20"/>
          <w:szCs w:val="20"/>
          <w:color w:val="auto"/>
        </w:rPr>
      </w:pPr>
    </w:p>
    <w:p>
      <w:pPr>
        <w:sectPr>
          <w:pgSz w:w="11900" w:h="16838" w:orient="portrait"/>
          <w:cols w:equalWidth="0" w:num="2">
            <w:col w:w="2760" w:space="720"/>
            <w:col w:w="7860"/>
          </w:cols>
          <w:pgMar w:left="320" w:top="223" w:right="239" w:bottom="1440" w:gutter="0" w:footer="0" w:header="0"/>
          <w:type w:val="continuous"/>
        </w:sectPr>
      </w:pPr>
    </w:p>
    <w:p>
      <w:pPr>
        <w:jc w:val="both"/>
        <w:ind w:right="100" w:firstLine="319"/>
        <w:spacing w:after="0" w:line="260" w:lineRule="auto"/>
        <w:rPr>
          <w:sz w:val="20"/>
          <w:szCs w:val="20"/>
          <w:color w:val="auto"/>
        </w:rPr>
      </w:pPr>
      <w:r>
        <w:rPr>
          <w:rFonts w:ascii="Times New Roman" w:cs="Times New Roman" w:eastAsia="Times New Roman" w:hAnsi="Times New Roman"/>
          <w:sz w:val="18"/>
          <w:szCs w:val="18"/>
          <w:color w:val="auto"/>
        </w:rPr>
        <w:t xml:space="preserve">Our income tax provision or benefit will vary from period to period in our normal course of business for two reasons: a change in income before income taxes and a change in the effective tax rate. Changes in our income before income taxes were addressed in the preceding sections of </w:t>
      </w:r>
      <w:r>
        <w:rPr>
          <w:rFonts w:ascii="Times New Roman" w:cs="Times New Roman" w:eastAsia="Times New Roman" w:hAnsi="Times New Roman"/>
          <w:sz w:val="18"/>
          <w:szCs w:val="18"/>
          <w:i w:val="1"/>
          <w:iCs w:val="1"/>
          <w:color w:val="auto"/>
        </w:rPr>
        <w:t>“Consolidated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 Comparison of the Three and Six Months Ended June 30, 2025 and 2024."</w:t>
      </w:r>
    </w:p>
    <w:p>
      <w:pPr>
        <w:spacing w:after="0" w:line="71" w:lineRule="exact"/>
        <w:rPr>
          <w:sz w:val="20"/>
          <w:szCs w:val="20"/>
          <w:color w:val="auto"/>
        </w:rPr>
      </w:pPr>
    </w:p>
    <w:p>
      <w:pPr>
        <w:jc w:val="both"/>
        <w:ind w:right="100" w:firstLine="319"/>
        <w:spacing w:after="0" w:line="275" w:lineRule="auto"/>
        <w:rPr>
          <w:sz w:val="20"/>
          <w:szCs w:val="20"/>
          <w:color w:val="auto"/>
        </w:rPr>
      </w:pPr>
      <w:r>
        <w:rPr>
          <w:rFonts w:ascii="Times New Roman" w:cs="Times New Roman" w:eastAsia="Times New Roman" w:hAnsi="Times New Roman"/>
          <w:sz w:val="18"/>
          <w:szCs w:val="18"/>
          <w:color w:val="auto"/>
        </w:rPr>
        <w:t>Our effective tax rate for the three and six months ended June 30, 2025 was higher than the rate of the prior comparable periods primarily due to a lower tax deduction related to stock-based compensation, resulting from the changes in our stock price.</w:t>
      </w:r>
    </w:p>
    <w:p>
      <w:pPr>
        <w:spacing w:after="0" w:line="57" w:lineRule="exact"/>
        <w:rPr>
          <w:sz w:val="20"/>
          <w:szCs w:val="20"/>
          <w:color w:val="auto"/>
        </w:rPr>
      </w:pPr>
    </w:p>
    <w:p>
      <w:pPr>
        <w:jc w:val="both"/>
        <w:ind w:right="100" w:firstLine="319"/>
        <w:spacing w:after="0" w:line="260" w:lineRule="auto"/>
        <w:rPr>
          <w:sz w:val="20"/>
          <w:szCs w:val="20"/>
          <w:color w:val="auto"/>
        </w:rPr>
      </w:pPr>
      <w:r>
        <w:rPr>
          <w:rFonts w:ascii="Times New Roman" w:cs="Times New Roman" w:eastAsia="Times New Roman" w:hAnsi="Times New Roman"/>
          <w:sz w:val="18"/>
          <w:szCs w:val="18"/>
          <w:color w:val="auto"/>
        </w:rPr>
        <w:t>Subsequent to the end of the second quarter of 2025, on July 4, 2025, the One Big Beautiful Bill Act ("OBBBA") was enacted. The OBBBA amends U.S. tax law, including provisions related to bonus depreciation, research and development expensing, and interest expense deduction, among other provisions. The Company is currently evaluating the impact of the OBBBA on its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2" w:lineRule="exact"/>
        <w:rPr>
          <w:sz w:val="20"/>
          <w:szCs w:val="20"/>
          <w:color w:val="auto"/>
        </w:rPr>
      </w:pPr>
    </w:p>
    <w:p>
      <w:pPr>
        <w:jc w:val="both"/>
        <w:ind w:right="100" w:firstLine="319"/>
        <w:spacing w:after="0" w:line="277" w:lineRule="auto"/>
        <w:rPr>
          <w:sz w:val="20"/>
          <w:szCs w:val="20"/>
          <w:color w:val="auto"/>
        </w:rPr>
      </w:pPr>
      <w:r>
        <w:rPr>
          <w:rFonts w:ascii="Times New Roman" w:cs="Times New Roman" w:eastAsia="Times New Roman" w:hAnsi="Times New Roman"/>
          <w:sz w:val="18"/>
          <w:szCs w:val="18"/>
          <w:color w:val="auto"/>
        </w:rPr>
        <w:t xml:space="preserve">Key provisions of our long-term debt potentially impacting liquidity are summarized below. See </w:t>
      </w:r>
      <w:r>
        <w:rPr>
          <w:rFonts w:ascii="Times New Roman" w:cs="Times New Roman" w:eastAsia="Times New Roman" w:hAnsi="Times New Roman"/>
          <w:sz w:val="18"/>
          <w:szCs w:val="18"/>
          <w:i w:val="1"/>
          <w:iCs w:val="1"/>
          <w:color w:val="auto"/>
        </w:rPr>
        <w:t>Note 7 — Long-Term Debt</w:t>
      </w:r>
      <w:r>
        <w:rPr>
          <w:rFonts w:ascii="Times New Roman" w:cs="Times New Roman" w:eastAsia="Times New Roman" w:hAnsi="Times New Roman"/>
          <w:sz w:val="18"/>
          <w:szCs w:val="18"/>
          <w:color w:val="auto"/>
        </w:rPr>
        <w:t>, of the Notes to Consolidated Financial Statements, for additional detail on long-term debt, including the balances outstanding at June 30, 2025 and 2024.</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Instruments</w:t>
      </w:r>
    </w:p>
    <w:p>
      <w:pPr>
        <w:spacing w:after="0" w:line="112" w:lineRule="exact"/>
        <w:rPr>
          <w:sz w:val="20"/>
          <w:szCs w:val="20"/>
          <w:color w:val="auto"/>
        </w:rPr>
      </w:pPr>
    </w:p>
    <w:p>
      <w:pPr>
        <w:jc w:val="both"/>
        <w:ind w:right="100" w:firstLine="319"/>
        <w:spacing w:after="0" w:line="260" w:lineRule="auto"/>
        <w:rPr>
          <w:sz w:val="20"/>
          <w:szCs w:val="20"/>
          <w:color w:val="auto"/>
        </w:rPr>
      </w:pPr>
      <w:r>
        <w:rPr>
          <w:rFonts w:ascii="Times New Roman" w:cs="Times New Roman" w:eastAsia="Times New Roman" w:hAnsi="Times New Roman"/>
          <w:sz w:val="18"/>
          <w:szCs w:val="18"/>
          <w:color w:val="auto"/>
        </w:rPr>
        <w:t>Our long-term debt includes two series of fixed rate senior secured notes, the Series 2023-1 7.824% Fixed Rate Senior Secured Notes, Class A-2 in an initial aggregate principal amount of $500 million (the “2023 Class A-2 Notes”) and the Series 2025-1 6.720% Fixed Rate Senior Secured Notes, Class A-2 in an initial aggregate principal amount of $600 million (the "2025 Class A-2 Notes" and, together with the 2023 Class A-2 Notes, the "Class A-2 Notes").</w:t>
      </w:r>
    </w:p>
    <w:p>
      <w:pPr>
        <w:spacing w:after="0" w:line="71" w:lineRule="exact"/>
        <w:rPr>
          <w:sz w:val="20"/>
          <w:szCs w:val="20"/>
          <w:color w:val="auto"/>
        </w:rPr>
      </w:pPr>
    </w:p>
    <w:p>
      <w:pPr>
        <w:jc w:val="both"/>
        <w:ind w:right="100" w:firstLine="319"/>
        <w:spacing w:after="0" w:line="275" w:lineRule="auto"/>
        <w:rPr>
          <w:sz w:val="20"/>
          <w:szCs w:val="20"/>
          <w:color w:val="auto"/>
        </w:rPr>
      </w:pPr>
      <w:r>
        <w:rPr>
          <w:rFonts w:ascii="Times New Roman" w:cs="Times New Roman" w:eastAsia="Times New Roman" w:hAnsi="Times New Roman"/>
          <w:sz w:val="18"/>
          <w:szCs w:val="18"/>
          <w:color w:val="auto"/>
        </w:rPr>
        <w:t>Our long-term debt also includes a revolving financing facility, the 2025-1 Variable Funding Senior Notes, Class A-1 (the “Credit Facility”) that allows for drawings up to $325 million of variable funding notes on a revolving basis and the issuance of letters of credit.</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Maturity</w:t>
      </w:r>
    </w:p>
    <w:p>
      <w:pPr>
        <w:spacing w:after="0" w:line="112" w:lineRule="exact"/>
        <w:rPr>
          <w:sz w:val="20"/>
          <w:szCs w:val="20"/>
          <w:color w:val="auto"/>
        </w:rPr>
      </w:pPr>
    </w:p>
    <w:p>
      <w:pPr>
        <w:jc w:val="both"/>
        <w:ind w:right="100" w:firstLine="319"/>
        <w:spacing w:after="0" w:line="275" w:lineRule="auto"/>
        <w:rPr>
          <w:sz w:val="20"/>
          <w:szCs w:val="20"/>
          <w:color w:val="auto"/>
        </w:rPr>
      </w:pPr>
      <w:r>
        <w:rPr>
          <w:rFonts w:ascii="Times New Roman" w:cs="Times New Roman" w:eastAsia="Times New Roman" w:hAnsi="Times New Roman"/>
          <w:sz w:val="18"/>
          <w:szCs w:val="18"/>
          <w:color w:val="auto"/>
        </w:rPr>
        <w:t>The final maturity of the 2023 Class A-2 Notes is in March 2053, but it is anticipated that, unless repaid earlier, to the extent permitted under the Indenture, the 2023 Class A-2 Notes will be repaid in June 2029.</w:t>
      </w:r>
    </w:p>
    <w:p>
      <w:pPr>
        <w:spacing w:after="0" w:line="57" w:lineRule="exact"/>
        <w:rPr>
          <w:sz w:val="20"/>
          <w:szCs w:val="20"/>
          <w:color w:val="auto"/>
        </w:rPr>
      </w:pPr>
    </w:p>
    <w:p>
      <w:pPr>
        <w:jc w:val="both"/>
        <w:ind w:right="100" w:firstLine="319"/>
        <w:spacing w:after="0" w:line="275" w:lineRule="auto"/>
        <w:rPr>
          <w:sz w:val="20"/>
          <w:szCs w:val="20"/>
          <w:color w:val="auto"/>
        </w:rPr>
      </w:pPr>
      <w:r>
        <w:rPr>
          <w:rFonts w:ascii="Times New Roman" w:cs="Times New Roman" w:eastAsia="Times New Roman" w:hAnsi="Times New Roman"/>
          <w:sz w:val="18"/>
          <w:szCs w:val="18"/>
          <w:color w:val="auto"/>
        </w:rPr>
        <w:t>The final maturity of the 2025 Class A-2 Notes is in June 2055, but it is anticipated that, unless repaid earlier, the 2025 Class A-2 Notes will be repaid in June 2030.</w:t>
      </w:r>
    </w:p>
    <w:p>
      <w:pPr>
        <w:spacing w:after="0" w:line="200" w:lineRule="exact"/>
        <w:rPr>
          <w:sz w:val="20"/>
          <w:szCs w:val="20"/>
          <w:color w:val="auto"/>
        </w:rPr>
      </w:pPr>
    </w:p>
    <w:p>
      <w:pPr>
        <w:spacing w:after="0" w:line="3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223" w:right="2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renewal date of the Credit Facility is June 2030, subject to two additional one-year extensions at the option of the Company upon the satisfaction of certain conditions.</w:t>
      </w:r>
    </w:p>
    <w:p>
      <w:pPr>
        <w:spacing w:after="0" w:line="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Payment of Principal and Interest</w:t>
      </w:r>
    </w:p>
    <w:p>
      <w:pPr>
        <w:spacing w:after="0" w:line="112"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While the Class A-2 Notes are outstanding, payment of principal and interest is required to be made on the Class A-2 Notes on a quarterly basis. The payment of principal on the Class A-2 Notes may be suspended when the leverage ratio for the Company and its subsidiaries is less than or equal to 5.25x. As of June 30, 2025, our leverage ratio was approximately 4.25x. Therefore, quarterly principal payments are not required.</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Exceeding the leverage ratio of 5.25x does not violate any covenant related to the Class A-2 Notes.</w:t>
      </w:r>
    </w:p>
    <w:p>
      <w:pPr>
        <w:spacing w:after="0" w:line="112"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On February 16, 2023, the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Make-whole Premiums</w:t>
      </w:r>
    </w:p>
    <w:p>
      <w:pPr>
        <w:spacing w:after="0" w:line="112"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We may voluntarily repay the Class A-2 Notes at any time; however, if repaid prior to certain dates we would be required to pay make-whole premiums. As of June 30, 2025, the make-whole premium associated with voluntary prepayment of the 2023 Class A-2 Notes was approximately $23.9 million. As of June 30, 2025, the make-whole premium associated with the voluntary prepayment of the 2025 Class A-2 Notes was approximately $42.4 million. We also would be subject to a make-whole premium in the event of a mandatory prepayment required following certain rapid amortization events or certain asset dispositions. The mandatory make-whole premium requirements are considered derivatives embedded that must be bifurcated for separate valuation. We estimated the fair value of these derivatives to be immaterial as of June 30, 2025, based on the probability-weighted discounted cash flows associated with either event.</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Covenants and Restrictions</w:t>
      </w:r>
    </w:p>
    <w:p>
      <w:pPr>
        <w:spacing w:after="0" w:line="112"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Our long-term debt is subject to a series of covenants and restrictions customary for transactions of this type, including maintenance of a debt service coverage ratio ("DSCR"). In general, the DSCR ratio is net cash flow for the four quarters preceding the calculation date divided by the total debt service payments of the preceding four quarters. The complete definitions of the DSCR and all calculation elements are contained in the indenture, and subsequent amendments thereto, under which the Class A-2 Notes were issued.</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Failure to maintain a prescribed DSCR can trigger the following events:</w:t>
      </w:r>
    </w:p>
    <w:p>
      <w:pPr>
        <w:spacing w:after="0" w:line="112" w:lineRule="exact"/>
        <w:rPr>
          <w:sz w:val="20"/>
          <w:szCs w:val="20"/>
          <w:color w:val="auto"/>
        </w:rPr>
      </w:pPr>
    </w:p>
    <w:p>
      <w:pPr>
        <w:ind w:left="1280" w:hanging="318"/>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Trapping Event</w:t>
      </w:r>
    </w:p>
    <w:p>
      <w:pPr>
        <w:spacing w:after="0" w:line="111"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111"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111"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DSCR for the reporting period ended June 30, 2025 was approximately 3.3x.</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11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In June 2025,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Secured Overnight Financing Rate (“SOFR”),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SOFR for a one-month tenor in effect at such time plus 0.50% plus (b) 2.00%.</w:t>
      </w:r>
    </w:p>
    <w:p>
      <w:pPr>
        <w:spacing w:after="0" w:line="7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As of June 30, 2025, the outstanding balance of the Credit Facility was $100 million. The amount of $0.6 million was pledged against the Credit Facility for outstanding letters of credit, leaving $224.4 million of the Credit Facility available for borrowing at June 30, 2025. It is anticipated that any principal and interest on the Credit Facility outstanding will be repaid in full on or prior to the quarterly payment date in June 2030, subject to two additional one-year extensions at the option of the Company upon the satisfaction of certain conditions. The letters of credit are used primarily to satisfy insurance-related collateral requirements. The weighted average interest rate on Credit Facility borrowings for the period outstanding during the six months ended June 30, 2025 was 6.93%.</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Dividends declared and paid per share for the three and six months ended June 30, 2025 and 2024 were as follows:</w:t>
      </w:r>
    </w:p>
    <w:p>
      <w:pPr>
        <w:spacing w:after="0" w:line="154" w:lineRule="exact"/>
        <w:rPr>
          <w:sz w:val="20"/>
          <w:szCs w:val="20"/>
          <w:color w:val="auto"/>
        </w:rPr>
      </w:pPr>
    </w:p>
    <w:tbl>
      <w:tblPr>
        <w:tblLayout w:type="fixed"/>
        <w:tblInd w:w="5580" w:type="dxa"/>
        <w:tblCellMar>
          <w:top w:w="0" w:type="dxa"/>
          <w:left w:w="0" w:type="dxa"/>
          <w:bottom w:w="0" w:type="dxa"/>
          <w:right w:w="0" w:type="dxa"/>
        </w:tblCellMar>
      </w:tblPr>
      <w:tr>
        <w:trPr>
          <w:trHeight w:val="213"/>
        </w:trPr>
        <w:tc>
          <w:tcPr>
            <w:tcW w:w="284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7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6"/>
        </w:trPr>
        <w:tc>
          <w:tcPr>
            <w:tcW w:w="1360" w:type="dxa"/>
            <w:vAlign w:val="bottom"/>
            <w:tcBorders>
              <w:top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80" w:type="dxa"/>
            <w:vAlign w:val="bottom"/>
            <w:tcBorders>
              <w:top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360" w:type="dxa"/>
            <w:vAlign w:val="bottom"/>
            <w:tcBorders>
              <w:top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80" w:type="dxa"/>
            <w:vAlign w:val="bottom"/>
            <w:tcBorders>
              <w:top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6244590</wp:posOffset>
            </wp:positionH>
            <wp:positionV relativeFrom="paragraph">
              <wp:posOffset>1270</wp:posOffset>
            </wp:positionV>
            <wp:extent cx="843280" cy="151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43280" cy="15176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tbl>
      <w:tblPr>
        <w:tblLayout w:type="fixed"/>
        <w:tblInd w:w="320" w:type="dxa"/>
        <w:tblCellMar>
          <w:top w:w="0" w:type="dxa"/>
          <w:left w:w="0" w:type="dxa"/>
          <w:bottom w:w="0" w:type="dxa"/>
          <w:right w:w="0" w:type="dxa"/>
        </w:tblCellMar>
      </w:tblPr>
      <w:tr>
        <w:trPr>
          <w:trHeight w:val="222"/>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00" w:type="dxa"/>
            <w:vAlign w:val="bottom"/>
          </w:tcPr>
          <w:p>
            <w:pPr>
              <w:spacing w:after="0"/>
              <w:rPr>
                <w:sz w:val="19"/>
                <w:szCs w:val="19"/>
                <w:color w:val="auto"/>
              </w:rPr>
            </w:pPr>
          </w:p>
        </w:tc>
        <w:tc>
          <w:tcPr>
            <w:tcW w:w="520" w:type="dxa"/>
            <w:vAlign w:val="bottom"/>
            <w:tcBorders>
              <w:top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520" w:type="dxa"/>
            <w:vAlign w:val="bottom"/>
            <w:tcBorders>
              <w:top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520" w:type="dxa"/>
            <w:vAlign w:val="bottom"/>
            <w:tcBorders>
              <w:top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2"/>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100" w:type="dxa"/>
            <w:vAlign w:val="bottom"/>
          </w:tcPr>
          <w:p>
            <w:pPr>
              <w:spacing w:after="0"/>
              <w:rPr>
                <w:sz w:val="20"/>
                <w:szCs w:val="20"/>
                <w:color w:val="auto"/>
              </w:rPr>
            </w:pPr>
          </w:p>
        </w:tc>
        <w:tc>
          <w:tcPr>
            <w:tcW w:w="5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0"/>
                <w:szCs w:val="20"/>
                <w:color w:val="auto"/>
              </w:rPr>
            </w:pPr>
          </w:p>
        </w:tc>
        <w:tc>
          <w:tcPr>
            <w:tcW w:w="5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0"/>
                <w:szCs w:val="20"/>
                <w:color w:val="auto"/>
              </w:rPr>
            </w:pPr>
          </w:p>
        </w:tc>
        <w:tc>
          <w:tcPr>
            <w:tcW w:w="5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During the six months ended June 30, 2025 and 2024, the Company paid dividends of $15.8 million and $15.7 million, respectively.</w:t>
      </w:r>
    </w:p>
    <w:p>
      <w:pPr>
        <w:spacing w:after="0" w:line="20" w:lineRule="exact"/>
        <w:rPr>
          <w:sz w:val="20"/>
          <w:szCs w:val="20"/>
          <w:color w:val="auto"/>
        </w:rPr>
      </w:pPr>
      <w:r>
        <w:rPr>
          <w:sz w:val="20"/>
          <w:szCs w:val="20"/>
          <w:color w:val="auto"/>
        </w:rPr>
        <w:br w:type="column"/>
      </w:r>
    </w:p>
    <w:p>
      <w:pPr>
        <w:ind w:left="928" w:hanging="928"/>
        <w:spacing w:after="0"/>
        <w:tabs>
          <w:tab w:leader="none" w:pos="9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w:t>
      </w:r>
    </w:p>
    <w:p>
      <w:pPr>
        <w:spacing w:after="0" w:line="24" w:lineRule="exact"/>
        <w:rPr>
          <w:rFonts w:ascii="Times New Roman" w:cs="Times New Roman" w:eastAsia="Times New Roman" w:hAnsi="Times New Roman"/>
          <w:sz w:val="18"/>
          <w:szCs w:val="18"/>
          <w:color w:val="auto"/>
        </w:rPr>
      </w:pPr>
    </w:p>
    <w:p>
      <w:pPr>
        <w:ind w:left="928" w:hanging="928"/>
        <w:spacing w:after="0"/>
        <w:tabs>
          <w:tab w:leader="none" w:pos="9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w:t>
      </w:r>
    </w:p>
    <w:p>
      <w:pPr>
        <w:spacing w:after="0" w:line="517" w:lineRule="exact"/>
        <w:rPr>
          <w:sz w:val="20"/>
          <w:szCs w:val="20"/>
          <w:color w:val="auto"/>
        </w:rPr>
      </w:pPr>
    </w:p>
    <w:p>
      <w:pPr>
        <w:sectPr>
          <w:pgSz w:w="11900" w:h="16838" w:orient="portrait"/>
          <w:cols w:equalWidth="0" w:num="2">
            <w:col w:w="9740" w:space="112"/>
            <w:col w:w="1388"/>
          </w:cols>
          <w:pgMar w:left="320" w:top="223" w:right="339" w:bottom="1440" w:gutter="0" w:footer="0" w:header="0"/>
          <w:type w:val="continuous"/>
        </w:sect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On May 14, 2025, the Board of Directors declared a second quarter 2025 cash dividend of $0.51 per share of common stock, paid on July 9, 2025 to the stockholders of record as of the close of business on June 20, 2025.</w:t>
      </w:r>
    </w:p>
    <w:p>
      <w:pPr>
        <w:spacing w:after="0" w:line="5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On February 21, 2025, the Board of Directors declared a first quarter 2025 cash dividend of $0.51 per share of common stock, paid on April 4, 2025 to the stockholders of record as of the close of business on March 17, 2025.</w:t>
      </w:r>
    </w:p>
    <w:p>
      <w:pPr>
        <w:spacing w:after="0" w:line="5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On November 22, 2024, the Board of Directors declared a fourth quarter 2024 cash dividend of $0.51 per share of common stock, paid on January 7, 2025 to the stockholders of record as of the close of business on December 20, 2024.</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Stock Repurchases</w:t>
      </w:r>
    </w:p>
    <w:p>
      <w:pPr>
        <w:spacing w:after="0" w:line="1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On February 17, 2022, the Company's Board of Directors authorized a new share repurchase program, effective April 1, 2022, of up to $250 million (the “2022 Repurchase Program”).</w:t>
      </w:r>
    </w:p>
    <w:p>
      <w:pPr>
        <w:spacing w:after="0" w:line="5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During the six months ended June 30, 2025, the Company repurchased 309,778 shares of common stock at a cost of $7.6 million. Cumulatively, the Company has repurchased 2,175,177 shares at a cost of $124.3 million under the 2022 Repurchase Program.</w:t>
      </w:r>
    </w:p>
    <w:p>
      <w:pPr>
        <w:spacing w:after="0" w:line="5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this stock repurchase activity during the six months ended June 30, 2025.</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summary, our cash flows for the six months ended June 30, 2025 and 2024 were as follows:</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Borders>
              <w:bottom w:val="single" w:sz="8" w:color="auto"/>
            </w:tcBorders>
            <w:gridSpan w:val="5"/>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81"/>
        </w:trPr>
        <w:tc>
          <w:tcPr>
            <w:tcW w:w="6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Pr>
          <w:p>
            <w:pPr>
              <w:spacing w:after="0"/>
              <w:rPr>
                <w:sz w:val="20"/>
                <w:szCs w:val="20"/>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753"/>
              <w:spacing w:after="0"/>
              <w:rPr>
                <w:sz w:val="20"/>
                <w:szCs w:val="20"/>
                <w:color w:val="auto"/>
              </w:rPr>
            </w:pPr>
            <w:r>
              <w:rPr>
                <w:rFonts w:ascii="Times New Roman" w:cs="Times New Roman" w:eastAsia="Times New Roman" w:hAnsi="Times New Roman"/>
                <w:sz w:val="18"/>
                <w:szCs w:val="18"/>
                <w:color w:val="auto"/>
                <w:w w:val="97"/>
              </w:rPr>
              <w:t>0.9</w:t>
            </w:r>
          </w:p>
        </w:tc>
      </w:tr>
      <w:tr>
        <w:trPr>
          <w:trHeight w:val="22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center"/>
              <w:ind w:left="713"/>
              <w:spacing w:after="0"/>
              <w:rPr>
                <w:sz w:val="20"/>
                <w:szCs w:val="20"/>
                <w:color w:val="auto"/>
              </w:rPr>
            </w:pPr>
            <w:r>
              <w:rPr>
                <w:rFonts w:ascii="Times New Roman" w:cs="Times New Roman" w:eastAsia="Times New Roman" w:hAnsi="Times New Roman"/>
                <w:sz w:val="18"/>
                <w:szCs w:val="18"/>
                <w:color w:val="auto"/>
                <w:w w:val="98"/>
              </w:rPr>
              <w:t>(4.1)</w:t>
            </w:r>
          </w:p>
        </w:tc>
      </w:tr>
      <w:tr>
        <w:trPr>
          <w:trHeight w:val="22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753"/>
              <w:spacing w:after="0"/>
              <w:rPr>
                <w:sz w:val="20"/>
                <w:szCs w:val="20"/>
                <w:color w:val="auto"/>
              </w:rPr>
            </w:pPr>
            <w:r>
              <w:rPr>
                <w:rFonts w:ascii="Times New Roman" w:cs="Times New Roman" w:eastAsia="Times New Roman" w:hAnsi="Times New Roman"/>
                <w:sz w:val="18"/>
                <w:szCs w:val="18"/>
                <w:color w:val="auto"/>
                <w:w w:val="97"/>
              </w:rPr>
              <w:t>0.0</w:t>
            </w:r>
          </w:p>
        </w:tc>
      </w:tr>
      <w:tr>
        <w:trPr>
          <w:trHeight w:val="219"/>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713"/>
              <w:spacing w:after="0"/>
              <w:rPr>
                <w:sz w:val="20"/>
                <w:szCs w:val="20"/>
                <w:color w:val="auto"/>
              </w:rPr>
            </w:pPr>
            <w:r>
              <w:rPr>
                <w:rFonts w:ascii="Times New Roman" w:cs="Times New Roman" w:eastAsia="Times New Roman" w:hAnsi="Times New Roman"/>
                <w:sz w:val="18"/>
                <w:szCs w:val="18"/>
                <w:color w:val="auto"/>
                <w:w w:val="98"/>
              </w:rPr>
              <w:t>(3.2)</w:t>
            </w:r>
          </w:p>
        </w:tc>
      </w:tr>
      <w:tr>
        <w:trPr>
          <w:trHeight w:val="20"/>
        </w:trPr>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1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Cash provided by operating activities is primarily driven by revenues earned and collected from our franchisees, and profit from our rental operations, financing operations and our company-owned restaurants. Cash provided by operating activities increased $0.9 million during the six months ended June 30, 2025 compared to the same period of the prior year. This increase was primarily attributable to a favorable increase in working capital mainly resulting from a shift in timing of income tax payments postponed due to wildfire relief, partially offset by a decrease in gross segment profit and higher G&amp;A expenses as discussed in the preceding sections of this MD&amp;A.</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112"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Investing activities used net cash of $5.2 million for the six months ended June 30, 2025 compared to $1.1 million for the six months ended June 30, 2024. The increase in net cash used was primarily attributable to a decrease in principal receipts from notes and equipment contracts receivables and increases in additions to property and equipment and to long-term</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100"/>
        <w:spacing w:after="0" w:line="275" w:lineRule="auto"/>
        <w:rPr>
          <w:sz w:val="20"/>
          <w:szCs w:val="20"/>
          <w:color w:val="auto"/>
        </w:rPr>
      </w:pPr>
      <w:r>
        <w:rPr>
          <w:rFonts w:ascii="Times New Roman" w:cs="Times New Roman" w:eastAsia="Times New Roman" w:hAnsi="Times New Roman"/>
          <w:sz w:val="18"/>
          <w:szCs w:val="18"/>
          <w:color w:val="auto"/>
        </w:rPr>
        <w:t>receivables compared to the same period of the prior year, partially offset by an increase in proceeds from the sale of assets primarily from the sale of the land and building on which an IHOP restaurant was located.</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112" w:lineRule="exact"/>
        <w:rPr>
          <w:sz w:val="20"/>
          <w:szCs w:val="20"/>
          <w:color w:val="auto"/>
        </w:rPr>
      </w:pPr>
    </w:p>
    <w:p>
      <w:pPr>
        <w:jc w:val="both"/>
        <w:ind w:right="100" w:firstLine="319"/>
        <w:spacing w:after="0" w:line="260" w:lineRule="auto"/>
        <w:rPr>
          <w:sz w:val="20"/>
          <w:szCs w:val="20"/>
          <w:color w:val="auto"/>
        </w:rPr>
      </w:pPr>
      <w:r>
        <w:rPr>
          <w:rFonts w:ascii="Times New Roman" w:cs="Times New Roman" w:eastAsia="Times New Roman" w:hAnsi="Times New Roman"/>
          <w:sz w:val="18"/>
          <w:szCs w:val="18"/>
          <w:color w:val="auto"/>
        </w:rPr>
        <w:t>Financing activities used net cash of $33.3 million for the six months ended June 30, 2025 and 2024. The change in cash used by financing activities was primarily due to proceeds from issuance of long-term debt and decreases in common stock repurchases, compared to the same period of the prior year offset by the repayment of long-term debt and payment of debt issuance costs during the six months ended June 30, 2025.</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16" w:lineRule="exact"/>
        <w:rPr>
          <w:sz w:val="20"/>
          <w:szCs w:val="20"/>
          <w:color w:val="auto"/>
        </w:rPr>
      </w:pPr>
    </w:p>
    <w:p>
      <w:pPr>
        <w:jc w:val="both"/>
        <w:ind w:right="100" w:firstLine="319"/>
        <w:spacing w:after="0" w:line="255" w:lineRule="auto"/>
        <w:rPr>
          <w:sz w:val="20"/>
          <w:szCs w:val="20"/>
          <w:color w:val="auto"/>
        </w:rPr>
      </w:pPr>
      <w:r>
        <w:rPr>
          <w:rFonts w:ascii="Times New Roman" w:cs="Times New Roman" w:eastAsia="Times New Roman" w:hAnsi="Times New Roman"/>
          <w:sz w:val="18"/>
          <w:szCs w:val="18"/>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payment of cash dividends on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77" w:lineRule="exact"/>
        <w:rPr>
          <w:sz w:val="20"/>
          <w:szCs w:val="20"/>
          <w:color w:val="auto"/>
        </w:rPr>
      </w:pPr>
    </w:p>
    <w:p>
      <w:pPr>
        <w:jc w:val="both"/>
        <w:ind w:right="100" w:firstLine="319"/>
        <w:spacing w:after="0" w:line="255" w:lineRule="auto"/>
        <w:rPr>
          <w:sz w:val="20"/>
          <w:szCs w:val="20"/>
          <w:color w:val="auto"/>
        </w:rPr>
      </w:pPr>
      <w:r>
        <w:rPr>
          <w:rFonts w:ascii="Times New Roman" w:cs="Times New Roman" w:eastAsia="Times New Roman" w:hAnsi="Times New Roman"/>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119"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0"/>
        </w:trPr>
        <w:tc>
          <w:tcPr>
            <w:tcW w:w="6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81"/>
        </w:trPr>
        <w:tc>
          <w:tcPr>
            <w:tcW w:w="6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80" w:type="dxa"/>
            <w:vAlign w:val="bottom"/>
          </w:tcPr>
          <w:p>
            <w:pPr>
              <w:spacing w:after="0"/>
              <w:rPr>
                <w:sz w:val="20"/>
                <w:szCs w:val="20"/>
                <w:color w:val="auto"/>
              </w:rPr>
            </w:pP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Pr>
          <w:p>
            <w:pPr>
              <w:spacing w:after="0"/>
              <w:rPr>
                <w:sz w:val="20"/>
                <w:szCs w:val="20"/>
                <w:color w:val="auto"/>
              </w:rPr>
            </w:pPr>
          </w:p>
        </w:tc>
        <w:tc>
          <w:tcPr>
            <w:tcW w:w="108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693"/>
              <w:spacing w:after="0"/>
              <w:rPr>
                <w:sz w:val="20"/>
                <w:szCs w:val="20"/>
                <w:color w:val="auto"/>
              </w:rPr>
            </w:pPr>
            <w:r>
              <w:rPr>
                <w:rFonts w:ascii="Times New Roman" w:cs="Times New Roman" w:eastAsia="Times New Roman" w:hAnsi="Times New Roman"/>
                <w:sz w:val="18"/>
                <w:szCs w:val="18"/>
                <w:color w:val="auto"/>
                <w:w w:val="97"/>
              </w:rPr>
              <w:t>0.9</w:t>
            </w:r>
          </w:p>
        </w:tc>
      </w:tr>
      <w:tr>
        <w:trPr>
          <w:trHeight w:val="22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receipts from notes and equipment contracts</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center"/>
              <w:ind w:left="653"/>
              <w:spacing w:after="0"/>
              <w:rPr>
                <w:sz w:val="20"/>
                <w:szCs w:val="20"/>
                <w:color w:val="auto"/>
              </w:rPr>
            </w:pPr>
            <w:r>
              <w:rPr>
                <w:rFonts w:ascii="Times New Roman" w:cs="Times New Roman" w:eastAsia="Times New Roman" w:hAnsi="Times New Roman"/>
                <w:sz w:val="18"/>
                <w:szCs w:val="18"/>
                <w:color w:val="auto"/>
                <w:w w:val="98"/>
              </w:rPr>
              <w:t>(2.7)</w:t>
            </w:r>
          </w:p>
        </w:tc>
      </w:tr>
      <w:tr>
        <w:trPr>
          <w:trHeight w:val="22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80" w:type="dxa"/>
            <w:vAlign w:val="bottom"/>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w w:val="98"/>
              </w:rPr>
              <w:t>(2.5)</w:t>
            </w:r>
          </w:p>
        </w:tc>
      </w:tr>
      <w:tr>
        <w:trPr>
          <w:trHeight w:val="21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free cash flow</w:t>
            </w:r>
          </w:p>
        </w:tc>
        <w:tc>
          <w:tcPr>
            <w:tcW w:w="80" w:type="dxa"/>
            <w:vAlign w:val="bottom"/>
          </w:tcPr>
          <w:p>
            <w:pPr>
              <w:spacing w:after="0"/>
              <w:rPr>
                <w:sz w:val="19"/>
                <w:szCs w:val="19"/>
                <w:color w:val="auto"/>
              </w:rPr>
            </w:pPr>
          </w:p>
        </w:tc>
        <w:tc>
          <w:tcPr>
            <w:tcW w:w="102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653"/>
              <w:spacing w:after="0"/>
              <w:rPr>
                <w:sz w:val="20"/>
                <w:szCs w:val="20"/>
                <w:color w:val="auto"/>
              </w:rPr>
            </w:pPr>
            <w:r>
              <w:rPr>
                <w:rFonts w:ascii="Times New Roman" w:cs="Times New Roman" w:eastAsia="Times New Roman" w:hAnsi="Times New Roman"/>
                <w:sz w:val="18"/>
                <w:szCs w:val="18"/>
                <w:color w:val="auto"/>
                <w:w w:val="98"/>
              </w:rPr>
              <w:t>(4.2)</w:t>
            </w:r>
          </w:p>
        </w:tc>
      </w:tr>
      <w:tr>
        <w:trPr>
          <w:trHeight w:val="20"/>
        </w:trPr>
        <w:tc>
          <w:tcPr>
            <w:tcW w:w="6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right="100" w:firstLine="319"/>
        <w:spacing w:after="0" w:line="260" w:lineRule="auto"/>
        <w:rPr>
          <w:sz w:val="20"/>
          <w:szCs w:val="20"/>
          <w:color w:val="auto"/>
        </w:rPr>
      </w:pPr>
      <w:r>
        <w:rPr>
          <w:rFonts w:ascii="Times New Roman" w:cs="Times New Roman" w:eastAsia="Times New Roman" w:hAnsi="Times New Roman"/>
          <w:sz w:val="18"/>
          <w:szCs w:val="18"/>
          <w:color w:val="auto"/>
        </w:rPr>
        <w:t>Adjusted free cash flow for the six months ended June 30, 2025 decreased $4.2 million compared to the same period of the prior year primarily due to a decrease in principal receipts from notes and equipment contracts and an increase in additions to property and equipment as the Company invests in its company-owned restaurants, partially offset by higher cash flows from operating activities as discussed in the preceding section of this MD&amp;A.</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material changes to the contractual obligations as disclosed in our Annual Report on Form 10-K for the year ended December 31, 2024.</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4" w:lineRule="exact"/>
        <w:rPr>
          <w:sz w:val="20"/>
          <w:szCs w:val="20"/>
          <w:color w:val="auto"/>
        </w:rPr>
      </w:pPr>
    </w:p>
    <w:p>
      <w:pPr>
        <w:jc w:val="both"/>
        <w:ind w:right="100" w:firstLine="363"/>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77" w:lineRule="exact"/>
        <w:rPr>
          <w:sz w:val="20"/>
          <w:szCs w:val="20"/>
          <w:color w:val="auto"/>
        </w:rPr>
      </w:pPr>
    </w:p>
    <w:p>
      <w:pPr>
        <w:jc w:val="both"/>
        <w:ind w:right="100" w:firstLine="319"/>
        <w:spacing w:after="0" w:line="260" w:lineRule="auto"/>
        <w:rPr>
          <w:sz w:val="20"/>
          <w:szCs w:val="20"/>
          <w:color w:val="auto"/>
        </w:rPr>
      </w:pPr>
      <w:r>
        <w:rPr>
          <w:rFonts w:ascii="Times New Roman" w:cs="Times New Roman" w:eastAsia="Times New Roman" w:hAnsi="Times New Roman"/>
          <w:sz w:val="18"/>
          <w:szCs w:val="18"/>
          <w:color w:val="auto"/>
        </w:rPr>
        <w:t>A summary of our critical accounting estimates is included in Management’s Discussion and Analysis of Financial Condition and Results of Operations contained in our Annual Report on Form 10-K for the year ended December 31, 2024. During the six months ended June 30, 2025, there were no significant changes in our critical accounting policies or in our critical accounting estimates.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material changes from the information contained in the Company’s Annual Report on Form 10-K for the year ended December 31, 2024.</w:t>
      </w:r>
    </w:p>
    <w:p>
      <w:pPr>
        <w:spacing w:after="0" w:line="200" w:lineRule="exact"/>
        <w:rPr>
          <w:sz w:val="20"/>
          <w:szCs w:val="20"/>
          <w:color w:val="auto"/>
        </w:rPr>
      </w:pPr>
    </w:p>
    <w:p>
      <w:pPr>
        <w:spacing w:after="0" w:line="3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223"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1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4"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4"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4" w:lineRule="exact"/>
        <w:rPr>
          <w:sz w:val="20"/>
          <w:szCs w:val="20"/>
          <w:color w:val="auto"/>
        </w:rPr>
      </w:pPr>
    </w:p>
    <w:p>
      <w:pPr>
        <w:ind w:right="180" w:firstLine="360"/>
        <w:spacing w:after="0" w:line="275" w:lineRule="auto"/>
        <w:rPr>
          <w:sz w:val="20"/>
          <w:szCs w:val="20"/>
          <w:color w:val="auto"/>
        </w:rPr>
      </w:pPr>
      <w:r>
        <w:rPr>
          <w:rFonts w:ascii="Times New Roman" w:cs="Times New Roman" w:eastAsia="Times New Roman" w:hAnsi="Times New Roman"/>
          <w:sz w:val="18"/>
          <w:szCs w:val="18"/>
          <w:color w:val="auto"/>
        </w:rPr>
        <w:t>There are no material changes from the risk factors set forth under Item 1A of Part I of the Company’s Annual Report on Form 10-K for the fiscal year ended December 31, 2024.</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9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69913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135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80" w:type="dxa"/>
            <w:vAlign w:val="bottom"/>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w w:val="97"/>
              </w:rPr>
              <w:t>Total number of</w:t>
            </w: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80" w:type="dxa"/>
            <w:vAlign w:val="bottom"/>
          </w:tcPr>
          <w:p>
            <w:pPr>
              <w:jc w:val="center"/>
              <w:ind w:left="209"/>
              <w:spacing w:after="0" w:line="144"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3340" w:type="dxa"/>
            <w:vAlign w:val="bottom"/>
            <w:vMerge w:val="restart"/>
          </w:tcPr>
          <w:p>
            <w:pPr>
              <w:jc w:val="center"/>
              <w:ind w:left="1649"/>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60" w:type="dxa"/>
            <w:vAlign w:val="bottom"/>
            <w:vMerge w:val="continue"/>
          </w:tcPr>
          <w:p>
            <w:pPr>
              <w:spacing w:after="0"/>
              <w:rPr>
                <w:sz w:val="11"/>
                <w:szCs w:val="11"/>
                <w:color w:val="auto"/>
              </w:rPr>
            </w:pPr>
          </w:p>
        </w:tc>
        <w:tc>
          <w:tcPr>
            <w:tcW w:w="1480" w:type="dxa"/>
            <w:vAlign w:val="bottom"/>
          </w:tcPr>
          <w:p>
            <w:pPr>
              <w:jc w:val="center"/>
              <w:ind w:left="209"/>
              <w:spacing w:after="0" w:line="135" w:lineRule="exact"/>
              <w:rPr>
                <w:sz w:val="20"/>
                <w:szCs w:val="20"/>
                <w:color w:val="auto"/>
              </w:rPr>
            </w:pPr>
            <w:r>
              <w:rPr>
                <w:rFonts w:ascii="Times New Roman" w:cs="Times New Roman" w:eastAsia="Times New Roman" w:hAnsi="Times New Roman"/>
                <w:sz w:val="14"/>
                <w:szCs w:val="14"/>
                <w:b w:val="1"/>
                <w:bCs w:val="1"/>
                <w:color w:val="auto"/>
                <w:w w:val="99"/>
              </w:rPr>
              <w:t>part of publicly</w:t>
            </w:r>
          </w:p>
        </w:tc>
        <w:tc>
          <w:tcPr>
            <w:tcW w:w="0" w:type="dxa"/>
            <w:vAlign w:val="bottom"/>
          </w:tcPr>
          <w:p>
            <w:pPr>
              <w:spacing w:after="0"/>
              <w:rPr>
                <w:sz w:val="1"/>
                <w:szCs w:val="1"/>
                <w:color w:val="auto"/>
              </w:rPr>
            </w:pPr>
          </w:p>
        </w:tc>
      </w:tr>
      <w:tr>
        <w:trPr>
          <w:trHeight w:val="144"/>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340" w:type="dxa"/>
            <w:vAlign w:val="bottom"/>
            <w:vMerge w:val="continue"/>
          </w:tcPr>
          <w:p>
            <w:pPr>
              <w:spacing w:after="0"/>
              <w:rPr>
                <w:sz w:val="12"/>
                <w:szCs w:val="12"/>
                <w:color w:val="auto"/>
              </w:rPr>
            </w:pPr>
          </w:p>
        </w:tc>
        <w:tc>
          <w:tcPr>
            <w:tcW w:w="14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480" w:type="dxa"/>
            <w:vAlign w:val="bottom"/>
          </w:tcPr>
          <w:p>
            <w:pPr>
              <w:jc w:val="center"/>
              <w:ind w:left="209"/>
              <w:spacing w:after="0" w:line="144"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0" w:type="dxa"/>
            <w:vAlign w:val="bottom"/>
          </w:tcPr>
          <w:p>
            <w:pPr>
              <w:spacing w:after="0"/>
              <w:rPr>
                <w:sz w:val="1"/>
                <w:szCs w:val="1"/>
                <w:color w:val="auto"/>
              </w:rPr>
            </w:pPr>
          </w:p>
        </w:tc>
      </w:tr>
      <w:tr>
        <w:trPr>
          <w:trHeight w:val="188"/>
        </w:trPr>
        <w:tc>
          <w:tcPr>
            <w:tcW w:w="2460" w:type="dxa"/>
            <w:vAlign w:val="bottom"/>
            <w:vMerge w:val="continue"/>
          </w:tcPr>
          <w:p>
            <w:pPr>
              <w:spacing w:after="0"/>
              <w:rPr>
                <w:sz w:val="16"/>
                <w:szCs w:val="16"/>
                <w:color w:val="auto"/>
              </w:rPr>
            </w:pPr>
          </w:p>
        </w:tc>
        <w:tc>
          <w:tcPr>
            <w:tcW w:w="3340" w:type="dxa"/>
            <w:vAlign w:val="bottom"/>
          </w:tcPr>
          <w:p>
            <w:pPr>
              <w:jc w:val="center"/>
              <w:ind w:left="1649"/>
              <w:spacing w:after="0"/>
              <w:rPr>
                <w:sz w:val="20"/>
                <w:szCs w:val="20"/>
                <w:color w:val="auto"/>
              </w:rPr>
            </w:pPr>
            <w:r>
              <w:rPr>
                <w:rFonts w:ascii="Times New Roman" w:cs="Times New Roman" w:eastAsia="Times New Roman" w:hAnsi="Times New Roman"/>
                <w:sz w:val="14"/>
                <w:szCs w:val="14"/>
                <w:b w:val="1"/>
                <w:bCs w:val="1"/>
                <w:color w:val="auto"/>
              </w:rPr>
              <w:t>shares (a)</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80" w:type="dxa"/>
            <w:vAlign w:val="bottom"/>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programs (b)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spacing w:after="0" w:line="3" w:lineRule="exact"/>
        <w:rPr>
          <w:sz w:val="20"/>
          <w:szCs w:val="20"/>
          <w:color w:val="auto"/>
        </w:rPr>
      </w:pPr>
    </w:p>
    <w:p>
      <w:pPr>
        <w:ind w:left="240" w:right="520" w:hanging="51"/>
        <w:spacing w:after="0" w:line="223" w:lineRule="auto"/>
        <w:rPr>
          <w:sz w:val="20"/>
          <w:szCs w:val="20"/>
          <w:color w:val="auto"/>
        </w:rPr>
      </w:pPr>
      <w:r>
        <w:rPr>
          <w:rFonts w:ascii="Times New Roman" w:cs="Times New Roman" w:eastAsia="Times New Roman" w:hAnsi="Times New Roman"/>
          <w:sz w:val="13"/>
          <w:szCs w:val="13"/>
          <w:b w:val="1"/>
          <w:bCs w:val="1"/>
          <w:color w:val="auto"/>
        </w:rPr>
        <w:t>shares that may yet be purchased under the</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plans or programs (b)</w:t>
      </w:r>
    </w:p>
    <w:p>
      <w:pPr>
        <w:spacing w:after="0" w:line="21" w:lineRule="exact"/>
        <w:rPr>
          <w:sz w:val="20"/>
          <w:szCs w:val="20"/>
          <w:color w:val="auto"/>
        </w:rPr>
      </w:pPr>
    </w:p>
    <w:p>
      <w:pPr>
        <w:sectPr>
          <w:pgSz w:w="11900" w:h="16838" w:orient="portrait"/>
          <w:cols w:equalWidth="0" w:num="2">
            <w:col w:w="8760" w:space="440"/>
            <w:col w:w="2040"/>
          </w:cols>
          <w:pgMar w:left="320" w:top="223"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2025 - April 27, 2025</w:t>
            </w:r>
          </w:p>
        </w:tc>
        <w:tc>
          <w:tcPr>
            <w:tcW w:w="10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tcPr>
          <w:p>
            <w:pPr>
              <w:spacing w:after="0"/>
              <w:rPr>
                <w:sz w:val="18"/>
                <w:szCs w:val="18"/>
                <w:color w:val="auto"/>
              </w:rPr>
            </w:pPr>
          </w:p>
        </w:tc>
        <w:tc>
          <w:tcPr>
            <w:tcW w:w="500" w:type="dxa"/>
            <w:vAlign w:val="bottom"/>
            <w:tcBorders>
              <w:top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80" w:type="dxa"/>
            <w:vAlign w:val="bottom"/>
            <w:tcBorders>
              <w:top w:val="single" w:sz="8" w:color="auto"/>
            </w:tcBorders>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131,629,000</w:t>
            </w:r>
          </w:p>
        </w:tc>
      </w:tr>
      <w:tr>
        <w:trPr>
          <w:trHeight w:val="22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28, 2025 - May 25, 2025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104,810</w:t>
            </w:r>
          </w:p>
        </w:tc>
        <w:tc>
          <w:tcPr>
            <w:tcW w:w="7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129,132,000</w:t>
            </w:r>
          </w:p>
        </w:tc>
      </w:tr>
      <w:tr>
        <w:trPr>
          <w:trHeight w:val="22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26, 2025 - June 29, 2025</w:t>
            </w:r>
          </w:p>
        </w:tc>
        <w:tc>
          <w:tcPr>
            <w:tcW w:w="100" w:type="dxa"/>
            <w:vAlign w:val="bottom"/>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100" w:type="dxa"/>
            <w:vAlign w:val="bottom"/>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140,099</w:t>
            </w:r>
          </w:p>
        </w:tc>
        <w:tc>
          <w:tcPr>
            <w:tcW w:w="120" w:type="dxa"/>
            <w:vAlign w:val="bottom"/>
          </w:tcPr>
          <w:p>
            <w:pPr>
              <w:spacing w:after="0"/>
              <w:rPr>
                <w:sz w:val="19"/>
                <w:szCs w:val="19"/>
                <w:color w:val="auto"/>
              </w:rPr>
            </w:pPr>
          </w:p>
        </w:tc>
        <w:tc>
          <w:tcPr>
            <w:tcW w:w="58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125,667,000</w:t>
            </w:r>
          </w:p>
        </w:tc>
      </w:tr>
      <w:tr>
        <w:trPr>
          <w:trHeight w:val="206"/>
        </w:trPr>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244,909</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77" w:lineRule="exact"/>
        <w:rPr>
          <w:sz w:val="20"/>
          <w:szCs w:val="20"/>
          <w:color w:val="auto"/>
        </w:rPr>
      </w:pPr>
    </w:p>
    <w:p>
      <w:pPr>
        <w:ind w:left="240" w:right="240" w:hanging="234"/>
        <w:spacing w:after="0"/>
        <w:tabs>
          <w:tab w:leader="none" w:pos="139"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These amounts include shares owned and tendered by employees to satisfy tax withholding obligations arising upon vesting of restricted stock awards. Shares so surrendered by the participants are repurchased by us pursuant to the terms of the plan and the applicable individual award agreements under which the shares were issued and not pursuant to publicly announced repurchase authorizations.</w:t>
      </w:r>
    </w:p>
    <w:p>
      <w:pPr>
        <w:spacing w:after="0" w:line="265" w:lineRule="exact"/>
        <w:rPr>
          <w:rFonts w:ascii="Times New Roman" w:cs="Times New Roman" w:eastAsia="Times New Roman" w:hAnsi="Times New Roman"/>
          <w:sz w:val="17"/>
          <w:szCs w:val="17"/>
          <w:color w:val="auto"/>
          <w:vertAlign w:val="superscript"/>
        </w:rPr>
      </w:pPr>
    </w:p>
    <w:p>
      <w:pPr>
        <w:ind w:left="240" w:right="240" w:hanging="234"/>
        <w:spacing w:after="0" w:line="232" w:lineRule="auto"/>
        <w:tabs>
          <w:tab w:leader="none" w:pos="223" w:val="left"/>
        </w:tabs>
        <w:numPr>
          <w:ilvl w:val="0"/>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February 17, 2022, the Company's Board of Directors authorized a share repurchase program, effective April 1, 2022, of up to $250 million (the “2022 Repurchase Program”). The 2022 Repurchase Program, as approved by the Board of Directors, does not require the repurchase of a specific number of shares and can be terminated at any time.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00" w:lineRule="exact"/>
        <w:rPr>
          <w:sz w:val="20"/>
          <w:szCs w:val="20"/>
          <w:color w:val="auto"/>
        </w:rPr>
      </w:pPr>
    </w:p>
    <w:p>
      <w:pPr>
        <w:ind w:right="20" w:firstLine="398"/>
        <w:spacing w:after="0" w:line="272" w:lineRule="auto"/>
        <w:rPr>
          <w:sz w:val="20"/>
          <w:szCs w:val="20"/>
          <w:color w:val="auto"/>
        </w:rPr>
      </w:pPr>
      <w:r>
        <w:rPr>
          <w:rFonts w:ascii="Times New Roman" w:cs="Times New Roman" w:eastAsia="Times New Roman" w:hAnsi="Times New Roman"/>
          <w:sz w:val="17"/>
          <w:szCs w:val="17"/>
          <w:color w:val="auto"/>
        </w:rPr>
        <w:t>During the fiscal quarter ended June 30, 2025, none of our directors or officers (as defined in Rule 16a-1(f) under the Exchange Act) adopted, modified, or terminated a Rule 10b5-1 trading plan or a non-Rule 10b5-1 trading arrangement for our securities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38"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9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4.1</w:t>
            </w:r>
          </w:p>
        </w:tc>
        <w:tc>
          <w:tcPr>
            <w:tcW w:w="9740" w:type="dxa"/>
            <w:vAlign w:val="bottom"/>
            <w:gridSpan w:val="23"/>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Second Amended and Restated Base Indenture, dated as of April 17, 2023, as amended by Supplemental Indenture No. 1, dated as of</w:t>
              </w:r>
            </w:hyperlink>
          </w:p>
        </w:tc>
      </w:tr>
      <w:tr>
        <w:trPr>
          <w:trHeight w:val="153"/>
        </w:trPr>
        <w:tc>
          <w:tcPr>
            <w:tcW w:w="960" w:type="dxa"/>
            <w:vAlign w:val="bottom"/>
          </w:tcPr>
          <w:p>
            <w:pPr>
              <w:spacing w:after="0"/>
              <w:rPr>
                <w:sz w:val="13"/>
                <w:szCs w:val="13"/>
                <w:color w:val="auto"/>
              </w:rPr>
            </w:pPr>
          </w:p>
        </w:tc>
        <w:tc>
          <w:tcPr>
            <w:tcW w:w="9420" w:type="dxa"/>
            <w:vAlign w:val="bottom"/>
            <w:tcBorders>
              <w:top w:val="single" w:sz="8" w:color="0000FF"/>
            </w:tcBorders>
            <w:gridSpan w:val="11"/>
          </w:tcPr>
          <w:p>
            <w:pPr>
              <w:spacing w:after="0" w:line="153"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June 17, 2025, among Applebee’s Funding LLC and IHOP Funding LLC, each as a Co-Issuer, and Citibank, N.A., as Trustee and</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960" w:type="dxa"/>
            <w:vAlign w:val="bottom"/>
          </w:tcPr>
          <w:p>
            <w:pPr>
              <w:spacing w:after="0"/>
              <w:rPr>
                <w:sz w:val="14"/>
                <w:szCs w:val="14"/>
                <w:color w:val="auto"/>
              </w:rPr>
            </w:pPr>
          </w:p>
        </w:tc>
        <w:tc>
          <w:tcPr>
            <w:tcW w:w="9740" w:type="dxa"/>
            <w:vAlign w:val="bottom"/>
            <w:gridSpan w:val="23"/>
          </w:tcPr>
          <w:p>
            <w:pPr>
              <w:spacing w:after="0" w:line="16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Securities Intermediary (incorporated by reference from Exhibit 4.1 to the Corporation's Current Report on Form 8-K filed on June 17,</w:t>
              </w:r>
            </w:hyperlink>
          </w:p>
        </w:tc>
      </w:tr>
      <w:tr>
        <w:trPr>
          <w:trHeight w:val="153"/>
        </w:trPr>
        <w:tc>
          <w:tcPr>
            <w:tcW w:w="96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3"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2025).</w:t>
              </w:r>
            </w:hyperlink>
          </w:p>
        </w:tc>
        <w:tc>
          <w:tcPr>
            <w:tcW w:w="6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47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6"/>
        </w:trPr>
        <w:tc>
          <w:tcPr>
            <w:tcW w:w="960" w:type="dxa"/>
            <w:vAlign w:val="bottom"/>
          </w:tcPr>
          <w:p>
            <w:pPr>
              <w:jc w:val="right"/>
              <w:ind w:right="271"/>
              <w:spacing w:after="0" w:line="206" w:lineRule="exact"/>
              <w:rPr>
                <w:sz w:val="20"/>
                <w:szCs w:val="20"/>
                <w:color w:val="auto"/>
              </w:rPr>
            </w:pPr>
            <w:r>
              <w:rPr>
                <w:rFonts w:ascii="Times New Roman" w:cs="Times New Roman" w:eastAsia="Times New Roman" w:hAnsi="Times New Roman"/>
                <w:sz w:val="18"/>
                <w:szCs w:val="18"/>
                <w:color w:val="auto"/>
              </w:rPr>
              <w:t>4.2</w:t>
            </w:r>
          </w:p>
        </w:tc>
        <w:tc>
          <w:tcPr>
            <w:tcW w:w="9740" w:type="dxa"/>
            <w:vAlign w:val="bottom"/>
            <w:gridSpan w:val="23"/>
          </w:tcPr>
          <w:p>
            <w:pPr>
              <w:spacing w:after="0" w:line="20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Series 2025-1 Supplement to Base Indenture, dated June 17, 2025, among Applebee’s Funding LLC and IHOP Funding LLC, each as a</w:t>
              </w:r>
            </w:hyperlink>
          </w:p>
        </w:tc>
      </w:tr>
      <w:tr>
        <w:trPr>
          <w:trHeight w:val="153"/>
        </w:trPr>
        <w:tc>
          <w:tcPr>
            <w:tcW w:w="960" w:type="dxa"/>
            <w:vAlign w:val="bottom"/>
          </w:tcPr>
          <w:p>
            <w:pPr>
              <w:spacing w:after="0"/>
              <w:rPr>
                <w:sz w:val="13"/>
                <w:szCs w:val="13"/>
                <w:color w:val="auto"/>
              </w:rPr>
            </w:pPr>
          </w:p>
        </w:tc>
        <w:tc>
          <w:tcPr>
            <w:tcW w:w="9580" w:type="dxa"/>
            <w:vAlign w:val="bottom"/>
            <w:tcBorders>
              <w:top w:val="single" w:sz="8" w:color="0000FF"/>
            </w:tcBorders>
            <w:gridSpan w:val="16"/>
          </w:tcPr>
          <w:p>
            <w:pPr>
              <w:spacing w:after="0" w:line="153"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Co-Issuer, and Citibank, N.A., as Trustee and Securities Intermediary (incorporated by reference from Exhibit 4.2 to the Corporation's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960" w:type="dxa"/>
            <w:vAlign w:val="bottom"/>
          </w:tcPr>
          <w:p>
            <w:pPr>
              <w:spacing w:after="0"/>
              <w:rPr>
                <w:sz w:val="14"/>
                <w:szCs w:val="14"/>
                <w:color w:val="auto"/>
              </w:rPr>
            </w:pPr>
          </w:p>
        </w:tc>
        <w:tc>
          <w:tcPr>
            <w:tcW w:w="3760" w:type="dxa"/>
            <w:vAlign w:val="bottom"/>
            <w:tcBorders>
              <w:top w:val="single" w:sz="8" w:color="0000FF"/>
              <w:bottom w:val="single" w:sz="8" w:color="0000FF"/>
            </w:tcBorders>
            <w:gridSpan w:val="5"/>
          </w:tcPr>
          <w:p>
            <w:pPr>
              <w:spacing w:after="0" w:line="166" w:lineRule="exact"/>
              <w:rPr>
                <w:rFonts w:ascii="Times New Roman" w:cs="Times New Roman" w:eastAsia="Times New Roman" w:hAnsi="Times New Roman"/>
                <w:sz w:val="18"/>
                <w:szCs w:val="18"/>
                <w:color w:val="0000FF"/>
                <w:w w:val="97"/>
              </w:rPr>
            </w:pPr>
            <w:hyperlink r:id="rId92">
              <w:r>
                <w:rPr>
                  <w:rFonts w:ascii="Times New Roman" w:cs="Times New Roman" w:eastAsia="Times New Roman" w:hAnsi="Times New Roman"/>
                  <w:sz w:val="18"/>
                  <w:szCs w:val="18"/>
                  <w:color w:val="0000FF"/>
                  <w:w w:val="97"/>
                </w:rPr>
                <w:t>Current Report on Form 8-K filed on June 17, 2025).</w:t>
              </w:r>
            </w:hyperlink>
          </w:p>
        </w:tc>
        <w:tc>
          <w:tcPr>
            <w:tcW w:w="574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960" w:type="dxa"/>
            <w:vAlign w:val="bottom"/>
          </w:tcPr>
          <w:p>
            <w:pPr>
              <w:jc w:val="right"/>
              <w:ind w:right="271"/>
              <w:spacing w:after="0" w:line="206" w:lineRule="exact"/>
              <w:rPr>
                <w:sz w:val="20"/>
                <w:szCs w:val="20"/>
                <w:color w:val="auto"/>
              </w:rPr>
            </w:pPr>
            <w:r>
              <w:rPr>
                <w:rFonts w:ascii="Times New Roman" w:cs="Times New Roman" w:eastAsia="Times New Roman" w:hAnsi="Times New Roman"/>
                <w:sz w:val="18"/>
                <w:szCs w:val="18"/>
                <w:color w:val="auto"/>
              </w:rPr>
              <w:t>10.1</w:t>
            </w:r>
          </w:p>
        </w:tc>
        <w:tc>
          <w:tcPr>
            <w:tcW w:w="9740" w:type="dxa"/>
            <w:vAlign w:val="bottom"/>
            <w:gridSpan w:val="23"/>
          </w:tcPr>
          <w:p>
            <w:pPr>
              <w:spacing w:after="0" w:line="20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Class A-1 Note Purchase Agreement, dated June 17, 2025, among Applebee’s Funding LLC and IHOP Funding LLC, each a Co-Issuer,</w:t>
              </w:r>
            </w:hyperlink>
          </w:p>
        </w:tc>
      </w:tr>
      <w:tr>
        <w:trPr>
          <w:trHeight w:val="153"/>
        </w:trPr>
        <w:tc>
          <w:tcPr>
            <w:tcW w:w="96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17"/>
          </w:tcPr>
          <w:p>
            <w:pPr>
              <w:spacing w:after="0" w:line="153"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certain special-purpose, wholly-owned indirect subsidiaries of the Corporation, each as a Guarantor, the Corporation, as manager, certain</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960" w:type="dxa"/>
            <w:vAlign w:val="bottom"/>
          </w:tcPr>
          <w:p>
            <w:pPr>
              <w:spacing w:after="0"/>
              <w:rPr>
                <w:sz w:val="14"/>
                <w:szCs w:val="14"/>
                <w:color w:val="auto"/>
              </w:rPr>
            </w:pPr>
          </w:p>
        </w:tc>
        <w:tc>
          <w:tcPr>
            <w:tcW w:w="9700" w:type="dxa"/>
            <w:vAlign w:val="bottom"/>
            <w:gridSpan w:val="21"/>
          </w:tcPr>
          <w:p>
            <w:pPr>
              <w:spacing w:after="0" w:line="16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conduit investors, financial institutions and funding agents, Coöperatieve Rabobank U.A., New York Branch as provider of letters of</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8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3"/>
        </w:trPr>
        <w:tc>
          <w:tcPr>
            <w:tcW w:w="960" w:type="dxa"/>
            <w:vAlign w:val="bottom"/>
          </w:tcPr>
          <w:p>
            <w:pPr>
              <w:spacing w:after="0"/>
              <w:rPr>
                <w:sz w:val="13"/>
                <w:szCs w:val="13"/>
                <w:color w:val="auto"/>
              </w:rPr>
            </w:pPr>
          </w:p>
        </w:tc>
        <w:tc>
          <w:tcPr>
            <w:tcW w:w="9740" w:type="dxa"/>
            <w:vAlign w:val="bottom"/>
            <w:gridSpan w:val="23"/>
          </w:tcPr>
          <w:p>
            <w:pPr>
              <w:spacing w:after="0" w:line="153"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credit and swingline lender and as administrative agent (incorporated by reference from Exhibit 10.1 to the Corporation's Current Report</w:t>
              </w:r>
            </w:hyperlink>
          </w:p>
        </w:tc>
      </w:tr>
      <w:tr>
        <w:trPr>
          <w:trHeight w:val="153"/>
        </w:trPr>
        <w:tc>
          <w:tcPr>
            <w:tcW w:w="960" w:type="dxa"/>
            <w:vAlign w:val="bottom"/>
          </w:tcPr>
          <w:p>
            <w:pPr>
              <w:spacing w:after="0"/>
              <w:rPr>
                <w:sz w:val="13"/>
                <w:szCs w:val="13"/>
                <w:color w:val="auto"/>
              </w:rPr>
            </w:pPr>
          </w:p>
        </w:tc>
        <w:tc>
          <w:tcPr>
            <w:tcW w:w="9680" w:type="dxa"/>
            <w:vAlign w:val="bottom"/>
            <w:tcBorders>
              <w:top w:val="single" w:sz="8" w:color="0000FF"/>
            </w:tcBorders>
            <w:gridSpan w:val="20"/>
          </w:tcPr>
          <w:p>
            <w:pPr>
              <w:spacing w:after="0" w:line="153"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on Form 8-K filed on June 17, 2025).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9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10.2</w:t>
            </w:r>
          </w:p>
        </w:tc>
        <w:tc>
          <w:tcPr>
            <w:tcW w:w="9740" w:type="dxa"/>
            <w:vAlign w:val="bottom"/>
            <w:gridSpan w:val="23"/>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Fourth Amended and Restated Management Agreement, dated September 30, 2014, amended and restated as of September 5, 2018,</w:t>
              </w:r>
            </w:hyperlink>
          </w:p>
        </w:tc>
      </w:tr>
      <w:tr>
        <w:trPr>
          <w:trHeight w:val="153"/>
        </w:trPr>
        <w:tc>
          <w:tcPr>
            <w:tcW w:w="960" w:type="dxa"/>
            <w:vAlign w:val="bottom"/>
          </w:tcPr>
          <w:p>
            <w:pPr>
              <w:spacing w:after="0"/>
              <w:rPr>
                <w:sz w:val="13"/>
                <w:szCs w:val="13"/>
                <w:color w:val="auto"/>
              </w:rPr>
            </w:pPr>
          </w:p>
        </w:tc>
        <w:tc>
          <w:tcPr>
            <w:tcW w:w="9380" w:type="dxa"/>
            <w:vAlign w:val="bottom"/>
            <w:tcBorders>
              <w:top w:val="single" w:sz="8" w:color="0000FF"/>
            </w:tcBorders>
            <w:gridSpan w:val="10"/>
          </w:tcPr>
          <w:p>
            <w:pPr>
              <w:spacing w:after="0" w:line="153"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further amended and restated as of June 5, 2019, further amended and restated as of April 17, 2023, and further amended and restated</w:t>
              </w:r>
            </w:hyperlink>
          </w:p>
        </w:tc>
        <w:tc>
          <w:tcPr>
            <w:tcW w:w="360" w:type="dxa"/>
            <w:vAlign w:val="bottom"/>
            <w:gridSpan w:val="13"/>
          </w:tcPr>
          <w:p>
            <w:pPr>
              <w:ind w:left="100"/>
              <w:spacing w:after="0" w:line="153"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as</w:t>
              </w:r>
            </w:hyperlink>
          </w:p>
        </w:tc>
      </w:tr>
      <w:tr>
        <w:trPr>
          <w:trHeight w:val="166"/>
        </w:trPr>
        <w:tc>
          <w:tcPr>
            <w:tcW w:w="960" w:type="dxa"/>
            <w:vAlign w:val="bottom"/>
          </w:tcPr>
          <w:p>
            <w:pPr>
              <w:spacing w:after="0"/>
              <w:rPr>
                <w:sz w:val="14"/>
                <w:szCs w:val="14"/>
                <w:color w:val="auto"/>
              </w:rPr>
            </w:pPr>
          </w:p>
        </w:tc>
        <w:tc>
          <w:tcPr>
            <w:tcW w:w="9640" w:type="dxa"/>
            <w:vAlign w:val="bottom"/>
            <w:tcBorders>
              <w:top w:val="single" w:sz="8" w:color="0000FF"/>
              <w:bottom w:val="single" w:sz="8" w:color="0000FF"/>
            </w:tcBorders>
            <w:gridSpan w:val="18"/>
          </w:tcPr>
          <w:p>
            <w:pPr>
              <w:spacing w:after="0" w:line="166" w:lineRule="exact"/>
              <w:rPr>
                <w:rFonts w:ascii="Times New Roman" w:cs="Times New Roman" w:eastAsia="Times New Roman" w:hAnsi="Times New Roman"/>
                <w:sz w:val="18"/>
                <w:szCs w:val="18"/>
                <w:color w:val="0000FF"/>
                <w:w w:val="97"/>
              </w:rPr>
            </w:pPr>
            <w:hyperlink r:id="rId94">
              <w:r>
                <w:rPr>
                  <w:rFonts w:ascii="Times New Roman" w:cs="Times New Roman" w:eastAsia="Times New Roman" w:hAnsi="Times New Roman"/>
                  <w:sz w:val="18"/>
                  <w:szCs w:val="18"/>
                  <w:color w:val="0000FF"/>
                  <w:w w:val="97"/>
                </w:rPr>
                <w:t>of June 17, 2025 among Applebee’s Funding LLC and IHOP Funding LLC, each as a Co-Issuer, other securitization entities party thereto</w:t>
              </w:r>
            </w:hyperlink>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960" w:type="dxa"/>
            <w:vAlign w:val="bottom"/>
          </w:tcPr>
          <w:p>
            <w:pPr>
              <w:spacing w:after="0"/>
              <w:rPr>
                <w:sz w:val="13"/>
                <w:szCs w:val="13"/>
                <w:color w:val="auto"/>
              </w:rPr>
            </w:pPr>
          </w:p>
        </w:tc>
        <w:tc>
          <w:tcPr>
            <w:tcW w:w="9080" w:type="dxa"/>
            <w:vAlign w:val="bottom"/>
            <w:tcBorders>
              <w:bottom w:val="single" w:sz="8" w:color="0000FF"/>
            </w:tcBorders>
            <w:gridSpan w:val="8"/>
          </w:tcPr>
          <w:p>
            <w:pPr>
              <w:spacing w:after="0" w:line="153"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from time to time, the Corporation, as the manager, Applebee’s Services, Inc. and International House of Pancakes, LLC as sub-</w:t>
              </w:r>
            </w:hyperlink>
          </w:p>
        </w:tc>
        <w:tc>
          <w:tcPr>
            <w:tcW w:w="64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960" w:type="dxa"/>
            <w:vAlign w:val="bottom"/>
          </w:tcPr>
          <w:p>
            <w:pPr>
              <w:spacing w:after="0"/>
              <w:rPr>
                <w:sz w:val="13"/>
                <w:szCs w:val="13"/>
                <w:color w:val="auto"/>
              </w:rPr>
            </w:pPr>
          </w:p>
        </w:tc>
        <w:tc>
          <w:tcPr>
            <w:tcW w:w="9740" w:type="dxa"/>
            <w:vAlign w:val="bottom"/>
            <w:gridSpan w:val="23"/>
          </w:tcPr>
          <w:p>
            <w:pPr>
              <w:spacing w:after="0" w:line="153"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managers, and Citibank, N.A., as Trustee (incorporated by reference from Exhibit 10.2 to the Corporation's Current Report on Form 8-K</w:t>
              </w:r>
            </w:hyperlink>
          </w:p>
        </w:tc>
      </w:tr>
      <w:tr>
        <w:trPr>
          <w:trHeight w:val="166"/>
        </w:trPr>
        <w:tc>
          <w:tcPr>
            <w:tcW w:w="960" w:type="dxa"/>
            <w:vAlign w:val="bottom"/>
          </w:tcPr>
          <w:p>
            <w:pPr>
              <w:spacing w:after="0"/>
              <w:rPr>
                <w:sz w:val="14"/>
                <w:szCs w:val="14"/>
                <w:color w:val="auto"/>
              </w:rPr>
            </w:pPr>
          </w:p>
        </w:tc>
        <w:tc>
          <w:tcPr>
            <w:tcW w:w="1680" w:type="dxa"/>
            <w:vAlign w:val="bottom"/>
            <w:tcBorders>
              <w:top w:val="single" w:sz="8" w:color="0000FF"/>
              <w:bottom w:val="single" w:sz="8" w:color="0000FF"/>
            </w:tcBorders>
            <w:gridSpan w:val="3"/>
          </w:tcPr>
          <w:p>
            <w:pPr>
              <w:spacing w:after="0" w:line="166" w:lineRule="exact"/>
              <w:rPr>
                <w:rFonts w:ascii="Times New Roman" w:cs="Times New Roman" w:eastAsia="Times New Roman" w:hAnsi="Times New Roman"/>
                <w:sz w:val="18"/>
                <w:szCs w:val="18"/>
                <w:color w:val="0000FF"/>
                <w:w w:val="97"/>
              </w:rPr>
            </w:pPr>
            <w:hyperlink r:id="rId94">
              <w:r>
                <w:rPr>
                  <w:rFonts w:ascii="Times New Roman" w:cs="Times New Roman" w:eastAsia="Times New Roman" w:hAnsi="Times New Roman"/>
                  <w:sz w:val="18"/>
                  <w:szCs w:val="18"/>
                  <w:color w:val="0000FF"/>
                  <w:w w:val="97"/>
                </w:rPr>
                <w:t>filed on June 17, 2025).</w:t>
              </w:r>
            </w:hyperlink>
          </w:p>
        </w:tc>
        <w:tc>
          <w:tcPr>
            <w:tcW w:w="7980" w:type="dxa"/>
            <w:vAlign w:val="bottom"/>
            <w:tcBorders>
              <w:top w:val="single" w:sz="8" w:color="0000FF"/>
            </w:tcBorders>
            <w:gridSpan w:val="16"/>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6"/>
        </w:trPr>
        <w:tc>
          <w:tcPr>
            <w:tcW w:w="960" w:type="dxa"/>
            <w:vAlign w:val="bottom"/>
          </w:tcPr>
          <w:p>
            <w:pPr>
              <w:jc w:val="right"/>
              <w:ind w:right="211"/>
              <w:spacing w:after="0" w:line="206" w:lineRule="exact"/>
              <w:rPr>
                <w:sz w:val="20"/>
                <w:szCs w:val="20"/>
                <w:color w:val="auto"/>
              </w:rPr>
            </w:pPr>
            <w:r>
              <w:rPr>
                <w:rFonts w:ascii="Times New Roman" w:cs="Times New Roman" w:eastAsia="Times New Roman" w:hAnsi="Times New Roman"/>
                <w:sz w:val="18"/>
                <w:szCs w:val="18"/>
                <w:color w:val="auto"/>
              </w:rPr>
              <w:t>*31.1</w:t>
            </w:r>
          </w:p>
        </w:tc>
        <w:tc>
          <w:tcPr>
            <w:tcW w:w="9740" w:type="dxa"/>
            <w:vAlign w:val="bottom"/>
            <w:gridSpan w:val="23"/>
          </w:tcPr>
          <w:p>
            <w:pPr>
              <w:spacing w:after="0" w:line="206"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13a-14(a) of the Securities Exchange Act of 1934, as amended.</w:t>
            </w:r>
          </w:p>
        </w:tc>
      </w:tr>
      <w:tr>
        <w:trPr>
          <w:trHeight w:val="206"/>
        </w:trPr>
        <w:tc>
          <w:tcPr>
            <w:tcW w:w="960" w:type="dxa"/>
            <w:vAlign w:val="bottom"/>
          </w:tcPr>
          <w:p>
            <w:pPr>
              <w:jc w:val="right"/>
              <w:ind w:right="211"/>
              <w:spacing w:after="0" w:line="206" w:lineRule="exact"/>
              <w:rPr>
                <w:sz w:val="20"/>
                <w:szCs w:val="20"/>
                <w:color w:val="auto"/>
              </w:rPr>
            </w:pPr>
            <w:r>
              <w:rPr>
                <w:rFonts w:ascii="Times New Roman" w:cs="Times New Roman" w:eastAsia="Times New Roman" w:hAnsi="Times New Roman"/>
                <w:sz w:val="18"/>
                <w:szCs w:val="18"/>
                <w:color w:val="auto"/>
              </w:rPr>
              <w:t>*31.2</w:t>
            </w:r>
          </w:p>
        </w:tc>
        <w:tc>
          <w:tcPr>
            <w:tcW w:w="8520" w:type="dxa"/>
            <w:vAlign w:val="bottom"/>
            <w:tcBorders>
              <w:top w:val="single" w:sz="8" w:color="0000FF"/>
              <w:bottom w:val="single" w:sz="8" w:color="0000FF"/>
            </w:tcBorders>
            <w:gridSpan w:val="6"/>
          </w:tcPr>
          <w:p>
            <w:pPr>
              <w:spacing w:after="0" w:line="206" w:lineRule="exact"/>
              <w:rPr>
                <w:sz w:val="20"/>
                <w:szCs w:val="20"/>
                <w:color w:val="auto"/>
              </w:rPr>
            </w:pPr>
            <w:r>
              <w:rPr>
                <w:rFonts w:ascii="Times New Roman" w:cs="Times New Roman" w:eastAsia="Times New Roman" w:hAnsi="Times New Roman"/>
                <w:sz w:val="18"/>
                <w:szCs w:val="18"/>
                <w:color w:val="0000FF"/>
                <w:w w:val="98"/>
              </w:rPr>
              <w:t>Certification of Chief Financial Officer pursuant to Rule 13a-14(a) of the Securities Exchange Act of 1934, as amended.</w:t>
            </w:r>
          </w:p>
        </w:tc>
        <w:tc>
          <w:tcPr>
            <w:tcW w:w="40" w:type="dxa"/>
            <w:vAlign w:val="bottom"/>
            <w:tcBorders>
              <w:top w:val="single" w:sz="8" w:color="0000FF"/>
            </w:tcBorders>
          </w:tcPr>
          <w:p>
            <w:pPr>
              <w:spacing w:after="0"/>
              <w:rPr>
                <w:sz w:val="17"/>
                <w:szCs w:val="17"/>
                <w:color w:val="auto"/>
              </w:rPr>
            </w:pPr>
          </w:p>
        </w:tc>
        <w:tc>
          <w:tcPr>
            <w:tcW w:w="1180" w:type="dxa"/>
            <w:vAlign w:val="bottom"/>
            <w:gridSpan w:val="16"/>
          </w:tcPr>
          <w:p>
            <w:pPr>
              <w:spacing w:after="0"/>
              <w:rPr>
                <w:sz w:val="17"/>
                <w:szCs w:val="17"/>
                <w:color w:val="auto"/>
              </w:rPr>
            </w:pPr>
          </w:p>
        </w:tc>
      </w:tr>
      <w:tr>
        <w:trPr>
          <w:trHeight w:val="206"/>
        </w:trPr>
        <w:tc>
          <w:tcPr>
            <w:tcW w:w="960" w:type="dxa"/>
            <w:vAlign w:val="bottom"/>
          </w:tcPr>
          <w:p>
            <w:pPr>
              <w:jc w:val="right"/>
              <w:ind w:right="211"/>
              <w:spacing w:after="0" w:line="206" w:lineRule="exact"/>
              <w:rPr>
                <w:sz w:val="20"/>
                <w:szCs w:val="20"/>
                <w:color w:val="auto"/>
              </w:rPr>
            </w:pPr>
            <w:r>
              <w:rPr>
                <w:rFonts w:ascii="Times New Roman" w:cs="Times New Roman" w:eastAsia="Times New Roman" w:hAnsi="Times New Roman"/>
                <w:sz w:val="18"/>
                <w:szCs w:val="18"/>
                <w:color w:val="auto"/>
              </w:rPr>
              <w:t>*32.1</w:t>
            </w:r>
          </w:p>
        </w:tc>
        <w:tc>
          <w:tcPr>
            <w:tcW w:w="9740" w:type="dxa"/>
            <w:vAlign w:val="bottom"/>
            <w:gridSpan w:val="23"/>
          </w:tcPr>
          <w:p>
            <w:pPr>
              <w:spacing w:after="0" w:line="206"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p>
        </w:tc>
      </w:tr>
      <w:tr>
        <w:trPr>
          <w:trHeight w:val="153"/>
        </w:trPr>
        <w:tc>
          <w:tcPr>
            <w:tcW w:w="960" w:type="dxa"/>
            <w:vAlign w:val="bottom"/>
          </w:tcPr>
          <w:p>
            <w:pPr>
              <w:spacing w:after="0"/>
              <w:rPr>
                <w:sz w:val="13"/>
                <w:szCs w:val="13"/>
                <w:color w:val="auto"/>
              </w:rPr>
            </w:pPr>
          </w:p>
        </w:tc>
        <w:tc>
          <w:tcPr>
            <w:tcW w:w="9560" w:type="dxa"/>
            <w:vAlign w:val="bottom"/>
            <w:tcBorders>
              <w:top w:val="single" w:sz="8" w:color="0000FF"/>
            </w:tcBorders>
            <w:gridSpan w:val="15"/>
          </w:tcPr>
          <w:p>
            <w:pPr>
              <w:spacing w:after="0" w:line="153" w:lineRule="exact"/>
              <w:rPr>
                <w:sz w:val="20"/>
                <w:szCs w:val="20"/>
                <w:color w:val="auto"/>
              </w:rPr>
            </w:pPr>
            <w:r>
              <w:rPr>
                <w:rFonts w:ascii="Times New Roman" w:cs="Times New Roman" w:eastAsia="Times New Roman" w:hAnsi="Times New Roman"/>
                <w:sz w:val="17"/>
                <w:szCs w:val="17"/>
                <w:color w:val="0000FF"/>
              </w:rPr>
              <w:t>Act of 2002.**</w:t>
            </w:r>
          </w:p>
        </w:tc>
        <w:tc>
          <w:tcPr>
            <w:tcW w:w="180" w:type="dxa"/>
            <w:vAlign w:val="bottom"/>
            <w:gridSpan w:val="8"/>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460" w:type="dxa"/>
            <w:vAlign w:val="bottom"/>
            <w:gridSpan w:val="11"/>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r>
      <w:tr>
        <w:trPr>
          <w:trHeight w:val="219"/>
        </w:trPr>
        <w:tc>
          <w:tcPr>
            <w:tcW w:w="9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*32.2</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r>
      <w:tr>
        <w:trPr>
          <w:trHeight w:val="153"/>
        </w:trPr>
        <w:tc>
          <w:tcPr>
            <w:tcW w:w="960" w:type="dxa"/>
            <w:vAlign w:val="bottom"/>
          </w:tcPr>
          <w:p>
            <w:pPr>
              <w:spacing w:after="0"/>
              <w:rPr>
                <w:sz w:val="13"/>
                <w:szCs w:val="13"/>
                <w:color w:val="auto"/>
              </w:rPr>
            </w:pPr>
          </w:p>
        </w:tc>
        <w:tc>
          <w:tcPr>
            <w:tcW w:w="9520" w:type="dxa"/>
            <w:vAlign w:val="bottom"/>
            <w:tcBorders>
              <w:top w:val="single" w:sz="8" w:color="0000FF"/>
            </w:tcBorders>
            <w:gridSpan w:val="13"/>
          </w:tcPr>
          <w:p>
            <w:pPr>
              <w:spacing w:after="0" w:line="153" w:lineRule="exact"/>
              <w:rPr>
                <w:sz w:val="20"/>
                <w:szCs w:val="20"/>
                <w:color w:val="auto"/>
              </w:rPr>
            </w:pPr>
            <w:r>
              <w:rPr>
                <w:rFonts w:ascii="Times New Roman" w:cs="Times New Roman" w:eastAsia="Times New Roman" w:hAnsi="Times New Roman"/>
                <w:sz w:val="17"/>
                <w:szCs w:val="17"/>
                <w:color w:val="0000FF"/>
              </w:rPr>
              <w:t>Act of 2002.**</w:t>
            </w:r>
          </w:p>
        </w:tc>
        <w:tc>
          <w:tcPr>
            <w:tcW w:w="220" w:type="dxa"/>
            <w:vAlign w:val="bottom"/>
            <w:gridSpan w:val="10"/>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680" w:type="dxa"/>
            <w:vAlign w:val="bottom"/>
            <w:gridSpan w:val="21"/>
          </w:tcPr>
          <w:p>
            <w:pPr>
              <w:spacing w:after="0" w:line="20" w:lineRule="exact"/>
              <w:rPr>
                <w:sz w:val="1"/>
                <w:szCs w:val="1"/>
                <w:color w:val="auto"/>
              </w:rPr>
            </w:pPr>
          </w:p>
        </w:tc>
      </w:tr>
      <w:tr>
        <w:trPr>
          <w:trHeight w:val="206"/>
        </w:trPr>
        <w:tc>
          <w:tcPr>
            <w:tcW w:w="960" w:type="dxa"/>
            <w:vAlign w:val="bottom"/>
          </w:tcPr>
          <w:p>
            <w:pPr>
              <w:jc w:val="right"/>
              <w:ind w:right="211"/>
              <w:spacing w:after="0" w:line="206" w:lineRule="exact"/>
              <w:rPr>
                <w:sz w:val="20"/>
                <w:szCs w:val="20"/>
                <w:color w:val="auto"/>
              </w:rPr>
            </w:pPr>
            <w:r>
              <w:rPr>
                <w:rFonts w:ascii="Times New Roman" w:cs="Times New Roman" w:eastAsia="Times New Roman" w:hAnsi="Times New Roman"/>
                <w:sz w:val="18"/>
                <w:szCs w:val="18"/>
                <w:color w:val="auto"/>
              </w:rPr>
              <w:t>101.INS</w:t>
            </w:r>
          </w:p>
        </w:tc>
        <w:tc>
          <w:tcPr>
            <w:tcW w:w="9740" w:type="dxa"/>
            <w:vAlign w:val="bottom"/>
            <w:gridSpan w:val="23"/>
          </w:tcPr>
          <w:p>
            <w:pPr>
              <w:spacing w:after="0" w:line="20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2"/>
        </w:trPr>
        <w:tc>
          <w:tcPr>
            <w:tcW w:w="960" w:type="dxa"/>
            <w:vAlign w:val="bottom"/>
          </w:tcPr>
          <w:p>
            <w:pPr>
              <w:spacing w:after="0"/>
              <w:rPr>
                <w:sz w:val="20"/>
                <w:szCs w:val="20"/>
                <w:color w:val="auto"/>
              </w:rPr>
            </w:pPr>
          </w:p>
        </w:tc>
        <w:tc>
          <w:tcPr>
            <w:tcW w:w="9740" w:type="dxa"/>
            <w:vAlign w:val="bottom"/>
            <w:gridSpan w:val="23"/>
          </w:tcPr>
          <w:p>
            <w:pPr>
              <w:ind w:left="24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8"/>
        </w:trPr>
        <w:tc>
          <w:tcPr>
            <w:tcW w:w="9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96"/>
              </w:rPr>
              <w:t>101.SCH</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26"/>
        </w:trPr>
        <w:tc>
          <w:tcPr>
            <w:tcW w:w="9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94"/>
              </w:rPr>
              <w:t>101.CAL</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6"/>
        </w:trPr>
        <w:tc>
          <w:tcPr>
            <w:tcW w:w="9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97"/>
              </w:rPr>
              <w:t>101.DEF</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226"/>
        </w:trPr>
        <w:tc>
          <w:tcPr>
            <w:tcW w:w="9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94"/>
              </w:rPr>
              <w:t>101.LAB</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232"/>
        </w:trPr>
        <w:tc>
          <w:tcPr>
            <w:tcW w:w="9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99"/>
              </w:rPr>
              <w:t>101.PRE</w:t>
            </w:r>
          </w:p>
        </w:tc>
        <w:tc>
          <w:tcPr>
            <w:tcW w:w="97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bl>
    <w:p>
      <w:pPr>
        <w:ind w:left="1380" w:hanging="621"/>
        <w:spacing w:after="0"/>
        <w:tabs>
          <w:tab w:leader="none" w:pos="13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9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1" w:lineRule="exact"/>
        <w:rPr>
          <w:rFonts w:ascii="Times New Roman" w:cs="Times New Roman" w:eastAsia="Times New Roman" w:hAnsi="Times New Roman"/>
          <w:sz w:val="18"/>
          <w:szCs w:val="18"/>
          <w:color w:val="auto"/>
        </w:rPr>
      </w:pPr>
    </w:p>
    <w:p>
      <w:pPr>
        <w:ind w:left="480" w:hanging="474"/>
        <w:spacing w:after="0" w:line="260" w:lineRule="auto"/>
        <w:tabs>
          <w:tab w:leader="none" w:pos="38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71" w:lineRule="exact"/>
        <w:rPr>
          <w:rFonts w:ascii="Times New Roman" w:cs="Times New Roman" w:eastAsia="Times New Roman" w:hAnsi="Times New Roman"/>
          <w:sz w:val="18"/>
          <w:szCs w:val="18"/>
          <w:color w:val="auto"/>
        </w:rPr>
      </w:pPr>
    </w:p>
    <w:p>
      <w:pPr>
        <w:ind w:left="480" w:hanging="474"/>
        <w:spacing w:after="0" w:line="260" w:lineRule="auto"/>
        <w:tabs>
          <w:tab w:leader="none" w:pos="37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Dine Brands Global,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64" w:lineRule="exact"/>
        <w:rPr>
          <w:sz w:val="20"/>
          <w:szCs w:val="20"/>
          <w:color w:val="auto"/>
        </w:rPr>
      </w:pPr>
    </w:p>
    <w:p>
      <w:pPr>
        <w:ind w:left="840"/>
        <w:spacing w:after="0"/>
        <w:tabs>
          <w:tab w:leader="none" w:pos="5800" w:val="left"/>
          <w:tab w:leader="none" w:pos="7440" w:val="left"/>
        </w:tabs>
        <w:rPr>
          <w:sz w:val="20"/>
          <w:szCs w:val="20"/>
          <w:color w:val="auto"/>
        </w:rPr>
      </w:pPr>
      <w:r>
        <w:rPr>
          <w:rFonts w:ascii="Times New Roman" w:cs="Times New Roman" w:eastAsia="Times New Roman" w:hAnsi="Times New Roman"/>
          <w:sz w:val="18"/>
          <w:szCs w:val="18"/>
          <w:color w:val="auto"/>
        </w:rPr>
        <w:t>Dated: 6th day of August,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15240</wp:posOffset>
            </wp:positionV>
            <wp:extent cx="25723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2572385" cy="8255"/>
                    </a:xfrm>
                    <a:prstGeom prst="rect">
                      <a:avLst/>
                    </a:prstGeom>
                    <a:noFill/>
                  </pic:spPr>
                </pic:pic>
              </a:graphicData>
            </a:graphic>
          </wp:anchor>
        </w:drawing>
      </w:r>
    </w:p>
    <w:p>
      <w:pPr>
        <w:jc w:val="center"/>
        <w:ind w:left="500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5000"/>
        <w:spacing w:after="0" w:line="215"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51" w:lineRule="exact"/>
        <w:rPr>
          <w:sz w:val="20"/>
          <w:szCs w:val="20"/>
          <w:color w:val="auto"/>
        </w:rPr>
      </w:pPr>
    </w:p>
    <w:p>
      <w:pPr>
        <w:ind w:left="840"/>
        <w:spacing w:after="0"/>
        <w:tabs>
          <w:tab w:leader="none" w:pos="5800" w:val="left"/>
          <w:tab w:leader="none" w:pos="7440" w:val="left"/>
        </w:tabs>
        <w:rPr>
          <w:sz w:val="20"/>
          <w:szCs w:val="20"/>
          <w:color w:val="auto"/>
        </w:rPr>
      </w:pPr>
      <w:r>
        <w:rPr>
          <w:rFonts w:ascii="Times New Roman" w:cs="Times New Roman" w:eastAsia="Times New Roman" w:hAnsi="Times New Roman"/>
          <w:sz w:val="18"/>
          <w:szCs w:val="18"/>
          <w:color w:val="auto"/>
        </w:rPr>
        <w:t>Dated: 6th day of August,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15240</wp:posOffset>
            </wp:positionV>
            <wp:extent cx="25723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2572385" cy="8255"/>
                    </a:xfrm>
                    <a:prstGeom prst="rect">
                      <a:avLst/>
                    </a:prstGeom>
                    <a:noFill/>
                  </pic:spPr>
                </pic:pic>
              </a:graphicData>
            </a:graphic>
          </wp:anchor>
        </w:drawing>
      </w:r>
    </w:p>
    <w:p>
      <w:pPr>
        <w:jc w:val="center"/>
        <w:ind w:left="5000"/>
        <w:spacing w:after="0"/>
        <w:rPr>
          <w:sz w:val="20"/>
          <w:szCs w:val="20"/>
          <w:color w:val="auto"/>
        </w:rPr>
      </w:pPr>
      <w:r>
        <w:rPr>
          <w:rFonts w:ascii="Times New Roman" w:cs="Times New Roman" w:eastAsia="Times New Roman" w:hAnsi="Times New Roman"/>
          <w:sz w:val="18"/>
          <w:szCs w:val="18"/>
          <w:color w:val="auto"/>
        </w:rPr>
        <w:t>Vance Y. Chang</w:t>
      </w:r>
    </w:p>
    <w:p>
      <w:pPr>
        <w:jc w:val="center"/>
        <w:ind w:left="5000"/>
        <w:spacing w:after="0" w:line="215"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25" w:lineRule="exact"/>
        <w:rPr>
          <w:sz w:val="20"/>
          <w:szCs w:val="20"/>
          <w:color w:val="auto"/>
        </w:rPr>
      </w:pPr>
    </w:p>
    <w:p>
      <w:pPr>
        <w:ind w:left="840"/>
        <w:spacing w:after="0"/>
        <w:tabs>
          <w:tab w:leader="none" w:pos="5800" w:val="left"/>
          <w:tab w:leader="none" w:pos="7560" w:val="left"/>
        </w:tabs>
        <w:rPr>
          <w:sz w:val="20"/>
          <w:szCs w:val="20"/>
          <w:color w:val="auto"/>
        </w:rPr>
      </w:pPr>
      <w:r>
        <w:rPr>
          <w:rFonts w:ascii="Times New Roman" w:cs="Times New Roman" w:eastAsia="Times New Roman" w:hAnsi="Times New Roman"/>
          <w:sz w:val="18"/>
          <w:szCs w:val="18"/>
          <w:color w:val="auto"/>
        </w:rPr>
        <w:t>Dated: 6th day of August,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Allison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15240</wp:posOffset>
            </wp:positionV>
            <wp:extent cx="25723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2572385" cy="8255"/>
                    </a:xfrm>
                    <a:prstGeom prst="rect">
                      <a:avLst/>
                    </a:prstGeom>
                    <a:noFill/>
                  </pic:spPr>
                </pic:pic>
              </a:graphicData>
            </a:graphic>
          </wp:anchor>
        </w:drawing>
      </w:r>
    </w:p>
    <w:p>
      <w:pPr>
        <w:jc w:val="center"/>
        <w:ind w:left="5000"/>
        <w:spacing w:after="0"/>
        <w:rPr>
          <w:sz w:val="20"/>
          <w:szCs w:val="20"/>
          <w:color w:val="auto"/>
        </w:rPr>
      </w:pPr>
      <w:r>
        <w:rPr>
          <w:rFonts w:ascii="Times New Roman" w:cs="Times New Roman" w:eastAsia="Times New Roman" w:hAnsi="Times New Roman"/>
          <w:sz w:val="18"/>
          <w:szCs w:val="18"/>
          <w:color w:val="auto"/>
        </w:rPr>
        <w:t>Allison Hall</w:t>
      </w:r>
    </w:p>
    <w:p>
      <w:pPr>
        <w:jc w:val="center"/>
        <w:ind w:left="5000"/>
        <w:spacing w:after="0" w:line="215" w:lineRule="auto"/>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1"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440"/>
          </w:cols>
          <w:pgMar w:left="320" w:top="223" w:right="1139" w:bottom="1440" w:gutter="0" w:footer="0" w:header="0"/>
        </w:sectPr>
      </w:pPr>
    </w:p>
    <w:bookmarkStart w:id="50" w:name="page51"/>
    <w:bookmarkEnd w:id="50"/>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Peyton, certify that:</w:t>
      </w:r>
    </w:p>
    <w:p>
      <w:pPr>
        <w:spacing w:after="0" w:line="125" w:lineRule="exact"/>
        <w:rPr>
          <w:sz w:val="20"/>
          <w:szCs w:val="20"/>
          <w:color w:val="auto"/>
        </w:rPr>
      </w:pPr>
    </w:p>
    <w:p>
      <w:pPr>
        <w:ind w:left="680" w:hanging="674"/>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111" w:lineRule="exact"/>
        <w:rPr>
          <w:rFonts w:ascii="Times New Roman" w:cs="Times New Roman" w:eastAsia="Times New Roman" w:hAnsi="Times New Roman"/>
          <w:sz w:val="18"/>
          <w:szCs w:val="18"/>
          <w:color w:val="auto"/>
        </w:rPr>
      </w:pPr>
    </w:p>
    <w:p>
      <w:pPr>
        <w:ind w:firstLine="6"/>
        <w:spacing w:after="0" w:line="275" w:lineRule="auto"/>
        <w:tabs>
          <w:tab w:leader="none" w:pos="7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Times New Roman" w:cs="Times New Roman" w:eastAsia="Times New Roman" w:hAnsi="Times New Roman"/>
          <w:sz w:val="18"/>
          <w:szCs w:val="18"/>
          <w:color w:val="auto"/>
        </w:rPr>
      </w:pPr>
    </w:p>
    <w:p>
      <w:pPr>
        <w:ind w:firstLine="6"/>
        <w:spacing w:after="0" w:line="275" w:lineRule="auto"/>
        <w:tabs>
          <w:tab w:leader="none" w:pos="7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8"/>
          <w:szCs w:val="18"/>
          <w:color w:val="auto"/>
        </w:rPr>
      </w:pPr>
    </w:p>
    <w:p>
      <w:pPr>
        <w:jc w:val="both"/>
        <w:ind w:firstLine="6"/>
        <w:spacing w:after="0" w:line="260"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jc w:val="both"/>
        <w:ind w:firstLine="644"/>
        <w:spacing w:after="0" w:line="260" w:lineRule="auto"/>
        <w:tabs>
          <w:tab w:leader="none" w:pos="99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firstLine="644"/>
        <w:spacing w:after="0" w:line="260" w:lineRule="auto"/>
        <w:tabs>
          <w:tab w:leader="none" w:pos="11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firstLine="644"/>
        <w:spacing w:after="0" w:line="275" w:lineRule="auto"/>
        <w:tabs>
          <w:tab w:leader="none" w:pos="124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8"/>
          <w:szCs w:val="18"/>
          <w:color w:val="auto"/>
        </w:rPr>
      </w:pPr>
    </w:p>
    <w:p>
      <w:pPr>
        <w:jc w:val="both"/>
        <w:ind w:firstLine="644"/>
        <w:spacing w:after="0" w:line="260" w:lineRule="auto"/>
        <w:tabs>
          <w:tab w:leader="none" w:pos="104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firstLine="6"/>
        <w:spacing w:after="0" w:line="275" w:lineRule="auto"/>
        <w:tabs>
          <w:tab w:leader="none" w:pos="6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firstLine="644"/>
        <w:spacing w:after="0" w:line="275" w:lineRule="auto"/>
        <w:tabs>
          <w:tab w:leader="none" w:pos="10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8"/>
          <w:szCs w:val="18"/>
          <w:color w:val="auto"/>
        </w:rPr>
      </w:pPr>
    </w:p>
    <w:p>
      <w:pPr>
        <w:ind w:firstLine="644"/>
        <w:spacing w:after="0" w:line="275" w:lineRule="auto"/>
        <w:tabs>
          <w:tab w:leader="none" w:pos="105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860"/>
        <w:spacing w:after="0"/>
        <w:tabs>
          <w:tab w:leader="none" w:pos="8600" w:val="left"/>
        </w:tabs>
        <w:rPr>
          <w:sz w:val="20"/>
          <w:szCs w:val="20"/>
          <w:color w:val="auto"/>
        </w:rPr>
      </w:pPr>
      <w:r>
        <w:rPr>
          <w:rFonts w:ascii="Times New Roman" w:cs="Times New Roman" w:eastAsia="Times New Roman" w:hAnsi="Times New Roman"/>
          <w:sz w:val="18"/>
          <w:szCs w:val="18"/>
          <w:color w:val="auto"/>
        </w:rPr>
        <w:t>Dated: 6th day of August, 2025</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4701540</wp:posOffset>
            </wp:positionH>
            <wp:positionV relativeFrom="paragraph">
              <wp:posOffset>15240</wp:posOffset>
            </wp:positionV>
            <wp:extent cx="23780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51"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7300"/>
        <w:spacing w:after="0" w:line="200"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73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9"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Vance Y. Chang, certify that:</w:t>
      </w:r>
    </w:p>
    <w:p>
      <w:pPr>
        <w:spacing w:after="0" w:line="112" w:lineRule="exact"/>
        <w:rPr>
          <w:sz w:val="20"/>
          <w:szCs w:val="20"/>
          <w:color w:val="auto"/>
        </w:rPr>
      </w:pPr>
    </w:p>
    <w:p>
      <w:pPr>
        <w:ind w:left="660" w:hanging="654"/>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111" w:lineRule="exact"/>
        <w:rPr>
          <w:rFonts w:ascii="Times New Roman" w:cs="Times New Roman" w:eastAsia="Times New Roman" w:hAnsi="Times New Roman"/>
          <w:sz w:val="18"/>
          <w:szCs w:val="18"/>
          <w:color w:val="auto"/>
        </w:rPr>
      </w:pPr>
    </w:p>
    <w:p>
      <w:pPr>
        <w:ind w:right="280" w:firstLine="6"/>
        <w:spacing w:after="0" w:line="305" w:lineRule="auto"/>
        <w:tabs>
          <w:tab w:leader="none" w:pos="65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right="240" w:firstLine="6"/>
        <w:spacing w:after="0" w:line="275"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8"/>
          <w:szCs w:val="18"/>
          <w:color w:val="auto"/>
        </w:rPr>
      </w:pPr>
    </w:p>
    <w:p>
      <w:pPr>
        <w:ind w:firstLine="6"/>
        <w:spacing w:after="0" w:line="26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right="80" w:firstLine="644"/>
        <w:spacing w:after="0" w:line="260"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right="40" w:firstLine="644"/>
        <w:spacing w:after="0" w:line="260"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right="380" w:firstLine="644"/>
        <w:spacing w:after="0" w:line="275" w:lineRule="auto"/>
        <w:tabs>
          <w:tab w:leader="none" w:pos="130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8"/>
          <w:szCs w:val="18"/>
          <w:color w:val="auto"/>
        </w:rPr>
      </w:pPr>
    </w:p>
    <w:p>
      <w:pPr>
        <w:ind w:right="360" w:firstLine="644"/>
        <w:spacing w:after="0" w:line="260"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right="180" w:firstLine="6"/>
        <w:spacing w:after="0" w:line="275"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right="620" w:firstLine="644"/>
        <w:spacing w:after="0" w:line="275"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8"/>
          <w:szCs w:val="18"/>
          <w:color w:val="auto"/>
        </w:rPr>
      </w:pPr>
    </w:p>
    <w:p>
      <w:pPr>
        <w:ind w:right="300" w:firstLine="644"/>
        <w:spacing w:after="0" w:line="275"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6" w:lineRule="exact"/>
        <w:rPr>
          <w:sz w:val="20"/>
          <w:szCs w:val="20"/>
          <w:color w:val="auto"/>
        </w:rPr>
      </w:pPr>
    </w:p>
    <w:p>
      <w:pPr>
        <w:ind w:left="860"/>
        <w:spacing w:after="0"/>
        <w:tabs>
          <w:tab w:leader="none" w:pos="8560" w:val="left"/>
        </w:tabs>
        <w:rPr>
          <w:sz w:val="20"/>
          <w:szCs w:val="20"/>
          <w:color w:val="auto"/>
        </w:rPr>
      </w:pPr>
      <w:r>
        <w:rPr>
          <w:rFonts w:ascii="Times New Roman" w:cs="Times New Roman" w:eastAsia="Times New Roman" w:hAnsi="Times New Roman"/>
          <w:sz w:val="18"/>
          <w:szCs w:val="18"/>
          <w:color w:val="auto"/>
        </w:rPr>
        <w:t>Dated: 6th day of August, 2025</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15240</wp:posOffset>
            </wp:positionV>
            <wp:extent cx="23526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2352675" cy="8255"/>
                    </a:xfrm>
                    <a:prstGeom prst="rect">
                      <a:avLst/>
                    </a:prstGeom>
                    <a:noFill/>
                  </pic:spPr>
                </pic:pic>
              </a:graphicData>
            </a:graphic>
          </wp:anchor>
        </w:drawing>
      </w:r>
    </w:p>
    <w:p>
      <w:pPr>
        <w:spacing w:after="0" w:line="51"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Vance Y. Chang</w:t>
      </w:r>
    </w:p>
    <w:p>
      <w:pPr>
        <w:ind w:left="8420"/>
        <w:spacing w:after="0" w:line="200"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82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89"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86" w:lineRule="exact"/>
        <w:rPr>
          <w:sz w:val="20"/>
          <w:szCs w:val="20"/>
          <w:color w:val="auto"/>
        </w:rPr>
      </w:pPr>
    </w:p>
    <w:p>
      <w:pPr>
        <w:jc w:val="both"/>
        <w:ind w:firstLine="638"/>
        <w:spacing w:after="0" w:line="297"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June 30, 2025, as filed with the Securities and Exchange Commission on the 6th day of August, 2025 (the “Report”), John W. Peyton, as Chief Executive Officer of the Company, hereby certifies, pursuant to 18 U.S.C. Section 1350, as adopted pursuant to Section 906 of the Sarbanes-Oxley Act of 2002, to the best of his knowledge, that:</w:t>
      </w:r>
    </w:p>
    <w:p>
      <w:pPr>
        <w:spacing w:after="0" w:line="211" w:lineRule="exact"/>
        <w:rPr>
          <w:sz w:val="20"/>
          <w:szCs w:val="20"/>
          <w:color w:val="auto"/>
        </w:rPr>
      </w:pPr>
    </w:p>
    <w:p>
      <w:pPr>
        <w:ind w:left="1640" w:hanging="518"/>
        <w:spacing w:after="0"/>
        <w:tabs>
          <w:tab w:leader="none" w:pos="1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84" w:lineRule="exact"/>
        <w:rPr>
          <w:rFonts w:ascii="Times New Roman" w:cs="Times New Roman" w:eastAsia="Times New Roman" w:hAnsi="Times New Roman"/>
          <w:sz w:val="18"/>
          <w:szCs w:val="18"/>
          <w:color w:val="auto"/>
        </w:rPr>
      </w:pPr>
    </w:p>
    <w:p>
      <w:pPr>
        <w:ind w:left="1680" w:hanging="558"/>
        <w:spacing w:after="0"/>
        <w:tabs>
          <w:tab w:leader="none" w:pos="16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6th day of August, 2025</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John W. Peyton</w:t>
            </w:r>
          </w:p>
        </w:tc>
      </w:tr>
      <w:tr>
        <w:trPr>
          <w:trHeight w:val="212"/>
        </w:trPr>
        <w:tc>
          <w:tcPr>
            <w:tcW w:w="6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W. Peyton</w:t>
            </w:r>
          </w:p>
        </w:tc>
      </w:tr>
      <w:tr>
        <w:trPr>
          <w:trHeight w:val="180"/>
        </w:trPr>
        <w:tc>
          <w:tcPr>
            <w:tcW w:w="68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36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i w:val="1"/>
                <w:iCs w:val="1"/>
                <w:color w:val="auto"/>
                <w:w w:val="98"/>
              </w:rPr>
              <w:t>Chief Executive Officer</w:t>
            </w:r>
          </w:p>
        </w:tc>
      </w:tr>
      <w:tr>
        <w:trPr>
          <w:trHeight w:val="234"/>
        </w:trPr>
        <w:tc>
          <w:tcPr>
            <w:tcW w:w="68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Executive Officer)</w:t>
            </w:r>
          </w:p>
        </w:tc>
      </w:tr>
    </w:tbl>
    <w:p>
      <w:pPr>
        <w:spacing w:after="0" w:line="372" w:lineRule="exact"/>
        <w:rPr>
          <w:sz w:val="20"/>
          <w:szCs w:val="20"/>
          <w:color w:val="auto"/>
        </w:rPr>
      </w:pPr>
    </w:p>
    <w:p>
      <w:pPr>
        <w:jc w:val="both"/>
        <w:ind w:firstLine="638"/>
        <w:spacing w:after="0" w:line="297"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889"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86" w:lineRule="exact"/>
        <w:rPr>
          <w:sz w:val="20"/>
          <w:szCs w:val="20"/>
          <w:color w:val="auto"/>
        </w:rPr>
      </w:pPr>
    </w:p>
    <w:p>
      <w:pPr>
        <w:jc w:val="both"/>
        <w:ind w:firstLine="638"/>
        <w:spacing w:after="0" w:line="297"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June 30, 2025, as filed with the Securities and Exchange Commission on the 6th day of August, 2025 (the “Report”), Vance Y. Chang, as Chief Financial Officer of the Company, hereby certifies, pursuant to 18 U.S.C. Section 1350, as adopted pursuant to Section 906 of the Sarbanes-Oxley Act of 2002, to the best of his knowledge, that:</w:t>
      </w:r>
    </w:p>
    <w:p>
      <w:pPr>
        <w:spacing w:after="0" w:line="211" w:lineRule="exact"/>
        <w:rPr>
          <w:sz w:val="20"/>
          <w:szCs w:val="20"/>
          <w:color w:val="auto"/>
        </w:rPr>
      </w:pPr>
    </w:p>
    <w:p>
      <w:pPr>
        <w:ind w:left="1640" w:hanging="518"/>
        <w:spacing w:after="0"/>
        <w:tabs>
          <w:tab w:leader="none" w:pos="1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84" w:lineRule="exact"/>
        <w:rPr>
          <w:rFonts w:ascii="Times New Roman" w:cs="Times New Roman" w:eastAsia="Times New Roman" w:hAnsi="Times New Roman"/>
          <w:sz w:val="18"/>
          <w:szCs w:val="18"/>
          <w:color w:val="auto"/>
        </w:rPr>
      </w:pPr>
    </w:p>
    <w:p>
      <w:pPr>
        <w:ind w:left="1680" w:hanging="558"/>
        <w:spacing w:after="0"/>
        <w:tabs>
          <w:tab w:leader="none" w:pos="1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6th day of August, 2025</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 Vance Y. Chang</w:t>
            </w:r>
          </w:p>
        </w:tc>
      </w:tr>
      <w:tr>
        <w:trPr>
          <w:trHeight w:val="212"/>
        </w:trPr>
        <w:tc>
          <w:tcPr>
            <w:tcW w:w="68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Vance Y. Chang</w:t>
            </w:r>
          </w:p>
        </w:tc>
      </w:tr>
      <w:tr>
        <w:trPr>
          <w:trHeight w:val="180"/>
        </w:trPr>
        <w:tc>
          <w:tcPr>
            <w:tcW w:w="6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35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i w:val="1"/>
                <w:iCs w:val="1"/>
                <w:color w:val="auto"/>
                <w:w w:val="98"/>
              </w:rPr>
              <w:t>Chief Financial Officer</w:t>
            </w:r>
          </w:p>
        </w:tc>
      </w:tr>
      <w:tr>
        <w:trPr>
          <w:trHeight w:val="234"/>
        </w:trPr>
        <w:tc>
          <w:tcPr>
            <w:tcW w:w="68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Financial Officer)</w:t>
            </w:r>
          </w:p>
        </w:tc>
      </w:tr>
    </w:tbl>
    <w:p>
      <w:pPr>
        <w:spacing w:after="0" w:line="372" w:lineRule="exact"/>
        <w:rPr>
          <w:sz w:val="20"/>
          <w:szCs w:val="20"/>
          <w:color w:val="auto"/>
        </w:rPr>
      </w:pPr>
    </w:p>
    <w:p>
      <w:pPr>
        <w:jc w:val="both"/>
        <w:ind w:firstLine="638"/>
        <w:spacing w:after="0" w:line="297"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8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3"/>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lowerRoman"/>
      <w:start w:val="10"/>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7"/>
    </w:lvl>
    <w:lvl w:ilvl="1">
      <w:lvlJc w:val="left"/>
      <w:lvlText w:val="•"/>
      <w:numFmt w:val="bullet"/>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decimal"/>
      <w:start w:val="15"/>
    </w:lvl>
  </w:abstractNum>
  <w:abstractNum w:abstractNumId="11">
    <w:nsid w:val="333AB105"/>
    <w:multiLevelType w:val="hybridMultilevel"/>
    <w:lvl w:ilvl="0">
      <w:lvlJc w:val="left"/>
      <w:lvlText w:val="%1."/>
      <w:numFmt w:val="decimal"/>
      <w:start w:val="16"/>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2"/>
    </w:lvl>
  </w:abstractNum>
  <w:abstractNum w:abstractNumId="18">
    <w:nsid w:val="79838CB2"/>
    <w:multiLevelType w:val="hybridMultilevel"/>
    <w:lvl w:ilvl="0">
      <w:lvlJc w:val="left"/>
      <w:lvlText w:val="(%1)"/>
      <w:numFmt w:val="lowerLetter"/>
      <w:start w:val="3"/>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
      <w:numFmt w:val="bullet"/>
      <w:start w:val="1"/>
    </w:lvl>
    <w:lvl w:ilvl="1">
      <w:lvlJc w:val="left"/>
      <w:lvlText w:val="%2"/>
      <w:numFmt w:val="decimal"/>
      <w:start w:val="104"/>
    </w:lvl>
  </w:abstractNum>
  <w:abstractNum w:abstractNumId="25">
    <w:nsid w:val="836C40E"/>
    <w:multiLevelType w:val="hybridMultilevel"/>
    <w:lvl w:ilvl="0">
      <w:lvlJc w:val="left"/>
      <w:lvlText w:val="**"/>
      <w:numFmt w:val="bullet"/>
      <w:start w:val="1"/>
    </w:lvl>
    <w:lvl w:ilvl="1">
      <w:lvlJc w:val="left"/>
      <w:lvlText w:val="%2"/>
      <w:numFmt w:val="decimal"/>
      <w:start w:val="1"/>
    </w:lvl>
  </w:abstractNum>
  <w:abstractNum w:abstractNumId="26">
    <w:nsid w:val="2901D82"/>
    <w:multiLevelType w:val="hybridMultilevel"/>
    <w:lvl w:ilvl="0">
      <w:lvlJc w:val="left"/>
      <w:lvlText w:val="***"/>
      <w:numFmt w:val="bullet"/>
      <w:start w:val="1"/>
    </w:lvl>
    <w:lvl w:ilvl="1">
      <w:lvlJc w:val="left"/>
      <w:lvlText w:val="%2"/>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91" Type="http://schemas.openxmlformats.org/officeDocument/2006/relationships/hyperlink" Target="https://www.sec.gov/Archives/edgar/data/49754/000119312525142147/d945770dex41.htm" TargetMode="External"/><Relationship Id="rId92" Type="http://schemas.openxmlformats.org/officeDocument/2006/relationships/hyperlink" Target="https://www.sec.gov/Archives/edgar/data/49754/000119312525142147/d945770dex42.htm" TargetMode="External"/><Relationship Id="rId93" Type="http://schemas.openxmlformats.org/officeDocument/2006/relationships/hyperlink" Target="https://www.sec.gov/Archives/edgar/data/49754/000119312525142147/d945770dex101.htm" TargetMode="External"/><Relationship Id="rId94" Type="http://schemas.openxmlformats.org/officeDocument/2006/relationships/hyperlink" Target="https://www.sec.gov/Archives/edgar/data/49754/000119312525142147/d94577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2025-08-06T06:38:33Z</dcterms:created>
  <dcterms:modified xsi:type="dcterms:W3CDTF">2025-08-06T06:38:33Z</dcterms:modified>
</cp:coreProperties>
</file>