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4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2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0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4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2025, the Registrant had 15,625,779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1"/>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 March 31, 2025 (unaudited) and December 31, 2024</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 - Three Months Ended March 31, 2025 and 2024</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(unaudited) - Three Months Ended March 31, 2025 and 2024</w:t>
            </w:r>
          </w:p>
        </w:tc>
        <w:tc>
          <w:tcPr>
            <w:tcW w:w="9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 - Three Months Ended March 31, 2025 and 2024</w:t>
            </w:r>
          </w:p>
        </w:tc>
        <w:tc>
          <w:tcPr>
            <w:tcW w:w="6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800" w:type="dxa"/>
            <w:vAlign w:val="bottom"/>
            <w:gridSpan w:val="3"/>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1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8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 and trade policies, including the imposition of tariffs and other trade barriers;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and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the Corporation's Annual Report on Form 10-K for the fiscal year ended December 31, 2024, and in the Corporation's other filings with the Securities and Exchange Commission, many of which are beyond our control.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The first fiscal quarter of 2024 began on January 1, 2024 and ended on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696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$5,398 (2025) and $3,383 (2024)</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115,218</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28,552</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0" w:type="dxa"/>
            <w:vAlign w:val="bottom"/>
          </w:tcPr>
          <w:p>
            <w:pPr>
              <w:spacing w:after="0"/>
              <w:rPr>
                <w:sz w:val="1"/>
                <w:szCs w:val="1"/>
                <w:color w:val="auto"/>
              </w:rPr>
            </w:pPr>
          </w:p>
        </w:tc>
      </w:tr>
      <w:tr>
        <w:trPr>
          <w:trHeight w:val="207"/>
        </w:trPr>
        <w:tc>
          <w:tcPr>
            <w:tcW w:w="6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385,999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156,134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332,907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323,468</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$1,314 (2025) and $1,354 (2024)</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248,622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570,262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1,766,340</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37,718</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65,336</w:t>
            </w:r>
          </w:p>
        </w:tc>
        <w:tc>
          <w:tcPr>
            <w:tcW w:w="0" w:type="dxa"/>
            <w:vAlign w:val="bottom"/>
          </w:tcPr>
          <w:p>
            <w:pPr>
              <w:spacing w:after="0"/>
              <w:rPr>
                <w:sz w:val="1"/>
                <w:szCs w:val="1"/>
                <w:color w:val="auto"/>
              </w:rPr>
            </w:pPr>
          </w:p>
        </w:tc>
      </w:tr>
      <w:tr>
        <w:trPr>
          <w:trHeight w:val="21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29,081</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414,679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445,305</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1,086,551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320,430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310,476</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1,982,086</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2,006,603</w:t>
            </w:r>
          </w:p>
        </w:tc>
        <w:tc>
          <w:tcPr>
            <w:tcW w:w="0" w:type="dxa"/>
            <w:vAlign w:val="bottom"/>
          </w:tcPr>
          <w:p>
            <w:pPr>
              <w:spacing w:after="0"/>
              <w:rPr>
                <w:sz w:val="1"/>
                <w:szCs w:val="1"/>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Common stock, $0.01 par value; shares: 40,000,000 authorized; March 31, 2025 - 24,698,028 issued,</w:t>
            </w:r>
          </w:p>
        </w:tc>
        <w:tc>
          <w:tcPr>
            <w:tcW w:w="340" w:type="dxa"/>
            <w:vAlign w:val="bottom"/>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15,635,229 outstanding; December 31, 2024 - 24,756,637 issued, 15,273,210 outstanding</w:t>
            </w:r>
          </w:p>
        </w:tc>
        <w:tc>
          <w:tcPr>
            <w:tcW w:w="3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183,857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March 31, 2025 - 9,062,799; December 31, 2024 - 9,483,427</w:t>
            </w:r>
          </w:p>
        </w:tc>
        <w:tc>
          <w:tcPr>
            <w:tcW w:w="34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(633,218)</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(215,746)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1,766,340</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70,490</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21,573</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214,780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70,490</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22,006</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21,210</w:t>
            </w:r>
          </w:p>
        </w:tc>
        <w:tc>
          <w:tcPr>
            <w:tcW w:w="1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124,470</w:t>
            </w:r>
          </w:p>
        </w:tc>
        <w:tc>
          <w:tcPr>
            <w:tcW w:w="120" w:type="dxa"/>
            <w:vAlign w:val="bottom"/>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90,310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51,337</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0" w:type="dxa"/>
            <w:vAlign w:val="bottom"/>
          </w:tcPr>
          <w:p>
            <w:pPr>
              <w:spacing w:after="0"/>
              <w:rPr>
                <w:sz w:val="1"/>
                <w:szCs w:val="1"/>
                <w:color w:val="auto"/>
              </w:rPr>
            </w:pPr>
          </w:p>
        </w:tc>
      </w:tr>
      <w:tr>
        <w:trPr>
          <w:trHeight w:val="204"/>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vMerge w:val="restart"/>
          </w:tcPr>
          <w:p>
            <w:pPr>
              <w:spacing w:after="0"/>
              <w:rPr>
                <w:sz w:val="4"/>
                <w:szCs w:val="4"/>
                <w:color w:val="auto"/>
              </w:rPr>
            </w:pPr>
          </w:p>
        </w:tc>
        <w:tc>
          <w:tcPr>
            <w:tcW w:w="8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60"/>
          </w:cols>
          <w:pgMar w:left="30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0"/>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15,273,210</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9,483,427</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(654,619)</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(216,019)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485,497</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(23,038)</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(485,497)</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23,038</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(68,397)</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15,635,229</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233,443</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183,857</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9,062,799</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(633,218)</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(215,746)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lef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(657,709)</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(250,974)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277,117</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(277,117)</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(48,673)</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tcBorders>
              <w:lef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15,453,001</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9,377,123</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(650,264)</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(244,805)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0" w:type="dxa"/>
            <w:vAlign w:val="bottom"/>
          </w:tcPr>
          <w:p>
            <w:pPr>
              <w:spacing w:after="0"/>
              <w:rPr>
                <w:sz w:val="1"/>
                <w:szCs w:val="1"/>
                <w:color w:val="auto"/>
              </w:rPr>
            </w:pPr>
          </w:p>
        </w:tc>
      </w:tr>
      <w:tr>
        <w:trPr>
          <w:trHeight w:val="213"/>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income tax receivable and payable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 and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16,133</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30,553</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250,444</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212,125</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19,549</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conversion to notes receivable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2025 are not necessarily indicative of the results that may be expected for the twelve months ending December 31, 2025.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2024 has been derived from the audited consolidated financial statements at that date but does not include all of information and footnotes required by U.S. GAAP for complete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The first fiscal quarter of 2024 began on January 1, 2024 and ended on March 31,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accounts and transactions have been eliminated in consolidation. Certain amounts in the Consolidated Financial Statements and associated notes may not foot due to rounding.</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and information used to assess segment performance that are regularly provided to the chief operating decision maker. The Company adopted ASU 2023-07 effective January 1, 2024, and applied the disclosure requirements retrospectively to all prior periods presented in the financial statements. Upon adoption, the new standard did not have an impact on the Company's Consolidated Balance Sheets, Consolidated Statements of Comprehensive Income, or the Consolidated Statements of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is currently evaluating the impact of adopting this ASU on our disclosures.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3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public business entities to provide disaggregated disclosures, in the Notes to the Consolidated Financial Statements,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in our disclosures.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and revenues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jc w:val="both"/>
        <w:ind w:left="1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revenues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franchise revenues by major type for the three months ended March 31, 2025 and 2024:</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1"/>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179"/>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5"/>
                <w:szCs w:val="15"/>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revenues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three months ended March 31, 2025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-127635</wp:posOffset>
            </wp:positionV>
            <wp:extent cx="49720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0" cy="14541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Recognized as revenue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49720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Fees deferred during the three months ended March 31, 2025</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deferred revenue as of March 31, 2025 is expected to be recognized as follows: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(short- and long-term)</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7880" w:space="720"/>
            <w:col w:w="2640"/>
          </w:cols>
          <w:pgMar w:left="320" w:top="225" w:right="339" w:bottom="1440" w:gutter="0" w:footer="0" w:header="0"/>
          <w:type w:val="continuous"/>
        </w:sectPr>
      </w:pPr>
    </w:p>
    <w:tbl>
      <w:tblPr>
        <w:tblLayout w:type="fixed"/>
        <w:tblInd w:w="66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(“CECL”)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 and from distributors related to the sale of proprietary products to franchisees through the Company’s network of suppliers and distributors.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Card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 consist primarily of amounts due from third-party vendors. Receivables related to gift card sales are subject to seasonality and usually peak around year-end as a result of the December holiday season.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notes receivable in connection with the sale of IHOP and Applebee's company restaurants, franchise fees and other notes. The notes are typically collateralized by the franchise. A portion of these notes have specific reserves recorded against them amounting to $1.4 million as of March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2.4 years as of March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leases receivable primarily relate to IHOP franchise development activity prior to 2003 when IHOP provided the financing for leasing or subleasing the site. Real estate leases at March 31, 2025 comprised of 15 leases with a weighted average remaining life of 10.3 years, and relate to locations that IHOP is leasing from third parties and subleasing to franchisees.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84"/>
        </w:trPr>
        <w:tc>
          <w:tcPr>
            <w:tcW w:w="6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three months ended March 31, 2025 were as follows: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370"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gift card receivable and credit card receivable.</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leases receivables, equipment receivables, and other receivables (primarily consists of credit card receivables) are not delinquent.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March 31, 2025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385762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2023</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2021</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762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2"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494 IHOP franchisee-operated restaurants are located; the Company (as lessor) subleases the property to the franchisees that operate those restaurants. The Company also leases property it owns to the franchisees that operate 51 IHOP restaurants and one Applebee's restaurant. The Company leases from a third party the real property on which 47 Applebee's company-operated restaurants, 10 IHOP company-operated restaurants and one Fuzzy's company-operated restaurant is located. The Company also leases office space for its principal corporate office in Pasadena, California and a restaurant support center in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282 of the Company's leases met the sales levels that required variable rent payments to the Company (as lessor), based on a percentage of restaurant sales during the three months ended March 31, 2025. Restaurants associated with 35 of the Company's leases met the sales levels that required variable rent payments by the Company (as lessee), based on a percentage of restaurant sales during the three months ended March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(income) cost for the three months ended March 31, 2025 and 2024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4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9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9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9A9A9A"/>
            </w:tcBorders>
          </w:tcPr>
          <w:p>
            <w:pPr>
              <w:spacing w:after="0"/>
              <w:rPr>
                <w:sz w:val="19"/>
                <w:szCs w:val="19"/>
                <w:color w:val="auto"/>
              </w:rPr>
            </w:pPr>
          </w:p>
        </w:tc>
        <w:tc>
          <w:tcPr>
            <w:tcW w:w="358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March 31, 2025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34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obligations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lease information is as follows:</w:t>
            </w: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Borders>
              <w:bottom w:val="single" w:sz="8" w:color="auto"/>
            </w:tcBorders>
            <w:gridSpan w:val="7"/>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60" w:type="dxa"/>
            <w:vAlign w:val="bottom"/>
            <w:gridSpan w:val="6"/>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100" w:type="dxa"/>
            <w:vAlign w:val="bottom"/>
          </w:tcPr>
          <w:p>
            <w:pPr>
              <w:spacing w:after="0"/>
              <w:rPr>
                <w:sz w:val="19"/>
                <w:szCs w:val="19"/>
                <w:color w:val="auto"/>
              </w:rPr>
            </w:pPr>
          </w:p>
        </w:tc>
        <w:tc>
          <w:tcPr>
            <w:tcW w:w="1500" w:type="dxa"/>
            <w:vAlign w:val="bottom"/>
          </w:tcPr>
          <w:p>
            <w:pPr>
              <w:jc w:val="right"/>
              <w:ind w:right="13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100" w:type="dxa"/>
            <w:vAlign w:val="bottom"/>
          </w:tcPr>
          <w:p>
            <w:pPr>
              <w:spacing w:after="0"/>
              <w:rPr>
                <w:sz w:val="19"/>
                <w:szCs w:val="19"/>
                <w:color w:val="auto"/>
              </w:rPr>
            </w:pPr>
          </w:p>
        </w:tc>
        <w:tc>
          <w:tcPr>
            <w:tcW w:w="1500" w:type="dxa"/>
            <w:vAlign w:val="bottom"/>
            <w:shd w:val="clear" w:color="auto" w:fill="CCEEFF"/>
          </w:tcPr>
          <w:p>
            <w:pPr>
              <w:jc w:val="right"/>
              <w:ind w:right="13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March 31, 2025 was 5.7 years for finance leases and 6.3 years for operating leases. The weighted average discount rate as of March 31, 2025 was 9.1% for finance leases and 6.1%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made the following cash payments for leases: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1"/>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10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31, 2025 and 2024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24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24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1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2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March 31, 2025 were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months ended March 31, 2025 and 2024 was as follows: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1"/>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2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March 31,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5160" w:type="dxa"/>
            <w:vAlign w:val="bottom"/>
            <w:shd w:val="clear" w:color="auto" w:fill="CCEEFF"/>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income</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51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9A9A9A"/>
            </w:tcBorders>
          </w:tcPr>
          <w:p>
            <w:pPr>
              <w:spacing w:after="0"/>
              <w:rPr>
                <w:sz w:val="19"/>
                <w:szCs w:val="19"/>
                <w:color w:val="auto"/>
              </w:rPr>
            </w:pPr>
          </w:p>
        </w:tc>
        <w:tc>
          <w:tcPr>
            <w:tcW w:w="4100" w:type="dxa"/>
            <w:vAlign w:val="bottom"/>
            <w:tcBorders>
              <w:bottom w:val="single" w:sz="8" w:color="9A9A9A"/>
            </w:tcBorders>
          </w:tcPr>
          <w:p>
            <w:pPr>
              <w:spacing w:after="0"/>
              <w:rPr>
                <w:sz w:val="19"/>
                <w:szCs w:val="19"/>
                <w:color w:val="auto"/>
              </w:rPr>
            </w:pPr>
          </w:p>
        </w:tc>
        <w:tc>
          <w:tcPr>
            <w:tcW w:w="5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long-term debt consisted of the following components:</w:t>
      </w:r>
    </w:p>
    <w:p>
      <w:pPr>
        <w:spacing w:after="0" w:line="160" w:lineRule="exact"/>
        <w:rPr>
          <w:sz w:val="20"/>
          <w:szCs w:val="20"/>
          <w:color w:val="auto"/>
        </w:rPr>
      </w:pPr>
    </w:p>
    <w:p>
      <w:pPr>
        <w:jc w:val="right"/>
        <w:ind w:right="300"/>
        <w:spacing w:after="0"/>
        <w:tabs>
          <w:tab w:leader="none" w:pos="1300" w:val="left"/>
        </w:tabs>
        <w:rPr>
          <w:sz w:val="20"/>
          <w:szCs w:val="20"/>
          <w:color w:val="auto"/>
        </w:rPr>
      </w:pPr>
      <w:r>
        <w:rPr>
          <w:rFonts w:ascii="Times New Roman" w:cs="Times New Roman" w:eastAsia="Times New Roman" w:hAnsi="Times New Roman"/>
          <w:sz w:val="16"/>
          <w:szCs w:val="16"/>
          <w:b w:val="1"/>
          <w:bCs w:val="1"/>
          <w:color w:val="auto"/>
        </w:rPr>
        <w:t>March 31, 2025</w:t>
      </w:r>
      <w:r>
        <w:rPr>
          <w:sz w:val="20"/>
          <w:szCs w:val="20"/>
          <w:color w:val="auto"/>
        </w:rPr>
        <w:tab/>
      </w: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21590</wp:posOffset>
            </wp:positionV>
            <wp:extent cx="23399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220" w:right="339" w:bottom="1440" w:gutter="0" w:footer="0" w:header="0"/>
        </w:sectPr>
      </w:pP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Series 2019-1 4.723% Fixed Rate Senior Secured Notes, Class A-2-II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46545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54550" cy="146050"/>
                    </a:xfrm>
                    <a:prstGeom prst="rect">
                      <a:avLst/>
                    </a:prstGeom>
                    <a:noFill/>
                  </pic:spPr>
                </pic:pic>
              </a:graphicData>
            </a:graphic>
          </wp:anchor>
        </w:drawing>
      </w:r>
    </w:p>
    <w:p>
      <w:pPr>
        <w:spacing w:after="0" w:line="7" w:lineRule="exact"/>
        <w:rPr>
          <w:sz w:val="20"/>
          <w:szCs w:val="20"/>
          <w:color w:val="auto"/>
        </w:rPr>
      </w:pPr>
    </w:p>
    <w:p>
      <w:pPr>
        <w:ind w:left="240" w:hanging="161"/>
        <w:spacing w:after="0" w:line="234" w:lineRule="auto"/>
        <w:rPr>
          <w:sz w:val="20"/>
          <w:szCs w:val="20"/>
          <w:color w:val="auto"/>
        </w:rPr>
      </w:pPr>
      <w:r>
        <w:rPr>
          <w:rFonts w:ascii="Times New Roman" w:cs="Times New Roman" w:eastAsia="Times New Roman" w:hAnsi="Times New Roman"/>
          <w:sz w:val="18"/>
          <w:szCs w:val="18"/>
          <w:color w:val="auto"/>
        </w:rPr>
        <w:t>Series 2022-1 Variable Funding Senior Secured Notes, Class A-1, variable interest rate of 6.93% and 7.14% at March 31, 2025 and December 31, 2024, respectively</w:t>
      </w:r>
    </w:p>
    <w:p>
      <w:pPr>
        <w:spacing w:after="0" w:line="10" w:lineRule="exact"/>
        <w:rPr>
          <w:sz w:val="20"/>
          <w:szCs w:val="20"/>
          <w:color w:val="auto"/>
        </w:rPr>
      </w:pPr>
    </w:p>
    <w:p>
      <w:pPr>
        <w:ind w:left="80" w:right="2420"/>
        <w:spacing w:after="0" w:line="273" w:lineRule="auto"/>
        <w:rPr>
          <w:sz w:val="20"/>
          <w:szCs w:val="20"/>
          <w:color w:val="auto"/>
        </w:rPr>
      </w:pPr>
      <w:r>
        <w:rPr>
          <w:rFonts w:ascii="Times New Roman" w:cs="Times New Roman" w:eastAsia="Times New Roman" w:hAnsi="Times New Roman"/>
          <w:sz w:val="18"/>
          <w:szCs w:val="18"/>
          <w:color w:val="auto"/>
        </w:rPr>
        <w:t>Series 2023-1 7.824% Fixed Rate Senior Secured Notes, Class A-2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-295275</wp:posOffset>
            </wp:positionV>
            <wp:extent cx="465455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5455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-3810</wp:posOffset>
            </wp:positionV>
            <wp:extent cx="46545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54550" cy="15430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Long-term debt, net of debt issuance costs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46545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54550"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308" w:hanging="1308"/>
        <w:spacing w:after="0"/>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4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-680720</wp:posOffset>
            </wp:positionV>
            <wp:extent cx="113982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8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-269240</wp:posOffset>
            </wp:positionV>
            <wp:extent cx="113982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21590</wp:posOffset>
            </wp:positionV>
            <wp:extent cx="11398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9825" cy="154305"/>
                    </a:xfrm>
                    <a:prstGeom prst="rect">
                      <a:avLst/>
                    </a:prstGeom>
                    <a:noFill/>
                  </pic:spPr>
                </pic:pic>
              </a:graphicData>
            </a:graphic>
          </wp:anchor>
        </w:drawing>
      </w:r>
    </w:p>
    <w:p>
      <w:pPr>
        <w:spacing w:after="0" w:line="23" w:lineRule="exact"/>
        <w:rPr>
          <w:sz w:val="20"/>
          <w:szCs w:val="20"/>
          <w:color w:val="auto"/>
        </w:rPr>
      </w:pPr>
    </w:p>
    <w:p>
      <w:pPr>
        <w:ind w:left="1168"/>
        <w:spacing w:after="0"/>
        <w:rPr>
          <w:sz w:val="20"/>
          <w:szCs w:val="20"/>
          <w:color w:val="auto"/>
        </w:rPr>
      </w:pPr>
      <w:r>
        <w:rPr>
          <w:rFonts w:ascii="Times New Roman" w:cs="Times New Roman" w:eastAsia="Times New Roman" w:hAnsi="Times New Roman"/>
          <w:sz w:val="18"/>
          <w:szCs w:val="18"/>
          <w:color w:val="auto"/>
        </w:rPr>
        <w:t>1,187.1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398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9825" cy="171450"/>
                    </a:xfrm>
                    <a:prstGeom prst="rect">
                      <a:avLst/>
                    </a:prstGeom>
                    <a:noFill/>
                  </pic:spPr>
                </pic:pic>
              </a:graphicData>
            </a:graphic>
          </wp:anchor>
        </w:drawing>
      </w:r>
    </w:p>
    <w:p>
      <w:pPr>
        <w:spacing w:after="0" w:line="11" w:lineRule="exact"/>
        <w:rPr>
          <w:sz w:val="20"/>
          <w:szCs w:val="20"/>
          <w:color w:val="auto"/>
        </w:rPr>
      </w:pPr>
    </w:p>
    <w:p>
      <w:pPr>
        <w:ind w:left="1168" w:hanging="1168"/>
        <w:spacing w:after="0"/>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139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300" w:hanging="129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-687705</wp:posOffset>
            </wp:positionV>
            <wp:extent cx="113982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9825" cy="1460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-276225</wp:posOffset>
            </wp:positionV>
            <wp:extent cx="11398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982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wp:posOffset>
            </wp:positionV>
            <wp:extent cx="113982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9825" cy="154305"/>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1,186.6</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398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9825" cy="171450"/>
                    </a:xfrm>
                    <a:prstGeom prst="rect">
                      <a:avLst/>
                    </a:prstGeom>
                    <a:noFill/>
                  </pic:spPr>
                </pic:pic>
              </a:graphicData>
            </a:graphic>
          </wp:anchor>
        </w:drawing>
      </w:r>
    </w:p>
    <w:p>
      <w:pPr>
        <w:spacing w:after="0" w:line="11" w:lineRule="exact"/>
        <w:rPr>
          <w:sz w:val="20"/>
          <w:szCs w:val="20"/>
          <w:color w:val="auto"/>
        </w:rPr>
      </w:pPr>
    </w:p>
    <w:p>
      <w:pPr>
        <w:ind w:left="1160" w:hanging="1158"/>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139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340" w:space="172"/>
            <w:col w:w="1748" w:space="140"/>
            <w:col w:w="1840"/>
          </w:cols>
          <w:pgMar w:left="320" w:top="220"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2019 Class A-2-I Notes were voluntarily repaid in full on April 17, 2023, while the 2019 Class A-2-II Notes remain outstanding as of March 31, 2025.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 The legal final maturity of the 2019 Class A-2-II Notes is June 2049, but rapid amortization will apply if the 2019 Class A-2-II Notes are not repaid by June 2026 (the “2019 Class A-2-II Anticipated Repayment Date”). If the Co-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leverage ratio was approximately 4.15x. As a result, quarterly principal payments on the 2019 Class A-2-II Notes of $1.5 million currently are not required.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voluntarily repay the 2019 Class A-2-II Notes at any time without any associated make-whole premium.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the outstanding balance of the Credit Facility was $100 million. The amount of $0.6 million was pledged against the Credit Facility for outstanding letters of credit, leaving $224.4 million of the Credit Facility available for borrowing at March 31, 2025.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three months ended March 31, 2025 was 6.95%.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leverage ratio was approximately 4.15x. As a result, quarterly principal payments on the 2023 Class A-2 Notes of $1.25 million currently are not required.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March 31, 2025, the make-whole premium associated with voluntary prepayment of the 2023 Class A-2 Notes was approximately $27.2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March 31, 2025,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March 31, 2025 was approximately 3.4x.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$0.3 million were included in interest expense for the three months ended March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 2025 and 2024, respectively. As of March 31, 2025, unamortized debt issuance costs of $5.9 million are reported as a direct reduction of the 2023 Series Class A-2 Notes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Class A-1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$0.3 million and $0.3 million of these costs were included in interest expense for the three months ended March 31, 2025 and 2024, respectively. As of March 31, 2025, unamortized debt issuance costs of $3.1 million related to the Credit Facility are classified as other non-current assets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$0.2 million were included in interest expense for the three months ended March 31, 2025 and 2024, respectively. As of March 31, 2025, unamortized debt issuance costs of $1.0 million are reported as a direct reduction of the 2019 Class A-2-II Notes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21" w:lineRule="exact"/>
        <w:rPr>
          <w:sz w:val="20"/>
          <w:szCs w:val="20"/>
          <w:color w:val="auto"/>
        </w:rPr>
      </w:pPr>
    </w:p>
    <w:p>
      <w:pPr>
        <w:ind w:left="660" w:hanging="328"/>
        <w:spacing w:after="0" w:line="261"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 million ($6.0 million per annum) are required if the Company's leverage ratio is greater than 5.25x.</w:t>
      </w:r>
    </w:p>
    <w:p>
      <w:pPr>
        <w:ind w:left="660" w:hanging="328"/>
        <w:spacing w:after="0" w:line="26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2025 and 2024 were as follows:</w:t>
      </w:r>
    </w:p>
    <w:p>
      <w:pPr>
        <w:spacing w:after="0" w:line="160"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6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paid dividends of $7.8 million and $7.8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64,869 shares of common stock at a cost of $1.6 million. Cumulatively, the Company repurchased 1,930,268 shares at a cost of $118.4 million. As of March 31, 2025, a remaining amount of $131.6 million in the value of shares may be repurchased under the 2022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2025, the Company re-issued 485,497 shares of treasury stock at a total FIFO cost of $23.0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35.9% for the three months ended March 31, 2025, as compared to 27.3% for the three months ended March 31, 2024. The effective tax rate for the three months ended March 31, 2025 was higher than the rate of the prior comparable period primarily due to a lower tax deduction related to stock-based compensation, resulting from the changes in our stock price.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March 31, 2025 and December 31, 2024 was $2.8 million and $2.5 million, respectively, excluding interest, penalties and related income tax benefits. The Company estimates the unrecognized tax benefit as of March 31, 2025 may decrease over the upcoming 12 months by $0.1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accrued interest as of March 31, 2025 and December 31, 2024 was $0.8 million and $0.8 million, respectively,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2021 and state or non-United States tax examinations by tax authorities for years before 2019. The Company believes that adequate reserves have been provided relating to all matters contained in the tax periods open to examination.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 Consolidated Statements of Comprehensive Income:</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1"/>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r>
      <w:tr>
        <w:trPr>
          <w:trHeight w:val="184"/>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of $24.4 million related to restricted stock and restricted stock units and $2.1 million related to stock options is expected to be recognized over a weighted average period of 1.8 years for restricted stock and restricted stock units and 1.3 years for stock options.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balances at March 31, 2025, and activity for the three months ended March 31, 2025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4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524,646</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8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00" w:type="dxa"/>
            <w:vAlign w:val="bottom"/>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502,008</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8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423,858</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72.39</w:t>
            </w:r>
          </w:p>
        </w:tc>
        <w:tc>
          <w:tcPr>
            <w:tcW w:w="13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4.9</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first quarter of 2025 and the exercise price, multiplied by the number of in-the-money options) that would have been received by the option holders had all option holders exercised their options on March 31, 2025. The aggregate intrinsic value will change based on the fair market value of the Company’s common stock and the number of in-the-money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balances as of March 31, 2025, and activity related to restricted stock and restricted stock units for the three months ended March 31, 2025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53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421,459</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72,953</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1320" w:type="dxa"/>
            <w:vAlign w:val="bottom"/>
          </w:tcPr>
          <w:p>
            <w:pPr>
              <w:jc w:val="center"/>
              <w:ind w:left="577"/>
              <w:spacing w:after="0"/>
              <w:rPr>
                <w:sz w:val="20"/>
                <w:szCs w:val="20"/>
                <w:color w:val="auto"/>
              </w:rPr>
            </w:pPr>
            <w:r>
              <w:rPr>
                <w:rFonts w:ascii="Times New Roman" w:cs="Times New Roman" w:eastAsia="Times New Roman" w:hAnsi="Times New Roman"/>
                <w:sz w:val="18"/>
                <w:szCs w:val="18"/>
                <w:color w:val="auto"/>
              </w:rPr>
              <w:t>52,531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7"/>
              </w:rPr>
              <w:t>(29,297)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w w:val="97"/>
              </w:rPr>
              <w:t>(36,516)</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715,452</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rPr>
              <w:t>59,671</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The 2023 and 2024 LTIP awards vest at the end of the three-year period and are determined using multipliers from 0% to 200% of the target award based on the total stockholder return of Dine Brands Global common stock compared to the total stockholder returns of a peer group of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LTIP awards vest at the end of the three-year period and are determined using multipliers from 0% to 200% of the target award based on the Company's cumulative adjusted EBITDA, as defined and reflected in the Company’s earnings release and/or financial statements for each of the three years in the performance period, subject to adjustment based on the total stockholder returns of a peer group of companies. As of March 31, 2025, the cumulative performance target of the 2025 LTIP awards is not known; therefore, no compensation expense related to the 2025 LTIP award has been recognized.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LTIP awards are considered stock-based compensation and are classified as liabilities measured at fair value as of the respective period end. For the three months ended March 31, 2025 and 2024, an expense of $0.3 million and $0.6 million, respectively, were included in total stock-based compensation expense related to LTIP awards. At March 31, 2025 and December 31, 2024, liabilities of $1.1 million and $0.8 million, respectively, related to LTIP awards were included as part of accrued employee compensation and benefits and other non-current liabilities in the Consolidated Balance Sheets.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60"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17,473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00" w:type="dxa"/>
            <w:vAlign w:val="bottom"/>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16,961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16,961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14,980</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00" w:type="dxa"/>
            <w:vAlign w:val="bottom"/>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14,980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89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chief executive officer is the Company's chief operating decision maker ("CODM"). The CODM uses each segments' revenue and operating profit to assess its performance.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revenue and operating profit for each segment primarily in the annual budget and forecasting process, and in the quarterly budget-to-actual analysis when making decisions about the allocation of operating and capital resources to each segment. The CODM also uses operating profit to assess the performance of each segment by comparing the results of each segment with one another and in determining the compensation of certain employees. The CODM does not consider asset information when evaluating operating segments, therefore total segment assets are not presented.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72" w:lineRule="exact"/>
        <w:rPr>
          <w:sz w:val="20"/>
          <w:szCs w:val="20"/>
          <w:color w:val="auto"/>
        </w:rPr>
      </w:pPr>
    </w:p>
    <w:p>
      <w:pPr>
        <w:jc w:val="both"/>
        <w:ind w:firstLine="43"/>
        <w:spacing w:after="0" w:line="256" w:lineRule="auto"/>
        <w:rPr>
          <w:sz w:val="20"/>
          <w:szCs w:val="20"/>
          <w:color w:val="auto"/>
        </w:rPr>
      </w:pPr>
      <w:r>
        <w:rPr>
          <w:rFonts w:ascii="Times New Roman" w:cs="Times New Roman" w:eastAsia="Times New Roman" w:hAnsi="Times New Roman"/>
          <w:sz w:val="18"/>
          <w:szCs w:val="18"/>
          <w:color w:val="auto"/>
        </w:rPr>
        <w:t>As of March 31, 2025, the franchise operations segment consisted of 1,547 restaurants operated by Applebee’s franchisees in the United States, two U.S. territories and 15 countries outside the United States; 1,804 restaurants operated by IHOP franchisees and area licensees in the United States, two U.S. territories and 14 countries outside the United States; and 113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 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 As of March 31, 2025, the company restaurants segment consisted of 47 company-operated Applebee's restaurants, 10 company-operated IHOP restaurants, and one company-operated Fuzzy's restaurant located in the United States. Company-operated restaurant operation revenue consists of retail sales at company-operated restaurants. Company-operated restaurant operation expenses are operating expenses such as food, beverage, labor, benefits, utilities, rent and other operating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and a reconciliation of operating profit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18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4"/>
                <w:szCs w:val="14"/>
                <w:color w:val="auto"/>
              </w:rPr>
            </w:pPr>
          </w:p>
        </w:tc>
        <w:tc>
          <w:tcPr>
            <w:tcW w:w="11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40" w:type="dxa"/>
            <w:vAlign w:val="bottom"/>
          </w:tcPr>
          <w:p>
            <w:pPr>
              <w:spacing w:after="0"/>
              <w:rPr>
                <w:sz w:val="14"/>
                <w:szCs w:val="14"/>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60" w:type="dxa"/>
            <w:vAlign w:val="bottom"/>
          </w:tcPr>
          <w:p>
            <w:pPr>
              <w:spacing w:after="0"/>
              <w:rPr>
                <w:sz w:val="14"/>
                <w:szCs w:val="14"/>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940" w:type="dxa"/>
            <w:vAlign w:val="bottom"/>
            <w:gridSpan w:val="5"/>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206.2</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148"/>
        <w:spacing w:after="0"/>
        <w:tabs>
          <w:tab w:leader="none" w:pos="4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each reportable segment, the other segment item category includes: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Company Restaurants: Operating expenses at company-operated restaurants and include food, beverage, labor, benefits, utilities, rent and other operating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Rental: Costs of operating leases and interest expense of finance leases on franchisee-operated restaurants.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Financing: Costs of restaurant equipment.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impairment charges for the three months ended March 31, 2025 and 2024 were as follows:</w:t>
      </w:r>
    </w:p>
    <w:p>
      <w:pPr>
        <w:spacing w:after="0" w:line="160" w:lineRule="exact"/>
        <w:rPr>
          <w:sz w:val="20"/>
          <w:szCs w:val="20"/>
          <w:color w:val="auto"/>
        </w:rPr>
      </w:pPr>
    </w:p>
    <w:tbl>
      <w:tblPr>
        <w:tblLayout w:type="fixed"/>
        <w:tblInd w:w="118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5380" w:type="dxa"/>
            <w:vAlign w:val="bottom"/>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184"/>
        </w:trPr>
        <w:tc>
          <w:tcPr>
            <w:tcW w:w="5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gridSpan w:val="3"/>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closure charges for the three months ended March 31, 2025 were primarily related to the acquisition and closure of certain IHOP restaurants in March 2025 and the establishment of or revisions to existing closure reserves, including accretion,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restaurants closed prior to December 31, 2024. The closure charges for the three months ended March 31, 2024 were related to the establishment of or revisions to existing closure reserves, including accretion, for restaurants closed prior to December 31, 2023.</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asset impairment charges for the three months ended March 31, 2025 was primarily due to the off-market leases related to certain IHOP restaurants.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March 31, 2025 and December 31, 2024 were as follows:</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1,095.5</w:t>
            </w:r>
          </w:p>
        </w:tc>
      </w:tr>
      <w:tr>
        <w:trPr>
          <w:trHeight w:val="21"/>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$336.2 million as of March 31, 2025. This amount represents the maximum potential liability for future payments under these leases. These leases have been assigned to the buyers and expire at the end of the respective lease terms, which range from 2025 through 2058. Excluding unexercised option periods, the Company's potential liability for future payments under these leases is $87.8 million. In the event of default, the indemnity and default clauses in the sale or assignment agreements govern the Company's ability to pursue and recover damages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1"/>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Non-current restricted cash was $19.5 million at March 31, 2025 and December 31, 2024 and represents interest reserves required to be set aside for the duration of the Company's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2025, the Company entered into a cooperation agreement with an IHOP franchisee to acquire 10 IHOP restaurants across Ohio and Kentucky for $0.2 million of consideration. The Company entered into the transaction to invest in the system, improve operations through innovation tests and create a blueprint for franchisee success and growth for the Company. Due to the fair value of the assets acquired exceeding the consideration transferred, the transaction resulted in a $0.2 million gain on bargain purchase, which is recorded under General and administrative expenses in the Consolidated Statements of Comprehensive Income for the three months ended March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 (in millions):</w:t>
      </w:r>
    </w:p>
    <w:p>
      <w:pPr>
        <w:sectPr>
          <w:pgSz w:w="11900" w:h="16838" w:orient="portrait"/>
          <w:cols w:equalWidth="0" w:num="1">
            <w:col w:w="11240"/>
          </w:cols>
          <w:pgMar w:left="320" w:top="220" w:right="339" w:bottom="1440" w:gutter="0" w:footer="0" w:header="0"/>
        </w:sectPr>
      </w:pPr>
    </w:p>
    <w:p>
      <w:pPr>
        <w:spacing w:after="0" w:line="15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-127635</wp:posOffset>
            </wp:positionV>
            <wp:extent cx="245173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1735" cy="146050"/>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Inventory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245173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1735" cy="146050"/>
                    </a:xfrm>
                    <a:prstGeom prst="rect">
                      <a:avLst/>
                    </a:prstGeom>
                    <a:noFill/>
                  </pic:spPr>
                </pic:pic>
              </a:graphicData>
            </a:graphic>
          </wp:anchor>
        </w:drawing>
      </w:r>
    </w:p>
    <w:p>
      <w:pPr>
        <w:spacing w:after="0" w:line="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17145</wp:posOffset>
            </wp:positionV>
            <wp:extent cx="2451735"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1735" cy="102870"/>
                    </a:xfrm>
                    <a:prstGeom prst="rect">
                      <a:avLst/>
                    </a:prstGeom>
                    <a:noFill/>
                  </pic:spPr>
                </pic:pic>
              </a:graphicData>
            </a:graphic>
          </wp:anchor>
        </w:drawing>
      </w:r>
    </w:p>
    <w:p>
      <w:pPr>
        <w:spacing w:after="0" w:line="16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17145</wp:posOffset>
            </wp:positionV>
            <wp:extent cx="245173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1735" cy="171450"/>
                    </a:xfrm>
                    <a:prstGeom prst="rect">
                      <a:avLst/>
                    </a:prstGeom>
                    <a:noFill/>
                  </pic:spPr>
                </pic:pic>
              </a:graphicData>
            </a:graphic>
          </wp:anchor>
        </w:drawing>
      </w:r>
    </w:p>
    <w:p>
      <w:pPr>
        <w:spacing w:after="0" w:line="4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7"/>
          <w:szCs w:val="17"/>
          <w:color w:val="auto"/>
        </w:rPr>
        <w:t>Bargain purchase gain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9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9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(0.2)</w:t>
            </w:r>
          </w:p>
        </w:tc>
      </w:tr>
      <w:tr>
        <w:trPr>
          <w:trHeight w:val="223"/>
        </w:trPr>
        <w:tc>
          <w:tcPr>
            <w:tcW w:w="960" w:type="dxa"/>
            <w:vAlign w:val="bottom"/>
          </w:tcPr>
          <w:p>
            <w:pPr>
              <w:spacing w:after="0"/>
              <w:rPr>
                <w:sz w:val="19"/>
                <w:szCs w:val="19"/>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0.3</w:t>
            </w:r>
          </w:p>
        </w:tc>
      </w:tr>
      <w:tr>
        <w:trPr>
          <w:trHeight w:val="162"/>
        </w:trPr>
        <w:tc>
          <w:tcPr>
            <w:tcW w:w="9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0"/>
        </w:trPr>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8"/>
              </w:rPr>
              <w:t>(0.1)</w:t>
            </w:r>
          </w:p>
        </w:tc>
      </w:tr>
      <w:tr>
        <w:trPr>
          <w:trHeight w:val="248"/>
        </w:trPr>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4740"/>
          </w:cols>
          <w:pgMar w:left="320" w:top="220"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2024.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over 3,500 restaurants, we believe we are one of the largest full-service restaurant companies in the world.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940" w:type="dxa"/>
            <w:vAlign w:val="bottom"/>
          </w:tcPr>
          <w:p>
            <w:pPr>
              <w:spacing w:after="0"/>
              <w:rPr>
                <w:sz w:val="4"/>
                <w:szCs w:val="4"/>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4"/>
                <w:szCs w:val="4"/>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vMerge w:val="continue"/>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vMerge w:val="continue"/>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vMerge w:val="continue"/>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27.3 %</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00" w:type="dxa"/>
            <w:vAlign w:val="bottom"/>
            <w:vMerge w:val="continue"/>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vMerge w:val="continue"/>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vMerge w:val="continue"/>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was higher than the rate of the prior comparable period primarily due to a lower tax deduction related to stock-based compensation, resulting from the changes in our stock price.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decrease in our income before income taxes for the three months ended March 31, 2025, compared to our income before income taxes for the comparable prior period (in millions):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512635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26355" cy="14605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512635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2635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512635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26355" cy="14541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512635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26355" cy="14541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Decrease in general and administrative ("G&amp;A") expenses</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512635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26355" cy="14541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 in loss (gain) on disposition of assets</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Increase in closure and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512635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26355" cy="171450"/>
                    </a:xfrm>
                    <a:prstGeom prst="rect">
                      <a:avLst/>
                    </a:prstGeom>
                    <a:noFill/>
                  </pic:spPr>
                </pic:pic>
              </a:graphicData>
            </a:graphic>
          </wp:anchor>
        </w:drawing>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Decrease in income before income taxes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Favorable</w:t>
      </w: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440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440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860" w:space="720"/>
            <w:col w:w="26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before income taxes for the three months ended March 31, 2025 decreased compared to the prior year period primarily due to a decrease in gross profit and an increase in closure and impairment charges, partially offset by a decrease in G&amp;A expenses. Total gross profit for the three months ended March 31, 2025 decreased compared with the same period of the prior year due to decreased revenue from franchise and rental operations. The increase in closure and impairment charges was primarily attributable to the strategic realignment of the IHOP Cincinnati market resulting in the acquisition and closure of certain IHOP restaurants in March 2025. The decrease in G&amp;A expenses is primarily attributable to a decrease in compensation-related expenses, partially offset by an increase in legal and professional services.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when applicable, increases in commodity, labor and other restaurant operating costs impact us directly.</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Months Ended March 31, 2025 and 2024”</w:t>
      </w:r>
      <w:r>
        <w:rPr>
          <w:rFonts w:ascii="Times New Roman" w:cs="Times New Roman" w:eastAsia="Times New Roman" w:hAnsi="Times New Roman"/>
          <w:sz w:val="18"/>
          <w:szCs w:val="18"/>
          <w:color w:val="auto"/>
        </w:rPr>
        <w:t xml:space="preserve"> for additional discussion of the changes shown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months ended March 31, 2025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5"/>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Pr>
          <w:p>
            <w:pPr>
              <w:spacing w:after="0"/>
              <w:rPr>
                <w:sz w:val="18"/>
                <w:szCs w:val="18"/>
                <w:color w:val="auto"/>
              </w:rPr>
            </w:pPr>
          </w:p>
        </w:tc>
      </w:tr>
      <w:tr>
        <w:trPr>
          <w:trHeight w:val="219"/>
        </w:trPr>
        <w:tc>
          <w:tcPr>
            <w:tcW w:w="7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40" w:type="dxa"/>
            <w:vAlign w:val="bottom"/>
            <w:tcBorders>
              <w:bottom w:val="single" w:sz="8" w:color="auto"/>
            </w:tcBorders>
          </w:tcPr>
          <w:p>
            <w:pPr>
              <w:spacing w:after="0"/>
              <w:rPr>
                <w:sz w:val="19"/>
                <w:szCs w:val="19"/>
                <w:color w:val="auto"/>
              </w:rPr>
            </w:pPr>
          </w:p>
        </w:tc>
      </w:tr>
      <w:tr>
        <w:trPr>
          <w:trHeight w:val="211"/>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IHOP</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225"/>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decrease in reported retail sales - 2025 vs. 2024</w:t>
            </w:r>
          </w:p>
        </w:tc>
        <w:tc>
          <w:tcPr>
            <w:tcW w:w="80" w:type="dxa"/>
            <w:vAlign w:val="bottom"/>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Decrease in domestic system-wide same-restaurant sales</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 total effective restaurants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0" w:hanging="148"/>
        <w:spacing w:after="0"/>
        <w:tabs>
          <w:tab w:leader="none" w:pos="4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three months ended March 31, 2025.</w:t>
      </w:r>
    </w:p>
    <w:p>
      <w:pPr>
        <w:spacing w:after="0" w:line="95" w:lineRule="exact"/>
        <w:rPr>
          <w:rFonts w:ascii="Times New Roman" w:cs="Times New Roman" w:eastAsia="Times New Roman" w:hAnsi="Times New Roman"/>
          <w:sz w:val="19"/>
          <w:szCs w:val="19"/>
          <w:color w:val="auto"/>
          <w:vertAlign w:val="superscript"/>
        </w:rPr>
      </w:pPr>
    </w:p>
    <w:p>
      <w:pPr>
        <w:ind w:left="340" w:hanging="8"/>
        <w:spacing w:after="0" w:line="230" w:lineRule="auto"/>
        <w:tabs>
          <w:tab w:leader="none" w:pos="49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Change in the weighted average number of franchise, area license and company-operated restaurants open during the three months ended March 31, 2025, compared to the weighted average number of those open during the same period of 2024.</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wp:posOffset>
            </wp:positionV>
            <wp:extent cx="5357495" cy="2357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2.2% for the three months ended March 31, 2025 as compared to the same period of 2024. The decrease in same-restaurant sales was primarily due to a decrease in traffic, partially offset by an increase in average check.</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for the three months ended March 31, 2025 underperformed the casual dining segment of the restaurant industry (excluding Applebee's) during the same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5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5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237.5</w:t>
            </w: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r>
    </w:tbl>
    <w:p>
      <w:pPr>
        <w:spacing w:after="0" w:line="175"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to-go, delivery and catering sales for comparable 2025 and 2024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300355</wp:posOffset>
            </wp:positionV>
            <wp:extent cx="5357495" cy="2357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IHOP's system-wide domestic same-restaurant sales decreased 2.7% for the three months ended March 31, 2025 as compared to the same period of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same-restaurant sales was primarily due to a decrease in traffic and a decrease in average check.</w:t>
      </w:r>
    </w:p>
    <w:p>
      <w:pPr>
        <w:spacing w:after="0" w:line="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IHOP's same-restaurant sales for the three months ended March 31, 2025 underperformed the family dining segment of the restaurant industry (excluding IHOP) during the same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6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6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155.7</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bl>
    <w:p>
      <w:pPr>
        <w:spacing w:after="0" w:line="14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2025 and 2024 restaurants.</w:t>
      </w:r>
    </w:p>
    <w:p>
      <w:pPr>
        <w:spacing w:after="0" w:line="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Quarterly Domestic Same-Restaurant Sales - Fuzzy's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Fuzzy's system-wide domestic same-restaurant sales decreased 12.2% for the three months ended March 31, 2025 as compared to the same period of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same-restaurant sales was primarily due to a decrease in traffic and a decrease in average check.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Off-Premise Sales Data</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8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38.8 %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40.8 %</w:t>
            </w:r>
          </w:p>
        </w:tc>
      </w:tr>
    </w:tbl>
    <w:p>
      <w:pPr>
        <w:spacing w:after="0" w:line="161"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2025 and 2024 restaurants.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1,635</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1,800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4"/>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71" w:lineRule="auto"/>
        <w:tabs>
          <w:tab w:leader="none" w:pos="30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1" w:lineRule="exact"/>
        <w:rPr>
          <w:rFonts w:ascii="Times New Roman" w:cs="Times New Roman" w:eastAsia="Times New Roman" w:hAnsi="Times New Roman"/>
          <w:sz w:val="14"/>
          <w:szCs w:val="14"/>
          <w:color w:val="auto"/>
        </w:rPr>
      </w:pPr>
    </w:p>
    <w:p>
      <w:pPr>
        <w:jc w:val="both"/>
        <w:ind w:left="340" w:hanging="332"/>
        <w:spacing w:after="0" w:line="266" w:lineRule="auto"/>
        <w:tabs>
          <w:tab w:leader="none" w:pos="34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company-operated Applebee's, IHOP and Fuzzy's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and Fuzzy's franchise restaurants, IHOP franchise restaurants, IHOP area license restaurants, and Applebee's, IHOP and Fuzzy's company-operated restaurants were as follows: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100" w:type="dxa"/>
            <w:vAlign w:val="bottom"/>
            <w:vMerge w:val="continue"/>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1,055.1</w:t>
            </w:r>
          </w:p>
        </w:tc>
        <w:tc>
          <w:tcPr>
            <w:tcW w:w="100" w:type="dxa"/>
            <w:vAlign w:val="bottom"/>
            <w:vMerge w:val="continue"/>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Applebee's company-operated restaurants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IHOP company-operated restaurants</w:t>
            </w: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Fuzzy's company-operated restaurants</w:t>
            </w:r>
          </w:p>
        </w:tc>
        <w:tc>
          <w:tcPr>
            <w:tcW w:w="10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1,970.2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period for all restaurants in that category.</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5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period, for domestic restaurants that have been operated during both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5"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0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sales percentage change for 2025 was impacted by the acquisition of 47 Applebee's restaurants in November 2024 and 10 IHOP restaurants in March 2025 now reported as company-operated.</w:t>
      </w: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9"/>
        </w:trPr>
        <w:tc>
          <w:tcPr>
            <w:tcW w:w="74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19"/>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3"/>
        </w:trPr>
        <w:tc>
          <w:tcPr>
            <w:tcW w:w="74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222"/>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7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8"/>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746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IHOP</w:t>
            </w:r>
          </w:p>
        </w:tc>
        <w:tc>
          <w:tcPr>
            <w:tcW w:w="100" w:type="dxa"/>
            <w:vAlign w:val="bottom"/>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21"/>
        </w:trPr>
        <w:tc>
          <w:tcPr>
            <w:tcW w:w="4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12"/>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3"/>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6"/>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4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2"/>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2"/>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4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83"/>
        </w:trPr>
        <w:tc>
          <w:tcPr>
            <w:tcW w:w="74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franchise/area license restaurant addition (reduction)</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7"/>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acquired by the Company</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franchise/area license restaurants</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2"/>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21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r>
      <w:tr>
        <w:trPr>
          <w:trHeight w:val="213"/>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73"/>
        </w:trPr>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75"/>
        </w:trPr>
        <w:tc>
          <w:tcPr>
            <w:tcW w:w="7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Refranchised from Company restaurants</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bl>
    <w:p>
      <w:pPr>
        <w:ind w:left="320"/>
        <w:spacing w:after="0"/>
        <w:rPr>
          <w:sz w:val="20"/>
          <w:szCs w:val="20"/>
          <w:color w:val="auto"/>
        </w:rPr>
      </w:pPr>
      <w:r>
        <w:rPr>
          <w:rFonts w:ascii="Times New Roman" w:cs="Times New Roman" w:eastAsia="Times New Roman" w:hAnsi="Times New Roman"/>
          <w:sz w:val="16"/>
          <w:szCs w:val="16"/>
          <w:b w:val="1"/>
          <w:bCs w:val="1"/>
          <w:color w:val="auto"/>
        </w:rPr>
        <w:t>Summary - end of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225"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7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27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8"/>
        </w:trPr>
        <w:tc>
          <w:tcPr>
            <w:tcW w:w="7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gridSpan w:val="2"/>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32"/>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counts and activity presented above include 19 dual-branded international and one dual-branded domestic Applebee's and IHOP restaurants at March 31, 2025, and eight dual-branded international Applebee's and IHOP restaurants at March 31, 2024, which are separately counted in each of our brands' restaurant counts and activity. Dual-branded restaurants are defined as restaurants that reside in one location and operate two of our restaurant concepts under two separate franchise agreements.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Impacting Comparability of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Franchise Restaurants and Refranchising of Company-Operated Restaurants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operated 47 Applebee's restaurants across Georgia, Texas, Arkansas, Illinois, Kentucky, Tennessee, Mississippi and Missouri acquired in November 2024 and 10 IHOP restaurants in Ohio and Kentucky acquired in March 2025. During the three months ended March 31, 2024, we did not operate any Applebee's and IHOP restaurants.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currently intend to own and operate these restaurants for the near term, we will assess and monitor opportunities to refranchise these restaurants under favorable circumstances. From time to time, we may acquire restaurants from franchisees for a variety of reasons which is consistent with and should not be considered a change in our business strategy to operate as a highly franchised company.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2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restart"/>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4"/>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6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Borders>
              <w:bottom w:val="single" w:sz="8" w:color="auto"/>
            </w:tcBorders>
            <w:gridSpan w:val="4"/>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restart"/>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3"/>
                <w:szCs w:val="3"/>
                <w:color w:val="auto"/>
              </w:rPr>
            </w:pPr>
          </w:p>
        </w:tc>
        <w:tc>
          <w:tcPr>
            <w:tcW w:w="11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166.2</w:t>
            </w:r>
          </w:p>
        </w:tc>
        <w:tc>
          <w:tcPr>
            <w:tcW w:w="100" w:type="dxa"/>
            <w:vAlign w:val="bottom"/>
            <w:vMerge w:val="continue"/>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175.9</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214.8</w:t>
            </w:r>
          </w:p>
        </w:tc>
        <w:tc>
          <w:tcPr>
            <w:tcW w:w="100" w:type="dxa"/>
            <w:vAlign w:val="bottom"/>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206.2</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March 31, 2025 increased compared with the same period of the prior year, primarily due to the operation of 47 Applebee's restaurants acquired in November 2024 and 10 IHOP restaurants acquired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March 2025, partially offset by the decrease in franchise and rental operations revenue. The decrease in franchise operations revenue was primarily attributable to the decrease in domestic same-restaurant sales, the decrease in the number of effective restaurants and the decrease in proprietary product sales at IHOP. Rental operations revenue for the three months ended March 31, 2025 decreased compared with the same period of the prior year, primarily due to lease terminations and a decrease in percentage rent due to lower system sales.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00" w:type="dxa"/>
            <w:vAlign w:val="bottom"/>
          </w:tcPr>
          <w:p>
            <w:pPr>
              <w:spacing w:after="0"/>
              <w:rPr>
                <w:sz w:val="20"/>
                <w:szCs w:val="20"/>
                <w:color w:val="auto"/>
              </w:rPr>
            </w:pPr>
          </w:p>
        </w:tc>
        <w:tc>
          <w:tcPr>
            <w:tcW w:w="2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81"/>
        </w:trPr>
        <w:tc>
          <w:tcPr>
            <w:tcW w:w="6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0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restart"/>
          </w:tcPr>
          <w:p>
            <w:pPr>
              <w:jc w:val="center"/>
              <w:ind w:right="118"/>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2"/>
                <w:szCs w:val="2"/>
                <w:color w:val="auto"/>
              </w:rPr>
            </w:pPr>
          </w:p>
        </w:tc>
        <w:tc>
          <w:tcPr>
            <w:tcW w:w="11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4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gross profit for the three months ended March 31, 2025 decreased compared with the same period of the prior year, primarily due to the decrease in franchise and rental operations revenue. The franchise operations gross profit decreased primarily due to Applebee's and IHOP decreased franchise operations gross profit. The decrease in rental operations gross profit for the three months ended March 31, 2025 was primarily due to decreased rental revenue as described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100" w:type="dxa"/>
            <w:vAlign w:val="bottom"/>
          </w:tcPr>
          <w:p>
            <w:pPr>
              <w:spacing w:after="0"/>
              <w:rPr>
                <w:sz w:val="17"/>
                <w:szCs w:val="17"/>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vMerge w:val="restart"/>
          </w:tcPr>
          <w:p>
            <w:pPr>
              <w:jc w:val="center"/>
              <w:ind w:right="121"/>
              <w:spacing w:after="0" w:line="110"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3"/>
                <w:szCs w:val="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8"/>
              </w:rPr>
              <w:t>(In millions,</w:t>
            </w:r>
          </w:p>
        </w:tc>
        <w:tc>
          <w:tcPr>
            <w:tcW w:w="3040" w:type="dxa"/>
            <w:vAlign w:val="bottom"/>
            <w:gridSpan w:val="5"/>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except number of restaurants)</w:t>
            </w:r>
          </w:p>
        </w:tc>
        <w:tc>
          <w:tcPr>
            <w:tcW w:w="0" w:type="dxa"/>
            <w:vAlign w:val="bottom"/>
          </w:tcPr>
          <w:p>
            <w:pPr>
              <w:spacing w:after="0"/>
              <w:rPr>
                <w:sz w:val="1"/>
                <w:szCs w:val="1"/>
                <w:color w:val="auto"/>
              </w:rPr>
            </w:pPr>
          </w:p>
        </w:tc>
      </w:tr>
      <w:tr>
        <w:trPr>
          <w:trHeight w:val="222"/>
        </w:trPr>
        <w:tc>
          <w:tcPr>
            <w:tcW w:w="64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1,549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1,635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1,796</w:t>
            </w: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1,800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100" w:type="dxa"/>
            <w:vAlign w:val="bottom"/>
          </w:tcPr>
          <w:p>
            <w:pPr>
              <w:spacing w:after="0"/>
              <w:rPr>
                <w:sz w:val="18"/>
                <w:szCs w:val="18"/>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10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166.2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175.9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10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20"/>
                <w:szCs w:val="20"/>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1"/>
                <w:szCs w:val="21"/>
                <w:color w:val="auto"/>
                <w:vertAlign w:val="superscript"/>
              </w:rPr>
              <w:t>(2)(3)</w:t>
            </w:r>
          </w:p>
        </w:tc>
        <w:tc>
          <w:tcPr>
            <w:tcW w:w="10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88.8 %</w:t>
            </w:r>
          </w:p>
        </w:tc>
        <w:tc>
          <w:tcPr>
            <w:tcW w:w="100" w:type="dxa"/>
            <w:vAlign w:val="bottom"/>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hanging="172"/>
        <w:spacing w:after="0" w:line="237" w:lineRule="auto"/>
        <w:tabs>
          <w:tab w:leader="none" w:pos="15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line="181" w:lineRule="auto"/>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calculated on actual amounts, not rounded amounts presented above.</w:t>
      </w:r>
    </w:p>
    <w:p>
      <w:pPr>
        <w:ind w:left="180" w:hanging="172"/>
        <w:spacing w:after="0" w:line="259" w:lineRule="auto"/>
        <w:tabs>
          <w:tab w:leader="none" w:pos="165"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March 31, 2025 decreased 5.6% as compared with the same period of the prior year, primarily due to fewer effective franchise restaurants, the number of which declined due to our acquisition of 47 Applebee's restaurants in November 2024 and restaurant closures, and a 2.1% decrease in domestic franchise same-restaurant sales.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Applebee's franchise expenses for the three months ended March 31, 2025 increased $1.2 million compared with the same period of the prior year primarily due to an increase in bad debt expense and an increase in IT franchisee support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franchise fee revenue for the three months ended March 31, 2025 decreased 3.4%, as compared with the same period of the prior year, primarily due to a 2.6% decrease in domestic franchise same-restaurant sales and a decrease in the number of effective franchise restaurants as well as a decrease in proprietary product sales.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franchise expenses for the three months ended March 31, 2025 decreased $0.6 million as compared with the same period of the prior year, primarily due to a decrease in franchisor advertising contribution and a decrease in the cost of proprietary product sales, partially offset by an increase in bad debt expense.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franchise fee revenue for the three months ended March 31, 2025 decreased $0.6 million as compared with the same period of the prior year, primarily due to the unfavorable impact on royalties of a 12.2% decrease in franchise same-restaurant sales and a decrease in the number of effective franchise restaurants.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Fuzzy's franchise expenses for the three months ended March 31, 2025 decreased $1.1 million as compared with the same period of the prior year primarily due to a decrease in franchisor advertising contribution.</w:t>
      </w:r>
    </w:p>
    <w:p>
      <w:pPr>
        <w:spacing w:after="0" w:line="90"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 and Expenses</w:t>
            </w:r>
          </w:p>
        </w:tc>
        <w:tc>
          <w:tcPr>
            <w:tcW w:w="100" w:type="dxa"/>
            <w:vAlign w:val="bottom"/>
          </w:tcPr>
          <w:p>
            <w:pPr>
              <w:spacing w:after="0"/>
              <w:rPr>
                <w:sz w:val="20"/>
                <w:szCs w:val="20"/>
                <w:color w:val="auto"/>
              </w:rPr>
            </w:pPr>
          </w:p>
        </w:tc>
        <w:tc>
          <w:tcPr>
            <w:tcW w:w="2840" w:type="dxa"/>
            <w:vAlign w:val="bottom"/>
            <w:gridSpan w:val="5"/>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Applebee's advertising revenues and expenses for the three months ended March 31, 2025 decreased $3.5 million compared to the same period of the prior year primarily due to fewer effective franchise restaurants, the number of which declined due to our acquisition of 47 Applebee's restaurants in November 2024 (whose contributions to the national advertising fund are reflected as company restaurant expenses instead of advertising revenues) and restaurant closures, and a 2.1% decrease in domestic franchise same-restaurant sales. IHOP advertising revenues and expenses for the three months ended March 31, 2025 decreased 3.9% compared to the same period of the prior year, primarily due to a 2.6% decrease in domestic franchise same-restaurant sales and a decrease in the number of effective franchise restaurants.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80" w:type="dxa"/>
            <w:vAlign w:val="bottom"/>
          </w:tcPr>
          <w:p>
            <w:pPr>
              <w:spacing w:after="0"/>
              <w:rPr>
                <w:sz w:val="20"/>
                <w:szCs w:val="20"/>
                <w:color w:val="auto"/>
              </w:rPr>
            </w:pPr>
          </w:p>
        </w:tc>
        <w:tc>
          <w:tcPr>
            <w:tcW w:w="2780" w:type="dxa"/>
            <w:vAlign w:val="bottom"/>
            <w:gridSpan w:val="4"/>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vMerge w:val="restart"/>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80" w:type="dxa"/>
            <w:vAlign w:val="bottom"/>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29.5</w:t>
            </w:r>
          </w:p>
        </w:tc>
        <w:tc>
          <w:tcPr>
            <w:tcW w:w="80" w:type="dxa"/>
            <w:vAlign w:val="bottom"/>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8"/>
              </w:rPr>
              <w:t>(2.8)</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Rental expenses</w:t>
            </w: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5"/>
              </w:rPr>
              <w:t>22.0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5"/>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80" w:type="dxa"/>
            <w:vAlign w:val="bottom"/>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8"/>
              </w:rPr>
              <w:t>(2.2)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25.7 %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13"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three months ended March 31, 2025 decreased as compared to the same period of the prior year, primarily due to lease terminations and a decrease in percentage rent due to lower system sales.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 Operations</w:t>
            </w:r>
          </w:p>
        </w:tc>
        <w:tc>
          <w:tcPr>
            <w:tcW w:w="100" w:type="dxa"/>
            <w:vAlign w:val="bottom"/>
          </w:tcPr>
          <w:p>
            <w:pPr>
              <w:spacing w:after="0"/>
              <w:rPr>
                <w:sz w:val="17"/>
                <w:szCs w:val="17"/>
                <w:color w:val="auto"/>
              </w:rPr>
            </w:pPr>
          </w:p>
        </w:tc>
        <w:tc>
          <w:tcPr>
            <w:tcW w:w="2640" w:type="dxa"/>
            <w:vAlign w:val="bottom"/>
            <w:gridSpan w:val="4"/>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6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96"/>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2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100" w:type="dxa"/>
            <w:vAlign w:val="bottom"/>
          </w:tcPr>
          <w:p>
            <w:pPr>
              <w:spacing w:after="0"/>
              <w:rPr>
                <w:sz w:val="19"/>
                <w:szCs w:val="19"/>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12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0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100" w:type="dxa"/>
            <w:vAlign w:val="bottom"/>
          </w:tcPr>
          <w:p>
            <w:pPr>
              <w:spacing w:after="0"/>
              <w:rPr>
                <w:sz w:val="19"/>
                <w:szCs w:val="19"/>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2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10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 company restaurant operations for the three months ended March 31, 2025 included 47 Applebee's restaurants acquired in November 2024, 10 IHOP restaurants acquired in March 2025, and one Fuzzy's restaurant. Company restaurant operations for the three months ended March 31, 2024 included one Fuzzy's restaurant. Company segment restaurant expenses may include costs associated with acquired restaurants in the process of being refranchised. There were no acquired restaurants expenses during the three months ended March 31, 2024.</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months ended March 31, 2025 declined compared to the same period of the prior year, primarily due to progressive decline in interest income as note balances are repaid.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100" w:type="dxa"/>
            <w:vAlign w:val="bottom"/>
          </w:tcPr>
          <w:p>
            <w:pPr>
              <w:spacing w:after="0"/>
              <w:rPr>
                <w:sz w:val="20"/>
                <w:szCs w:val="20"/>
                <w:color w:val="auto"/>
              </w:rPr>
            </w:pPr>
          </w:p>
        </w:tc>
        <w:tc>
          <w:tcPr>
            <w:tcW w:w="268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6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vMerge w:val="restart"/>
          </w:tcPr>
          <w:p>
            <w:pPr>
              <w:jc w:val="right"/>
              <w:ind w:right="359"/>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52.2</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for the three months ended March 31, 2025 decreased 1.6% compared to the same period of the prior year, primarily due to a decrease in compensation-related expenses, partially offset by an increase in legal and professional services.</w:t>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120" w:type="dxa"/>
            <w:vAlign w:val="bottom"/>
          </w:tcPr>
          <w:p>
            <w:pPr>
              <w:spacing w:after="0"/>
              <w:rPr>
                <w:sz w:val="20"/>
                <w:szCs w:val="20"/>
                <w:color w:val="auto"/>
              </w:rPr>
            </w:pPr>
          </w:p>
        </w:tc>
        <w:tc>
          <w:tcPr>
            <w:tcW w:w="2680" w:type="dxa"/>
            <w:vAlign w:val="bottom"/>
            <w:gridSpan w:val="4"/>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5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8"/>
              </w:rPr>
              <w:t>(5.2)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120" w:type="dxa"/>
            <w:vAlign w:val="bottom"/>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21.2</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8"/>
              </w:rPr>
              <w:t>(5.0)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months ended March 31, 2025 was slightly lower than the same period of the prior year, primarily due to the decrease in interest rates on our Credit Facility as well as an increase in interest income from improved yields.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and impairment charges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Closure and impairment charges for the three months ended March 31, 2025 increased $5.2 million compared to the same period of the prior year. The increase in closure and impairment charges was primarily attributable to the strategic realignment of the IHOP Cincinnati market resulting in the acquisition and closure of certain IHOP restaurants in March 2025.</w:t>
      </w:r>
    </w:p>
    <w:p>
      <w:pPr>
        <w:spacing w:after="0" w:line="104"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100" w:type="dxa"/>
            <w:vAlign w:val="bottom"/>
          </w:tcPr>
          <w:p>
            <w:pPr>
              <w:spacing w:after="0"/>
              <w:rPr>
                <w:sz w:val="20"/>
                <w:szCs w:val="20"/>
                <w:color w:val="auto"/>
              </w:rPr>
            </w:pPr>
          </w:p>
        </w:tc>
        <w:tc>
          <w:tcPr>
            <w:tcW w:w="3280" w:type="dxa"/>
            <w:vAlign w:val="bottom"/>
            <w:gridSpan w:val="5"/>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vMerge w:val="restart"/>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 Comparison of the Three Months Ended March 31, 2025 and 2024."</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higher than the rate of the prior comparable period primarily due to a lower tax deduction related to stock-based compensation, resulting from the changes in our stock price.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the Consolidated Financial Statements, for additional detail on long-term debt, including the balances outstanding at March 31, 2025 and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March 31, 2025, our leverage ratio was approximately 4.15x. Therefore, quarterly principal payments are not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March 31, 2025, there was no make-whole premium associated with voluntary prepayment of the 2019 Class A-2-II Notes. As of March 31, 2025, the make-whole premium associated with voluntary prepayment of the 2023 Class A-2 Notes was approximately $27.2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March 31, 2025, based on the probability-weighted discounted cash flows associated with either event.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March 31, 2025 was approximately 3.4x.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outstanding balance of the Credit Facility was $100 million. The amount of $0.6 million was pledged against the Credit Facility for outstanding letters of credit, leaving $224.4 million of the Credit Facility available for borrowing at March 31, 2025.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three months ended March 31, 2025 was 6.95%.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11"/>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r>
      <w:tr>
        <w:trPr>
          <w:trHeight w:val="225"/>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0" w:type="dxa"/>
            <w:vAlign w:val="bottom"/>
          </w:tcPr>
          <w:p>
            <w:pPr>
              <w:spacing w:after="0"/>
              <w:rPr>
                <w:sz w:val="19"/>
                <w:szCs w:val="19"/>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9"/>
                <w:szCs w:val="19"/>
                <w:color w:val="auto"/>
              </w:rPr>
            </w:pPr>
          </w:p>
        </w:tc>
        <w:tc>
          <w:tcPr>
            <w:tcW w:w="11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80" w:type="dxa"/>
            <w:vAlign w:val="bottom"/>
          </w:tcPr>
          <w:p>
            <w:pPr>
              <w:spacing w:after="0"/>
              <w:rPr>
                <w:sz w:val="20"/>
                <w:szCs w:val="20"/>
                <w:color w:val="auto"/>
              </w:rPr>
            </w:pP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0"/>
                <w:szCs w:val="20"/>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paid dividends of $7.8 million and $7.8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64,869 shares of common stock at a cost of $1.6 million. Cumulatively, the Company has repurchased 1,930,268 shares at a cost of $118.4 million under the 2022 Repurchase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three months ended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31,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21"/>
                <w:szCs w:val="21"/>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 Cash provided by operating activities decreased $14.5 million during the three months ended March 31, 2025 compared to the same period of the prior year. This decrease was primarily attributable to a decrease in gross segment profit and an unfavorable decrease in working capital resulting from timing of prepaid rent payments and the collection of an income tax settlement in the same period of the prior year, partially offset by a decrease in incentive compensation payments.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$1.9 million for the three months ended March 31, 2025 compared to $1.2 million for the three months ended March 31, 2024. The increase in cash used by investing activities of $0.7 million was primarily attributable to an increase in long-term receivables and a decrease in principal receipts from notes and equipment contracts receivables compared to the same period of the prior year, partially offset by an increase in proceeds from the sale of assets primarily from the sale of the land and building on which an IHOP restaurant was located.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used net cash of $12.4 million for the three months ended March 31, 2025. The decrease in cash used by financing activities of $5.4 million was primarily due to a $4.4 million decrease in repurchase of common stock and a $0.6 million decrease in repurchase of surrendered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should be considered in addition to, and not as a substitute for, the U.S. GAAP information contained within our financial statements. Reconciliation of the cash provided by operating activities to adjusted free cash flow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408051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8051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408051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Additions to property and equipment</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
        </w:trPr>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5900" w:space="720"/>
            <w:col w:w="4620"/>
          </w:cols>
          <w:pgMar w:left="320" w:top="225"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free cash flow for the three months ended March 31, 2025 decreased $15.1 million compared to the same period of the prior year primarily due to lower cash flows from operating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2024. During the three months ended March 31, 2025, there were no significant changes in our critical accounting policies or in our critical accounting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3360" w:type="dxa"/>
            <w:vAlign w:val="bottom"/>
            <w:vMerge w:val="restart"/>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vMerge w:val="continue"/>
          </w:tcPr>
          <w:p>
            <w:pPr>
              <w:spacing w:after="0"/>
              <w:rPr>
                <w:sz w:val="11"/>
                <w:szCs w:val="11"/>
                <w:color w:val="auto"/>
              </w:rPr>
            </w:pPr>
          </w:p>
        </w:tc>
        <w:tc>
          <w:tcPr>
            <w:tcW w:w="15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60" w:type="dxa"/>
            <w:vAlign w:val="bottom"/>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3"/>
        </w:trPr>
        <w:tc>
          <w:tcPr>
            <w:tcW w:w="2460" w:type="dxa"/>
            <w:vAlign w:val="bottom"/>
            <w:vMerge w:val="continue"/>
          </w:tcPr>
          <w:p>
            <w:pPr>
              <w:spacing w:after="0"/>
              <w:rPr>
                <w:sz w:val="16"/>
                <w:szCs w:val="16"/>
                <w:color w:val="auto"/>
              </w:rPr>
            </w:pPr>
          </w:p>
        </w:tc>
        <w:tc>
          <w:tcPr>
            <w:tcW w:w="336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shares (a)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300"/>
        <w:spacing w:after="0" w:line="209"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300"/>
        <w:spacing w:after="0" w:line="221"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2024 - January 26, 2025</w:t>
            </w:r>
          </w:p>
        </w:tc>
        <w:tc>
          <w:tcPr>
            <w:tcW w:w="120" w:type="dxa"/>
            <w:vAlign w:val="bottom"/>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20" w:type="dxa"/>
            <w:vAlign w:val="bottom"/>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12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2025 - February 23,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24, 2025 - March 30, 2025</w:t>
            </w:r>
          </w:p>
        </w:tc>
        <w:tc>
          <w:tcPr>
            <w:tcW w:w="12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62,868</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100" w:type="dxa"/>
            <w:vAlign w:val="bottom"/>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131,629,000</w:t>
            </w:r>
          </w:p>
        </w:tc>
      </w:t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68,397</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right="240" w:hanging="252"/>
        <w:spacing w:after="0" w:line="233" w:lineRule="auto"/>
        <w:tabs>
          <w:tab w:leader="none" w:pos="15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96" w:lineRule="exact"/>
        <w:rPr>
          <w:rFonts w:ascii="Times New Roman" w:cs="Times New Roman" w:eastAsia="Times New Roman" w:hAnsi="Times New Roman"/>
          <w:sz w:val="19"/>
          <w:szCs w:val="19"/>
          <w:color w:val="auto"/>
          <w:vertAlign w:val="superscript"/>
        </w:rPr>
      </w:pPr>
    </w:p>
    <w:p>
      <w:pPr>
        <w:ind w:left="260" w:right="240" w:hanging="252"/>
        <w:spacing w:after="0" w:line="230" w:lineRule="auto"/>
        <w:tabs>
          <w:tab w:leader="none" w:pos="25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5"/>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7th day of May,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9" w:lineRule="exact"/>
        <w:rPr>
          <w:sz w:val="20"/>
          <w:szCs w:val="20"/>
          <w:color w:val="auto"/>
        </w:rPr>
      </w:pPr>
    </w:p>
    <w:p>
      <w:pPr>
        <w:ind w:left="82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7th day of May,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7th day of May,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225" w:right="37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7th day of May, 2025</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7th day of May, 2025</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2025, as filed with the Securities and Exchange Commission on the 7th day of May, 2025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7th day of May, 2025</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2025, as filed with the Securities and Exchange Commission on the 7th day of May, 2025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7th day of May, 2025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7"/>
    </w:lvl>
    <w:lvl w:ilvl="1">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lvl w:ilvl="1">
      <w:lvlJc w:val="left"/>
      <w:lvlText w:val="%2"/>
      <w:numFmt w:val="decimal"/>
      <w:start w:val="104"/>
    </w:lvl>
  </w:abstractNum>
  <w:abstractNum w:abstractNumId="22">
    <w:nsid w:val="4353D0CD"/>
    <w:multiLevelType w:val="hybridMultilevel"/>
    <w:lvl w:ilvl="0">
      <w:lvlJc w:val="left"/>
      <w:lvlText w:val="**"/>
      <w:numFmt w:val="bullet"/>
      <w:start w:val="1"/>
    </w:lvl>
    <w:lvl w:ilvl="1">
      <w:lvlJc w:val="left"/>
      <w:lvlText w:val="%2"/>
      <w:numFmt w:val="decimal"/>
      <w:start w:val="1"/>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2025-05-07T06:45:49Z</dcterms:created>
  <dcterms:modified xsi:type="dcterms:W3CDTF">2025-05-07T06:45:49Z</dcterms:modified>
</cp:coreProperties>
</file>