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 w:lineRule="exact"/>
        <w:rPr>
          <w:sz w:val="24"/>
          <w:szCs w:val="24"/>
          <w:color w:val="auto"/>
        </w:rPr>
      </w:pPr>
    </w:p>
    <w:p>
      <w:pPr>
        <w:ind w:right="660" w:firstLine="8"/>
        <w:spacing w:after="0" w:line="250" w:lineRule="auto"/>
        <w:tabs>
          <w:tab w:leader="none" w:pos="43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2026</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right="340" w:firstLine="8"/>
        <w:spacing w:after="0" w:line="258" w:lineRule="auto"/>
        <w:tabs>
          <w:tab w:leader="none" w:pos="391"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14573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7325" cy="72898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19685</wp:posOffset>
            </wp:positionV>
            <wp:extent cx="145732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32"/>
          <w:szCs w:val="32"/>
          <w:b w:val="1"/>
          <w:bCs w:val="1"/>
          <w:color w:val="auto"/>
        </w:rPr>
        <w:t>Dine Brands Global,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760" w:type="dxa"/>
            <w:vAlign w:val="bottom"/>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rPr>
              <w:t>10 West Walnut Street, 5th Floor</w:t>
            </w:r>
          </w:p>
        </w:tc>
        <w:tc>
          <w:tcPr>
            <w:tcW w:w="2760" w:type="dxa"/>
            <w:vAlign w:val="bottom"/>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91103</w:t>
            </w:r>
          </w:p>
        </w:tc>
      </w:tr>
      <w:tr>
        <w:trPr>
          <w:trHeight w:val="216"/>
        </w:trPr>
        <w:tc>
          <w:tcPr>
            <w:tcW w:w="4700" w:type="dxa"/>
            <w:vAlign w:val="bottom"/>
          </w:tcPr>
          <w:p>
            <w:pPr>
              <w:jc w:val="right"/>
              <w:ind w:right="1799"/>
              <w:spacing w:after="0"/>
              <w:rPr>
                <w:sz w:val="20"/>
                <w:szCs w:val="20"/>
                <w:color w:val="auto"/>
              </w:rPr>
            </w:pPr>
            <w:r>
              <w:rPr>
                <w:rFonts w:ascii="Times New Roman" w:cs="Times New Roman" w:eastAsia="Times New Roman" w:hAnsi="Times New Roman"/>
                <w:sz w:val="16"/>
                <w:szCs w:val="16"/>
                <w:b w:val="1"/>
                <w:bCs w:val="1"/>
                <w:color w:val="auto"/>
              </w:rPr>
              <w:t>Pasadena, California</w:t>
            </w:r>
          </w:p>
        </w:tc>
        <w:tc>
          <w:tcPr>
            <w:tcW w:w="2760" w:type="dxa"/>
            <w:vAlign w:val="bottom"/>
          </w:tcPr>
          <w:p>
            <w:pPr>
              <w:spacing w:after="0"/>
              <w:rPr>
                <w:sz w:val="18"/>
                <w:szCs w:val="18"/>
                <w:color w:val="auto"/>
              </w:rPr>
            </w:pPr>
          </w:p>
        </w:tc>
      </w:tr>
      <w:tr>
        <w:trPr>
          <w:trHeight w:val="216"/>
        </w:trPr>
        <w:tc>
          <w:tcPr>
            <w:tcW w:w="4700" w:type="dxa"/>
            <w:vAlign w:val="bottom"/>
          </w:tcPr>
          <w:p>
            <w:pPr>
              <w:jc w:val="center"/>
              <w:ind w:right="7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760" w:type="dxa"/>
            <w:vAlign w:val="bottom"/>
          </w:tcPr>
          <w:p>
            <w:pPr>
              <w:jc w:val="center"/>
              <w:ind w:left="319"/>
              <w:spacing w:after="0"/>
              <w:rPr>
                <w:sz w:val="20"/>
                <w:szCs w:val="20"/>
                <w:color w:val="auto"/>
              </w:rPr>
            </w:pPr>
            <w:r>
              <w:rPr>
                <w:rFonts w:ascii="Times New Roman" w:cs="Times New Roman" w:eastAsia="Times New Roman" w:hAnsi="Times New Roman"/>
                <w:sz w:val="16"/>
                <w:szCs w:val="16"/>
                <w:color w:val="auto"/>
              </w:rPr>
              <w:t>(Zip Code)</w:t>
            </w:r>
          </w:p>
        </w:tc>
      </w:tr>
      <w:tr>
        <w:trPr>
          <w:trHeight w:val="324"/>
        </w:trPr>
        <w:tc>
          <w:tcPr>
            <w:tcW w:w="47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760" w:type="dxa"/>
            <w:vAlign w:val="bottom"/>
          </w:tcPr>
          <w:p>
            <w:pPr>
              <w:spacing w:after="0"/>
              <w:rPr>
                <w:sz w:val="24"/>
                <w:szCs w:val="24"/>
                <w:color w:val="auto"/>
              </w:rPr>
            </w:pPr>
          </w:p>
        </w:tc>
      </w:tr>
    </w:tbl>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4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4"/>
        </w:trPr>
        <w:tc>
          <w:tcPr>
            <w:tcW w:w="4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98" w:lineRule="exact"/>
        <w:rPr>
          <w:sz w:val="24"/>
          <w:szCs w:val="24"/>
          <w:color w:val="auto"/>
        </w:rPr>
      </w:pPr>
    </w:p>
    <w:p>
      <w:pPr>
        <w:ind w:right="300"/>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ind w:right="320" w:firstLine="45"/>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firstLine="45"/>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40" w:type="dxa"/>
        <w:tblCellMar>
          <w:top w:w="0" w:type="dxa"/>
          <w:left w:w="0" w:type="dxa"/>
          <w:bottom w:w="0" w:type="dxa"/>
          <w:right w:w="0" w:type="dxa"/>
        </w:tblCellMar>
      </w:tblPr>
      <w:tr>
        <w:trPr>
          <w:trHeight w:val="211"/>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30"/>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0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ind w:right="160"/>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100" w:right="2560" w:hanging="8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April 24, 2026, the Registrant had 12,685,175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09"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28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FINANCIAL INFORMATION</w:t>
            </w:r>
          </w:p>
        </w:tc>
        <w:tc>
          <w:tcPr>
            <w:tcW w:w="800" w:type="dxa"/>
            <w:vAlign w:val="bottom"/>
            <w:gridSpan w:val="4"/>
          </w:tcPr>
          <w:p>
            <w:pPr>
              <w:jc w:val="right"/>
              <w:ind w:right="4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1—Financial Statements</w:t>
            </w:r>
          </w:p>
        </w:tc>
        <w:tc>
          <w:tcPr>
            <w:tcW w:w="7020" w:type="dxa"/>
            <w:vAlign w:val="bottom"/>
            <w:gridSpan w:val="11"/>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6180" w:type="dxa"/>
            <w:vAlign w:val="bottom"/>
            <w:gridSpan w:val="8"/>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w:t>
            </w:r>
          </w:p>
        </w:tc>
        <w:tc>
          <w:tcPr>
            <w:tcW w:w="4540" w:type="dxa"/>
            <w:vAlign w:val="bottom"/>
            <w:gridSpan w:val="4"/>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660" w:type="dxa"/>
            <w:vAlign w:val="bottom"/>
            <w:gridSpan w:val="2"/>
          </w:tcPr>
          <w:p>
            <w:pPr>
              <w:spacing w:after="0"/>
              <w:rPr>
                <w:sz w:val="18"/>
                <w:szCs w:val="18"/>
                <w:color w:val="auto"/>
              </w:rPr>
            </w:pPr>
          </w:p>
        </w:tc>
        <w:tc>
          <w:tcPr>
            <w:tcW w:w="4740" w:type="dxa"/>
            <w:vAlign w:val="bottom"/>
            <w:gridSpan w:val="5"/>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120" w:type="dxa"/>
            <w:vAlign w:val="bottom"/>
            <w:gridSpan w:val="6"/>
          </w:tcPr>
          <w:p>
            <w:pPr>
              <w:spacing w:after="0"/>
              <w:rPr>
                <w:sz w:val="18"/>
                <w:szCs w:val="18"/>
                <w:color w:val="auto"/>
              </w:rPr>
            </w:pP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0" w:type="dxa"/>
            <w:vAlign w:val="bottom"/>
            <w:gridSpan w:val="3"/>
            <w:shd w:val="clear" w:color="auto" w:fill="0000FF"/>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96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3—Quantitative and Qualitative Disclosures about Market Risk</w:t>
            </w:r>
          </w:p>
        </w:tc>
        <w:tc>
          <w:tcPr>
            <w:tcW w:w="2140" w:type="dxa"/>
            <w:vAlign w:val="bottom"/>
            <w:tcBorders>
              <w:top w:val="single" w:sz="8" w:color="0000FF"/>
            </w:tcBorders>
            <w:gridSpan w:val="2"/>
          </w:tcPr>
          <w:p>
            <w:pPr>
              <w:spacing w:after="0"/>
              <w:rPr>
                <w:sz w:val="18"/>
                <w:szCs w:val="18"/>
                <w:color w:val="auto"/>
              </w:rPr>
            </w:pPr>
          </w:p>
        </w:tc>
        <w:tc>
          <w:tcPr>
            <w:tcW w:w="2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300" w:type="dxa"/>
            <w:vAlign w:val="bottom"/>
            <w:vMerge w:val="restart"/>
          </w:tcPr>
          <w:p>
            <w:pPr>
              <w:spacing w:after="0"/>
              <w:rPr>
                <w:sz w:val="18"/>
                <w:szCs w:val="18"/>
                <w:color w:val="auto"/>
              </w:rPr>
            </w:pPr>
          </w:p>
        </w:tc>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4—Controls and Procedures</w:t>
            </w:r>
          </w:p>
        </w:tc>
        <w:tc>
          <w:tcPr>
            <w:tcW w:w="6860" w:type="dxa"/>
            <w:vAlign w:val="bottom"/>
            <w:gridSpan w:val="10"/>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1—Legal Proceedings</w:t>
            </w:r>
          </w:p>
        </w:tc>
        <w:tc>
          <w:tcPr>
            <w:tcW w:w="7300" w:type="dxa"/>
            <w:vAlign w:val="bottom"/>
            <w:gridSpan w:val="13"/>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Item 1A—Risk Factors</w:t>
            </w:r>
          </w:p>
        </w:tc>
        <w:tc>
          <w:tcPr>
            <w:tcW w:w="7600" w:type="dxa"/>
            <w:vAlign w:val="bottom"/>
            <w:gridSpan w:val="16"/>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2—Unregistered Sales of Equity Securities and Use of Proceeds</w:t>
            </w:r>
          </w:p>
        </w:tc>
        <w:tc>
          <w:tcPr>
            <w:tcW w:w="428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3—Defaults Upon Senior Securities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4—Mine Safety Disclosures</w:t>
            </w:r>
          </w:p>
        </w:tc>
        <w:tc>
          <w:tcPr>
            <w:tcW w:w="540" w:type="dxa"/>
            <w:vAlign w:val="bottom"/>
            <w:tcBorders>
              <w:top w:val="single" w:sz="8" w:color="0000FF"/>
            </w:tcBorders>
          </w:tcPr>
          <w:p>
            <w:pPr>
              <w:spacing w:after="0"/>
              <w:rPr>
                <w:sz w:val="18"/>
                <w:szCs w:val="18"/>
                <w:color w:val="auto"/>
              </w:rPr>
            </w:pPr>
          </w:p>
        </w:tc>
        <w:tc>
          <w:tcPr>
            <w:tcW w:w="6320" w:type="dxa"/>
            <w:vAlign w:val="bottom"/>
            <w:gridSpan w:val="9"/>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5—Other Information</w:t>
            </w:r>
          </w:p>
        </w:tc>
        <w:tc>
          <w:tcPr>
            <w:tcW w:w="7320" w:type="dxa"/>
            <w:vAlign w:val="bottom"/>
            <w:gridSpan w:val="14"/>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6—Exhibits</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80" w:type="dxa"/>
            <w:vAlign w:val="bottom"/>
            <w:tcBorders>
              <w:top w:val="single" w:sz="8" w:color="0000FF"/>
            </w:tcBorders>
          </w:tcPr>
          <w:p>
            <w:pPr>
              <w:spacing w:after="0"/>
              <w:rPr>
                <w:sz w:val="18"/>
                <w:szCs w:val="18"/>
                <w:color w:val="auto"/>
              </w:rPr>
            </w:pPr>
          </w:p>
        </w:tc>
        <w:tc>
          <w:tcPr>
            <w:tcW w:w="8040" w:type="dxa"/>
            <w:vAlign w:val="bottom"/>
            <w:gridSpan w:val="17"/>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Condensed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on us and our franchisees directly; cost pressures, including rising costs for commodities, labor, health care and utilities; our level of indebtedness; compliance with the terms of our securitized debt; our ability to refinance our current indebtedness or obtain additional financing; our 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the implementation and use of artificial intelligence and related technologies;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"Risk Factors" section of the Company's Annual Report on Form 10-K for the fiscal year ended December 28, 2025, and in the Company's other filings with the Securities and Exchange Commission, many of which are beyond our control.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fiscal quarters end on the Sunday closest to the last day of each calendar quarter. The first fiscal quarter of 2026 and 2025 ended on March 29, 2026 and March 30,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millions, except share and par amounts)</w:t>
      </w:r>
    </w:p>
    <w:p>
      <w:pPr>
        <w:spacing w:after="0" w:line="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6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0" w:type="dxa"/>
            <w:vAlign w:val="bottom"/>
          </w:tcPr>
          <w:p>
            <w:pPr>
              <w:spacing w:after="0"/>
              <w:rPr>
                <w:sz w:val="1"/>
                <w:szCs w:val="1"/>
                <w:color w:val="auto"/>
              </w:rPr>
            </w:pPr>
          </w:p>
        </w:tc>
      </w:tr>
      <w:tr>
        <w:trPr>
          <w:trHeight w:val="196"/>
        </w:trPr>
        <w:tc>
          <w:tcPr>
            <w:tcW w:w="6940" w:type="dxa"/>
            <w:vAlign w:val="bottom"/>
          </w:tcPr>
          <w:p>
            <w:pPr>
              <w:ind w:left="3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8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Receivables,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7"/>
        </w:trPr>
        <w:tc>
          <w:tcPr>
            <w:tcW w:w="6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530.6</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249.6</w:t>
            </w:r>
          </w:p>
        </w:tc>
        <w:tc>
          <w:tcPr>
            <w:tcW w:w="0" w:type="dxa"/>
            <w:vAlign w:val="bottom"/>
          </w:tcPr>
          <w:p>
            <w:pPr>
              <w:spacing w:after="0"/>
              <w:rPr>
                <w:sz w:val="1"/>
                <w:szCs w:val="1"/>
                <w:color w:val="auto"/>
              </w:rPr>
            </w:pPr>
          </w:p>
        </w:tc>
      </w:tr>
      <w:tr>
        <w:trPr>
          <w:trHeight w:val="162"/>
        </w:trPr>
        <w:tc>
          <w:tcPr>
            <w:tcW w:w="6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Property and equipment, net of accumulated depreciation and amortization of $324.8 (2026) and $317.9</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4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0" w:type="dxa"/>
            <w:vAlign w:val="bottom"/>
          </w:tcPr>
          <w:p>
            <w:pPr>
              <w:spacing w:after="0"/>
              <w:rPr>
                <w:sz w:val="1"/>
                <w:szCs w:val="1"/>
                <w:color w:val="auto"/>
              </w:rPr>
            </w:pPr>
          </w:p>
        </w:tc>
      </w:tr>
      <w:tr>
        <w:trPr>
          <w:trHeight w:val="212"/>
        </w:trPr>
        <w:tc>
          <w:tcPr>
            <w:tcW w:w="6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1,737.7</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40" w:type="dxa"/>
            <w:vAlign w:val="bottom"/>
            <w:shd w:val="clear" w:color="auto" w:fill="CCEEFF"/>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6940" w:type="dxa"/>
            <w:vAlign w:val="bottom"/>
          </w:tcPr>
          <w:p>
            <w:pPr>
              <w:ind w:left="22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3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Gift card liability</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leases obligations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3"/>
        </w:trPr>
        <w:tc>
          <w:tcPr>
            <w:tcW w:w="6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payable</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Deferred franchise revenue, short-term</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w:t>
            </w:r>
          </w:p>
        </w:tc>
        <w:tc>
          <w:tcPr>
            <w:tcW w:w="8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portion</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305.3</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portion</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8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1,978.7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2,011.6</w:t>
            </w:r>
          </w:p>
        </w:tc>
        <w:tc>
          <w:tcPr>
            <w:tcW w:w="0" w:type="dxa"/>
            <w:vAlign w:val="bottom"/>
          </w:tcPr>
          <w:p>
            <w:pPr>
              <w:spacing w:after="0"/>
              <w:rPr>
                <w:sz w:val="1"/>
                <w:szCs w:val="1"/>
                <w:color w:val="auto"/>
              </w:rPr>
            </w:pPr>
          </w:p>
        </w:tc>
      </w:tr>
      <w:tr>
        <w:trPr>
          <w:trHeight w:val="185"/>
        </w:trPr>
        <w:tc>
          <w:tcPr>
            <w:tcW w:w="6940" w:type="dxa"/>
            <w:vAlign w:val="bottom"/>
            <w:shd w:val="clear" w:color="auto" w:fill="CCEEFF"/>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94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Common stock, $0.01 par value; shares: 40,000,000 authorized; March 29, 2026 - 24,553,366 issued,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12,972,801 outstanding</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0" w:type="dxa"/>
            <w:vAlign w:val="bottom"/>
          </w:tcPr>
          <w:p>
            <w:pPr>
              <w:spacing w:after="0"/>
              <w:rPr>
                <w:sz w:val="1"/>
                <w:szCs w:val="1"/>
                <w:color w:val="auto"/>
              </w:rPr>
            </w:pPr>
          </w:p>
        </w:tc>
      </w:tr>
      <w:tr>
        <w:trPr>
          <w:trHeight w:val="213"/>
        </w:trPr>
        <w:tc>
          <w:tcPr>
            <w:tcW w:w="69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Treasury stock, at cost; shares: March 29, 2026 - 11,580,565</w:t>
            </w: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40" w:type="dxa"/>
            <w:vAlign w:val="bottom"/>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8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0" w:type="dxa"/>
            <w:vAlign w:val="bottom"/>
          </w:tcPr>
          <w:p>
            <w:pPr>
              <w:spacing w:after="0"/>
              <w:rPr>
                <w:sz w:val="1"/>
                <w:szCs w:val="1"/>
                <w:color w:val="auto"/>
              </w:rPr>
            </w:pPr>
          </w:p>
        </w:tc>
      </w:tr>
      <w:tr>
        <w:trPr>
          <w:trHeight w:val="212"/>
        </w:trPr>
        <w:tc>
          <w:tcPr>
            <w:tcW w:w="69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1,737.7</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ectPr>
          <w:pgSz w:w="11900" w:h="16838" w:orient="portrait"/>
          <w:cols w:equalWidth="0" w:num="1">
            <w:col w:w="11140"/>
          </w:cols>
          <w:pgMar w:left="320" w:top="225" w:right="4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Comprehensive Income</w:t>
      </w:r>
    </w:p>
    <w:p>
      <w:pPr>
        <w:spacing w:after="0" w:line="7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p>
      <w:pPr>
        <w:spacing w:after="0" w:line="5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tcBorders>
              <w:bottom w:val="single" w:sz="8" w:color="CCEEFF"/>
            </w:tcBorders>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revenues: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46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Advertising revenues</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franchise revenues</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Company-owned restaurant revenues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Rental revenues</w:t>
            </w:r>
          </w:p>
        </w:tc>
        <w:tc>
          <w:tcPr>
            <w:tcW w:w="46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revenues</w:t>
            </w: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Franchise expenses: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Advertising expenses</w:t>
            </w:r>
          </w:p>
        </w:tc>
        <w:tc>
          <w:tcPr>
            <w:tcW w:w="46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franchise expenses</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franchise expenses</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Company-owned restaurant expenses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Rental expenses</w:t>
            </w:r>
          </w:p>
        </w:tc>
        <w:tc>
          <w:tcPr>
            <w:tcW w:w="46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cost of revenues</w:t>
            </w:r>
          </w:p>
        </w:tc>
        <w:tc>
          <w:tcPr>
            <w:tcW w:w="4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6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46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on disposition of assets</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6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6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Net income allocated to unvested restricted stock</w:t>
            </w:r>
          </w:p>
        </w:tc>
        <w:tc>
          <w:tcPr>
            <w:tcW w:w="46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840" w:type="dxa"/>
            <w:vAlign w:val="bottom"/>
            <w:shd w:val="clear" w:color="auto" w:fill="CCEEFF"/>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0"/>
                <w:szCs w:val="20"/>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46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6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46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46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00" w:top="225" w:right="8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Deficit</w:t>
      </w:r>
    </w:p>
    <w:p>
      <w:pPr>
        <w:spacing w:after="0" w:line="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p>
      <w:pPr>
        <w:spacing w:after="0" w:line="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0"/>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Three Months Ended March 29, 2026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20" w:type="dxa"/>
            <w:vAlign w:val="bottom"/>
            <w:tcBorders>
              <w:bottom w:val="single" w:sz="8" w:color="auto"/>
            </w:tcBorders>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2"/>
                <w:szCs w:val="12"/>
                <w:color w:val="auto"/>
              </w:rPr>
            </w:pPr>
          </w:p>
        </w:tc>
        <w:tc>
          <w:tcPr>
            <w:tcW w:w="9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2"/>
                <w:szCs w:val="12"/>
                <w:color w:val="auto"/>
              </w:rPr>
            </w:pPr>
          </w:p>
        </w:tc>
        <w:tc>
          <w:tcPr>
            <w:tcW w:w="1100" w:type="dxa"/>
            <w:vAlign w:val="bottom"/>
            <w:gridSpan w:val="3"/>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Other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119"/>
              <w:spacing w:after="0" w:line="142"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8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4"/>
                <w:szCs w:val="14"/>
                <w:color w:val="auto"/>
              </w:rPr>
            </w:pPr>
          </w:p>
        </w:tc>
        <w:tc>
          <w:tcPr>
            <w:tcW w:w="10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140" w:type="dxa"/>
            <w:vAlign w:val="bottom"/>
          </w:tcPr>
          <w:p>
            <w:pPr>
              <w:spacing w:after="0"/>
              <w:rPr>
                <w:sz w:val="18"/>
                <w:szCs w:val="18"/>
                <w:color w:val="auto"/>
              </w:rPr>
            </w:pPr>
          </w:p>
        </w:tc>
        <w:tc>
          <w:tcPr>
            <w:tcW w:w="6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28, 2025</w:t>
            </w:r>
          </w:p>
        </w:tc>
        <w:tc>
          <w:tcPr>
            <w:tcW w:w="12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13,326,537</w:t>
            </w:r>
          </w:p>
        </w:tc>
        <w:tc>
          <w:tcPr>
            <w:tcW w:w="120" w:type="dxa"/>
            <w:vAlign w:val="bottom"/>
            <w:tcBorders>
              <w:right w:val="single" w:sz="8" w:color="CCEEFF"/>
            </w:tcBorders>
          </w:tcPr>
          <w:p>
            <w:pPr>
              <w:spacing w:after="0"/>
              <w:rPr>
                <w:sz w:val="18"/>
                <w:szCs w:val="18"/>
                <w:color w:val="auto"/>
              </w:rPr>
            </w:pPr>
          </w:p>
        </w:tc>
        <w:tc>
          <w:tcPr>
            <w:tcW w:w="14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right w:val="single" w:sz="8" w:color="CCEEFF"/>
            </w:tcBorders>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2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20" w:type="dxa"/>
            <w:vAlign w:val="bottom"/>
            <w:tcBorders>
              <w:righ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18"/>
                <w:szCs w:val="18"/>
                <w:color w:val="auto"/>
              </w:rPr>
            </w:pPr>
          </w:p>
        </w:tc>
        <w:tc>
          <w:tcPr>
            <w:tcW w:w="8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11,296,689</w:t>
            </w:r>
          </w:p>
        </w:tc>
        <w:tc>
          <w:tcPr>
            <w:tcW w:w="100" w:type="dxa"/>
            <w:vAlign w:val="bottom"/>
            <w:tcBorders>
              <w:right w:val="single" w:sz="8" w:color="CCEEFF"/>
            </w:tcBorders>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100" w:type="dxa"/>
            <w:vAlign w:val="bottom"/>
            <w:tcBorders>
              <w:right w:val="single" w:sz="8" w:color="CCEEFF"/>
            </w:tcBorders>
          </w:tcPr>
          <w:p>
            <w:pPr>
              <w:spacing w:after="0"/>
              <w:rPr>
                <w:sz w:val="18"/>
                <w:szCs w:val="18"/>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2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(623,592)</w:t>
            </w:r>
          </w:p>
        </w:tc>
        <w:tc>
          <w:tcPr>
            <w:tcW w:w="120" w:type="dxa"/>
            <w:vAlign w:val="bottom"/>
            <w:tcBorders>
              <w:righ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623,592</w:t>
            </w:r>
          </w:p>
        </w:tc>
        <w:tc>
          <w:tcPr>
            <w:tcW w:w="10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righ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(339,716)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2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27,173</w:t>
            </w:r>
          </w:p>
        </w:tc>
        <w:tc>
          <w:tcPr>
            <w:tcW w:w="120" w:type="dxa"/>
            <w:vAlign w:val="bottom"/>
            <w:tcBorders>
              <w:righ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righ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9"/>
                <w:szCs w:val="19"/>
                <w:color w:val="auto"/>
              </w:rPr>
            </w:pPr>
          </w:p>
        </w:tc>
        <w:tc>
          <w:tcPr>
            <w:tcW w:w="80" w:type="dxa"/>
            <w:vAlign w:val="bottom"/>
            <w:tcBorders>
              <w:righ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639"/>
              <w:spacing w:after="0"/>
              <w:rPr>
                <w:sz w:val="20"/>
                <w:szCs w:val="20"/>
                <w:color w:val="auto"/>
              </w:rPr>
            </w:pPr>
            <w:r>
              <w:rPr>
                <w:rFonts w:ascii="Times New Roman" w:cs="Times New Roman" w:eastAsia="Times New Roman" w:hAnsi="Times New Roman"/>
                <w:sz w:val="16"/>
                <w:szCs w:val="16"/>
                <w:color w:val="auto"/>
                <w:w w:val="99"/>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29, 2026</w:t>
            </w:r>
          </w:p>
        </w:tc>
        <w:tc>
          <w:tcPr>
            <w:tcW w:w="120" w:type="dxa"/>
            <w:vAlign w:val="bottom"/>
            <w:tcBorders>
              <w:right w:val="single" w:sz="8" w:color="CCEEFF"/>
            </w:tcBorders>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12,972,801</w:t>
            </w:r>
          </w:p>
        </w:tc>
        <w:tc>
          <w:tcPr>
            <w:tcW w:w="120" w:type="dxa"/>
            <w:vAlign w:val="bottom"/>
            <w:tcBorders>
              <w:right w:val="single" w:sz="8" w:color="CCEEFF"/>
            </w:tcBorders>
          </w:tcPr>
          <w:p>
            <w:pPr>
              <w:spacing w:after="0"/>
              <w:rPr>
                <w:sz w:val="20"/>
                <w:szCs w:val="20"/>
                <w:color w:val="auto"/>
              </w:rPr>
            </w:pPr>
          </w:p>
        </w:tc>
        <w:tc>
          <w:tcPr>
            <w:tcW w:w="1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right w:val="single" w:sz="8" w:color="CCEEFF"/>
            </w:tcBorders>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120" w:type="dxa"/>
            <w:vAlign w:val="bottom"/>
            <w:tcBorders>
              <w:right w:val="single" w:sz="8" w:color="CCEEFF"/>
            </w:tcBorders>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20" w:type="dxa"/>
            <w:vAlign w:val="bottom"/>
            <w:tcBorders>
              <w:right w:val="single" w:sz="8" w:color="CCEEFF"/>
            </w:tcBorders>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 w:type="dxa"/>
            <w:vAlign w:val="bottom"/>
          </w:tcPr>
          <w:p>
            <w:pPr>
              <w:spacing w:after="0"/>
              <w:rPr>
                <w:sz w:val="20"/>
                <w:szCs w:val="20"/>
                <w:color w:val="auto"/>
              </w:rPr>
            </w:pPr>
          </w:p>
        </w:tc>
        <w:tc>
          <w:tcPr>
            <w:tcW w:w="80" w:type="dxa"/>
            <w:vAlign w:val="bottom"/>
            <w:tcBorders>
              <w:right w:val="single" w:sz="8" w:color="CCEEFF"/>
            </w:tcBorders>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shd w:val="clear" w:color="auto" w:fill="CCEEFF"/>
              </w:rPr>
              <w:t>11,580,565</w:t>
            </w:r>
          </w:p>
        </w:tc>
        <w:tc>
          <w:tcPr>
            <w:tcW w:w="100" w:type="dxa"/>
            <w:vAlign w:val="bottom"/>
            <w:tcBorders>
              <w:right w:val="single" w:sz="8" w:color="CCEEFF"/>
            </w:tcBorders>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w:t>
            </w:r>
          </w:p>
        </w:tc>
        <w:tc>
          <w:tcPr>
            <w:tcW w:w="100" w:type="dxa"/>
            <w:vAlign w:val="bottom"/>
            <w:tcBorders>
              <w:right w:val="single" w:sz="8" w:color="CCEEFF"/>
            </w:tcBorders>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10"/>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Three Months Ended March 30, 2025</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2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2"/>
                <w:szCs w:val="12"/>
                <w:color w:val="auto"/>
              </w:rPr>
            </w:pP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2"/>
                <w:szCs w:val="12"/>
                <w:color w:val="auto"/>
              </w:rPr>
            </w:pPr>
          </w:p>
        </w:tc>
        <w:tc>
          <w:tcPr>
            <w:tcW w:w="110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9"/>
              <w:spacing w:after="0" w:line="142"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0" w:type="dxa"/>
            <w:vAlign w:val="bottom"/>
            <w:gridSpan w:val="4"/>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4"/>
                <w:szCs w:val="14"/>
                <w:color w:val="auto"/>
              </w:rPr>
            </w:pPr>
          </w:p>
        </w:tc>
        <w:tc>
          <w:tcPr>
            <w:tcW w:w="10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4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20" w:type="dxa"/>
            <w:vAlign w:val="bottom"/>
            <w:tcBorders>
              <w:lef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15,273,210</w:t>
            </w:r>
          </w:p>
        </w:tc>
        <w:tc>
          <w:tcPr>
            <w:tcW w:w="120" w:type="dxa"/>
            <w:vAlign w:val="bottom"/>
            <w:tcBorders>
              <w:left w:val="single" w:sz="8" w:color="CCEEFF"/>
            </w:tcBorders>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left w:val="single" w:sz="8" w:color="CCEEFF"/>
            </w:tcBorders>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12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w:t>
            </w:r>
          </w:p>
        </w:tc>
        <w:tc>
          <w:tcPr>
            <w:tcW w:w="120" w:type="dxa"/>
            <w:vAlign w:val="bottom"/>
            <w:tcBorders>
              <w:left w:val="single" w:sz="8" w:color="CCEEFF"/>
            </w:tcBorders>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gridSpan w:val="2"/>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9,483,427</w:t>
            </w:r>
          </w:p>
        </w:tc>
        <w:tc>
          <w:tcPr>
            <w:tcW w:w="100" w:type="dxa"/>
            <w:vAlign w:val="bottom"/>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(654.6)</w:t>
            </w:r>
          </w:p>
        </w:tc>
        <w:tc>
          <w:tcPr>
            <w:tcW w:w="100" w:type="dxa"/>
            <w:vAlign w:val="bottom"/>
            <w:tcBorders>
              <w:left w:val="single" w:sz="8" w:color="CCEEFF"/>
            </w:tcBorders>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Company common stock</w:t>
            </w:r>
          </w:p>
        </w:tc>
        <w:tc>
          <w:tcPr>
            <w:tcW w:w="12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(64,869)</w:t>
            </w:r>
          </w:p>
        </w:tc>
        <w:tc>
          <w:tcPr>
            <w:tcW w:w="120" w:type="dxa"/>
            <w:vAlign w:val="bottom"/>
            <w:tcBorders>
              <w:lef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64,869</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lef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(485,497)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12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9,788</w:t>
            </w:r>
          </w:p>
        </w:tc>
        <w:tc>
          <w:tcPr>
            <w:tcW w:w="120" w:type="dxa"/>
            <w:vAlign w:val="bottom"/>
            <w:tcBorders>
              <w:lef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Borders>
              <w:left w:val="single" w:sz="8" w:color="CCEEFF"/>
            </w:tcBorders>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left w:val="single" w:sz="8" w:color="CCEEFF"/>
            </w:tcBorders>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left w:val="single" w:sz="8" w:color="CCEEFF"/>
            </w:tcBorders>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March 30, 2025</w:t>
            </w:r>
          </w:p>
        </w:tc>
        <w:tc>
          <w:tcPr>
            <w:tcW w:w="120" w:type="dxa"/>
            <w:vAlign w:val="bottom"/>
            <w:tcBorders>
              <w:left w:val="single" w:sz="8" w:color="CCEEFF"/>
            </w:tcBorders>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15,635,229</w:t>
            </w:r>
          </w:p>
        </w:tc>
        <w:tc>
          <w:tcPr>
            <w:tcW w:w="120" w:type="dxa"/>
            <w:vAlign w:val="bottom"/>
            <w:tcBorders>
              <w:left w:val="single" w:sz="8" w:color="CCEEFF"/>
            </w:tcBorders>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left w:val="single" w:sz="8" w:color="CCEEFF"/>
            </w:tcBorders>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120" w:type="dxa"/>
            <w:vAlign w:val="bottom"/>
            <w:tcBorders>
              <w:left w:val="single" w:sz="8" w:color="CCEEFF"/>
            </w:tcBorders>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c>
          <w:tcPr>
            <w:tcW w:w="120" w:type="dxa"/>
            <w:vAlign w:val="bottom"/>
            <w:tcBorders>
              <w:left w:val="single" w:sz="8" w:color="CCEEFF"/>
            </w:tcBorders>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gridSpan w:val="2"/>
            <w:shd w:val="clear" w:color="auto" w:fill="CCEEFF"/>
          </w:tcPr>
          <w:p>
            <w:pPr>
              <w:jc w:val="center"/>
              <w:ind w:left="579"/>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9,062,799</w:t>
            </w:r>
          </w:p>
        </w:tc>
        <w:tc>
          <w:tcPr>
            <w:tcW w:w="100" w:type="dxa"/>
            <w:vAlign w:val="bottom"/>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w:t>
            </w:r>
          </w:p>
        </w:tc>
        <w:tc>
          <w:tcPr>
            <w:tcW w:w="100" w:type="dxa"/>
            <w:vAlign w:val="bottom"/>
            <w:tcBorders>
              <w:left w:val="single" w:sz="8" w:color="CCEEFF"/>
            </w:tcBorders>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2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(In millions)</w:t>
      </w:r>
    </w:p>
    <w:p>
      <w:pPr>
        <w:spacing w:after="0" w:line="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p>
      <w:pPr>
        <w:spacing w:after="0" w:line="59" w:lineRule="exact"/>
        <w:rPr>
          <w:sz w:val="20"/>
          <w:szCs w:val="20"/>
          <w:color w:val="auto"/>
        </w:rPr>
      </w:pPr>
    </w:p>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ectPr>
          <w:pgSz w:w="11900" w:h="16838" w:orient="portrait"/>
          <w:cols w:equalWidth="0" w:num="1">
            <w:col w:w="11240"/>
          </w:cols>
          <w:pgMar w:left="320" w:top="225" w:right="339" w:bottom="1440" w:gutter="0" w:footer="0" w:header="0"/>
        </w:sectPr>
      </w:pP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Non-cash impairment and closure charges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Non-cash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Non-cash interest expense</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Provision for doubtful accounts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Gain on disposition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Other changes in other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Gift cards receivables and payables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Accounts payable and 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Operating lease assets and liabilities</w:t>
      </w:r>
    </w:p>
    <w:p>
      <w:pPr>
        <w:spacing w:after="0" w:line="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0063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06340" cy="1460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Additions to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Additions to long-term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Acquisition, net of cash acquired</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Additions to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2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6"/>
          <w:szCs w:val="16"/>
          <w:color w:val="auto"/>
        </w:rPr>
        <w:t>Cash flows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00634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06340" cy="1460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Proceeds from revolving line of credit</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Repayment of revolving line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right="2780"/>
        <w:spacing w:after="0" w:line="290" w:lineRule="auto"/>
        <w:rPr>
          <w:sz w:val="20"/>
          <w:szCs w:val="20"/>
          <w:color w:val="auto"/>
        </w:rPr>
      </w:pPr>
      <w:r>
        <w:rPr>
          <w:rFonts w:ascii="Times New Roman" w:cs="Times New Roman" w:eastAsia="Times New Roman" w:hAnsi="Times New Roman"/>
          <w:sz w:val="16"/>
          <w:szCs w:val="16"/>
          <w:color w:val="auto"/>
        </w:rPr>
        <w:t>Principal payments on finance lease and financing obligations Repurchase of restricted stock for tax payments upon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50063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00634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06340" cy="145415"/>
                    </a:xfrm>
                    <a:prstGeom prst="rect">
                      <a:avLst/>
                    </a:prstGeom>
                    <a:noFill/>
                  </pic:spPr>
                </pic:pic>
              </a:graphicData>
            </a:graphic>
          </wp:anchor>
        </w:drawing>
      </w:r>
    </w:p>
    <w:p>
      <w:pPr>
        <w:spacing w:after="0" w:line="2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00634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006340" cy="162560"/>
                    </a:xfrm>
                    <a:prstGeom prst="rect">
                      <a:avLst/>
                    </a:prstGeom>
                    <a:noFill/>
                  </pic:spPr>
                </pic:pic>
              </a:graphicData>
            </a:graphic>
          </wp:anchor>
        </w:drawing>
      </w:r>
    </w:p>
    <w:p>
      <w:pPr>
        <w:spacing w:after="0" w:line="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p>
      <w:pPr>
        <w:spacing w:after="0" w:line="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Interest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Income taxes paid in cash</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Non-cash conversion to notes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500634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06340" cy="137160"/>
                    </a:xfrm>
                    <a:prstGeom prst="rect">
                      <a:avLst/>
                    </a:prstGeom>
                    <a:noFill/>
                  </pic:spPr>
                </pic:pic>
              </a:graphicData>
            </a:graphic>
          </wp:anchor>
        </w:drawing>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Non-cash change to property and equipment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211"/>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vMerge w:val="continue"/>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9"/>
        </w:trPr>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2"/>
        </w:trPr>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9"/>
        </w:trPr>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2"/>
        </w:trPr>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19"/>
        </w:trPr>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6"/>
        </w:trPr>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9"/>
        </w:trPr>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2"/>
        </w:trPr>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248.6</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vMerge w:val="continue"/>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0"/>
        </w:trPr>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22"/>
        </w:trPr>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0"/>
        </w:trPr>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2">
            <w:col w:w="7260" w:space="720"/>
            <w:col w:w="3260"/>
          </w:cols>
          <w:pgMar w:left="320" w:top="225"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See the accompanying Notes to Condensed Consolidated Financial Statements.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of Dine Brands Global, Inc. (the "Company," "Dine Brands Global," "we," "us," or "our") have been prepared in accordance with accounting principles accepted in the United States of America ("U.S. GAAP") for interim financial information and the instructions to Form 10-Q and Article 10 of Regulation S-X. Accordingly, they do not include all the information and footnotes required by U.S. GAAP for complete financial statements. We believe that all adjustments consisting of normal recurring accruals considered necessary for a fair presentation have been included. The operating results for the three months ended March 29, 2026 are not necessarily indicative of the results that may be expected for the twelve months ending January 3, 2027.</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Consolidated Financial Statements and Footnotes thereto included in the Company’s Annual Report on Form 10-K for the year ended December 28,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disclosures of contingent assets and liabilities, if any, at the date of the Condensed Consolidated Financial Statements, and the reported amounts of revenues and expenses during the reporting periods. Actual results may differ from those estimates.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receivables and long-term receivables balances are primarily comprised of receivables from franchisees, distributors, and gift card vendors. Generally, accounts receivables are due from franchisees for royalty, advertising and other franchise-related fees, and from distributors related to the sale of proprietary products to franchisees through the Company's network of suppliers and distributors. Gift card receivables primarily consist of amounts due from third-party vendors for cash collected on purchased cards. Notes receivable balances primarily relate to the conversion of certain past due franchisee accounts receivable, cash loans to franchisees for working capital purposes, or financing of the sale of IHOP and Applebee's company restaurants and franchise fees. Interest accrues on notes receivable based on the contractual terms. Leases receivable primarily relate to IHOP franchise restaurants that were developed prior to 2003.</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closely monitors the financial condition of our franchisees and estimates the allowance for credit losses based on historical collection experience, credit quality, and current market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Available to Common Shareholders Per Share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available to common shareholders per share is calculated using the treasury stock method. Basic net income per share is computed by dividing the net income available to common stockholders for the period by the weighted average number of common shares outstanding during the period. Diluted net income per share is computed by dividing the net income available to common stockholders for the period by the weighted average number of common shares outstanding and dilutive potential shares of common stock. Dilutive potential common shares are reduced by the number of shares that could be purchased by the Company assuming the amount of unvested restricted stock awards would be received as proceeds.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which requires public business entities to provide, in the footnotes to the financial statements, disaggregated disclosures of certain expense categories that are included in expense line items on the face of the income statement. The guidance is effective for fiscal years beginning after December 15, 2026 and interim periods within fiscal years beginning after December 15, 2027 with early adoption permitted. The Company is currently evaluating the impact of adopting this ASU to our disclosures.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Cash, Cash Equivalents and Restricted Cash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187"/>
        </w:trPr>
        <w:tc>
          <w:tcPr>
            <w:tcW w:w="6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4"/>
          </w:tcPr>
          <w:p>
            <w:pPr>
              <w:jc w:val="right"/>
              <w:ind w:right="14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depository accounts, including IHOP advertising and gift card</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48"/>
        </w:trPr>
        <w:tc>
          <w:tcPr>
            <w:tcW w:w="68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8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Restricted Cash</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Current restricted cash primarily consisted of cash required to be held in trust in connection with the Company's securitized debt and cash for Applebee's and Fuzzy's advertising funds. The components of current restricted cash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187"/>
        </w:trPr>
        <w:tc>
          <w:tcPr>
            <w:tcW w:w="7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20" w:type="dxa"/>
            <w:vAlign w:val="bottom"/>
            <w:gridSpan w:val="4"/>
          </w:tcPr>
          <w:p>
            <w:pPr>
              <w:jc w:val="right"/>
              <w:ind w:right="13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Applebee's and Fuzzy's advertising funds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71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Non-current Restricted Cash</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Non-current restricted cash of $22.0 million as of March 29, 2026 and December 28, 2025, respectively, represents interest reserves contractually restricted as required under the terms of our debt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franchise revenues by major type:</w:t>
      </w:r>
    </w:p>
    <w:p>
      <w:pPr>
        <w:spacing w:after="0" w:line="160" w:lineRule="exact"/>
        <w:rPr>
          <w:sz w:val="20"/>
          <w:szCs w:val="20"/>
          <w:color w:val="auto"/>
        </w:rPr>
      </w:pPr>
    </w:p>
    <w:tbl>
      <w:tblPr>
        <w:tblLayout w:type="fixed"/>
        <w:tblInd w:w="1960" w:type="dxa"/>
        <w:tblCellMar>
          <w:top w:w="0" w:type="dxa"/>
          <w:left w:w="0" w:type="dxa"/>
          <w:bottom w:w="0" w:type="dxa"/>
          <w:right w:w="0" w:type="dxa"/>
        </w:tblCellMar>
      </w:tblPr>
      <w:tr>
        <w:trPr>
          <w:trHeight w:val="215"/>
        </w:trPr>
        <w:tc>
          <w:tcPr>
            <w:tcW w:w="3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83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0" w:type="dxa"/>
            <w:vAlign w:val="bottom"/>
          </w:tcPr>
          <w:p>
            <w:pPr>
              <w:spacing w:after="0"/>
              <w:rPr>
                <w:sz w:val="1"/>
                <w:szCs w:val="1"/>
                <w:color w:val="auto"/>
              </w:rPr>
            </w:pPr>
          </w:p>
        </w:tc>
      </w:tr>
      <w:tr>
        <w:trPr>
          <w:trHeight w:val="211"/>
        </w:trPr>
        <w:tc>
          <w:tcPr>
            <w:tcW w:w="3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Advertising fees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three months ended March 29, 2026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Deferred Franchise Revenue</w:t>
            </w:r>
          </w:p>
        </w:tc>
        <w:tc>
          <w:tcPr>
            <w:tcW w:w="0" w:type="dxa"/>
            <w:vAlign w:val="bottom"/>
          </w:tcPr>
          <w:p>
            <w:pPr>
              <w:spacing w:after="0"/>
              <w:rPr>
                <w:sz w:val="1"/>
                <w:szCs w:val="1"/>
                <w:color w:val="auto"/>
              </w:rPr>
            </w:pPr>
          </w:p>
        </w:tc>
      </w:tr>
      <w:tr>
        <w:trPr>
          <w:trHeight w:val="187"/>
        </w:trPr>
        <w:tc>
          <w:tcPr>
            <w:tcW w:w="76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40" w:type="dxa"/>
            <w:vAlign w:val="bottom"/>
            <w:tcBorders>
              <w:top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6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28, 2025</w:t>
            </w:r>
          </w:p>
        </w:tc>
        <w:tc>
          <w:tcPr>
            <w:tcW w:w="248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Recognized during the three months ended March 29, 2026</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 w:type="dxa"/>
            <w:vAlign w:val="bottom"/>
          </w:tcPr>
          <w:p>
            <w:pPr>
              <w:spacing w:after="0"/>
              <w:rPr>
                <w:sz w:val="19"/>
                <w:szCs w:val="19"/>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during the three months ended March 29, 2026</w:t>
            </w:r>
          </w:p>
        </w:tc>
        <w:tc>
          <w:tcPr>
            <w:tcW w:w="24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29, 2026</w:t>
            </w:r>
          </w:p>
        </w:tc>
        <w:tc>
          <w:tcPr>
            <w:tcW w:w="258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80" w:type="dxa"/>
            <w:vAlign w:val="bottom"/>
            <w:vMerge w:val="restart"/>
          </w:tcPr>
          <w:p>
            <w:pPr>
              <w:jc w:val="right"/>
              <w:ind w:right="20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7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0" w:type="dxa"/>
            <w:vAlign w:val="bottom"/>
            <w:tcBorders>
              <w:bottom w:val="single" w:sz="8" w:color="9A9A9A"/>
            </w:tcBorders>
          </w:tcPr>
          <w:p>
            <w:pPr>
              <w:spacing w:after="0"/>
              <w:rPr>
                <w:sz w:val="19"/>
                <w:szCs w:val="19"/>
                <w:color w:val="auto"/>
              </w:rPr>
            </w:pPr>
          </w:p>
        </w:tc>
        <w:tc>
          <w:tcPr>
            <w:tcW w:w="4540" w:type="dxa"/>
            <w:vAlign w:val="bottom"/>
            <w:tcBorders>
              <w:bottom w:val="single" w:sz="8" w:color="9A9A9A"/>
            </w:tcBorders>
          </w:tcPr>
          <w:p>
            <w:pPr>
              <w:spacing w:after="0"/>
              <w:rPr>
                <w:sz w:val="19"/>
                <w:szCs w:val="19"/>
                <w:color w:val="auto"/>
              </w:rPr>
            </w:pPr>
          </w:p>
        </w:tc>
        <w:tc>
          <w:tcPr>
            <w:tcW w:w="24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44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deferred franchise revenue as of March 29, 2026 is expected to be recognized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nine months)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left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5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5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left w:val="single" w:sz="8" w:color="CCEEFF"/>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Receivables</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5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receivables balances at March 29, 2026 and December 28, 2025 were as follows: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March 29, 2026</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28, 2025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5"/>
          </w:tcPr>
          <w:p>
            <w:pPr>
              <w:jc w:val="right"/>
              <w:ind w:right="1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2"/>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60" w:type="dxa"/>
            <w:vAlign w:val="bottom"/>
            <w:tcBorders>
              <w:left w:val="single" w:sz="8" w:color="CCEEFF"/>
            </w:tcBorders>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9"/>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Borders>
              <w:left w:val="single" w:sz="8" w:color="CCEEFF"/>
            </w:tcBorders>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Leases receivable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left w:val="single" w:sz="8" w:color="CCEEFF"/>
            </w:tcBorders>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 and notes receivable</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Borders>
              <w:left w:val="single" w:sz="8" w:color="CCEEFF"/>
            </w:tcBorders>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Borders>
              <w:left w:val="single" w:sz="8" w:color="CCEEFF"/>
            </w:tcBorders>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23"/>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1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three months ended March 29, 2026 were as follows: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9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28, 2025</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3"/>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29, 2026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$2.2 million of bad debt expense recorded for the three months ended March 29, 2026 is primarily due to $1.5 million recorded for accounts receivable and $0.6 million recorded for notes receivable. The Company's primary credit quality indicator for all portfolio segments is delinquency.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Receivables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notes and financing receivables at March 29, 2026 is as follows:</w:t>
      </w:r>
    </w:p>
    <w:p>
      <w:pPr>
        <w:spacing w:after="0" w:line="140" w:lineRule="exact"/>
        <w:rPr>
          <w:sz w:val="20"/>
          <w:szCs w:val="20"/>
          <w:color w:val="auto"/>
        </w:rPr>
      </w:pPr>
    </w:p>
    <w:tbl>
      <w:tblPr>
        <w:tblLayout w:type="fixed"/>
        <w:tblInd w:w="102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Notes receivable,</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rPr>
              <w:t>short- and long-</w:t>
            </w:r>
          </w:p>
        </w:tc>
        <w:tc>
          <w:tcPr>
            <w:tcW w:w="100" w:type="dxa"/>
            <w:vAlign w:val="bottom"/>
          </w:tcPr>
          <w:p>
            <w:pPr>
              <w:spacing w:after="0"/>
              <w:rPr>
                <w:sz w:val="14"/>
                <w:szCs w:val="14"/>
                <w:color w:val="auto"/>
              </w:rPr>
            </w:pP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Leases Receivables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term</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8"/>
        </w:trPr>
        <w:tc>
          <w:tcPr>
            <w:tcW w:w="4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leases from third parties the real property for certain company-owned restaurants and leases and subleases to franchisees for certain franchise operated restaurants. The Company also leases office space for its principal corporate office in Pasadena, California. The Company does not have a significant amount of non-real estate leases.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and 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lease liabilities and right-of-use assets related to operating leases. Certain leases also include variable rental payments based on a percentage of restaurant sales if certain restaurant sales thresholds are met.</w:t>
      </w:r>
    </w:p>
    <w:p>
      <w:pPr>
        <w:spacing w:after="0" w:line="7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29, 2026 and three months ended March 30, 2025, the Company made the following cash payments for operating leases: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on operating leases</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months ended March 29, 2026 and three months ended March 30, 2025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5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4"/>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48"/>
        </w:trPr>
        <w:tc>
          <w:tcPr>
            <w:tcW w:w="5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long-term debt consists of the following:</w:t>
      </w: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193"/>
        </w:trPr>
        <w:tc>
          <w:tcPr>
            <w:tcW w:w="1020" w:type="dxa"/>
            <w:vAlign w:val="bottom"/>
          </w:tcPr>
          <w:p>
            <w:pPr>
              <w:spacing w:after="0"/>
              <w:rPr>
                <w:sz w:val="16"/>
                <w:szCs w:val="16"/>
                <w:color w:val="auto"/>
              </w:rPr>
            </w:pPr>
          </w:p>
        </w:tc>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60" w:type="dxa"/>
            <w:vAlign w:val="bottom"/>
            <w:gridSpan w:val="4"/>
          </w:tcPr>
          <w:p>
            <w:pPr>
              <w:jc w:val="right"/>
              <w:ind w:right="13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2023-1</w:t>
            </w:r>
          </w:p>
        </w:tc>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7.824% Fixed Rate Senior Secured Notes, Class A-2</w:t>
            </w:r>
          </w:p>
        </w:tc>
        <w:tc>
          <w:tcPr>
            <w:tcW w:w="100" w:type="dxa"/>
            <w:vAlign w:val="bottom"/>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Series 2025-1</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6.720% Fixed Rate Senior Secured Notes, Class A-2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9"/>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2025-1</w:t>
            </w:r>
          </w:p>
        </w:tc>
        <w:tc>
          <w:tcPr>
            <w:tcW w:w="63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Variable Funding Senior Notes, Class A-1</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73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100" w:type="dxa"/>
            <w:vAlign w:val="bottom"/>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1,188.8</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1,188.2</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40" w:hanging="132"/>
        <w:spacing w:after="0" w:line="236" w:lineRule="auto"/>
        <w:tabs>
          <w:tab w:leader="none" w:pos="14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Variable interest rate of 6.18% and 6.56% at March 29, 2026 and December 28, 2025, respectively.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Series 2023-1 Class A-2 Notes ("2023 Class A-2 Notes") and Series 2025-1 Class A-2 Notes ("2025 Class A-2 Notes", together with the 2023 Class A-2 Notes, the "A-2 Notes" ) have a legal final maturity of March 2053 for the 2023 Class A-2 Notes and June 2055 for the 2025 Class A-2 Notes. However, it is anticipated that, unless repaid earlier to the extent permitted under the Indenture, the 2023 Class A-2 Notes will be repaid by June 2029 and the 2025 Class A-2 Notes by June 2030.</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quarterly principal payment of $1.25 million on the 2023 Class A-2 Notes and $1.5 million on the 2025 Class A-2 Notes may be suspended when the leverage ratio for the Company and its subsidiaries is less than or equal to 5.25x.</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29, 2026, the Company's leverage ratio was approximately 5.06x. As a result, the Company did not make quarterly principal payments on the A-2 Notes.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Credit Facility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2025-1 Class A-1 Notes (the "Credit Facility" and collectively with the A-2 Notes, the "Notes") generally have an interest rate for advances calculated at a per annum rate equal to the commercial paper funding rate or one-, two-, three- or six-month Term Secured Overnight Financing Rate ("SOFR") Rate, in either case, plus 2.50%. The applicable interest rate for swingline advances and unreimbursed draws on outstanding letters of credit is a per annum base rate equal to the sum of (a) the greatest of (A) the Prime Rate in effect from time to time, (B) the Federal Funds Rate in effect from time to time plus 0.50% and (C) Term SOFR for a one-month tenor in effect at such time plus 0.50% plus (b) 2.00%.</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2055, but rapid amortization will apply if there are outstanding amounts under the Credit Facility after June 2030. The renewal date of the Credit Facility is June 2030, subject to two additional one-year extensions at the option of the Company upon the satisfaction of certain conditions.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29, 2026, the outstanding balance of the Credit Facility was $100 million. The amount of $0.5 million was pledged against the Credit Facility for outstanding letters of credit, leaving $224.5 million of the Credit Facility available for borrowing at March 29, 2026. The weighted average interest rate for the period outstanding during the three months ended March 29, 2026 was 6.35%.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but not limited to maintaining specified reserve accounts, optional and mandatory prepayments and related redemption premiums, and certain indemnification payments. The Notes are also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A-2 Notes on the anticipated repayment dates. The Notes are also subject to certain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 (Continued)</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DSCRs are as follows:</w:t>
      </w:r>
    </w:p>
    <w:p>
      <w:pPr>
        <w:spacing w:after="0" w:line="117"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Trapping Event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March 29, 2026 was approximately 3.0x.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29, 2026, the Company repurchased 623,592 shares of common stock at a cost of $22.0 million. Cumulatively under the 2022 Repurchase Program, the Company repurchased 4,841,627 shares at a cost of $198.9 million. As of March 29, 2026, a remaining amount of $51.2 million in the value of shares may be repurchased under the 2022 Repurchase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and paid per share for the three months ended March 29, 2026 and 2025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4620" w:type="dxa"/>
            <w:vAlign w:val="bottom"/>
            <w:tcBorders>
              <w:bottom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29, 2026 and 2025, the Company paid dividends of $2.5 million and $7.8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included as a component of general and administrative expenses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142"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186"/>
        </w:trPr>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4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8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8"/>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29, 2026, total unrecognized compensation cost related to restricted stock awards and restricted stock units of $22.1 million and $0.6 million related to stock options is expected to be recognized over a weighted average period of approximately 1.5 years for restricted stock and restricted stock units and 0.8 years for stock options.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majority of the Company’s equity grants occur in the first quarter of its fiscal year. Accordingly, during the three months ended March 29, 2026, the Company granted approximately 339,000 restricted stock and 49,000 restricted stock unit awards with a weighted average grant date fair value of $30.98 and $30.96, respectively. The Company did not grant any options in this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29, 2026 and 2025, the Company recorded expense of $0.7 million and $0.3 million, respectively, related to liability classified awards. As of March 29, 2026 and December 28, 2025, a liability of $2.1 million and $3.3 million, respectively, was recorded as Other non-current liabilities on the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27.3% for the three months ended March 29, 2026, as compared to 35.9% for the three months ended March 30, 2025. The effective tax rate for the three months ended March 29, 2026 was lower than the rate of the respective comparable period primarily due to a higher tax deduction related to stock-based compensation resulting from an increase in our share price.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Intangible Assets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indefinite-lived intangible assets during the three months ended March 29, 2026 were as follows:</w:t>
      </w:r>
    </w:p>
    <w:p>
      <w:pPr>
        <w:spacing w:after="0" w:line="160" w:lineRule="exact"/>
        <w:rPr>
          <w:sz w:val="20"/>
          <w:szCs w:val="20"/>
          <w:color w:val="auto"/>
        </w:rPr>
      </w:pPr>
    </w:p>
    <w:tbl>
      <w:tblPr>
        <w:tblLayout w:type="fixed"/>
        <w:tblInd w:w="216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Tradename</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87"/>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2"/>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28, 2025</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29, 2026</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and net carrying amounts of finite-lived intangible assets at March 29, 2026 and December 28, 2025 are as follows:</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215"/>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December 28, 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Net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Gross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300" w:type="dxa"/>
            <w:vAlign w:val="bottom"/>
          </w:tcPr>
          <w:p>
            <w:pPr>
              <w:spacing w:after="0"/>
              <w:rPr>
                <w:sz w:val="13"/>
                <w:szCs w:val="13"/>
                <w:color w:val="auto"/>
              </w:rPr>
            </w:pPr>
          </w:p>
        </w:tc>
        <w:tc>
          <w:tcPr>
            <w:tcW w:w="92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14"/>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Franchising rights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
        </w:trPr>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fourth quarter of 2025, the Company reclassified $28.2 million of a tradename intangible from an indefinite-lived to a finite-lived asset.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financial assets and liabilities, as well as non-financial assets and liabilities that are recognized or disclosed at fair value, we may use the following inputs to derive the fair value:</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for the asset or liability, either directly or indirectly, including quoted prices in active markets for similar assets or liabilities.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and reflect the Company's own assumptions.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the fair values of cash and cash equivalents, restricted cash, accounts receivable and accounts payable approximate their carrying amounts due to their short duration. The Company believes the fair value of the Credit Facility approximates its carrying value as it is based on the SOFR or prevailing benchmark rate.</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excluding the Credit Facility, is based on quoted market prices which represent Level 1 inputs. The fair value as of March 29, 2026 and December 28, 2025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187"/>
        </w:trPr>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gridSpan w:val="4"/>
          </w:tcPr>
          <w:p>
            <w:pPr>
              <w:jc w:val="right"/>
              <w:ind w:right="141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16"/>
                <w:szCs w:val="16"/>
                <w:color w:val="auto"/>
              </w:rPr>
            </w:pPr>
          </w:p>
        </w:tc>
      </w:tr>
      <w:tr>
        <w:trPr>
          <w:trHeight w:val="242"/>
        </w:trPr>
        <w:tc>
          <w:tcPr>
            <w:tcW w:w="700" w:type="dxa"/>
            <w:vAlign w:val="bottom"/>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w:t>
            </w:r>
          </w:p>
        </w:tc>
        <w:tc>
          <w:tcPr>
            <w:tcW w:w="32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8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80" w:type="dxa"/>
            <w:vAlign w:val="bottom"/>
          </w:tcPr>
          <w:p>
            <w:pPr>
              <w:spacing w:after="0"/>
              <w:rPr>
                <w:sz w:val="21"/>
                <w:szCs w:val="21"/>
                <w:color w:val="auto"/>
              </w:rPr>
            </w:pPr>
          </w:p>
        </w:tc>
      </w:tr>
      <w:tr>
        <w:trPr>
          <w:trHeight w:val="234"/>
        </w:trPr>
        <w:tc>
          <w:tcPr>
            <w:tcW w:w="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Fair Value</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680" w:type="dxa"/>
            <w:vAlign w:val="bottom"/>
          </w:tcPr>
          <w:p>
            <w:pPr>
              <w:spacing w:after="0"/>
              <w:rPr>
                <w:sz w:val="20"/>
                <w:szCs w:val="20"/>
                <w:color w:val="auto"/>
              </w:rPr>
            </w:pPr>
          </w:p>
        </w:tc>
      </w:tr>
      <w:tr>
        <w:trPr>
          <w:trHeight w:val="886"/>
        </w:trPr>
        <w:tc>
          <w:tcPr>
            <w:tcW w:w="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3"/>
        </w:trPr>
        <w:tc>
          <w:tcPr>
            <w:tcW w:w="700" w:type="dxa"/>
            <w:vAlign w:val="bottom"/>
            <w:tcBorders>
              <w:bottom w:val="single" w:sz="8" w:color="9A9A9A"/>
            </w:tcBorders>
          </w:tcPr>
          <w:p>
            <w:pPr>
              <w:spacing w:after="0"/>
              <w:rPr>
                <w:sz w:val="19"/>
                <w:szCs w:val="19"/>
                <w:color w:val="auto"/>
              </w:rPr>
            </w:pPr>
          </w:p>
        </w:tc>
        <w:tc>
          <w:tcPr>
            <w:tcW w:w="2820" w:type="dxa"/>
            <w:vAlign w:val="bottom"/>
            <w:tcBorders>
              <w:bottom w:val="single" w:sz="8" w:color="9A9A9A"/>
            </w:tcBorders>
          </w:tcPr>
          <w:p>
            <w:pPr>
              <w:spacing w:after="0"/>
              <w:rPr>
                <w:sz w:val="19"/>
                <w:szCs w:val="19"/>
                <w:color w:val="auto"/>
              </w:rPr>
            </w:pPr>
          </w:p>
        </w:tc>
        <w:tc>
          <w:tcPr>
            <w:tcW w:w="3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5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660" w:type="dxa"/>
            <w:vAlign w:val="bottom"/>
            <w:tcBorders>
              <w:bottom w:val="single" w:sz="8" w:color="9A9A9A"/>
            </w:tcBorders>
          </w:tcPr>
          <w:p>
            <w:pPr>
              <w:spacing w:after="0"/>
              <w:rPr>
                <w:sz w:val="19"/>
                <w:szCs w:val="19"/>
                <w:color w:val="auto"/>
              </w:rPr>
            </w:pPr>
          </w:p>
        </w:tc>
        <w:tc>
          <w:tcPr>
            <w:tcW w:w="68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Reportable Segments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Information on segments and a reconciliation of segment operating profit to income before income taxes is as follows: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29, 2026</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80" w:type="dxa"/>
            <w:vAlign w:val="bottom"/>
          </w:tcPr>
          <w:p>
            <w:pPr>
              <w:spacing w:after="0"/>
              <w:rPr>
                <w:sz w:val="14"/>
                <w:szCs w:val="14"/>
                <w:color w:val="auto"/>
              </w:rPr>
            </w:pPr>
          </w:p>
        </w:tc>
        <w:tc>
          <w:tcPr>
            <w:tcW w:w="14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Company-Owned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w:t>
            </w:r>
          </w:p>
        </w:tc>
        <w:tc>
          <w:tcPr>
            <w:tcW w:w="80" w:type="dxa"/>
            <w:vAlign w:val="bottom"/>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 w:type="dxa"/>
            <w:vAlign w:val="bottom"/>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33.5</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154.1</w:t>
            </w:r>
          </w:p>
        </w:tc>
        <w:tc>
          <w:tcPr>
            <w:tcW w:w="0" w:type="dxa"/>
            <w:vAlign w:val="bottom"/>
          </w:tcPr>
          <w:p>
            <w:pPr>
              <w:spacing w:after="0"/>
              <w:rPr>
                <w:sz w:val="1"/>
                <w:szCs w:val="1"/>
                <w:color w:val="auto"/>
              </w:rPr>
            </w:pPr>
          </w:p>
        </w:tc>
      </w:tr>
      <w:tr>
        <w:trPr>
          <w:trHeight w:val="257"/>
        </w:trPr>
        <w:tc>
          <w:tcPr>
            <w:tcW w:w="5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 (loss)</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 (loss)</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52.6</w:t>
            </w:r>
          </w:p>
        </w:tc>
        <w:tc>
          <w:tcPr>
            <w:tcW w:w="80" w:type="dxa"/>
            <w:vAlign w:val="bottom"/>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00" w:type="dxa"/>
            <w:vAlign w:val="bottom"/>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5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vMerge w:val="restart"/>
          </w:tcPr>
          <w:p>
            <w:pPr>
              <w:jc w:val="right"/>
              <w:ind w:right="89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 Global, Inc. and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Reportable Segments (Continued)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30, 2025</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Franchise</w:t>
            </w:r>
          </w:p>
        </w:tc>
        <w:tc>
          <w:tcPr>
            <w:tcW w:w="100" w:type="dxa"/>
            <w:vAlign w:val="bottom"/>
          </w:tcPr>
          <w:p>
            <w:pPr>
              <w:spacing w:after="0"/>
              <w:rPr>
                <w:sz w:val="14"/>
                <w:szCs w:val="14"/>
                <w:color w:val="auto"/>
              </w:rPr>
            </w:pPr>
          </w:p>
        </w:tc>
        <w:tc>
          <w:tcPr>
            <w:tcW w:w="15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Company-Owned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Rental</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Restaurants</w:t>
            </w:r>
          </w:p>
        </w:tc>
        <w:tc>
          <w:tcPr>
            <w:tcW w:w="1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166.2</w:t>
            </w:r>
          </w:p>
        </w:tc>
        <w:tc>
          <w:tcPr>
            <w:tcW w:w="100" w:type="dxa"/>
            <w:vAlign w:val="bottom"/>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214.8</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Advertising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excluding advertising revenue</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144.3</w:t>
            </w:r>
          </w:p>
        </w:tc>
        <w:tc>
          <w:tcPr>
            <w:tcW w:w="0" w:type="dxa"/>
            <w:vAlign w:val="bottom"/>
          </w:tcPr>
          <w:p>
            <w:pPr>
              <w:spacing w:after="0"/>
              <w:rPr>
                <w:sz w:val="1"/>
                <w:szCs w:val="1"/>
                <w:color w:val="auto"/>
              </w:rPr>
            </w:pPr>
          </w:p>
        </w:tc>
      </w:tr>
      <w:tr>
        <w:trPr>
          <w:trHeight w:val="257"/>
        </w:trPr>
        <w:tc>
          <w:tcPr>
            <w:tcW w:w="4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Less: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profit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based compensation (direct)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G&amp;A expenses (direct and allocated)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w:t>
            </w:r>
          </w:p>
        </w:tc>
        <w:tc>
          <w:tcPr>
            <w:tcW w:w="100" w:type="dxa"/>
            <w:vAlign w:val="bottom"/>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segment operating profit</w:t>
            </w:r>
          </w:p>
        </w:tc>
        <w:tc>
          <w:tcPr>
            <w:tcW w:w="100" w:type="dxa"/>
            <w:vAlign w:val="bottom"/>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profit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based compensation (unallocated)</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G&amp;A expenses (unallocated)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13" w:lineRule="exact"/>
        <w:rPr>
          <w:sz w:val="20"/>
          <w:szCs w:val="20"/>
          <w:color w:val="auto"/>
        </w:rPr>
      </w:pPr>
    </w:p>
    <w:p>
      <w:pPr>
        <w:ind w:left="480" w:hanging="148"/>
        <w:spacing w:after="0"/>
        <w:tabs>
          <w:tab w:leader="none" w:pos="48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Segment items include:</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Franchise: Costs of proprietary products, bad debt expense, pre-opening training expenses and other franchise-related costs.</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Company-owned restaurants: Operating expenses at company-owned restaurants include food, beverage, labor, benefits, utilities, rent and other operating costs.</w:t>
      </w:r>
    </w:p>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Rental: Costs of operating leases, such as rent expense, and interest expense of finance leases on franchisee-operated restaurants.</w:t>
      </w:r>
    </w:p>
    <w:p>
      <w:pPr>
        <w:spacing w:after="0" w:line="2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present a measure of assets for our reportable segments as this information is not used by the chief operating decision maker to allocate resources or assess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Business Acquisition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acquire restaurants from franchisees to invest in the system, improve operations through innovation tests and create a blueprint for franchisee success and growth.</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February 23, 2026, the Company entered into an agreement with an Applebee's franchisee to acquire 12 Applebee's restaurants across Virginia and North Carolina for $0.9 million of consideration. The results of operations of the acquired restaurants have been included in the Company's Condensed Consolidated Financial Statements from the acquisition date. The transaction was determined to be immaterial.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lawsuits, governmental inspections, administrative proceedings, audits, and claims arising in the ordinary course of business. Some of these lawsuits purport to be class actions and/or seek substantial damages.</w:t>
      </w:r>
    </w:p>
    <w:p>
      <w:pPr>
        <w:sectPr>
          <w:pgSz w:w="11900" w:h="16838" w:orient="portrait"/>
          <w:cols w:equalWidth="0" w:num="1">
            <w:col w:w="11240"/>
          </w:cols>
          <w:pgMar w:left="320" w:top="22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9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 and Contingencies (Continued)</w:t>
      </w: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required to record an accrual for litigation loss contingencies that are both probable and reasonably estimable. Legal fees and expenses associated with the defense of the Company's litigation are expensed as incurred. In the opinion of management, these matters are adequately covered by insurance or, if not so covered, are without merit or are of such a nature or involve amounts that would not have a material adverse impact on the Company's business or Condensed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refranchising restaurants to franchisees, in certain cases the Company has guaranteed lease payments. As of March 29, 2026 the notional amount of lease guarantees by the Company was $313.5 million. Excluding unexercised option periods, the Company's potential liability for future payments under these leases is $81.3 million. This amount represents the maximum potential liability of future payments under these leases. These leases expire at the end of the respective lease terms, which range from 2026 through 2058. In the event of default, the indemnity and default clauses in the sale or assignment agreements govern the Company's ability to pursue and recover damages incurred.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financial condition should be read in conjunction with the Condensed Consolidated Financial Statements included in this Form 10-Q. This Item 2 is organized as follows:</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Performance Indicators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Non-Segment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 of the Company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7"/>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5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29"/>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revenues</w:t>
            </w:r>
          </w:p>
        </w:tc>
        <w:tc>
          <w:tcPr>
            <w:tcW w:w="10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Company-owned restaurant revenues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Rental revenues</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Company-owned restaurant expenses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4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Rental expenses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0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revenues increased $10.4 million, largely driven by an $11.9 million increase from the company-owned restaurant revenues from restaurants acquired since the first quarter of 2025. This increase was partially offset by a $1.3 million decrease in franchise revenues primarily driven by lower proprietary product sales due to timing, weaker international franchisee performance and a decrease in franchise termination fees recognized in the current period as compared to the prior year period. In addition, franchise revenues were impacted by a reduction in the number of franchised restaurants due in part to the acquisition of 12 Applebee's restaurants in May 2025 and 12 Applebee's restaurants in February 2026. Total cost of revenues increased $13.3 million primarily due to the increase in company-owned restaurants.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before income taxes in the three months ended March 29, 2026 decreased largely due to a decrease in gross profit, increase in interest expense and an increase in general and administrative expenses, partially offset by a decrease in closure and impairment charges and the gain on disposition of assets. The increase in interest expense is primarily the result of the refinancing of our 2025 Class A-2 Notes completed in June 2025 which resulted in increased principal and a higher interest rate. The increase in general and administrative expenses is primarily due to our investment in our dual-branded and company-owned restaurant initiatives. Closure and impairment charges decreased as a result of less one-time lease termination and lease asset impairment costs incurred in the current year as compared to the respective prior year period. Gain on disposition of assets was related to the sale of land and building of two IHOP restaurants.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revenues, cost of revenues, and gross profit in evaluating the performance of each of our brands, management also considers the following key performance indicators in evaluating our business: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"System sales" are retail sales at IHOP, Applebee’s and Fuzzy's restaurants operated by franchisees reported to the Company and revenues generated at company-owned restaurants. Sales at restaurants that are operated by franchisees are not revenues attributable to the Company. An increase in system sales of franchised restaurants will result in a corresponding increase in our royalty revenues, while a decrease will result in a corresponding decrease in our royalty revenues.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same-restaurant sales change" reflects the percentage change in sales of domestic restaurants in any given fiscal period that operated during the comparable prior year period and have been open for at least 18 months. Due to new restaurant openings and restaurant closures, the restaurants open throughout both fiscal periods being compared may be different from period to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"Same-restaurant sales change" reflects the percentage change in sales of domestic and international restaurants in any given fiscal period that operated during the comparable prior year period and have been open for at least 18 months. Due to new restaurant openings and restaurant closures, the restaurants open throughout both fiscal periods being compared may be different from period to period.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average weekly unit sales" represents the average sales generated per restaurant per operating week during the reporting period. This is calculated by dividing total restaurant sales by the number of operating weeks for all restaurants open during the period. For restaurants that were open for only part of the period, adjustments are made to the number of operating weeks to correspond to the period there were restaurant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development" refers to the overall change in the number of restaurants during a period, calculated as total openings less total 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IHOP</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Fuzzy's</w:t>
            </w:r>
          </w:p>
        </w:tc>
        <w:tc>
          <w:tcPr>
            <w:tcW w:w="840" w:type="dxa"/>
            <w:vAlign w:val="bottom"/>
            <w:tcBorders>
              <w:bottom w:val="single" w:sz="8" w:color="auto"/>
            </w:tcBorders>
          </w:tcPr>
          <w:p>
            <w:pPr>
              <w:spacing w:after="0"/>
              <w:rPr>
                <w:sz w:val="20"/>
                <w:szCs w:val="20"/>
                <w:color w:val="auto"/>
              </w:rPr>
            </w:pPr>
          </w:p>
        </w:tc>
      </w:tr>
      <w:tr>
        <w:trPr>
          <w:trHeight w:val="208"/>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9"/>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6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w w:val="99"/>
              </w:rPr>
              <w:t>March 29, 2026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w w:val="99"/>
              </w:rPr>
              <w:t>March 30, 2025</w:t>
            </w:r>
          </w:p>
        </w:tc>
        <w:tc>
          <w:tcPr>
            <w:tcW w:w="10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4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38"/>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System Sales (in millions)</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857.0</w:t>
            </w:r>
          </w:p>
        </w:tc>
        <w:tc>
          <w:tcPr>
            <w:tcW w:w="16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854.2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1,053.7</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1,055.1</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9"/>
                <w:szCs w:val="19"/>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861.5</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855.5</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1,082.4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1,075.2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39.5</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3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System:</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76"/>
        </w:trPr>
        <w:tc>
          <w:tcPr>
            <w:tcW w:w="2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same-restaurant</w:t>
            </w:r>
          </w:p>
        </w:tc>
        <w:tc>
          <w:tcPr>
            <w:tcW w:w="10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change</w:t>
            </w:r>
          </w:p>
        </w:tc>
        <w:tc>
          <w:tcPr>
            <w:tcW w:w="10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175"/>
        </w:trPr>
        <w:tc>
          <w:tcPr>
            <w:tcW w:w="2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Same-restaurant sales</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2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(a)</w:t>
            </w: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76"/>
        </w:trPr>
        <w:tc>
          <w:tcPr>
            <w:tcW w:w="2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same-restaurant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change</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176"/>
        </w:trPr>
        <w:tc>
          <w:tcPr>
            <w:tcW w:w="23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Same-restaurant sales</w:t>
            </w:r>
          </w:p>
        </w:tc>
        <w:tc>
          <w:tcPr>
            <w:tcW w:w="10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43"/>
        </w:trPr>
        <w:tc>
          <w:tcPr>
            <w:tcW w:w="2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r>
      <w:tr>
        <w:trPr>
          <w:trHeight w:val="176"/>
        </w:trPr>
        <w:tc>
          <w:tcPr>
            <w:tcW w:w="2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average weekly</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 sales (in thousands)</w:t>
            </w:r>
          </w:p>
        </w:tc>
        <w:tc>
          <w:tcPr>
            <w:tcW w:w="4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38.3</w:t>
            </w:r>
          </w:p>
        </w:tc>
        <w:tc>
          <w:tcPr>
            <w:tcW w:w="54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54.7</w:t>
            </w:r>
          </w:p>
        </w:tc>
        <w:tc>
          <w:tcPr>
            <w:tcW w:w="4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28.0</w:t>
            </w:r>
          </w:p>
        </w:tc>
        <w:tc>
          <w:tcPr>
            <w:tcW w:w="56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26.5</w:t>
            </w:r>
          </w:p>
        </w:tc>
      </w:tr>
      <w:tr>
        <w:trPr>
          <w:trHeight w:val="22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175"/>
        </w:trPr>
        <w:tc>
          <w:tcPr>
            <w:tcW w:w="232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Domestic average weekly</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2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 sales (in thousands)</w:t>
            </w:r>
          </w:p>
        </w:tc>
        <w:tc>
          <w:tcPr>
            <w:tcW w:w="4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54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32.8</w:t>
            </w:r>
          </w:p>
        </w:tc>
        <w:tc>
          <w:tcPr>
            <w:tcW w:w="440" w:type="dxa"/>
            <w:vAlign w:val="bottom"/>
            <w:gridSpan w:val="2"/>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17.7</w:t>
            </w:r>
          </w:p>
        </w:tc>
        <w:tc>
          <w:tcPr>
            <w:tcW w:w="560" w:type="dxa"/>
            <w:vAlign w:val="bottom"/>
            <w:gridSpan w:val="2"/>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18.7</w:t>
            </w:r>
          </w:p>
        </w:tc>
      </w:tr>
      <w:tr>
        <w:trPr>
          <w:trHeight w:val="257"/>
        </w:trPr>
        <w:tc>
          <w:tcPr>
            <w:tcW w:w="23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29"/>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Development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7"/>
        </w:trPr>
        <w:tc>
          <w:tcPr>
            <w:tcW w:w="23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0"/>
        </w:trPr>
        <w:tc>
          <w:tcPr>
            <w:tcW w:w="232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Beginning</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1,812</w:t>
            </w:r>
          </w:p>
        </w:tc>
        <w:tc>
          <w:tcPr>
            <w:tcW w:w="1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1,824</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1,520</w:t>
            </w:r>
          </w:p>
        </w:tc>
        <w:tc>
          <w:tcPr>
            <w:tcW w:w="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2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Opened</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Closed</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3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Ending</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1,804</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1,498</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113</w:t>
            </w:r>
          </w:p>
        </w:tc>
      </w:tr>
      <w:tr>
        <w:trPr>
          <w:trHeight w:val="210"/>
        </w:trPr>
        <w:tc>
          <w:tcPr>
            <w:tcW w:w="2320" w:type="dxa"/>
            <w:vAlign w:val="bottom"/>
            <w:shd w:val="clear" w:color="auto" w:fill="CCEEFF"/>
          </w:tcPr>
          <w:p>
            <w:pPr>
              <w:ind w:left="120"/>
              <w:spacing w:after="0" w:line="210" w:lineRule="exact"/>
              <w:rPr>
                <w:sz w:val="20"/>
                <w:szCs w:val="20"/>
                <w:color w:val="auto"/>
              </w:rPr>
            </w:pP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2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Beginning</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Opened</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3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Closed</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3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Ending</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Development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1,818</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1,814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1,569</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1,594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114</w:t>
            </w: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23"/>
        </w:trPr>
        <w:tc>
          <w:tcPr>
            <w:tcW w:w="23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23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Development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ind w:left="140" w:hanging="132"/>
        <w:spacing w:after="0" w:line="224" w:lineRule="auto"/>
        <w:tabs>
          <w:tab w:leader="none" w:pos="140"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calculation of franchise sales percentage change and average weekly unit sales excludes restaurants that were closed or acquired by the Company.</w:t>
      </w:r>
    </w:p>
    <w:p>
      <w:pPr>
        <w:ind w:left="160" w:hanging="152"/>
        <w:spacing w:after="0"/>
        <w:tabs>
          <w:tab w:leader="none" w:pos="16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Included in the IHOP franchise restaurants closed and IHOP company-owned restaurants opened are 10 restaurants acquired by the Company in March 2025. Included in the Applebee's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franchise restaurants closed and Applebee's company-owned restaurants opened are 12 restaurants acquired by the Company in February 2026.</w:t>
      </w:r>
    </w:p>
    <w:p>
      <w:pPr>
        <w:spacing w:after="0" w:line="1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Dual-branded restaurants are defined as restaurants that operate our IHOP and Applebee's restaurant concepts under two separate franchise agreements but within one restaurant location. Because of this, each dual-branded restaurant is counted in both IHOP and Applebee’s restaurant count and activity.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29, 2026, we had 35 dual-branded domestic IHOP and Applebee's restaurant locations. During the three months ended March 29, 2026, we had two existing company-owned Applebee's restaurants which added the IHOP brand, three existing Applebee's franchises which added the IHOP brand, one existing IHOP franchise which added the Applebee's brand, and two new franchise restaurants which added to both brands. This totaled 10 dual-branded domestic openings.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30, 2025, we had one existing IHOP franchise which added the Applebee's brand for a total of one dual-branded opening.</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29, 2026, we had 37 dual-branded international IHOP and Applebee's restaurant locations. During the three months ended March 29, 2026, we had five new franchise restaurants which added both brands. This totaled 10 dual-branded international openings.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30, 2025, we had 19 dual-branded international IHOP and Applebee's restaurant locations. During the three months ended March 30, 2025, we had one existing Applebee's franchise which added the IHOP brand for a total of one dual-branded international opening.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effects of the domestic and international restaurant count methodology described above: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Borders>
              <w:bottom w:val="single" w:sz="8" w:color="auto"/>
            </w:tcBorders>
            <w:gridSpan w:val="3"/>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IHOP</w:t>
            </w:r>
          </w:p>
        </w:tc>
        <w:tc>
          <w:tcPr>
            <w:tcW w:w="100" w:type="dxa"/>
            <w:vAlign w:val="bottom"/>
          </w:tcPr>
          <w:p>
            <w:pPr>
              <w:spacing w:after="0"/>
              <w:rPr>
                <w:sz w:val="20"/>
                <w:szCs w:val="20"/>
                <w:color w:val="auto"/>
              </w:rPr>
            </w:pPr>
          </w:p>
        </w:tc>
        <w:tc>
          <w:tcPr>
            <w:tcW w:w="1900" w:type="dxa"/>
            <w:vAlign w:val="bottom"/>
            <w:tcBorders>
              <w:bottom w:val="single" w:sz="8" w:color="auto"/>
            </w:tcBorders>
            <w:gridSpan w:val="3"/>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0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Dual-Branded</w:t>
            </w:r>
          </w:p>
        </w:tc>
        <w:tc>
          <w:tcPr>
            <w:tcW w:w="10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90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6"/>
                <w:szCs w:val="16"/>
                <w:b w:val="1"/>
                <w:bCs w:val="1"/>
                <w:color w:val="auto"/>
              </w:rPr>
              <w:t>March 30,</w:t>
            </w:r>
          </w:p>
        </w:tc>
        <w:tc>
          <w:tcPr>
            <w:tcW w:w="100" w:type="dxa"/>
            <w:vAlign w:val="bottom"/>
          </w:tcPr>
          <w:p>
            <w:pPr>
              <w:spacing w:after="0"/>
              <w:rPr>
                <w:sz w:val="13"/>
                <w:szCs w:val="13"/>
                <w:color w:val="auto"/>
              </w:rPr>
            </w:pPr>
          </w:p>
        </w:tc>
        <w:tc>
          <w:tcPr>
            <w:tcW w:w="90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90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6"/>
                <w:szCs w:val="16"/>
                <w:b w:val="1"/>
                <w:bCs w:val="1"/>
                <w:color w:val="auto"/>
              </w:rPr>
              <w:t>March 30,</w:t>
            </w:r>
          </w:p>
        </w:tc>
        <w:tc>
          <w:tcPr>
            <w:tcW w:w="100" w:type="dxa"/>
            <w:vAlign w:val="bottom"/>
          </w:tcPr>
          <w:p>
            <w:pPr>
              <w:spacing w:after="0"/>
              <w:rPr>
                <w:sz w:val="13"/>
                <w:szCs w:val="13"/>
                <w:color w:val="auto"/>
              </w:rPr>
            </w:pPr>
          </w:p>
        </w:tc>
        <w:tc>
          <w:tcPr>
            <w:tcW w:w="920" w:type="dxa"/>
            <w:vAlign w:val="bottom"/>
          </w:tcPr>
          <w:p>
            <w:pPr>
              <w:jc w:val="right"/>
              <w:ind w:right="31"/>
              <w:spacing w:after="0" w:line="155"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80" w:type="dxa"/>
            <w:vAlign w:val="bottom"/>
          </w:tcPr>
          <w:p>
            <w:pPr>
              <w:spacing w:after="0"/>
              <w:rPr>
                <w:sz w:val="13"/>
                <w:szCs w:val="13"/>
                <w:color w:val="auto"/>
              </w:rPr>
            </w:pPr>
          </w:p>
        </w:tc>
        <w:tc>
          <w:tcPr>
            <w:tcW w:w="92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6"/>
                <w:szCs w:val="16"/>
                <w:b w:val="1"/>
                <w:bCs w:val="1"/>
                <w:color w:val="auto"/>
              </w:rPr>
              <w:t>March 30,</w:t>
            </w:r>
          </w:p>
        </w:tc>
        <w:tc>
          <w:tcPr>
            <w:tcW w:w="100" w:type="dxa"/>
            <w:vAlign w:val="bottom"/>
          </w:tcPr>
          <w:p>
            <w:pPr>
              <w:spacing w:after="0"/>
              <w:rPr>
                <w:sz w:val="13"/>
                <w:szCs w:val="13"/>
                <w:color w:val="auto"/>
              </w:rPr>
            </w:pPr>
          </w:p>
        </w:tc>
        <w:tc>
          <w:tcPr>
            <w:tcW w:w="92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6"/>
                <w:szCs w:val="16"/>
                <w:b w:val="1"/>
                <w:bCs w:val="1"/>
                <w:color w:val="auto"/>
              </w:rPr>
              <w:t>March 29,</w:t>
            </w:r>
          </w:p>
        </w:tc>
        <w:tc>
          <w:tcPr>
            <w:tcW w:w="100" w:type="dxa"/>
            <w:vAlign w:val="bottom"/>
          </w:tcPr>
          <w:p>
            <w:pPr>
              <w:spacing w:after="0"/>
              <w:rPr>
                <w:sz w:val="13"/>
                <w:szCs w:val="13"/>
                <w:color w:val="auto"/>
              </w:rPr>
            </w:pPr>
          </w:p>
        </w:tc>
        <w:tc>
          <w:tcPr>
            <w:tcW w:w="900" w:type="dxa"/>
            <w:vAlign w:val="bottom"/>
          </w:tcPr>
          <w:p>
            <w:pPr>
              <w:jc w:val="right"/>
              <w:ind w:right="11"/>
              <w:spacing w:after="0" w:line="155" w:lineRule="exact"/>
              <w:rPr>
                <w:sz w:val="20"/>
                <w:szCs w:val="20"/>
                <w:color w:val="auto"/>
              </w:rPr>
            </w:pPr>
            <w:r>
              <w:rPr>
                <w:rFonts w:ascii="Times New Roman" w:cs="Times New Roman" w:eastAsia="Times New Roman" w:hAnsi="Times New Roman"/>
                <w:sz w:val="16"/>
                <w:szCs w:val="16"/>
                <w:b w:val="1"/>
                <w:bCs w:val="1"/>
                <w:color w:val="auto"/>
              </w:rPr>
              <w:t>March 30,</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18"/>
                <w:szCs w:val="18"/>
                <w:color w:val="auto"/>
              </w:rPr>
            </w:pPr>
          </w:p>
        </w:tc>
        <w:tc>
          <w:tcPr>
            <w:tcW w:w="1000" w:type="dxa"/>
            <w:vAlign w:val="bottom"/>
            <w:gridSpan w:val="2"/>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0" w:type="dxa"/>
            <w:vAlign w:val="bottom"/>
            <w:gridSpan w:val="2"/>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0" w:type="dxa"/>
            <w:vAlign w:val="bottom"/>
            <w:gridSpan w:val="2"/>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gridSpan w:val="2"/>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0" w:type="dxa"/>
            <w:vAlign w:val="bottom"/>
            <w:gridSpan w:val="2"/>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38"/>
        </w:trPr>
        <w:tc>
          <w:tcPr>
            <w:tcW w:w="2920" w:type="dxa"/>
            <w:vAlign w:val="bottom"/>
          </w:tcPr>
          <w:p>
            <w:pPr>
              <w:spacing w:after="0"/>
              <w:rPr>
                <w:sz w:val="20"/>
                <w:szCs w:val="20"/>
                <w:color w:val="auto"/>
              </w:rPr>
            </w:pPr>
          </w:p>
        </w:tc>
        <w:tc>
          <w:tcPr>
            <w:tcW w:w="100" w:type="dxa"/>
            <w:vAlign w:val="bottom"/>
            <w:vMerge w:val="restart"/>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vMerge w:val="restart"/>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vMerge w:val="restart"/>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vMerge w:val="continue"/>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vMerge w:val="continue"/>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vMerge w:val="continue"/>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vMerge w:val="continue"/>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vMerge w:val="continue"/>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vMerge w:val="continue"/>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Development</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1,818</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1,814</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1,569</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c>
          <w:tcPr>
            <w:tcW w:w="10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3,387</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3,408</w:t>
            </w:r>
          </w:p>
        </w:tc>
        <w:tc>
          <w:tcPr>
            <w:tcW w:w="0" w:type="dxa"/>
            <w:vAlign w:val="bottom"/>
          </w:tcPr>
          <w:p>
            <w:pPr>
              <w:spacing w:after="0"/>
              <w:rPr>
                <w:sz w:val="1"/>
                <w:szCs w:val="1"/>
                <w:color w:val="auto"/>
              </w:rPr>
            </w:pPr>
          </w:p>
        </w:tc>
      </w:tr>
      <w:tr>
        <w:trPr>
          <w:trHeight w:val="229"/>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Domestic Dual-Branded</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International Dual-Branded</w:t>
            </w: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Franchise</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Locations</w:t>
            </w:r>
          </w:p>
        </w:tc>
        <w:tc>
          <w:tcPr>
            <w:tcW w:w="100" w:type="dxa"/>
            <w:vAlign w:val="bottom"/>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1,746</w:t>
            </w:r>
          </w:p>
        </w:tc>
        <w:tc>
          <w:tcPr>
            <w:tcW w:w="100" w:type="dxa"/>
            <w:vAlign w:val="bottom"/>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1,794</w:t>
            </w:r>
          </w:p>
        </w:tc>
        <w:tc>
          <w:tcPr>
            <w:tcW w:w="100" w:type="dxa"/>
            <w:vAlign w:val="bottom"/>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w:t>
            </w:r>
          </w:p>
        </w:tc>
        <w:tc>
          <w:tcPr>
            <w:tcW w:w="100" w:type="dxa"/>
            <w:vAlign w:val="bottom"/>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w:t>
            </w:r>
          </w:p>
        </w:tc>
        <w:tc>
          <w:tcPr>
            <w:tcW w:w="100" w:type="dxa"/>
            <w:vAlign w:val="bottom"/>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3,315</w:t>
            </w:r>
          </w:p>
        </w:tc>
        <w:tc>
          <w:tcPr>
            <w:tcW w:w="100" w:type="dxa"/>
            <w:vAlign w:val="bottom"/>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3,388</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our dual-branded business expands, we may reevaluate how these restaurants are counted in future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308610</wp:posOffset>
            </wp:positionV>
            <wp:extent cx="5357495" cy="23571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5749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IHOP's system domestic same-restaurant sales remained flat for the three months ended March 29, 2026 as compared to the respective prior year period, due to an increase in average check offset by a decrease in traffic.</w:t>
      </w:r>
    </w:p>
    <w:p>
      <w:pPr>
        <w:spacing w:after="0" w:line="4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IHOP domestic same-restaurant sales outperformed for the three months ended March 29, 2026 in the family dining category (excluding IHOP).</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According to Black Box, the family dining category experienced a decrease in same-restaurant sales resulting from a decrease in customer traffic, partially offset by an increase in average customer check for the three months ended March 29, 2026.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95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8"/>
        </w:trPr>
        <w:tc>
          <w:tcPr>
            <w:tcW w:w="744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25"/>
        </w:trPr>
        <w:tc>
          <w:tcPr>
            <w:tcW w:w="74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155.7</w:t>
            </w:r>
          </w:p>
        </w:tc>
        <w:tc>
          <w:tcPr>
            <w:tcW w:w="80" w:type="dxa"/>
            <w:vAlign w:val="bottom"/>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153.8</w:t>
            </w:r>
          </w:p>
        </w:tc>
      </w:tr>
      <w:tr>
        <w:trPr>
          <w:trHeight w:val="230"/>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r>
    </w:tbl>
    <w:p>
      <w:pPr>
        <w:spacing w:after="0" w:line="166" w:lineRule="exact"/>
        <w:rPr>
          <w:sz w:val="20"/>
          <w:szCs w:val="20"/>
          <w:color w:val="auto"/>
        </w:rPr>
      </w:pPr>
    </w:p>
    <w:p>
      <w:pPr>
        <w:ind w:left="160" w:hanging="152"/>
        <w:spacing w:after="0"/>
        <w:tabs>
          <w:tab w:leader="none" w:pos="16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to-go, delivery and catering sales.</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IHOP's off-premise sales for the three months ended March 29, 2026 increased by $1.9 million, as compared to the respective prior year period primarily due to the brand's focus on proven delivery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54610</wp:posOffset>
            </wp:positionV>
            <wp:extent cx="5357495" cy="23571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57495"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Applebee’s system domestic same-restaurant sales increased 1.9% for the three months ended March 29, 2026 as compared to the respective prior year period. The increase was due to an increase in average check partially offset by a decrease in traffic.</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from Black Box, Applebee's domestic same-restaurant sales for the three months ended March 29, 2026 outperformed the casual dining category (excluding Applebee's). Black Box reported the casual dining category experienced a same-restaurant sales increase for the three months ended March 29, 2026 driven by an increase in average customer check, partially offset by a decrease in customer traffic.</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08"/>
        </w:trPr>
        <w:tc>
          <w:tcPr>
            <w:tcW w:w="7160" w:type="dxa"/>
            <w:vAlign w:val="bottom"/>
            <w:tcBorders>
              <w:bottom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March 30, 2025</w:t>
            </w:r>
          </w:p>
        </w:tc>
      </w:tr>
      <w:tr>
        <w:trPr>
          <w:trHeight w:val="225"/>
        </w:trPr>
        <w:tc>
          <w:tcPr>
            <w:tcW w:w="71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3"/>
                <w:szCs w:val="23"/>
                <w:color w:val="auto"/>
                <w:vertAlign w:val="superscript"/>
              </w:rPr>
              <w:t>(1)</w:t>
            </w:r>
          </w:p>
        </w:tc>
        <w:tc>
          <w:tcPr>
            <w:tcW w:w="80" w:type="dxa"/>
            <w:vAlign w:val="bottom"/>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241.8</w:t>
            </w:r>
          </w:p>
        </w:tc>
      </w:tr>
      <w:tr>
        <w:trPr>
          <w:trHeight w:val="229"/>
        </w:trPr>
        <w:tc>
          <w:tcPr>
            <w:tcW w:w="7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r>
    </w:tbl>
    <w:p>
      <w:pPr>
        <w:spacing w:after="0" w:line="180" w:lineRule="exact"/>
        <w:rPr>
          <w:sz w:val="20"/>
          <w:szCs w:val="20"/>
          <w:color w:val="auto"/>
        </w:rPr>
      </w:pPr>
    </w:p>
    <w:p>
      <w:pPr>
        <w:ind w:left="140" w:hanging="132"/>
        <w:spacing w:after="0"/>
        <w:tabs>
          <w:tab w:leader="none" w:pos="14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Primarily to-go, delivery and catering sales.</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Applebee's off-premise sales for the three months ended March 29, 2026 increased $5.9 million as compared to the respective prior year period primarily due to limited time offers paired with delivery and digital promotions.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Domestic Same-Restaurant Sales - Fuzzy's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Fuzzy's system domestic same-restaurant sales increased 2.4% for the three months ended March 29, 2026 as compared to the respective prior year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an increase in average check resulting primarily from menu price increases, partially offset by a decrease in traffic.</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Results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6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Franchise Segment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8"/>
        </w:trPr>
        <w:tc>
          <w:tcPr>
            <w:tcW w:w="4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6"/>
        </w:trPr>
        <w:tc>
          <w:tcPr>
            <w:tcW w:w="4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42"/>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Revenues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IHOP</w:t>
            </w:r>
          </w:p>
        </w:tc>
        <w:tc>
          <w:tcPr>
            <w:tcW w:w="80" w:type="dxa"/>
            <w:vAlign w:val="bottom"/>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Applebee's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ind w:left="652"/>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Fuzzy's</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2"/>
              <w:spacing w:after="0"/>
              <w:rPr>
                <w:sz w:val="20"/>
                <w:szCs w:val="20"/>
                <w:color w:val="auto"/>
              </w:rPr>
            </w:pPr>
            <w:r>
              <w:rPr>
                <w:rFonts w:ascii="Times New Roman" w:cs="Times New Roman" w:eastAsia="Times New Roman" w:hAnsi="Times New Roman"/>
                <w:sz w:val="18"/>
                <w:szCs w:val="18"/>
                <w:color w:val="auto"/>
                <w:w w:val="97"/>
              </w:rPr>
              <w:t>0.5</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Expenses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IHOP</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Applebee's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center"/>
              <w:ind w:left="672"/>
              <w:spacing w:after="0"/>
              <w:rPr>
                <w:sz w:val="20"/>
                <w:szCs w:val="20"/>
                <w:color w:val="auto"/>
              </w:rPr>
            </w:pPr>
            <w:r>
              <w:rPr>
                <w:rFonts w:ascii="Times New Roman" w:cs="Times New Roman" w:eastAsia="Times New Roman" w:hAnsi="Times New Roman"/>
                <w:sz w:val="18"/>
                <w:szCs w:val="18"/>
                <w:color w:val="auto"/>
                <w:w w:val="97"/>
              </w:rPr>
              <w:t>0.4</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Fuzzy's</w:t>
            </w:r>
          </w:p>
        </w:tc>
        <w:tc>
          <w:tcPr>
            <w:tcW w:w="8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Advertising</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80" w:type="dxa"/>
            <w:vAlign w:val="bottom"/>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80" w:type="dxa"/>
            <w:vAlign w:val="bottom"/>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652"/>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Segment Profit</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center"/>
              <w:ind w:left="652"/>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1"/>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franchise segment profit decreased $2.6 million in the three months ended March 29, 2026 as compared to the same respective period of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revenues decreased as a result of the following:</w:t>
      </w:r>
    </w:p>
    <w:p>
      <w:pPr>
        <w:spacing w:after="0" w:line="117" w:lineRule="exact"/>
        <w:rPr>
          <w:sz w:val="20"/>
          <w:szCs w:val="20"/>
          <w:color w:val="auto"/>
        </w:rPr>
      </w:pPr>
    </w:p>
    <w:p>
      <w:pPr>
        <w:jc w:val="both"/>
        <w:ind w:left="820" w:hanging="326"/>
        <w:spacing w:after="0" w:line="255"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IHOP franchise revenue decreased $1.7 million primarily due to a decrease in proprietary product sales, decreased performance of international franchisees and less fees related to franchisee terminations in the current year. The decrease in proprietary product sales was primarily due to timing of sales to our distribution partners. The decrease in franchise termination fees was primarily due to fewer franchisee restaurant closures as compared to the respective prior year period of 2025.</w:t>
      </w:r>
    </w:p>
    <w:p>
      <w:pPr>
        <w:spacing w:after="0" w:line="2"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franchise revenue decreased $0.1 million primarily due to a decrease in the number of franchise restaurants due in part to the acquisition of 12 Applebee’s restaurants in May 2025 and 12 Applebee's restaurants in February 2026. The decrease was partially offset by a 1.9% increase in franchise domestic same-restaurant sales and an increase in forfeited franchise fees due to restaurant closures.</w:t>
      </w:r>
    </w:p>
    <w:p>
      <w:pPr>
        <w:spacing w:after="0" w:line="1" w:lineRule="exact"/>
        <w:rPr>
          <w:rFonts w:ascii="Times New Roman" w:cs="Times New Roman" w:eastAsia="Times New Roman" w:hAnsi="Times New Roman"/>
          <w:sz w:val="18"/>
          <w:szCs w:val="18"/>
          <w:color w:val="auto"/>
        </w:rPr>
      </w:pPr>
    </w:p>
    <w:p>
      <w:pPr>
        <w:ind w:left="820" w:hanging="326"/>
        <w:spacing w:after="0" w:line="250"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Fuzzy’s franchise revenue decreased $0.2 million primarily due to a decrease in royalty revenues and proprietary product sales as a result of a decrease in the number of franchise restaurants.</w:t>
      </w:r>
    </w:p>
    <w:p>
      <w:pPr>
        <w:ind w:left="820" w:right="20" w:hanging="326"/>
        <w:spacing w:after="0" w:line="260" w:lineRule="auto"/>
        <w:tabs>
          <w:tab w:leader="none" w:pos="8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increased $0.5 million due to a 1.9% increase in Applebee's domestic same-restaurant sales and a 2.4% increase in Fuzzy's domestic same-restaurant sales, partially offset by a decrease in the number of Applebee's and Fuzzy's franchise restaurants.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expenses increased as a result of the following:</w:t>
      </w:r>
    </w:p>
    <w:p>
      <w:pPr>
        <w:spacing w:after="0" w:line="117" w:lineRule="exact"/>
        <w:rPr>
          <w:sz w:val="20"/>
          <w:szCs w:val="20"/>
          <w:color w:val="auto"/>
        </w:rPr>
      </w:pPr>
    </w:p>
    <w:p>
      <w:pPr>
        <w:ind w:left="820" w:hanging="326"/>
        <w:spacing w:after="0" w:line="261"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IHOP franchise expenses increased $0.8 million primarily due to an increase in bad debt reserves, partially offset by a decrease in the cost of proprietary product sales.</w:t>
      </w:r>
    </w:p>
    <w:p>
      <w:pPr>
        <w:ind w:left="820" w:hanging="326"/>
        <w:spacing w:after="0" w:line="250" w:lineRule="auto"/>
        <w:tabs>
          <w:tab w:leader="none" w:pos="8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franchise expenses decreased $0.4 million primarily due to a decrease in bad debt reserves as compared to the respective prior year period of 2025.</w:t>
      </w: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Fuzzy’s franchise expense increased $0.2 million primarily due to an increase in bad debt reserves.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expenses increased $0.5 million given the increase in advertising revenue.</w:t>
      </w:r>
    </w:p>
    <w:p>
      <w:pPr>
        <w:spacing w:after="0" w:line="1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Company-Owned Restaurant Segment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8"/>
        </w:trPr>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4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Company-owned restaurant revenues</w:t>
            </w:r>
          </w:p>
        </w:tc>
        <w:tc>
          <w:tcPr>
            <w:tcW w:w="8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4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Company-owned restaurant expenses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Company-owned restaurant segment loss</w:t>
            </w:r>
          </w:p>
        </w:tc>
        <w:tc>
          <w:tcPr>
            <w:tcW w:w="8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February 2026, the Company acquired 12 Applebee's restaurants from a franchisee. As of March 29, 2026, the Company owned 86 restaurants compared to 58 restaurants as of March 30, 2025. The change in company-owned restaurant revenue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expenses is primarily driven by the increase in the number and timing of restaurants acquired since Q1 2025. Company-owned restaurant segment loss for the three months ended March 29, 2026 was primarily due to costs of transitioning the restaurants, including closures from remodeling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Segment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8"/>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2"/>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Rental revenues</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w w:val="98"/>
              </w:rPr>
              <w:t>(0.2)</w:t>
            </w:r>
          </w:p>
        </w:tc>
      </w:tr>
      <w:tr>
        <w:trPr>
          <w:trHeight w:val="230"/>
        </w:trPr>
        <w:tc>
          <w:tcPr>
            <w:tcW w:w="46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Rental expenses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732"/>
              <w:spacing w:after="0"/>
              <w:rPr>
                <w:sz w:val="20"/>
                <w:szCs w:val="20"/>
                <w:color w:val="auto"/>
              </w:rPr>
            </w:pPr>
            <w:r>
              <w:rPr>
                <w:rFonts w:ascii="Times New Roman" w:cs="Times New Roman" w:eastAsia="Times New Roman" w:hAnsi="Times New Roman"/>
                <w:sz w:val="18"/>
                <w:szCs w:val="18"/>
                <w:color w:val="auto"/>
                <w:w w:val="97"/>
              </w:rPr>
              <w:t>0.7</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Segment Profit</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center"/>
              <w:ind w:left="732"/>
              <w:spacing w:after="0"/>
              <w:rPr>
                <w:sz w:val="20"/>
                <w:szCs w:val="20"/>
                <w:color w:val="auto"/>
              </w:rPr>
            </w:pPr>
            <w:r>
              <w:rPr>
                <w:rFonts w:ascii="Times New Roman" w:cs="Times New Roman" w:eastAsia="Times New Roman" w:hAnsi="Times New Roman"/>
                <w:sz w:val="18"/>
                <w:szCs w:val="18"/>
                <w:b w:val="1"/>
                <w:bCs w:val="1"/>
                <w:color w:val="auto"/>
                <w:w w:val="97"/>
              </w:rPr>
              <w:t>0.5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Rental segment profit for the three months ended March 29, 2026 increased compared to the respective prior year period, primarily due to a non-recurring impairment of a lease asset in the respective prior year period.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Non-Segment Items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8"/>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March 30, 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6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general and administrative expenses for the three months ended March 29, 2026 increased $1.8 million, primarily due to an increase in employee costs as we invest in training, development, and operations related to dual-branded and company-owned restaurants, partially offset by a decrease in professional service fees due to higher litigation expenses incurred in the prior year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March 30, 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vMerge w:val="continue"/>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vMerge w:val="continue"/>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net, increased $4.1 million for the three months ended March 29, 2026, primarily due to the refinancing of our 2025 Class A-2 Notes at a higher interest rate and an increased principal in June 2025, and a decrease to interest income due to reduced cash balances.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Closure and Impairment Charges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08"/>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 impairment charges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29, 2026, we recorded $0.8 million of an increase in reserves related to properties for which we are the lessee but have ceased using the property in prior periods. This compares to closure and other asset impairment charges for the three months ended March 30, 2025 primarily related to the impairment of an asset upon the closure of certain IHOP restaurants in March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March 30, 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vMerge w:val="continue"/>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vMerge w:val="continue"/>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vMerge w:val="continue"/>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20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primarily relates to Applebee's and Fuzzy's franchise rights. Amortization increased $1.1 million compared to the same respective prior period due to the reclassification of certain indefinite-lived intangible assets to finite-lived. In addition, in the current year certain finite-lived intangible assets useful lives were shortened.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Assets</w:t>
            </w:r>
          </w:p>
        </w:tc>
        <w:tc>
          <w:tcPr>
            <w:tcW w:w="100" w:type="dxa"/>
            <w:vAlign w:val="bottom"/>
          </w:tcPr>
          <w:p>
            <w:pPr>
              <w:spacing w:after="0"/>
              <w:rPr>
                <w:sz w:val="20"/>
                <w:szCs w:val="20"/>
                <w:color w:val="auto"/>
              </w:rPr>
            </w:pPr>
          </w:p>
        </w:tc>
        <w:tc>
          <w:tcPr>
            <w:tcW w:w="292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8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vMerge w:val="continue"/>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vMerge w:val="continue"/>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vMerge w:val="continue"/>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gain on disposition of assets for the three months ended March 29, 2026 primarily relates to the sale of land and building on which two IHOP properties were located.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9"/>
              </w:rPr>
              <w:t>March 30, 2025</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8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vMerge w:val="continue"/>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vMerge w:val="continue"/>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27.3 %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35.9 %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March 29, 2026 was lower than the rate of the prior comparable period primarily due to a higher tax deduction related to stock-based compensation resulting from an increase in our share price.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cash balances including restricted cash, net of revolving credit facility borrowings, at March 29, 2026 and December 28, 2025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28, 2025</w:t>
            </w:r>
          </w:p>
        </w:tc>
      </w:tr>
      <w:tr>
        <w:trPr>
          <w:trHeight w:val="187"/>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20" w:type="dxa"/>
            <w:vAlign w:val="bottom"/>
            <w:gridSpan w:val="4"/>
          </w:tcPr>
          <w:p>
            <w:pPr>
              <w:jc w:val="right"/>
              <w:ind w:right="141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3"/>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restricted cash and cash equivalents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Revolving credit facility borrowing</w:t>
            </w:r>
          </w:p>
        </w:tc>
        <w:tc>
          <w:tcPr>
            <w:tcW w:w="100" w:type="dxa"/>
            <w:vAlign w:val="bottom"/>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restricted cash and cash equivalents, net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0"/>
        </w:trPr>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cash flows for the three months ended March 29, 2026 and March 30, 2025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6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6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2"/>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6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1"/>
        </w:trPr>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decreased $8.6 million during the three months ended March 29, 2026 compared to the same period of the prior year. This decrease was primarily attributable to the impact of performance plan compensation payments. This was partially offset by a decrease in income tax payments compared to the same period of the prior year.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activities used net cash of $7.7 million for the three months ended March 29, 2026 compared to using net cash of $1.9 million during the comparable prior period. The increase in cash used in investing activities is largely driven by the remodels and construction of the company-owned restaurants partially offset by the sale of two properties.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financing activities increased $16.2 million for the three months ended March 29, 2026. The increase in cash used in financing activities was primarily due to $22.0 million in repurchases of common stock, partially offset by a decrease in dividends paid.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In addition to the below, see </w:t>
      </w:r>
      <w:r>
        <w:rPr>
          <w:rFonts w:ascii="Times New Roman" w:cs="Times New Roman" w:eastAsia="Times New Roman" w:hAnsi="Times New Roman"/>
          <w:sz w:val="18"/>
          <w:szCs w:val="18"/>
          <w:i w:val="1"/>
          <w:iCs w:val="1"/>
          <w:color w:val="auto"/>
        </w:rPr>
        <w:t>Note 7 — Long-Term Debt</w:t>
      </w:r>
      <w:r>
        <w:rPr>
          <w:rFonts w:ascii="Times New Roman" w:cs="Times New Roman" w:eastAsia="Times New Roman" w:hAnsi="Times New Roman"/>
          <w:sz w:val="18"/>
          <w:szCs w:val="18"/>
          <w:color w:val="auto"/>
        </w:rPr>
        <w:t>, of the Notes to Condensed Consolidated Financial Statements, for additional detail on long-term debt, including key provisions potentially impacting liquidity.</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March 29, 2026, the make-whole premium associated with voluntary prepayment of the 2023 Class A-2 Notes was approximately $12.1 million and for the 2025 Class A-2 Notes was approximately $29.8 million. We also would be subject to a make-whole premium in the event of a mandatory prepayment required following certain rapid amortization events or certain asset dispositions.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29, 2026 and March 30, 2025, we declared and paid dividends of $2.5 million and $7.8 million on common stock as shown in </w:t>
      </w:r>
      <w:r>
        <w:rPr>
          <w:rFonts w:ascii="Times New Roman" w:cs="Times New Roman" w:eastAsia="Times New Roman" w:hAnsi="Times New Roman"/>
          <w:sz w:val="18"/>
          <w:szCs w:val="18"/>
          <w:i w:val="1"/>
          <w:iCs w:val="1"/>
          <w:color w:val="auto"/>
        </w:rPr>
        <w:t>Note 8 - Stockholders' Deficit</w:t>
      </w:r>
      <w:r>
        <w:rPr>
          <w:rFonts w:ascii="Times New Roman" w:cs="Times New Roman" w:eastAsia="Times New Roman" w:hAnsi="Times New Roman"/>
          <w:sz w:val="18"/>
          <w:szCs w:val="18"/>
          <w:color w:val="auto"/>
        </w:rPr>
        <w:t>, of the Notes to the Condensed Consolidated Financial Statements. On February 20, 2026, our Board of Directors declared a first quarter 2026 cash dividend of $0.19 per share of common stock, payable on April 10, 2026 to the stockholders of record as of the close of business on March 18,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share repurchase program, effective April 1, 2022, of up to $250 million (the "2022 Repurchase Program"). A summary of shares repurchased under the 2022 Repurchase Program, during the three months ended March 29, 2026 and cumulatively,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Repurchase Program</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Cost of shares</w:t>
            </w:r>
          </w:p>
        </w:tc>
        <w:tc>
          <w:tcPr>
            <w:tcW w:w="0" w:type="dxa"/>
            <w:vAlign w:val="bottom"/>
          </w:tcPr>
          <w:p>
            <w:pPr>
              <w:spacing w:after="0"/>
              <w:rPr>
                <w:sz w:val="1"/>
                <w:szCs w:val="1"/>
                <w:color w:val="auto"/>
              </w:rPr>
            </w:pPr>
          </w:p>
        </w:tc>
      </w:tr>
      <w:tr>
        <w:trPr>
          <w:trHeight w:val="213"/>
        </w:trPr>
        <w:tc>
          <w:tcPr>
            <w:tcW w:w="6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three months ended March 29, 2026</w:t>
            </w:r>
          </w:p>
        </w:tc>
        <w:tc>
          <w:tcPr>
            <w:tcW w:w="100" w:type="dxa"/>
            <w:vAlign w:val="bottom"/>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623,592</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30"/>
        </w:trPr>
        <w:tc>
          <w:tcPr>
            <w:tcW w:w="6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4,841,627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22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00" w:type="dxa"/>
            <w:vAlign w:val="bottom"/>
          </w:tcPr>
          <w:p>
            <w:pPr>
              <w:spacing w:after="0"/>
              <w:rPr>
                <w:sz w:val="19"/>
                <w:szCs w:val="19"/>
                <w:color w:val="auto"/>
              </w:rPr>
            </w:pPr>
          </w:p>
        </w:tc>
        <w:tc>
          <w:tcPr>
            <w:tcW w:w="13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also repurchase shares owned and tendered by employees to satisfy tax withholding obligations on the vesting of restricted stock awards. Shares are deemed purchased at the closing price of our common stock on the vesting date. See Part II, Item 2 of this Form 10-Q for detail of this stock repurchase activity during the three months ended March 29, 2026.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We believe it is important for investors to have the same measure used by management for that purpose. Adjusted free cash flow does not represent residual cash flow available for discretionary purposes.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free cash flow is a non-GAAP measure. This non-GAAP measure is not defined in the same manner by all companies and may not be comparable to other similarly titled measures of other companies. Non-GAAP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111" w:lineRule="exact"/>
        <w:rPr>
          <w:sz w:val="20"/>
          <w:szCs w:val="20"/>
          <w:color w:val="auto"/>
        </w:rPr>
      </w:pPr>
    </w:p>
    <w:tbl>
      <w:tblPr>
        <w:tblLayout w:type="fixed"/>
        <w:tblInd w:w="102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4"/>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March 29, 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March 30, 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receipts from notes and equipment receivables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free cash flow</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adjusted free cash flow for the three months ended March 29, 2026 compared to the same period of 2025 was primarily due to the increase in additions to property and equipment and the decrease in cash provided by operating activities as discussed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28,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9" w:lineRule="exact"/>
        <w:rPr>
          <w:sz w:val="20"/>
          <w:szCs w:val="20"/>
          <w:color w:val="auto"/>
        </w:rPr>
      </w:pPr>
    </w:p>
    <w:p>
      <w:pPr>
        <w:jc w:val="both"/>
        <w:ind w:firstLine="46"/>
        <w:spacing w:after="0" w:line="267" w:lineRule="auto"/>
        <w:rPr>
          <w:sz w:val="20"/>
          <w:szCs w:val="20"/>
          <w:color w:val="auto"/>
        </w:rPr>
      </w:pPr>
      <w:r>
        <w:rPr>
          <w:rFonts w:ascii="Times New Roman" w:cs="Times New Roman" w:eastAsia="Times New Roman" w:hAnsi="Times New Roman"/>
          <w:sz w:val="18"/>
          <w:szCs w:val="18"/>
          <w:color w:val="auto"/>
        </w:rPr>
        <w:t xml:space="preserve">A discussion of our critical accounting policies and estimates and the related assumptions used in their application is included in </w:t>
      </w:r>
      <w:r>
        <w:rPr>
          <w:rFonts w:ascii="Times New Roman" w:cs="Times New Roman" w:eastAsia="Times New Roman" w:hAnsi="Times New Roman"/>
          <w:sz w:val="18"/>
          <w:szCs w:val="18"/>
          <w:i w:val="1"/>
          <w:iCs w:val="1"/>
          <w:color w:val="auto"/>
        </w:rPr>
        <w:t>Item 7 -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contained in our Annual Report on Form 10-K for the year ended December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from the information contained in the Company’s Annual Report on Form 10-K for the year ended December 28,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20" w:firstLine="42"/>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28, 2025.</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Company</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6"/>
        </w:trPr>
        <w:tc>
          <w:tcPr>
            <w:tcW w:w="26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680" w:type="dxa"/>
            <w:vAlign w:val="bottom"/>
          </w:tcPr>
          <w:p>
            <w:pPr>
              <w:spacing w:after="0"/>
              <w:rPr>
                <w:sz w:val="11"/>
                <w:szCs w:val="11"/>
                <w:color w:val="auto"/>
              </w:rPr>
            </w:pPr>
          </w:p>
        </w:tc>
        <w:tc>
          <w:tcPr>
            <w:tcW w:w="3140" w:type="dxa"/>
            <w:vAlign w:val="bottom"/>
            <w:vMerge w:val="restart"/>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40" w:type="dxa"/>
            <w:vAlign w:val="bottom"/>
            <w:vMerge w:val="continue"/>
          </w:tcPr>
          <w:p>
            <w:pPr>
              <w:spacing w:after="0"/>
              <w:rPr>
                <w:sz w:val="11"/>
                <w:szCs w:val="11"/>
                <w:color w:val="auto"/>
              </w:rPr>
            </w:pPr>
          </w:p>
        </w:tc>
        <w:tc>
          <w:tcPr>
            <w:tcW w:w="150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 Period</w:t>
            </w:r>
          </w:p>
        </w:tc>
        <w:tc>
          <w:tcPr>
            <w:tcW w:w="3140" w:type="dxa"/>
            <w:vAlign w:val="bottom"/>
            <w:vMerge w:val="continue"/>
          </w:tcPr>
          <w:p>
            <w:pPr>
              <w:spacing w:after="0"/>
              <w:rPr>
                <w:sz w:val="12"/>
                <w:szCs w:val="12"/>
                <w:color w:val="auto"/>
              </w:rPr>
            </w:pP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50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203"/>
        </w:trPr>
        <w:tc>
          <w:tcPr>
            <w:tcW w:w="2680" w:type="dxa"/>
            <w:vAlign w:val="bottom"/>
            <w:vMerge w:val="continue"/>
          </w:tcPr>
          <w:p>
            <w:pPr>
              <w:spacing w:after="0"/>
              <w:rPr>
                <w:sz w:val="17"/>
                <w:szCs w:val="17"/>
                <w:color w:val="auto"/>
              </w:rPr>
            </w:pPr>
          </w:p>
        </w:tc>
        <w:tc>
          <w:tcPr>
            <w:tcW w:w="3140" w:type="dxa"/>
            <w:vAlign w:val="bottom"/>
          </w:tcPr>
          <w:p>
            <w:pPr>
              <w:jc w:val="center"/>
              <w:ind w:left="1408"/>
              <w:spacing w:after="0" w:line="202" w:lineRule="exact"/>
              <w:rPr>
                <w:sz w:val="20"/>
                <w:szCs w:val="20"/>
                <w:color w:val="auto"/>
              </w:rPr>
            </w:pPr>
            <w:r>
              <w:rPr>
                <w:rFonts w:ascii="Times New Roman" w:cs="Times New Roman" w:eastAsia="Times New Roman" w:hAnsi="Times New Roman"/>
                <w:sz w:val="14"/>
                <w:szCs w:val="14"/>
                <w:b w:val="1"/>
                <w:bCs w:val="1"/>
                <w:color w:val="auto"/>
                <w:w w:val="95"/>
              </w:rPr>
              <w:t>shares</w:t>
            </w:r>
            <w:r>
              <w:rPr>
                <w:rFonts w:ascii="Times New Roman" w:cs="Times New Roman" w:eastAsia="Times New Roman" w:hAnsi="Times New Roman"/>
                <w:sz w:val="18"/>
                <w:szCs w:val="18"/>
                <w:b w:val="1"/>
                <w:bCs w:val="1"/>
                <w:color w:val="auto"/>
                <w:w w:val="95"/>
                <w:vertAlign w:val="superscript"/>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spacing w:after="0" w:line="6" w:lineRule="exact"/>
        <w:rPr>
          <w:sz w:val="20"/>
          <w:szCs w:val="20"/>
          <w:color w:val="auto"/>
        </w:rPr>
      </w:pPr>
    </w:p>
    <w:p>
      <w:pPr>
        <w:ind w:left="240" w:right="480" w:hanging="52"/>
        <w:spacing w:after="0" w:line="211" w:lineRule="auto"/>
        <w:rPr>
          <w:sz w:val="20"/>
          <w:szCs w:val="20"/>
          <w:color w:val="auto"/>
        </w:rPr>
      </w:pPr>
      <w:r>
        <w:rPr>
          <w:rFonts w:ascii="Times New Roman" w:cs="Times New Roman" w:eastAsia="Times New Roman" w:hAnsi="Times New Roman"/>
          <w:sz w:val="14"/>
          <w:szCs w:val="14"/>
          <w:b w:val="1"/>
          <w:bCs w:val="1"/>
          <w:color w:val="auto"/>
        </w:rPr>
        <w:t>shares that may yet be purchased under the</w:t>
      </w:r>
    </w:p>
    <w:p>
      <w:pPr>
        <w:ind w:left="300"/>
        <w:spacing w:after="0"/>
        <w:rPr>
          <w:sz w:val="20"/>
          <w:szCs w:val="20"/>
          <w:color w:val="auto"/>
        </w:rPr>
      </w:pPr>
      <w:r>
        <w:rPr>
          <w:rFonts w:ascii="Times New Roman" w:cs="Times New Roman" w:eastAsia="Times New Roman" w:hAnsi="Times New Roman"/>
          <w:sz w:val="14"/>
          <w:szCs w:val="14"/>
          <w:b w:val="1"/>
          <w:bCs w:val="1"/>
          <w:color w:val="auto"/>
        </w:rPr>
        <w:t>plans or programs</w:t>
      </w:r>
    </w:p>
    <w:p>
      <w:pPr>
        <w:spacing w:after="0" w:line="35" w:lineRule="exact"/>
        <w:rPr>
          <w:sz w:val="20"/>
          <w:szCs w:val="20"/>
          <w:color w:val="auto"/>
        </w:rPr>
      </w:pPr>
    </w:p>
    <w:p>
      <w:pPr>
        <w:sectPr>
          <w:pgSz w:w="11900" w:h="16838" w:orient="portrait"/>
          <w:cols w:equalWidth="0" w:num="2">
            <w:col w:w="8780" w:space="420"/>
            <w:col w:w="20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29, 2025 - January 25, 2026</w:t>
            </w:r>
          </w:p>
        </w:tc>
        <w:tc>
          <w:tcPr>
            <w:tcW w:w="1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8,124</w:t>
            </w:r>
          </w:p>
        </w:tc>
        <w:tc>
          <w:tcPr>
            <w:tcW w:w="120" w:type="dxa"/>
            <w:vAlign w:val="bottom"/>
          </w:tcPr>
          <w:p>
            <w:pPr>
              <w:spacing w:after="0"/>
              <w:rPr>
                <w:sz w:val="18"/>
                <w:szCs w:val="18"/>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w:t>
            </w:r>
          </w:p>
        </w:tc>
        <w:tc>
          <w:tcPr>
            <w:tcW w:w="1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270,661</w:t>
            </w:r>
          </w:p>
        </w:tc>
        <w:tc>
          <w:tcPr>
            <w:tcW w:w="100" w:type="dxa"/>
            <w:vAlign w:val="bottom"/>
          </w:tcPr>
          <w:p>
            <w:pPr>
              <w:spacing w:after="0"/>
              <w:rPr>
                <w:sz w:val="18"/>
                <w:szCs w:val="18"/>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63,168,000</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26, 2026 - February 22, 2026</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284,681</w:t>
            </w:r>
          </w:p>
        </w:tc>
        <w:tc>
          <w:tcPr>
            <w:tcW w:w="10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53,174,000</w:t>
            </w:r>
          </w:p>
        </w:tc>
      </w:tr>
      <w:tr>
        <w:trPr>
          <w:trHeight w:val="21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23, 2026 - March 29, 2026</w:t>
            </w:r>
          </w:p>
        </w:tc>
        <w:tc>
          <w:tcPr>
            <w:tcW w:w="120" w:type="dxa"/>
            <w:vAlign w:val="bottom"/>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88,806</w:t>
            </w:r>
          </w:p>
        </w:tc>
        <w:tc>
          <w:tcPr>
            <w:tcW w:w="120" w:type="dxa"/>
            <w:vAlign w:val="bottom"/>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20" w:type="dxa"/>
            <w:vAlign w:val="bottom"/>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68,250</w:t>
            </w:r>
          </w:p>
        </w:tc>
        <w:tc>
          <w:tcPr>
            <w:tcW w:w="100" w:type="dxa"/>
            <w:vAlign w:val="bottom"/>
          </w:tcPr>
          <w:p>
            <w:pPr>
              <w:spacing w:after="0"/>
              <w:rPr>
                <w:sz w:val="19"/>
                <w:szCs w:val="19"/>
                <w:color w:val="auto"/>
              </w:rPr>
            </w:pPr>
          </w:p>
        </w:tc>
        <w:tc>
          <w:tcPr>
            <w:tcW w:w="62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51,186,000</w:t>
            </w:r>
          </w:p>
        </w:tc>
      </w:tr>
      <w:tr>
        <w:trPr>
          <w:trHeight w:val="212"/>
        </w:trPr>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97,033</w:t>
            </w:r>
          </w:p>
        </w:tc>
        <w:tc>
          <w:tcPr>
            <w:tcW w:w="6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623,592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w:t>
      </w:r>
    </w:p>
    <w:p>
      <w:pPr>
        <w:spacing w:after="0" w:line="113" w:lineRule="exact"/>
        <w:rPr>
          <w:sz w:val="20"/>
          <w:szCs w:val="20"/>
          <w:color w:val="auto"/>
        </w:rPr>
      </w:pPr>
    </w:p>
    <w:p>
      <w:pPr>
        <w:ind w:left="260" w:right="240" w:hanging="252"/>
        <w:spacing w:after="0" w:line="238" w:lineRule="auto"/>
        <w:tabs>
          <w:tab w:leader="none" w:pos="144" w:val="left"/>
        </w:tabs>
        <w:numPr>
          <w:ilvl w:val="0"/>
          <w:numId w:val="1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These amounts include shares owned and tendered by employees to satisfy tax withholding obligations arising upon the vesting of restricted stock awards. The shares tendered by holders are repurchased by us pursuant to the terms of the plan under which the shares were issued and the applicable individual award agreements and not pursuant to publicly announced repurchase authorizations.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0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During the fiscal quarter ended March 29, 2026,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2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of the Securities Exchange Act of 1934, as amended.</w:t>
            </w:r>
          </w:p>
        </w:tc>
        <w:tc>
          <w:tcPr>
            <w:tcW w:w="980" w:type="dxa"/>
            <w:vAlign w:val="bottom"/>
            <w:gridSpan w:val="3"/>
          </w:tcPr>
          <w:p>
            <w:pPr>
              <w:spacing w:after="0"/>
              <w:rPr>
                <w:sz w:val="24"/>
                <w:szCs w:val="24"/>
                <w:color w:val="auto"/>
              </w:rPr>
            </w:pPr>
          </w:p>
        </w:tc>
      </w:tr>
      <w:tr>
        <w:trPr>
          <w:trHeight w:val="21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*31.2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 Securities Exchange Act of 1934, as amended.</w:t>
            </w:r>
          </w:p>
        </w:tc>
      </w:tr>
      <w:tr>
        <w:trPr>
          <w:trHeight w:val="20"/>
        </w:trPr>
        <w:tc>
          <w:tcPr>
            <w:tcW w:w="138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*32.1</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r>
      <w:tr>
        <w:trPr>
          <w:trHeight w:val="156"/>
        </w:trPr>
        <w:tc>
          <w:tcPr>
            <w:tcW w:w="138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7720" w:type="dxa"/>
            <w:vAlign w:val="bottom"/>
            <w:tcBorders>
              <w:top w:val="single" w:sz="8" w:color="0000FF"/>
            </w:tcBorders>
            <w:gridSpan w:val="3"/>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*32.2</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w:t>
            </w:r>
          </w:p>
        </w:tc>
      </w:tr>
      <w:tr>
        <w:trPr>
          <w:trHeight w:val="156"/>
        </w:trPr>
        <w:tc>
          <w:tcPr>
            <w:tcW w:w="138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Act of 2002.**</w:t>
            </w:r>
          </w:p>
        </w:tc>
        <w:tc>
          <w:tcPr>
            <w:tcW w:w="85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380" w:type="dxa"/>
            <w:vAlign w:val="bottom"/>
          </w:tcPr>
          <w:p>
            <w:pPr>
              <w:spacing w:after="0"/>
              <w:rPr>
                <w:sz w:val="20"/>
                <w:szCs w:val="20"/>
                <w:color w:val="auto"/>
              </w:rPr>
            </w:pPr>
          </w:p>
        </w:tc>
        <w:tc>
          <w:tcPr>
            <w:tcW w:w="970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33"/>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29"/>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4"/>
        </w:trPr>
        <w:tc>
          <w:tcPr>
            <w:tcW w:w="1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0"/>
        <w:spacing w:after="0"/>
        <w:tabs>
          <w:tab w:leader="none" w:pos="13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500" w:hanging="492"/>
        <w:spacing w:after="0" w:line="266" w:lineRule="auto"/>
        <w:tabs>
          <w:tab w:leader="none" w:pos="37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5"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6th day of May, 2026</w:t>
            </w: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9"/>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169"/>
        </w:trPr>
        <w:tc>
          <w:tcPr>
            <w:tcW w:w="3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48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6th day of May, 2026</w:t>
            </w: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9"/>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Vance Y. Chang</w:t>
            </w:r>
          </w:p>
        </w:tc>
      </w:tr>
      <w:tr>
        <w:trPr>
          <w:trHeight w:val="169"/>
        </w:trPr>
        <w:tc>
          <w:tcPr>
            <w:tcW w:w="3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Vance Y. Chang</w:t>
            </w:r>
          </w:p>
        </w:tc>
      </w:tr>
      <w:tr>
        <w:trPr>
          <w:trHeight w:val="182"/>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45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Dated: 6th day of May, 2026</w:t>
            </w:r>
          </w:p>
        </w:tc>
        <w:tc>
          <w:tcPr>
            <w:tcW w:w="1900" w:type="dxa"/>
            <w:vAlign w:val="bottom"/>
          </w:tcPr>
          <w:p>
            <w:pPr>
              <w:ind w:left="1620"/>
              <w:spacing w:after="0"/>
              <w:rPr>
                <w:sz w:val="20"/>
                <w:szCs w:val="20"/>
                <w:color w:val="auto"/>
              </w:rPr>
            </w:pPr>
            <w:r>
              <w:rPr>
                <w:rFonts w:ascii="Times New Roman" w:cs="Times New Roman" w:eastAsia="Times New Roman" w:hAnsi="Times New Roman"/>
                <w:sz w:val="18"/>
                <w:szCs w:val="18"/>
                <w:color w:val="auto"/>
                <w:w w:val="99"/>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F. Camperlingo</w:t>
            </w:r>
          </w:p>
        </w:tc>
      </w:tr>
      <w:tr>
        <w:trPr>
          <w:trHeight w:val="169"/>
        </w:trPr>
        <w:tc>
          <w:tcPr>
            <w:tcW w:w="3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Joseph F. Camperlingo</w:t>
            </w:r>
          </w:p>
        </w:tc>
      </w:tr>
      <w:tr>
        <w:trPr>
          <w:trHeight w:val="182"/>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40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Accounting Officer</w:t>
            </w:r>
          </w:p>
        </w:tc>
      </w:tr>
      <w:tr>
        <w:trPr>
          <w:trHeight w:val="236"/>
        </w:trPr>
        <w:tc>
          <w:tcPr>
            <w:tcW w:w="3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891"/>
        </w:trPr>
        <w:tc>
          <w:tcPr>
            <w:tcW w:w="3380" w:type="dxa"/>
            <w:vAlign w:val="bottom"/>
          </w:tcPr>
          <w:p>
            <w:pPr>
              <w:spacing w:after="0"/>
              <w:rPr>
                <w:sz w:val="24"/>
                <w:szCs w:val="24"/>
                <w:color w:val="auto"/>
              </w:rPr>
            </w:pPr>
          </w:p>
        </w:tc>
        <w:tc>
          <w:tcPr>
            <w:tcW w:w="1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w:t>
            </w:r>
          </w:p>
        </w:tc>
        <w:tc>
          <w:tcPr>
            <w:tcW w:w="4040" w:type="dxa"/>
            <w:vAlign w:val="bottom"/>
          </w:tcPr>
          <w:p>
            <w:pPr>
              <w:spacing w:after="0"/>
              <w:rPr>
                <w:sz w:val="24"/>
                <w:szCs w:val="24"/>
                <w:color w:val="auto"/>
              </w:rPr>
            </w:pPr>
          </w:p>
        </w:tc>
      </w:tr>
    </w:tbl>
    <w:p>
      <w:pPr>
        <w:sectPr>
          <w:pgSz w:w="11900" w:h="16838" w:orient="portrait"/>
          <w:cols w:equalWidth="0" w:num="1">
            <w:col w:w="11200"/>
          </w:cols>
          <w:pgMar w:left="320" w:top="225" w:right="379" w:bottom="1440" w:gutter="0" w:footer="0" w:header="0"/>
        </w:sectPr>
      </w:pPr>
    </w:p>
    <w:bookmarkStart w:id="30" w:name="page31"/>
    <w:bookmarkEnd w:id="3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6th day of May, 2026</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6th day of May, 2026</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29, 2026, as filed with the Securities and Exchange Commission on the 6th day of May, 2026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6th day of May, 2026</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March 29, 2026, as filed with the Securities and Exchange Commission on the 6th day of May, 2026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6th day of May, 2026</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
      <w:numFmt w:val="bullet"/>
      <w:start w:val="1"/>
    </w:lvl>
    <w:lvl w:ilvl="1">
      <w:lvlJc w:val="left"/>
      <w:lvlText w:val="%2"/>
      <w:numFmt w:val="decimal"/>
      <w:start w:val="104"/>
    </w:lvl>
  </w:abstractNum>
  <w:abstractNum w:abstractNumId="14">
    <w:nsid w:val="519B500D"/>
    <w:multiLevelType w:val="hybridMultilevel"/>
    <w:lvl w:ilvl="0">
      <w:lvlJc w:val="left"/>
      <w:lvlText w:val="**"/>
      <w:numFmt w:val="bullet"/>
      <w:start w:val="1"/>
    </w:lvl>
    <w:lvl w:ilvl="1">
      <w:lvlJc w:val="left"/>
      <w:lvlText w:val="%2"/>
      <w:numFmt w:val="decimal"/>
      <w:start w:val="1"/>
    </w:lvl>
  </w:abstractNum>
  <w:abstractNum w:abstractNumId="15">
    <w:nsid w:val="431BD7B7"/>
    <w:multiLevelType w:val="hybridMultilevel"/>
    <w:lvl w:ilvl="0">
      <w:lvlJc w:val="left"/>
      <w:lvlText w:val="***"/>
      <w:numFmt w:val="bullet"/>
      <w:start w:val="1"/>
    </w:lvl>
    <w:lvl w:ilvl="1">
      <w:lvlJc w:val="left"/>
      <w:lvlText w:val="%2"/>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2026-05-06T06:33:29Z</dcterms:created>
  <dcterms:modified xsi:type="dcterms:W3CDTF">2026-05-06T06:33:29Z</dcterms:modified>
</cp:coreProperties>
</file>