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28"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16" w:lineRule="auto"/>
        <w:rPr>
          <w:sz w:val="20"/>
          <w:szCs w:val="20"/>
          <w:color w:val="auto"/>
        </w:rPr>
      </w:pPr>
      <w:r>
        <w:rPr>
          <w:rFonts w:ascii="Arial" w:cs="Arial" w:eastAsia="Arial" w:hAnsi="Arial"/>
          <w:sz w:val="18"/>
          <w:szCs w:val="18"/>
          <w:b w:val="1"/>
          <w:bCs w:val="1"/>
          <w:color w:val="auto"/>
        </w:rPr>
        <w:t>Washington, D.C. 20549</w:t>
      </w:r>
    </w:p>
    <w:p>
      <w:pPr>
        <w:ind w:left="3400"/>
        <w:spacing w:after="0" w:line="222" w:lineRule="auto"/>
        <w:rPr>
          <w:sz w:val="20"/>
          <w:szCs w:val="20"/>
          <w:color w:val="auto"/>
        </w:rPr>
      </w:pPr>
      <w:r>
        <w:rPr>
          <w:rFonts w:ascii="Arial" w:cs="Arial" w:eastAsia="Arial" w:hAnsi="Arial"/>
          <w:sz w:val="18"/>
          <w:szCs w:val="18"/>
          <w:color w:val="auto"/>
        </w:rPr>
        <w:t>__________________________________________________</w:t>
      </w:r>
    </w:p>
    <w:p>
      <w:pPr>
        <w:jc w:val="center"/>
        <w:ind w:right="-19"/>
        <w:spacing w:after="0" w:line="220" w:lineRule="auto"/>
        <w:rPr>
          <w:sz w:val="20"/>
          <w:szCs w:val="20"/>
          <w:color w:val="auto"/>
        </w:rPr>
      </w:pPr>
      <w:r>
        <w:rPr>
          <w:rFonts w:ascii="Arial" w:cs="Arial" w:eastAsia="Arial" w:hAnsi="Arial"/>
          <w:sz w:val="32"/>
          <w:szCs w:val="32"/>
          <w:b w:val="1"/>
          <w:bCs w:val="1"/>
          <w:color w:val="auto"/>
        </w:rPr>
        <w:t>FORM 10-Q</w:t>
      </w:r>
    </w:p>
    <w:p>
      <w:pPr>
        <w:ind w:left="60"/>
        <w:spacing w:after="0" w:line="217" w:lineRule="auto"/>
        <w:rPr>
          <w:sz w:val="20"/>
          <w:szCs w:val="20"/>
          <w:color w:val="auto"/>
        </w:rPr>
      </w:pPr>
      <w:r>
        <w:rPr>
          <w:rFonts w:ascii="Arial" w:cs="Arial" w:eastAsia="Arial" w:hAnsi="Arial"/>
          <w:sz w:val="18"/>
          <w:szCs w:val="18"/>
          <w:b w:val="1"/>
          <w:bCs w:val="1"/>
          <w:color w:val="auto"/>
        </w:rPr>
        <w:t>(Mark One)</w:t>
      </w:r>
    </w:p>
    <w:p>
      <w:pPr>
        <w:ind w:right="520" w:firstLine="324"/>
        <w:spacing w:after="0" w:line="223" w:lineRule="auto"/>
        <w:tabs>
          <w:tab w:leader="none" w:pos="742"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jc w:val="center"/>
        <w:ind w:right="-79"/>
        <w:spacing w:after="0" w:line="216" w:lineRule="auto"/>
        <w:rPr>
          <w:sz w:val="20"/>
          <w:szCs w:val="20"/>
          <w:color w:val="auto"/>
        </w:rPr>
      </w:pPr>
      <w:r>
        <w:rPr>
          <w:rFonts w:ascii="Arial" w:cs="Arial" w:eastAsia="Arial" w:hAnsi="Arial"/>
          <w:sz w:val="18"/>
          <w:szCs w:val="18"/>
          <w:b w:val="1"/>
          <w:bCs w:val="1"/>
          <w:color w:val="auto"/>
        </w:rPr>
        <w:t>For the quarterly period ended March 31, 2021</w:t>
      </w:r>
    </w:p>
    <w:p>
      <w:pPr>
        <w:jc w:val="center"/>
        <w:ind w:right="-79"/>
        <w:spacing w:after="0" w:line="200" w:lineRule="auto"/>
        <w:rPr>
          <w:sz w:val="20"/>
          <w:szCs w:val="20"/>
          <w:color w:val="auto"/>
        </w:rPr>
      </w:pPr>
      <w:r>
        <w:rPr>
          <w:rFonts w:ascii="Arial" w:cs="Arial" w:eastAsia="Arial" w:hAnsi="Arial"/>
          <w:sz w:val="18"/>
          <w:szCs w:val="18"/>
          <w:b w:val="1"/>
          <w:bCs w:val="1"/>
          <w:color w:val="auto"/>
        </w:rPr>
        <w:t>OR</w:t>
      </w:r>
    </w:p>
    <w:p>
      <w:pPr>
        <w:ind w:left="700" w:hanging="376"/>
        <w:spacing w:after="0" w:line="219" w:lineRule="auto"/>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15" w:lineRule="auto"/>
        <w:rPr>
          <w:rFonts w:ascii="MS PGothic" w:cs="MS PGothic" w:eastAsia="MS PGothic" w:hAnsi="MS PGothic"/>
          <w:sz w:val="21"/>
          <w:szCs w:val="21"/>
          <w:color w:val="auto"/>
        </w:rPr>
      </w:pPr>
      <w:r>
        <w:rPr>
          <w:rFonts w:ascii="Arial" w:cs="Arial" w:eastAsia="Arial" w:hAnsi="Arial"/>
          <w:sz w:val="21"/>
          <w:szCs w:val="21"/>
          <w:b w:val="1"/>
          <w:bCs w:val="1"/>
          <w:color w:val="auto"/>
        </w:rPr>
        <w:t>1934</w:t>
      </w:r>
    </w:p>
    <w:p>
      <w:pPr>
        <w:spacing w:after="0" w:line="1" w:lineRule="exact"/>
        <w:rPr>
          <w:sz w:val="24"/>
          <w:szCs w:val="24"/>
          <w:color w:val="auto"/>
        </w:rPr>
      </w:pPr>
    </w:p>
    <w:p>
      <w:pPr>
        <w:ind w:left="36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001-15283</w:t>
      </w:r>
    </w:p>
    <w:p>
      <w:pPr>
        <w:jc w:val="center"/>
        <w:ind w:right="-19"/>
        <w:spacing w:after="0"/>
        <w:rPr>
          <w:sz w:val="20"/>
          <w:szCs w:val="20"/>
          <w:color w:val="auto"/>
        </w:rPr>
      </w:pPr>
      <w:r>
        <w:rPr>
          <w:sz w:val="1"/>
          <w:szCs w:val="1"/>
          <w:color w:val="auto"/>
        </w:rPr>
        <w:drawing>
          <wp:inline distT="0" distB="0" distL="0" distR="0">
            <wp:extent cx="1127125" cy="555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7125" cy="555625"/>
                    </a:xfrm>
                    <a:prstGeom prst="rect">
                      <a:avLst/>
                    </a:prstGeom>
                    <a:noFill/>
                    <a:ln>
                      <a:noFill/>
                    </a:ln>
                  </pic:spPr>
                </pic:pic>
              </a:graphicData>
            </a:graphic>
          </wp:inline>
        </w:drawing>
      </w:r>
      <w:r>
        <w:rPr>
          <w:rFonts w:ascii="Arial" w:cs="Arial" w:eastAsia="Arial" w:hAnsi="Arial"/>
          <w:sz w:val="32"/>
          <w:szCs w:val="32"/>
          <w:b w:val="1"/>
          <w:bCs w:val="1"/>
          <w:color w:val="auto"/>
        </w:rPr>
        <w:t xml:space="preserve"> Dine Brands Global, Inc. </w:t>
      </w:r>
      <w:r>
        <w:rPr>
          <w:sz w:val="1"/>
          <w:szCs w:val="1"/>
          <w:color w:val="auto"/>
        </w:rPr>
        <w:drawing>
          <wp:inline distT="0" distB="0" distL="0" distR="0">
            <wp:extent cx="908685" cy="538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08685" cy="538480"/>
                    </a:xfrm>
                    <a:prstGeom prst="rect">
                      <a:avLst/>
                    </a:prstGeom>
                    <a:noFill/>
                    <a:ln>
                      <a:noFill/>
                    </a:ln>
                  </pic:spPr>
                </pic:pic>
              </a:graphicData>
            </a:graphic>
          </wp:inline>
        </w:drawing>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 w:lineRule="exact"/>
        <w:rPr>
          <w:sz w:val="24"/>
          <w:szCs w:val="24"/>
          <w:color w:val="auto"/>
        </w:rPr>
      </w:pPr>
    </w:p>
    <w:tbl>
      <w:tblPr>
        <w:tblLayout w:type="fixed"/>
        <w:tblInd w:w="1880" w:type="dxa"/>
        <w:tblCellMar>
          <w:top w:w="0" w:type="dxa"/>
          <w:left w:w="0" w:type="dxa"/>
          <w:bottom w:w="0" w:type="dxa"/>
          <w:right w:w="0" w:type="dxa"/>
        </w:tblCellMar>
      </w:tblPr>
      <w:tr>
        <w:trPr>
          <w:trHeight w:val="208"/>
        </w:trPr>
        <w:tc>
          <w:tcPr>
            <w:tcW w:w="4840" w:type="dxa"/>
            <w:vAlign w:val="bottom"/>
          </w:tcPr>
          <w:p>
            <w:pPr>
              <w:jc w:val="center"/>
              <w:ind w:right="961"/>
              <w:spacing w:after="0"/>
              <w:rPr>
                <w:sz w:val="20"/>
                <w:szCs w:val="20"/>
                <w:color w:val="auto"/>
              </w:rPr>
            </w:pPr>
            <w:r>
              <w:rPr>
                <w:rFonts w:ascii="Arial" w:cs="Arial" w:eastAsia="Arial" w:hAnsi="Arial"/>
                <w:sz w:val="16"/>
                <w:szCs w:val="16"/>
                <w:b w:val="1"/>
                <w:bCs w:val="1"/>
                <w:color w:val="auto"/>
                <w:w w:val="91"/>
              </w:rPr>
              <w:t>Delaware</w:t>
            </w:r>
          </w:p>
        </w:tc>
        <w:tc>
          <w:tcPr>
            <w:tcW w:w="2560" w:type="dxa"/>
            <w:vAlign w:val="bottom"/>
          </w:tcPr>
          <w:p>
            <w:pPr>
              <w:jc w:val="center"/>
              <w:ind w:left="161"/>
              <w:spacing w:after="0"/>
              <w:rPr>
                <w:sz w:val="20"/>
                <w:szCs w:val="20"/>
                <w:color w:val="auto"/>
              </w:rPr>
            </w:pPr>
            <w:r>
              <w:rPr>
                <w:rFonts w:ascii="Arial" w:cs="Arial" w:eastAsia="Arial" w:hAnsi="Arial"/>
                <w:sz w:val="16"/>
                <w:szCs w:val="16"/>
                <w:b w:val="1"/>
                <w:bCs w:val="1"/>
                <w:color w:val="auto"/>
                <w:w w:val="88"/>
              </w:rPr>
              <w:t>95-3038279</w:t>
            </w:r>
          </w:p>
        </w:tc>
      </w:tr>
      <w:tr>
        <w:trPr>
          <w:trHeight w:val="212"/>
        </w:trPr>
        <w:tc>
          <w:tcPr>
            <w:tcW w:w="4840" w:type="dxa"/>
            <w:vAlign w:val="bottom"/>
          </w:tcPr>
          <w:p>
            <w:pPr>
              <w:jc w:val="center"/>
              <w:ind w:right="961"/>
              <w:spacing w:after="0"/>
              <w:rPr>
                <w:sz w:val="20"/>
                <w:szCs w:val="20"/>
                <w:color w:val="auto"/>
              </w:rPr>
            </w:pPr>
            <w:r>
              <w:rPr>
                <w:rFonts w:ascii="Arial" w:cs="Arial" w:eastAsia="Arial" w:hAnsi="Arial"/>
                <w:sz w:val="16"/>
                <w:szCs w:val="16"/>
                <w:color w:val="auto"/>
                <w:w w:val="92"/>
              </w:rPr>
              <w:t>(State or other jurisdiction of incorporation or organization)</w:t>
            </w:r>
          </w:p>
        </w:tc>
        <w:tc>
          <w:tcPr>
            <w:tcW w:w="2560" w:type="dxa"/>
            <w:vAlign w:val="bottom"/>
          </w:tcPr>
          <w:p>
            <w:pPr>
              <w:jc w:val="center"/>
              <w:ind w:left="161"/>
              <w:spacing w:after="0"/>
              <w:rPr>
                <w:sz w:val="20"/>
                <w:szCs w:val="20"/>
                <w:color w:val="auto"/>
              </w:rPr>
            </w:pPr>
            <w:r>
              <w:rPr>
                <w:rFonts w:ascii="Arial" w:cs="Arial" w:eastAsia="Arial" w:hAnsi="Arial"/>
                <w:sz w:val="16"/>
                <w:szCs w:val="16"/>
                <w:color w:val="auto"/>
                <w:w w:val="94"/>
              </w:rPr>
              <w:t>(I.R.S. Employer Identification No.)</w:t>
            </w:r>
          </w:p>
        </w:tc>
      </w:tr>
      <w:tr>
        <w:trPr>
          <w:trHeight w:val="212"/>
        </w:trPr>
        <w:tc>
          <w:tcPr>
            <w:tcW w:w="4840" w:type="dxa"/>
            <w:vAlign w:val="bottom"/>
          </w:tcPr>
          <w:p>
            <w:pPr>
              <w:jc w:val="center"/>
              <w:ind w:right="981"/>
              <w:spacing w:after="0"/>
              <w:rPr>
                <w:sz w:val="20"/>
                <w:szCs w:val="20"/>
                <w:color w:val="auto"/>
              </w:rPr>
            </w:pPr>
            <w:r>
              <w:rPr>
                <w:rFonts w:ascii="Arial" w:cs="Arial" w:eastAsia="Arial" w:hAnsi="Arial"/>
                <w:sz w:val="16"/>
                <w:szCs w:val="16"/>
                <w:b w:val="1"/>
                <w:bCs w:val="1"/>
                <w:color w:val="auto"/>
                <w:w w:val="91"/>
              </w:rPr>
              <w:t>450 North Brand Boulevard,</w:t>
            </w:r>
          </w:p>
        </w:tc>
        <w:tc>
          <w:tcPr>
            <w:tcW w:w="2560" w:type="dxa"/>
            <w:vAlign w:val="bottom"/>
          </w:tcPr>
          <w:p>
            <w:pPr>
              <w:jc w:val="center"/>
              <w:ind w:left="161"/>
              <w:spacing w:after="0"/>
              <w:rPr>
                <w:sz w:val="20"/>
                <w:szCs w:val="20"/>
                <w:color w:val="auto"/>
              </w:rPr>
            </w:pPr>
            <w:r>
              <w:rPr>
                <w:rFonts w:ascii="Arial" w:cs="Arial" w:eastAsia="Arial" w:hAnsi="Arial"/>
                <w:sz w:val="16"/>
                <w:szCs w:val="16"/>
                <w:b w:val="1"/>
                <w:bCs w:val="1"/>
                <w:color w:val="auto"/>
                <w:w w:val="88"/>
              </w:rPr>
              <w:t>91203-1903</w:t>
            </w:r>
          </w:p>
        </w:tc>
      </w:tr>
      <w:tr>
        <w:trPr>
          <w:trHeight w:val="212"/>
        </w:trPr>
        <w:tc>
          <w:tcPr>
            <w:tcW w:w="4840" w:type="dxa"/>
            <w:vAlign w:val="bottom"/>
          </w:tcPr>
          <w:p>
            <w:pPr>
              <w:jc w:val="right"/>
              <w:ind w:right="2481"/>
              <w:spacing w:after="0"/>
              <w:rPr>
                <w:sz w:val="20"/>
                <w:szCs w:val="20"/>
                <w:color w:val="auto"/>
              </w:rPr>
            </w:pPr>
            <w:r>
              <w:rPr>
                <w:rFonts w:ascii="Arial" w:cs="Arial" w:eastAsia="Arial" w:hAnsi="Arial"/>
                <w:sz w:val="16"/>
                <w:szCs w:val="16"/>
                <w:b w:val="1"/>
                <w:bCs w:val="1"/>
                <w:color w:val="auto"/>
              </w:rPr>
              <w:t>Glendale, CA</w:t>
            </w:r>
          </w:p>
        </w:tc>
        <w:tc>
          <w:tcPr>
            <w:tcW w:w="2560" w:type="dxa"/>
            <w:vAlign w:val="bottom"/>
          </w:tcPr>
          <w:p>
            <w:pPr>
              <w:spacing w:after="0"/>
              <w:rPr>
                <w:sz w:val="18"/>
                <w:szCs w:val="18"/>
                <w:color w:val="auto"/>
              </w:rPr>
            </w:pPr>
          </w:p>
        </w:tc>
      </w:tr>
      <w:tr>
        <w:trPr>
          <w:trHeight w:val="212"/>
        </w:trPr>
        <w:tc>
          <w:tcPr>
            <w:tcW w:w="4840" w:type="dxa"/>
            <w:vAlign w:val="bottom"/>
          </w:tcPr>
          <w:p>
            <w:pPr>
              <w:jc w:val="center"/>
              <w:ind w:right="961"/>
              <w:spacing w:after="0"/>
              <w:rPr>
                <w:sz w:val="20"/>
                <w:szCs w:val="20"/>
                <w:color w:val="auto"/>
              </w:rPr>
            </w:pPr>
            <w:r>
              <w:rPr>
                <w:rFonts w:ascii="Arial" w:cs="Arial" w:eastAsia="Arial" w:hAnsi="Arial"/>
                <w:sz w:val="16"/>
                <w:szCs w:val="16"/>
                <w:color w:val="auto"/>
                <w:w w:val="91"/>
              </w:rPr>
              <w:t>(Address of principal executive offices)</w:t>
            </w:r>
          </w:p>
        </w:tc>
        <w:tc>
          <w:tcPr>
            <w:tcW w:w="2560" w:type="dxa"/>
            <w:vAlign w:val="bottom"/>
          </w:tcPr>
          <w:p>
            <w:pPr>
              <w:jc w:val="center"/>
              <w:ind w:left="141"/>
              <w:spacing w:after="0"/>
              <w:rPr>
                <w:sz w:val="20"/>
                <w:szCs w:val="20"/>
                <w:color w:val="auto"/>
              </w:rPr>
            </w:pPr>
            <w:r>
              <w:rPr>
                <w:rFonts w:ascii="Arial" w:cs="Arial" w:eastAsia="Arial" w:hAnsi="Arial"/>
                <w:sz w:val="16"/>
                <w:szCs w:val="16"/>
                <w:color w:val="auto"/>
                <w:w w:val="92"/>
              </w:rPr>
              <w:t>(Zip Code)</w:t>
            </w:r>
          </w:p>
        </w:tc>
      </w:tr>
      <w:tr>
        <w:trPr>
          <w:trHeight w:val="517"/>
        </w:trPr>
        <w:tc>
          <w:tcPr>
            <w:tcW w:w="4840" w:type="dxa"/>
            <w:vAlign w:val="bottom"/>
          </w:tcPr>
          <w:p>
            <w:pPr>
              <w:jc w:val="right"/>
              <w:ind w:right="181"/>
              <w:spacing w:after="0"/>
              <w:rPr>
                <w:sz w:val="20"/>
                <w:szCs w:val="20"/>
                <w:color w:val="auto"/>
              </w:rPr>
            </w:pPr>
            <w:r>
              <w:rPr>
                <w:rFonts w:ascii="Arial" w:cs="Arial" w:eastAsia="Arial" w:hAnsi="Arial"/>
                <w:sz w:val="16"/>
                <w:szCs w:val="16"/>
                <w:b w:val="1"/>
                <w:bCs w:val="1"/>
                <w:color w:val="auto"/>
              </w:rPr>
              <w:t>(818) 240-6055</w:t>
            </w:r>
          </w:p>
        </w:tc>
        <w:tc>
          <w:tcPr>
            <w:tcW w:w="2560" w:type="dxa"/>
            <w:vAlign w:val="bottom"/>
          </w:tcPr>
          <w:p>
            <w:pPr>
              <w:spacing w:after="0"/>
              <w:rPr>
                <w:sz w:val="24"/>
                <w:szCs w:val="24"/>
                <w:color w:val="auto"/>
              </w:rPr>
            </w:pPr>
          </w:p>
        </w:tc>
      </w:tr>
    </w:tbl>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98"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04" w:lineRule="exact"/>
        <w:rPr>
          <w:sz w:val="24"/>
          <w:szCs w:val="24"/>
          <w:color w:val="auto"/>
        </w:rPr>
      </w:pPr>
    </w:p>
    <w:p>
      <w:pPr>
        <w:ind w:left="3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8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Trading symbol(s)</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02"/>
        </w:trPr>
        <w:tc>
          <w:tcPr>
            <w:tcW w:w="42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Common Stock, $0.01 par value</w:t>
            </w:r>
          </w:p>
        </w:tc>
        <w:tc>
          <w:tcPr>
            <w:tcW w:w="2800" w:type="dxa"/>
            <w:vAlign w:val="bottom"/>
          </w:tcPr>
          <w:p>
            <w:pPr>
              <w:jc w:val="center"/>
              <w:spacing w:after="0"/>
              <w:rPr>
                <w:sz w:val="20"/>
                <w:szCs w:val="20"/>
                <w:color w:val="auto"/>
              </w:rPr>
            </w:pPr>
            <w:r>
              <w:rPr>
                <w:rFonts w:ascii="Arial" w:cs="Arial" w:eastAsia="Arial" w:hAnsi="Arial"/>
                <w:sz w:val="16"/>
                <w:szCs w:val="16"/>
                <w:color w:val="auto"/>
              </w:rPr>
              <w:t>DIN</w:t>
            </w:r>
          </w:p>
        </w:tc>
        <w:tc>
          <w:tcPr>
            <w:tcW w:w="4200" w:type="dxa"/>
            <w:vAlign w:val="bottom"/>
          </w:tcPr>
          <w:p>
            <w:pPr>
              <w:jc w:val="center"/>
              <w:spacing w:after="0"/>
              <w:rPr>
                <w:sz w:val="20"/>
                <w:szCs w:val="20"/>
                <w:color w:val="auto"/>
              </w:rPr>
            </w:pPr>
            <w:r>
              <w:rPr>
                <w:rFonts w:ascii="Arial" w:cs="Arial" w:eastAsia="Arial" w:hAnsi="Arial"/>
                <w:sz w:val="16"/>
                <w:szCs w:val="16"/>
                <w:color w:val="auto"/>
                <w:w w:val="90"/>
              </w:rPr>
              <w:t>New York Stock Exchange</w:t>
            </w:r>
          </w:p>
        </w:tc>
      </w:tr>
    </w:tbl>
    <w:p>
      <w:pPr>
        <w:spacing w:after="0" w:line="258" w:lineRule="exact"/>
        <w:rPr>
          <w:sz w:val="24"/>
          <w:szCs w:val="24"/>
          <w:color w:val="auto"/>
        </w:rPr>
      </w:pPr>
    </w:p>
    <w:p>
      <w:pPr>
        <w:ind w:right="160" w:firstLine="318"/>
        <w:spacing w:after="0" w:line="19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80" w:firstLine="362"/>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140" w:firstLine="362"/>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19"/>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vMerge w:val="restart"/>
          </w:tcPr>
          <w:p>
            <w:pPr>
              <w:ind w:left="2180"/>
              <w:spacing w:after="0"/>
              <w:rPr>
                <w:sz w:val="20"/>
                <w:szCs w:val="20"/>
                <w:color w:val="auto"/>
              </w:rPr>
            </w:pPr>
            <w:r>
              <w:rPr>
                <w:rFonts w:ascii="Arial" w:cs="Arial" w:eastAsia="Arial" w:hAnsi="Arial"/>
                <w:sz w:val="18"/>
                <w:szCs w:val="18"/>
                <w:color w:val="auto"/>
              </w:rPr>
              <w:t>Smaller reporting</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000" w:type="dxa"/>
            <w:vAlign w:val="bottom"/>
            <w:vMerge w:val="continue"/>
          </w:tcPr>
          <w:p>
            <w:pPr>
              <w:spacing w:after="0"/>
              <w:rPr>
                <w:sz w:val="13"/>
                <w:szCs w:val="13"/>
                <w:color w:val="auto"/>
              </w:rPr>
            </w:pPr>
          </w:p>
        </w:tc>
        <w:tc>
          <w:tcPr>
            <w:tcW w:w="74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tcPr>
          <w:p>
            <w:pPr>
              <w:ind w:left="1160"/>
              <w:spacing w:after="0"/>
              <w:rPr>
                <w:sz w:val="20"/>
                <w:szCs w:val="20"/>
                <w:color w:val="auto"/>
              </w:rPr>
            </w:pPr>
            <w:r>
              <w:rPr>
                <w:rFonts w:ascii="Arial" w:cs="Arial" w:eastAsia="Arial" w:hAnsi="Arial"/>
                <w:sz w:val="18"/>
                <w:szCs w:val="18"/>
                <w:color w:val="auto"/>
              </w:rPr>
              <w:t>company</w:t>
            </w: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0" w:type="dxa"/>
            <w:vAlign w:val="bottom"/>
          </w:tcPr>
          <w:p>
            <w:pPr>
              <w:ind w:left="2180"/>
              <w:spacing w:after="0" w:line="172" w:lineRule="exact"/>
              <w:rPr>
                <w:sz w:val="20"/>
                <w:szCs w:val="20"/>
                <w:color w:val="auto"/>
              </w:rPr>
            </w:pPr>
            <w:r>
              <w:rPr>
                <w:rFonts w:ascii="Arial" w:cs="Arial" w:eastAsia="Arial" w:hAnsi="Arial"/>
                <w:sz w:val="18"/>
                <w:szCs w:val="18"/>
                <w:color w:val="auto"/>
              </w:rPr>
              <w:t>Emerging growth</w:t>
            </w:r>
          </w:p>
        </w:tc>
        <w:tc>
          <w:tcPr>
            <w:tcW w:w="74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000" w:type="dxa"/>
            <w:vAlign w:val="bottom"/>
          </w:tcPr>
          <w:p>
            <w:pPr>
              <w:ind w:left="1160"/>
              <w:spacing w:after="0"/>
              <w:rPr>
                <w:sz w:val="20"/>
                <w:szCs w:val="20"/>
                <w:color w:val="auto"/>
              </w:rPr>
            </w:pPr>
            <w:r>
              <w:rPr>
                <w:rFonts w:ascii="Arial" w:cs="Arial" w:eastAsia="Arial" w:hAnsi="Arial"/>
                <w:sz w:val="18"/>
                <w:szCs w:val="18"/>
                <w:color w:val="auto"/>
              </w:rPr>
              <w:t>company</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right="40" w:firstLine="318"/>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8" w:lineRule="exact"/>
        <w:rPr>
          <w:sz w:val="24"/>
          <w:szCs w:val="24"/>
          <w:color w:val="auto"/>
        </w:rPr>
      </w:pPr>
    </w:p>
    <w:p>
      <w:pPr>
        <w:ind w:left="420" w:right="2380" w:hanging="87"/>
        <w:spacing w:after="0" w:line="22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April 28, 2021, the Registrant had 17,157,339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502920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620" w:type="dxa"/>
            <w:vAlign w:val="bottom"/>
          </w:tcPr>
          <w:p>
            <w:pPr>
              <w:spacing w:after="0" w:line="186" w:lineRule="exact"/>
              <w:rPr>
                <w:rFonts w:ascii="Arial" w:cs="Arial" w:eastAsia="Arial" w:hAnsi="Arial"/>
                <w:sz w:val="18"/>
                <w:szCs w:val="18"/>
                <w:b w:val="1"/>
                <w:bCs w:val="1"/>
                <w:color w:val="0000FF"/>
                <w:w w:val="90"/>
              </w:rPr>
            </w:pPr>
            <w:hyperlink w:anchor="page3">
              <w:r>
                <w:rPr>
                  <w:rFonts w:ascii="Arial" w:cs="Arial" w:eastAsia="Arial" w:hAnsi="Arial"/>
                  <w:sz w:val="18"/>
                  <w:szCs w:val="18"/>
                  <w:b w:val="1"/>
                  <w:bCs w:val="1"/>
                  <w:color w:val="0000FF"/>
                  <w:w w:val="90"/>
                </w:rPr>
                <w:t>PART I.</w:t>
              </w:r>
            </w:hyperlink>
          </w:p>
        </w:tc>
        <w:tc>
          <w:tcPr>
            <w:tcW w:w="380" w:type="dxa"/>
            <w:vAlign w:val="bottom"/>
          </w:tcPr>
          <w:p>
            <w:pPr>
              <w:spacing w:after="0"/>
              <w:rPr>
                <w:sz w:val="16"/>
                <w:szCs w:val="16"/>
                <w:color w:val="auto"/>
              </w:rPr>
            </w:pPr>
          </w:p>
        </w:tc>
        <w:tc>
          <w:tcPr>
            <w:tcW w:w="9640" w:type="dxa"/>
            <w:vAlign w:val="bottom"/>
            <w:gridSpan w:val="20"/>
          </w:tcPr>
          <w:p>
            <w:pPr>
              <w:spacing w:after="0" w:line="186"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540" w:type="dxa"/>
            <w:vAlign w:val="bottom"/>
            <w:gridSpan w:val="4"/>
          </w:tcPr>
          <w:p>
            <w:pPr>
              <w:jc w:val="right"/>
              <w:ind w:right="20"/>
              <w:spacing w:after="0" w:line="18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9"/>
          </w:tcPr>
          <w:p>
            <w:pPr>
              <w:spacing w:after="0" w:line="205"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Item 1—Financial Statements</w:t>
              </w:r>
            </w:hyperlink>
          </w:p>
        </w:tc>
        <w:tc>
          <w:tcPr>
            <w:tcW w:w="7440" w:type="dxa"/>
            <w:vAlign w:val="bottom"/>
            <w:gridSpan w:val="11"/>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Consolidated Balance Sheets - March 31, 2021 (unaudited) and December 31, 2020</w:t>
              </w:r>
            </w:hyperlink>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Consolidated Statements of Comprehensive Income (unaudited) - Three Months Ended March 31, 2021 and 2020</w:t>
              </w:r>
            </w:hyperlink>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17"/>
          </w:tcPr>
          <w:p>
            <w:pPr>
              <w:spacing w:after="0" w:line="205"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Consolidated Statements of Stockholders' Deficit (unaudited) - Three Months Ended March 31, 2021 and 2020</w:t>
              </w:r>
            </w:hyperlink>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80" w:type="dxa"/>
            <w:vAlign w:val="bottom"/>
            <w:gridSpan w:val="16"/>
          </w:tcPr>
          <w:p>
            <w:pPr>
              <w:spacing w:after="0" w:line="205"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Consolidated Statements of Cash Flows (unaudited) - Three Months Ended March 31, 2021 and 2020</w:t>
              </w:r>
            </w:hyperlink>
          </w:p>
        </w:tc>
        <w:tc>
          <w:tcPr>
            <w:tcW w:w="660" w:type="dxa"/>
            <w:vAlign w:val="bottom"/>
          </w:tcPr>
          <w:p>
            <w:pPr>
              <w:spacing w:after="0"/>
              <w:rPr>
                <w:sz w:val="17"/>
                <w:szCs w:val="17"/>
                <w:color w:val="auto"/>
              </w:rPr>
            </w:pPr>
          </w:p>
        </w:tc>
        <w:tc>
          <w:tcPr>
            <w:tcW w:w="1640" w:type="dxa"/>
            <w:vAlign w:val="bottom"/>
            <w:gridSpan w:val="2"/>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80" w:type="dxa"/>
            <w:vAlign w:val="bottom"/>
            <w:gridSpan w:val="16"/>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 (unaudited)</w:t>
              </w:r>
            </w:hyperlink>
          </w:p>
        </w:tc>
        <w:tc>
          <w:tcPr>
            <w:tcW w:w="2300" w:type="dxa"/>
            <w:vAlign w:val="bottom"/>
            <w:gridSpan w:val="3"/>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rFonts w:ascii="Arial" w:cs="Arial" w:eastAsia="Arial" w:hAnsi="Arial"/>
                <w:sz w:val="18"/>
                <w:szCs w:val="18"/>
                <w:color w:val="0000FF"/>
              </w:rPr>
            </w:pPr>
            <w:hyperlink w:anchor="page25">
              <w:r>
                <w:rPr>
                  <w:rFonts w:ascii="Arial" w:cs="Arial" w:eastAsia="Arial" w:hAnsi="Arial"/>
                  <w:sz w:val="18"/>
                  <w:szCs w:val="18"/>
                  <w:color w:val="0000FF"/>
                </w:rPr>
                <w:t>Item 2—Management’s Discussion and Analysis of Financial Condition and Results of Operations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60" w:type="dxa"/>
            <w:vAlign w:val="bottom"/>
            <w:tcBorders>
              <w:top w:val="single" w:sz="8" w:color="0000FF"/>
              <w:bottom w:val="single" w:sz="8" w:color="0000FF"/>
            </w:tcBorders>
            <w:gridSpan w:val="13"/>
          </w:tcPr>
          <w:p>
            <w:pPr>
              <w:spacing w:after="0" w:line="205"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Item 3—Quantitative and Qualitative Disclosures about Market Risk</w:t>
              </w:r>
            </w:hyperlink>
          </w:p>
        </w:tc>
        <w:tc>
          <w:tcPr>
            <w:tcW w:w="2100" w:type="dxa"/>
            <w:vAlign w:val="bottom"/>
            <w:tcBorders>
              <w:top w:val="single" w:sz="8" w:color="0000FF"/>
            </w:tcBorders>
            <w:gridSpan w:val="3"/>
          </w:tcPr>
          <w:p>
            <w:pPr>
              <w:spacing w:after="0"/>
              <w:rPr>
                <w:sz w:val="17"/>
                <w:szCs w:val="17"/>
                <w:color w:val="auto"/>
              </w:rPr>
            </w:pPr>
          </w:p>
        </w:tc>
        <w:tc>
          <w:tcPr>
            <w:tcW w:w="26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restart"/>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w:t>
              </w:r>
            </w:hyperlink>
          </w:p>
        </w:tc>
        <w:tc>
          <w:tcPr>
            <w:tcW w:w="9640" w:type="dxa"/>
            <w:vAlign w:val="bottom"/>
            <w:gridSpan w:val="20"/>
          </w:tcPr>
          <w:p>
            <w:pPr>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Item 4—Controls and Procedures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continue"/>
          </w:tcPr>
          <w:p>
            <w:pPr>
              <w:spacing w:after="0"/>
              <w:rPr>
                <w:sz w:val="17"/>
                <w:szCs w:val="17"/>
                <w:color w:val="auto"/>
              </w:rPr>
            </w:pPr>
          </w:p>
        </w:tc>
        <w:tc>
          <w:tcPr>
            <w:tcW w:w="2360" w:type="dxa"/>
            <w:vAlign w:val="bottom"/>
            <w:tcBorders>
              <w:top w:val="single" w:sz="8" w:color="0000FF"/>
            </w:tcBorders>
            <w:gridSpan w:val="10"/>
          </w:tcPr>
          <w:p>
            <w:pPr>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OTHER INFORMATION</w:t>
              </w:r>
            </w:hyperlink>
          </w:p>
        </w:tc>
        <w:tc>
          <w:tcPr>
            <w:tcW w:w="728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line="205" w:lineRule="exact"/>
              <w:rPr>
                <w:rFonts w:ascii="Arial" w:cs="Arial" w:eastAsia="Arial" w:hAnsi="Arial"/>
                <w:sz w:val="18"/>
                <w:szCs w:val="18"/>
                <w:color w:val="0000FF"/>
                <w:w w:val="88"/>
              </w:rPr>
            </w:pPr>
            <w:hyperlink w:anchor="page44">
              <w:r>
                <w:rPr>
                  <w:rFonts w:ascii="Arial" w:cs="Arial" w:eastAsia="Arial" w:hAnsi="Arial"/>
                  <w:sz w:val="18"/>
                  <w:szCs w:val="18"/>
                  <w:color w:val="0000FF"/>
                  <w:w w:val="88"/>
                </w:rPr>
                <w:t>Item 1—Legal Proceedings</w:t>
              </w:r>
            </w:hyperlink>
          </w:p>
        </w:tc>
        <w:tc>
          <w:tcPr>
            <w:tcW w:w="770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rFonts w:ascii="Arial" w:cs="Arial" w:eastAsia="Arial" w:hAnsi="Arial"/>
                <w:sz w:val="18"/>
                <w:szCs w:val="18"/>
                <w:color w:val="0000FF"/>
              </w:rPr>
            </w:pPr>
            <w:hyperlink w:anchor="page44">
              <w:r>
                <w:rPr>
                  <w:rFonts w:ascii="Arial" w:cs="Arial" w:eastAsia="Arial" w:hAnsi="Arial"/>
                  <w:sz w:val="18"/>
                  <w:szCs w:val="18"/>
                  <w:color w:val="0000FF"/>
                </w:rPr>
                <w:t>Item 1A—Risk Factors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00" w:type="dxa"/>
            <w:vAlign w:val="bottom"/>
            <w:tcBorders>
              <w:bottom w:val="single" w:sz="8" w:color="0000FF"/>
            </w:tcBorders>
            <w:gridSpan w:val="14"/>
          </w:tcPr>
          <w:p>
            <w:pPr>
              <w:spacing w:after="0" w:line="205" w:lineRule="exact"/>
              <w:rPr>
                <w:rFonts w:ascii="Arial" w:cs="Arial" w:eastAsia="Arial" w:hAnsi="Arial"/>
                <w:sz w:val="18"/>
                <w:szCs w:val="18"/>
                <w:color w:val="0000FF"/>
                <w:w w:val="88"/>
              </w:rPr>
            </w:pPr>
            <w:hyperlink w:anchor="page44">
              <w:r>
                <w:rPr>
                  <w:rFonts w:ascii="Arial" w:cs="Arial" w:eastAsia="Arial" w:hAnsi="Arial"/>
                  <w:sz w:val="18"/>
                  <w:szCs w:val="18"/>
                  <w:color w:val="0000FF"/>
                  <w:w w:val="88"/>
                </w:rPr>
                <w:t>Item 2—Unregistered Sales of Equity Securities and Use of Proceeds</w:t>
              </w:r>
            </w:hyperlink>
          </w:p>
        </w:tc>
        <w:tc>
          <w:tcPr>
            <w:tcW w:w="474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205"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Item 3—Defaults Upon Senior Securities</w:t>
              </w:r>
            </w:hyperlink>
          </w:p>
        </w:tc>
        <w:tc>
          <w:tcPr>
            <w:tcW w:w="672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rFonts w:ascii="Arial" w:cs="Arial" w:eastAsia="Arial" w:hAnsi="Arial"/>
                <w:sz w:val="18"/>
                <w:szCs w:val="18"/>
                <w:color w:val="0000FF"/>
              </w:rPr>
            </w:pPr>
            <w:hyperlink w:anchor="page44">
              <w:r>
                <w:rPr>
                  <w:rFonts w:ascii="Arial" w:cs="Arial" w:eastAsia="Arial" w:hAnsi="Arial"/>
                  <w:sz w:val="18"/>
                  <w:szCs w:val="18"/>
                  <w:color w:val="0000FF"/>
                </w:rPr>
                <w:t>Item 4—Mine Safety Disclosures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6"/>
          </w:tcPr>
          <w:p>
            <w:pPr>
              <w:spacing w:after="0" w:line="205"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Item 5—Other Information</w:t>
              </w:r>
            </w:hyperlink>
          </w:p>
        </w:tc>
        <w:tc>
          <w:tcPr>
            <w:tcW w:w="440" w:type="dxa"/>
            <w:vAlign w:val="bottom"/>
            <w:tcBorders>
              <w:top w:val="single" w:sz="8" w:color="0000FF"/>
            </w:tcBorders>
            <w:gridSpan w:val="4"/>
          </w:tcPr>
          <w:p>
            <w:pPr>
              <w:spacing w:after="0"/>
              <w:rPr>
                <w:sz w:val="17"/>
                <w:szCs w:val="17"/>
                <w:color w:val="auto"/>
              </w:rPr>
            </w:pPr>
          </w:p>
        </w:tc>
        <w:tc>
          <w:tcPr>
            <w:tcW w:w="728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bottom w:val="single" w:sz="8" w:color="0000FF"/>
            </w:tcBorders>
            <w:gridSpan w:val="3"/>
          </w:tcPr>
          <w:p>
            <w:pPr>
              <w:spacing w:after="0" w:line="205"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Item 6—Exhibits</w:t>
              </w:r>
            </w:hyperlink>
          </w:p>
        </w:tc>
        <w:tc>
          <w:tcPr>
            <w:tcW w:w="8420" w:type="dxa"/>
            <w:vAlign w:val="bottom"/>
            <w:gridSpan w:val="17"/>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1"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Factors that could cause actual results to differ materially from the projections, forecasts, estimates and expectations discussed in this Quarterly Report on Form 10-Q include, among other things: uncertainty regarding the duration and severity of the ongoing COVID-19 pandemic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report and our Annual Report on Form 10-K for the fiscal year ended December 31, 2020 and in our other filings with the Securities and Exchange Commission, many of which are beyond our control.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250"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2021 began on January 4, 2021 and ended on April 4, 2021. The first fiscal quarter of 2020 began on December 30, 2019 and ended on March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jc w:val="center"/>
        <w:ind w:right="-19"/>
        <w:spacing w:after="0" w:line="202" w:lineRule="auto"/>
        <w:rPr>
          <w:sz w:val="20"/>
          <w:szCs w:val="20"/>
          <w:color w:val="auto"/>
        </w:rPr>
      </w:pPr>
      <w:r>
        <w:rPr>
          <w:rFonts w:ascii="Arial" w:cs="Arial" w:eastAsia="Arial" w:hAnsi="Arial"/>
          <w:sz w:val="18"/>
          <w:szCs w:val="18"/>
          <w:b w:val="1"/>
          <w:bCs w:val="1"/>
          <w:color w:val="auto"/>
        </w:rPr>
        <w:t>Consolidated Balance Sheets</w:t>
      </w: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7460" w:type="dxa"/>
            <w:vAlign w:val="bottom"/>
          </w:tcPr>
          <w:p>
            <w:pPr>
              <w:ind w:left="394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91"/>
              </w:rPr>
              <w:t>March 31, 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03"/>
        </w:trPr>
        <w:tc>
          <w:tcPr>
            <w:tcW w:w="7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(Unaudited)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383,369</w:t>
            </w:r>
          </w:p>
        </w:tc>
        <w:tc>
          <w:tcPr>
            <w:tcW w:w="0" w:type="dxa"/>
            <w:vAlign w:val="bottom"/>
          </w:tcPr>
          <w:p>
            <w:pPr>
              <w:spacing w:after="0"/>
              <w:rPr>
                <w:sz w:val="1"/>
                <w:szCs w:val="1"/>
                <w:color w:val="auto"/>
              </w:rPr>
            </w:pP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Receivables, net of allowance of $11,854 (2021) and $15,057 (2020)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107,387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121,897</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39,884</w:t>
            </w:r>
          </w:p>
        </w:tc>
        <w:tc>
          <w:tcPr>
            <w:tcW w:w="0" w:type="dxa"/>
            <w:vAlign w:val="bottom"/>
          </w:tcPr>
          <w:p>
            <w:pPr>
              <w:spacing w:after="0"/>
              <w:rPr>
                <w:sz w:val="1"/>
                <w:szCs w:val="1"/>
                <w:color w:val="auto"/>
              </w:rPr>
            </w:pP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Prepaid gift card costs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22,581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29,080</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income taxes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6,178</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6,098</w:t>
            </w:r>
          </w:p>
        </w:tc>
        <w:tc>
          <w:tcPr>
            <w:tcW w:w="0" w:type="dxa"/>
            <w:vAlign w:val="bottom"/>
          </w:tcPr>
          <w:p>
            <w:pPr>
              <w:spacing w:after="0"/>
              <w:rPr>
                <w:sz w:val="1"/>
                <w:szCs w:val="1"/>
                <w:color w:val="auto"/>
              </w:rPr>
            </w:pPr>
          </w:p>
        </w:tc>
      </w:tr>
      <w:tr>
        <w:trPr>
          <w:trHeight w:val="208"/>
        </w:trPr>
        <w:tc>
          <w:tcPr>
            <w:tcW w:w="7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586,506</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547,098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549,671</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346,086</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251,628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251,628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187,977</w:t>
            </w:r>
          </w:p>
        </w:tc>
        <w:tc>
          <w:tcPr>
            <w:tcW w:w="0" w:type="dxa"/>
            <w:vAlign w:val="bottom"/>
          </w:tcPr>
          <w:p>
            <w:pPr>
              <w:spacing w:after="0"/>
              <w:rPr>
                <w:sz w:val="1"/>
                <w:szCs w:val="1"/>
                <w:color w:val="auto"/>
              </w:rPr>
            </w:pPr>
          </w:p>
        </w:tc>
      </w:tr>
      <w:tr>
        <w:trPr>
          <w:trHeight w:val="209"/>
        </w:trPr>
        <w:tc>
          <w:tcPr>
            <w:tcW w:w="7460" w:type="dxa"/>
            <w:vAlign w:val="bottom"/>
          </w:tcPr>
          <w:p>
            <w:pPr>
              <w:ind w:left="20"/>
              <w:spacing w:after="0"/>
              <w:rPr>
                <w:sz w:val="20"/>
                <w:szCs w:val="20"/>
                <w:color w:val="auto"/>
              </w:rPr>
            </w:pPr>
            <w:r>
              <w:rPr>
                <w:rFonts w:ascii="Arial" w:cs="Arial" w:eastAsia="Arial" w:hAnsi="Arial"/>
                <w:sz w:val="16"/>
                <w:szCs w:val="16"/>
                <w:color w:val="auto"/>
              </w:rPr>
              <w:t>Long-term receivables, net of allowance of $6,455 (2021) and $7,999 (2020)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51,605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54,512</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rent receivable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56,449</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Non-current restricted cash</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32,800</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9,316</w:t>
            </w:r>
          </w:p>
        </w:tc>
        <w:tc>
          <w:tcPr>
            <w:tcW w:w="0" w:type="dxa"/>
            <w:vAlign w:val="bottom"/>
          </w:tcPr>
          <w:p>
            <w:pPr>
              <w:spacing w:after="0"/>
              <w:rPr>
                <w:sz w:val="1"/>
                <w:szCs w:val="1"/>
                <w:color w:val="auto"/>
              </w:rPr>
            </w:pPr>
          </w:p>
        </w:tc>
      </w:tr>
      <w:tr>
        <w:trPr>
          <w:trHeight w:val="208"/>
        </w:trPr>
        <w:tc>
          <w:tcPr>
            <w:tcW w:w="746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1,856,289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2,074,945</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3000"/>
              <w:spacing w:after="0"/>
              <w:rPr>
                <w:sz w:val="20"/>
                <w:szCs w:val="20"/>
                <w:color w:val="auto"/>
              </w:rPr>
            </w:pPr>
            <w:r>
              <w:rPr>
                <w:rFonts w:ascii="Arial" w:cs="Arial" w:eastAsia="Arial" w:hAnsi="Arial"/>
                <w:sz w:val="16"/>
                <w:szCs w:val="16"/>
                <w:color w:val="auto"/>
              </w:rPr>
              <w:t>Liabilities and Stockholders’ Deficit</w:t>
            </w: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37,424</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Gift card liability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144,159</w:t>
            </w:r>
          </w:p>
        </w:tc>
        <w:tc>
          <w:tcPr>
            <w:tcW w:w="0" w:type="dxa"/>
            <w:vAlign w:val="bottom"/>
          </w:tcPr>
          <w:p>
            <w:pPr>
              <w:spacing w:after="0"/>
              <w:rPr>
                <w:sz w:val="1"/>
                <w:szCs w:val="1"/>
                <w:color w:val="auto"/>
              </w:rPr>
            </w:pP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Current maturities of operating lease obligations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69,672</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finance lease and financing obligations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Arial" w:cs="Arial" w:eastAsia="Arial" w:hAnsi="Arial"/>
                <w:sz w:val="16"/>
                <w:szCs w:val="16"/>
                <w:color w:val="auto"/>
              </w:rPr>
              <w:t>Accrued employee compensation and benefits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14,554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21,237</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franchise revenue, short-term</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7,682</w:t>
            </w:r>
          </w:p>
        </w:tc>
        <w:tc>
          <w:tcPr>
            <w:tcW w:w="0" w:type="dxa"/>
            <w:vAlign w:val="bottom"/>
          </w:tcPr>
          <w:p>
            <w:pPr>
              <w:spacing w:after="0"/>
              <w:rPr>
                <w:sz w:val="1"/>
                <w:szCs w:val="1"/>
                <w:color w:val="auto"/>
              </w:rPr>
            </w:pP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Accrued advertising</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44,477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21,641</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accrued expenses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22,460</w:t>
            </w:r>
          </w:p>
        </w:tc>
        <w:tc>
          <w:tcPr>
            <w:tcW w:w="0" w:type="dxa"/>
            <w:vAlign w:val="bottom"/>
          </w:tcPr>
          <w:p>
            <w:pPr>
              <w:spacing w:after="0"/>
              <w:rPr>
                <w:sz w:val="1"/>
                <w:szCs w:val="1"/>
                <w:color w:val="auto"/>
              </w:rPr>
            </w:pPr>
          </w:p>
        </w:tc>
      </w:tr>
      <w:tr>
        <w:trPr>
          <w:trHeight w:val="203"/>
        </w:trPr>
        <w:tc>
          <w:tcPr>
            <w:tcW w:w="74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335,096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348,568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1,271,438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1,491,996</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Operating lease obligations, less current maturities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334,361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345,163</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 less current maturities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69,012</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Financing obligations, less current maturities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32,598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32,797</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78,293</w:t>
            </w:r>
          </w:p>
        </w:tc>
        <w:tc>
          <w:tcPr>
            <w:tcW w:w="0" w:type="dxa"/>
            <w:vAlign w:val="bottom"/>
          </w:tcPr>
          <w:p>
            <w:pPr>
              <w:spacing w:after="0"/>
              <w:rPr>
                <w:sz w:val="1"/>
                <w:szCs w:val="1"/>
                <w:color w:val="auto"/>
              </w:rPr>
            </w:pPr>
          </w:p>
        </w:tc>
      </w:tr>
      <w:tr>
        <w:trPr>
          <w:trHeight w:val="209"/>
        </w:trPr>
        <w:tc>
          <w:tcPr>
            <w:tcW w:w="7460" w:type="dxa"/>
            <w:vAlign w:val="bottom"/>
          </w:tcPr>
          <w:p>
            <w:pPr>
              <w:ind w:left="20"/>
              <w:spacing w:after="0"/>
              <w:rPr>
                <w:sz w:val="20"/>
                <w:szCs w:val="20"/>
                <w:color w:val="auto"/>
              </w:rPr>
            </w:pPr>
            <w:r>
              <w:rPr>
                <w:rFonts w:ascii="Arial" w:cs="Arial" w:eastAsia="Arial" w:hAnsi="Arial"/>
                <w:sz w:val="16"/>
                <w:szCs w:val="16"/>
                <w:color w:val="auto"/>
              </w:rPr>
              <w:t>Deferred franchise revenue, long-term</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49,364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52,237</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11,530</w:t>
            </w:r>
          </w:p>
        </w:tc>
        <w:tc>
          <w:tcPr>
            <w:tcW w:w="0" w:type="dxa"/>
            <w:vAlign w:val="bottom"/>
          </w:tcPr>
          <w:p>
            <w:pPr>
              <w:spacing w:after="0"/>
              <w:rPr>
                <w:sz w:val="1"/>
                <w:szCs w:val="1"/>
                <w:color w:val="auto"/>
              </w:rPr>
            </w:pPr>
          </w:p>
        </w:tc>
      </w:tr>
      <w:tr>
        <w:trPr>
          <w:trHeight w:val="203"/>
        </w:trPr>
        <w:tc>
          <w:tcPr>
            <w:tcW w:w="74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2,173,691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2,429,596</w:t>
            </w:r>
          </w:p>
        </w:tc>
        <w:tc>
          <w:tcPr>
            <w:tcW w:w="0" w:type="dxa"/>
            <w:vAlign w:val="bottom"/>
          </w:tcPr>
          <w:p>
            <w:pPr>
              <w:spacing w:after="0"/>
              <w:rPr>
                <w:sz w:val="1"/>
                <w:szCs w:val="1"/>
                <w:color w:val="auto"/>
              </w:rPr>
            </w:pPr>
          </w:p>
        </w:tc>
      </w:tr>
      <w:tr>
        <w:trPr>
          <w:trHeight w:val="19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$1 par value, 10,000,000 shares authorized; no shares issued or outstanding</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460" w:type="dxa"/>
            <w:vAlign w:val="bottom"/>
          </w:tcPr>
          <w:p>
            <w:pPr>
              <w:ind w:left="220"/>
              <w:spacing w:after="0" w:line="162" w:lineRule="exact"/>
              <w:rPr>
                <w:sz w:val="20"/>
                <w:szCs w:val="20"/>
                <w:color w:val="auto"/>
              </w:rPr>
            </w:pPr>
            <w:r>
              <w:rPr>
                <w:rFonts w:ascii="Arial" w:cs="Arial" w:eastAsia="Arial" w:hAnsi="Arial"/>
                <w:sz w:val="16"/>
                <w:szCs w:val="16"/>
                <w:color w:val="auto"/>
              </w:rPr>
              <w:t>Common stock, $0.01 par value; shares: 40,000,000 authorized; March 31, 2021 - 25,033,181 issued,</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6"/>
        </w:trPr>
        <w:tc>
          <w:tcPr>
            <w:tcW w:w="7460" w:type="dxa"/>
            <w:vAlign w:val="bottom"/>
          </w:tcPr>
          <w:p>
            <w:pPr>
              <w:ind w:left="220"/>
              <w:spacing w:after="0"/>
              <w:rPr>
                <w:sz w:val="20"/>
                <w:szCs w:val="20"/>
                <w:color w:val="auto"/>
              </w:rPr>
            </w:pPr>
            <w:r>
              <w:rPr>
                <w:rFonts w:ascii="Arial" w:cs="Arial" w:eastAsia="Arial" w:hAnsi="Arial"/>
                <w:sz w:val="16"/>
                <w:szCs w:val="16"/>
                <w:color w:val="auto"/>
              </w:rPr>
              <w:t>17,142,367 outstanding; December 31, 2020 - 24,882,122 issued, 16,452,174 outstanding</w:t>
            </w:r>
          </w:p>
        </w:tc>
        <w:tc>
          <w:tcPr>
            <w:tcW w:w="24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Additional paid-in-capital</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257,625</w:t>
            </w:r>
          </w:p>
        </w:tc>
        <w:tc>
          <w:tcPr>
            <w:tcW w:w="0" w:type="dxa"/>
            <w:vAlign w:val="bottom"/>
          </w:tcPr>
          <w:p>
            <w:pPr>
              <w:spacing w:after="0"/>
              <w:rPr>
                <w:sz w:val="1"/>
                <w:szCs w:val="1"/>
                <w:color w:val="auto"/>
              </w:rPr>
            </w:pPr>
          </w:p>
        </w:tc>
      </w:tr>
      <w:tr>
        <w:trPr>
          <w:trHeight w:val="210"/>
        </w:trPr>
        <w:tc>
          <w:tcPr>
            <w:tcW w:w="7460" w:type="dxa"/>
            <w:vAlign w:val="bottom"/>
          </w:tcPr>
          <w:p>
            <w:pPr>
              <w:ind w:left="16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(29,950)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(55,553)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 at cost; shares: March 31, 2021 - 7,890,814; December 31, 2020 - 8,429,948</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(535,144)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(556,917)</w:t>
            </w:r>
          </w:p>
        </w:tc>
        <w:tc>
          <w:tcPr>
            <w:tcW w:w="0" w:type="dxa"/>
            <w:vAlign w:val="bottom"/>
          </w:tcPr>
          <w:p>
            <w:pPr>
              <w:spacing w:after="0"/>
              <w:rPr>
                <w:sz w:val="1"/>
                <w:szCs w:val="1"/>
                <w:color w:val="auto"/>
              </w:rPr>
            </w:pPr>
          </w:p>
        </w:tc>
      </w:tr>
      <w:tr>
        <w:trPr>
          <w:trHeight w:val="205"/>
        </w:trPr>
        <w:tc>
          <w:tcPr>
            <w:tcW w:w="7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(317,402)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(354,651)</w:t>
            </w:r>
          </w:p>
        </w:tc>
        <w:tc>
          <w:tcPr>
            <w:tcW w:w="0" w:type="dxa"/>
            <w:vAlign w:val="bottom"/>
          </w:tcPr>
          <w:p>
            <w:pPr>
              <w:spacing w:after="0"/>
              <w:rPr>
                <w:sz w:val="1"/>
                <w:szCs w:val="1"/>
                <w:color w:val="auto"/>
              </w:rPr>
            </w:pPr>
          </w:p>
        </w:tc>
      </w:tr>
      <w:tr>
        <w:trPr>
          <w:trHeight w:val="208"/>
        </w:trPr>
        <w:tc>
          <w:tcPr>
            <w:tcW w:w="7460" w:type="dxa"/>
            <w:vAlign w:val="bottom"/>
          </w:tcPr>
          <w:p>
            <w:pPr>
              <w:ind w:left="38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1,856,289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2,074,945</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06"/>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8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Franchise revenues: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tcPr>
          <w:p>
            <w:pPr>
              <w:ind w:left="380"/>
              <w:spacing w:after="0"/>
              <w:rPr>
                <w:sz w:val="20"/>
                <w:szCs w:val="20"/>
                <w:color w:val="auto"/>
              </w:rPr>
            </w:pPr>
            <w:r>
              <w:rPr>
                <w:rFonts w:ascii="Arial" w:cs="Arial" w:eastAsia="Arial" w:hAnsi="Arial"/>
                <w:sz w:val="18"/>
                <w:szCs w:val="18"/>
                <w:color w:val="auto"/>
              </w:rPr>
              <w:t>Royalties, franchise fees and other</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80,091</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83,314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Advertising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Total franchise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140,976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145,037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 restaurant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Rental revenues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29,009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206,884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Franchise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Advertising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tcPr>
          <w:p>
            <w:pPr>
              <w:ind w:left="380"/>
              <w:spacing w:after="0"/>
              <w:rPr>
                <w:sz w:val="20"/>
                <w:szCs w:val="20"/>
                <w:color w:val="auto"/>
              </w:rPr>
            </w:pPr>
            <w:r>
              <w:rPr>
                <w:rFonts w:ascii="Arial" w:cs="Arial" w:eastAsia="Arial" w:hAnsi="Arial"/>
                <w:sz w:val="18"/>
                <w:szCs w:val="18"/>
                <w:color w:val="auto"/>
              </w:rPr>
              <w:t>Bad debt (credit)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franchise expenses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Total franchise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69,450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 restaurant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from finance leases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rental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rental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122,457</w:t>
            </w:r>
          </w:p>
        </w:tc>
        <w:tc>
          <w:tcPr>
            <w:tcW w:w="0" w:type="dxa"/>
            <w:vAlign w:val="bottom"/>
          </w:tcPr>
          <w:p>
            <w:pPr>
              <w:spacing w:after="0"/>
              <w:rPr>
                <w:sz w:val="1"/>
                <w:szCs w:val="1"/>
                <w:color w:val="auto"/>
              </w:rPr>
            </w:pPr>
          </w:p>
        </w:tc>
      </w:tr>
      <w:tr>
        <w:trPr>
          <w:trHeight w:val="218"/>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85,286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84,427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37,608</w:t>
            </w:r>
          </w:p>
        </w:tc>
        <w:tc>
          <w:tcPr>
            <w:tcW w:w="0" w:type="dxa"/>
            <w:vAlign w:val="bottom"/>
          </w:tcPr>
          <w:p>
            <w:pPr>
              <w:spacing w:after="0"/>
              <w:rPr>
                <w:sz w:val="1"/>
                <w:szCs w:val="1"/>
                <w:color w:val="auto"/>
              </w:rPr>
            </w:pPr>
          </w:p>
        </w:tc>
      </w:tr>
      <w:tr>
        <w:trPr>
          <w:trHeight w:val="225"/>
        </w:trPr>
        <w:tc>
          <w:tcPr>
            <w:tcW w:w="87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15,172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Closure and impairment charges (credit)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87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(gain) on disposition of assets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8"/>
        </w:trPr>
        <w:tc>
          <w:tcPr>
            <w:tcW w:w="8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29,066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0" w:type="dxa"/>
            <w:vAlign w:val="bottom"/>
          </w:tcPr>
          <w:p>
            <w:pPr>
              <w:spacing w:after="0"/>
              <w:rPr>
                <w:sz w:val="1"/>
                <w:szCs w:val="1"/>
                <w:color w:val="auto"/>
              </w:rPr>
            </w:pPr>
          </w:p>
        </w:tc>
      </w:tr>
      <w:tr>
        <w:trPr>
          <w:trHeight w:val="218"/>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22,328</w:t>
            </w:r>
          </w:p>
        </w:tc>
        <w:tc>
          <w:tcPr>
            <w:tcW w:w="0" w:type="dxa"/>
            <w:vAlign w:val="bottom"/>
          </w:tcPr>
          <w:p>
            <w:pPr>
              <w:spacing w:after="0"/>
              <w:rPr>
                <w:sz w:val="1"/>
                <w:szCs w:val="1"/>
                <w:color w:val="auto"/>
              </w:rPr>
            </w:pPr>
          </w:p>
        </w:tc>
      </w:tr>
      <w:tr>
        <w:trPr>
          <w:trHeight w:val="22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allocated to unvested participating restricted stock</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available to common stockholders per share: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0"/>
                <w:szCs w:val="20"/>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16,460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16,263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0"/>
                <w:szCs w:val="20"/>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bottom w:val="single" w:sz="8" w:color="CCEEFF"/>
            </w:tcBorders>
            <w:vMerge w:val="restart"/>
          </w:tcPr>
          <w:p>
            <w:pPr>
              <w:ind w:left="3240"/>
              <w:spacing w:after="0"/>
              <w:rPr>
                <w:sz w:val="20"/>
                <w:szCs w:val="20"/>
                <w:color w:val="auto"/>
              </w:rPr>
            </w:pPr>
            <w:r>
              <w:rPr>
                <w:rFonts w:ascii="Arial" w:cs="Arial" w:eastAsia="Arial" w:hAnsi="Arial"/>
                <w:sz w:val="18"/>
                <w:szCs w:val="18"/>
                <w:color w:val="auto"/>
                <w:w w:val="99"/>
              </w:rPr>
              <w:t>See the accompanying Notes to Consolidated Financial Statements.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6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8"/>
          </w:tcPr>
          <w:p>
            <w:pPr>
              <w:jc w:val="center"/>
              <w:ind w:left="451"/>
              <w:spacing w:after="0"/>
              <w:rPr>
                <w:sz w:val="20"/>
                <w:szCs w:val="20"/>
                <w:color w:val="auto"/>
              </w:rPr>
            </w:pPr>
            <w:r>
              <w:rPr>
                <w:rFonts w:ascii="Arial" w:cs="Arial" w:eastAsia="Arial" w:hAnsi="Arial"/>
                <w:sz w:val="16"/>
                <w:szCs w:val="16"/>
                <w:b w:val="1"/>
                <w:bCs w:val="1"/>
                <w:color w:val="auto"/>
                <w:w w:val="90"/>
              </w:rPr>
              <w:t>Three Months ended March 31, 2020</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p>
        </w:tc>
        <w:tc>
          <w:tcPr>
            <w:tcW w:w="1900" w:type="dxa"/>
            <w:vAlign w:val="bottom"/>
            <w:gridSpan w:val="5"/>
          </w:tcPr>
          <w:p>
            <w:pPr>
              <w:ind w:left="46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2"/>
              </w:rPr>
              <w:t>Accumulated</w:t>
            </w:r>
          </w:p>
        </w:tc>
        <w:tc>
          <w:tcPr>
            <w:tcW w:w="170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2"/>
              </w:rPr>
              <w:t>Treasury Stock</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30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3300" w:type="dxa"/>
            <w:vAlign w:val="bottom"/>
          </w:tcPr>
          <w:p>
            <w:pPr>
              <w:spacing w:after="0"/>
              <w:rPr>
                <w:sz w:val="10"/>
                <w:szCs w:val="10"/>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9"/>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20" w:lineRule="exact"/>
              <w:rPr>
                <w:sz w:val="20"/>
                <w:szCs w:val="20"/>
                <w:color w:val="auto"/>
              </w:rPr>
            </w:pPr>
            <w:r>
              <w:rPr>
                <w:rFonts w:ascii="Arial" w:cs="Arial" w:eastAsia="Arial" w:hAnsi="Arial"/>
                <w:sz w:val="12"/>
                <w:szCs w:val="12"/>
                <w:b w:val="1"/>
                <w:bCs w:val="1"/>
                <w:color w:val="auto"/>
                <w:w w:val="99"/>
              </w:rPr>
              <w:t>Other</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0"/>
                <w:szCs w:val="10"/>
                <w:color w:val="auto"/>
              </w:rPr>
            </w:pPr>
          </w:p>
        </w:tc>
        <w:tc>
          <w:tcPr>
            <w:tcW w:w="920" w:type="dxa"/>
            <w:vAlign w:val="bottom"/>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4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7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Cost</w:t>
            </w:r>
          </w:p>
        </w:tc>
        <w:tc>
          <w:tcPr>
            <w:tcW w:w="180" w:type="dxa"/>
            <w:vAlign w:val="bottom"/>
          </w:tcPr>
          <w:p>
            <w:pPr>
              <w:spacing w:after="0"/>
              <w:rPr>
                <w:sz w:val="10"/>
                <w:szCs w:val="10"/>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Outstanding</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5"/>
              </w:rPr>
              <w:t>Loss</w:t>
            </w: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246,192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61,653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center"/>
              <w:ind w:left="712"/>
              <w:spacing w:after="0"/>
              <w:rPr>
                <w:sz w:val="20"/>
                <w:szCs w:val="20"/>
                <w:color w:val="auto"/>
              </w:rPr>
            </w:pPr>
            <w:r>
              <w:rPr>
                <w:rFonts w:ascii="Arial" w:cs="Arial" w:eastAsia="Arial" w:hAnsi="Arial"/>
                <w:sz w:val="14"/>
                <w:szCs w:val="14"/>
                <w:color w:val="auto"/>
                <w:w w:val="88"/>
              </w:rPr>
              <w:t>(58)</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8,404</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center"/>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(549,810)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(241,774)</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6"/>
                <w:szCs w:val="16"/>
                <w:color w:val="auto"/>
              </w:rPr>
              <w:t>Adoption of credit loss accounting guidance</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left="552"/>
              <w:spacing w:after="0"/>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15"/>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552"/>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22,328</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(460)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80" w:type="dxa"/>
            <w:vAlign w:val="bottom"/>
            <w:gridSpan w:val="2"/>
          </w:tcPr>
          <w:p>
            <w:pPr>
              <w:jc w:val="center"/>
              <w:ind w:left="552"/>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(26,527)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(26,527)</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552"/>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20,524</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80" w:type="dxa"/>
            <w:vAlign w:val="bottom"/>
            <w:gridSpan w:val="2"/>
          </w:tcPr>
          <w:p>
            <w:pPr>
              <w:jc w:val="center"/>
              <w:ind w:left="552"/>
              <w:spacing w:after="0"/>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552"/>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80" w:type="dxa"/>
            <w:vAlign w:val="bottom"/>
            <w:gridSpan w:val="2"/>
          </w:tcPr>
          <w:p>
            <w:pPr>
              <w:jc w:val="center"/>
              <w:ind w:left="552"/>
              <w:spacing w:after="0"/>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4,038</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552"/>
              <w:spacing w:after="0"/>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(12,469)</w:t>
            </w:r>
          </w:p>
        </w:tc>
        <w:tc>
          <w:tcPr>
            <w:tcW w:w="0" w:type="dxa"/>
            <w:vAlign w:val="bottom"/>
          </w:tcPr>
          <w:p>
            <w:pPr>
              <w:spacing w:after="0"/>
              <w:rPr>
                <w:sz w:val="1"/>
                <w:szCs w:val="1"/>
                <w:color w:val="auto"/>
              </w:rPr>
            </w:pPr>
          </w:p>
        </w:tc>
      </w:tr>
      <w:tr>
        <w:trPr>
          <w:trHeight w:val="179"/>
        </w:trPr>
        <w:tc>
          <w:tcPr>
            <w:tcW w:w="3300" w:type="dxa"/>
            <w:vAlign w:val="bottom"/>
          </w:tcPr>
          <w:p>
            <w:pPr>
              <w:ind w:left="20"/>
              <w:spacing w:after="0" w:line="179" w:lineRule="exact"/>
              <w:rPr>
                <w:sz w:val="20"/>
                <w:szCs w:val="20"/>
                <w:color w:val="auto"/>
              </w:rPr>
            </w:pPr>
            <w:r>
              <w:rPr>
                <w:rFonts w:ascii="Arial" w:cs="Arial" w:eastAsia="Arial" w:hAnsi="Arial"/>
                <w:sz w:val="16"/>
                <w:szCs w:val="16"/>
                <w:b w:val="1"/>
                <w:bCs w:val="1"/>
                <w:color w:val="auto"/>
              </w:rPr>
              <w:t>Balance at March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16,421</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252,443</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70,769</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center"/>
              <w:ind w:left="712"/>
              <w:spacing w:after="0"/>
              <w:rPr>
                <w:sz w:val="20"/>
                <w:szCs w:val="20"/>
                <w:color w:val="auto"/>
              </w:rPr>
            </w:pPr>
            <w:r>
              <w:rPr>
                <w:rFonts w:ascii="Arial" w:cs="Arial" w:eastAsia="Arial" w:hAnsi="Arial"/>
                <w:sz w:val="14"/>
                <w:szCs w:val="14"/>
                <w:color w:val="auto"/>
                <w:w w:val="88"/>
              </w:rPr>
              <w:t>(58)</w:t>
            </w:r>
          </w:p>
        </w:tc>
        <w:tc>
          <w:tcPr>
            <w:tcW w:w="2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8,496</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center"/>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(559,780)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(236,377)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1"/>
              </w:rPr>
              <w:t>Three Months ended March 31, 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860" w:type="dxa"/>
            <w:vAlign w:val="bottom"/>
            <w:gridSpan w:val="5"/>
          </w:tcPr>
          <w:p>
            <w:pPr>
              <w:ind w:left="46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400"/>
              <w:spacing w:after="0"/>
              <w:rPr>
                <w:sz w:val="20"/>
                <w:szCs w:val="20"/>
                <w:color w:val="auto"/>
              </w:rPr>
            </w:pPr>
            <w:r>
              <w:rPr>
                <w:rFonts w:ascii="Arial" w:cs="Arial" w:eastAsia="Arial" w:hAnsi="Arial"/>
                <w:sz w:val="12"/>
                <w:szCs w:val="12"/>
                <w:b w:val="1"/>
                <w:bCs w:val="1"/>
                <w:color w:val="auto"/>
              </w:rPr>
              <w:t>Treasury Stock</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2"/>
                <w:szCs w:val="12"/>
                <w:b w:val="1"/>
                <w:bCs w:val="1"/>
                <w:color w:val="auto"/>
                <w:w w:val="98"/>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Retained Earnings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3"/>
              </w:rPr>
              <w:t>Other</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132"/>
              <w:spacing w:after="0" w:line="120" w:lineRule="exact"/>
              <w:rPr>
                <w:sz w:val="20"/>
                <w:szCs w:val="20"/>
                <w:color w:val="auto"/>
              </w:rPr>
            </w:pPr>
            <w:r>
              <w:rPr>
                <w:rFonts w:ascii="Arial" w:cs="Arial" w:eastAsia="Arial" w:hAnsi="Arial"/>
                <w:sz w:val="12"/>
                <w:szCs w:val="12"/>
                <w:b w:val="1"/>
                <w:bCs w:val="1"/>
                <w:color w:val="auto"/>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600" w:type="dxa"/>
            <w:vAlign w:val="bottom"/>
            <w:vMerge w:val="restart"/>
          </w:tcPr>
          <w:p>
            <w:pPr>
              <w:jc w:val="right"/>
              <w:ind w:right="49"/>
              <w:spacing w:after="0"/>
              <w:rPr>
                <w:sz w:val="20"/>
                <w:szCs w:val="20"/>
                <w:color w:val="auto"/>
              </w:rPr>
            </w:pPr>
            <w:r>
              <w:rPr>
                <w:rFonts w:ascii="Arial" w:cs="Arial" w:eastAsia="Arial" w:hAnsi="Arial"/>
                <w:sz w:val="12"/>
                <w:szCs w:val="12"/>
                <w:b w:val="1"/>
                <w:bCs w:val="1"/>
                <w:color w:val="auto"/>
              </w:rPr>
              <w:t>Shares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2"/>
                <w:szCs w:val="12"/>
                <w:b w:val="1"/>
                <w:bCs w:val="1"/>
                <w:color w:val="auto"/>
              </w:rPr>
              <w:t>Cost</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3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Outstanding</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Capital</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1"/>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257,625</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(556,917)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(354,651)</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25,603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25,603</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color w:val="auto"/>
              </w:rPr>
              <w:t>Reissuance of treasury stock</w:t>
            </w:r>
          </w:p>
        </w:tc>
        <w:tc>
          <w:tcPr>
            <w:tcW w:w="980" w:type="dxa"/>
            <w:vAlign w:val="bottom"/>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21,773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19,484</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color w:val="auto"/>
              </w:rPr>
              <w:t>Tax withheld related to settlement of restricted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6"/>
                <w:szCs w:val="16"/>
                <w:color w:val="auto"/>
              </w:rPr>
              <w:t>stock units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(9,711)</w:t>
            </w:r>
          </w:p>
        </w:tc>
        <w:tc>
          <w:tcPr>
            <w:tcW w:w="0" w:type="dxa"/>
            <w:vAlign w:val="bottom"/>
          </w:tcPr>
          <w:p>
            <w:pPr>
              <w:spacing w:after="0"/>
              <w:rPr>
                <w:sz w:val="1"/>
                <w:szCs w:val="1"/>
                <w:color w:val="auto"/>
              </w:rPr>
            </w:pPr>
          </w:p>
        </w:tc>
      </w:tr>
      <w:tr>
        <w:trPr>
          <w:trHeight w:val="206"/>
        </w:trPr>
        <w:tc>
          <w:tcPr>
            <w:tcW w:w="332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Balance at March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247,498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(535,144)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(317,402)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8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22,328</w:t>
            </w:r>
          </w:p>
        </w:tc>
        <w:tc>
          <w:tcPr>
            <w:tcW w:w="0" w:type="dxa"/>
            <w:vAlign w:val="bottom"/>
          </w:tcPr>
          <w:p>
            <w:pPr>
              <w:spacing w:after="0"/>
              <w:rPr>
                <w:sz w:val="1"/>
                <w:szCs w:val="1"/>
                <w:color w:val="auto"/>
              </w:rPr>
            </w:pPr>
          </w:p>
        </w:tc>
      </w:tr>
      <w:tr>
        <w:trPr>
          <w:trHeight w:val="225"/>
        </w:trPr>
        <w:tc>
          <w:tcPr>
            <w:tcW w:w="878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closure and impairment charges (credit)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10,641</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stock-based compensation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Non-cash 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(gain) on disposition of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12,077</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income tax receivables and payables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Gift card receivables and payables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11,693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(12,748)</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employee compensation and benefits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Accrued advertising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Cash flows provided by operating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29,645</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Principal receipts from notes, equipment contracts and other long-term receivables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additions to property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Additions to long-term receivables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flows provided by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8"/>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Repayment of long-term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Borrowing from revolving credit facility</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Repayment of revolving credit facility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Dividends paid on common stock</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(11,451)</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Principal payments on finance lease obligations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stock options exercised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20,524</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Tax payments for restricted stock upon vesting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Tax payments for share settlement of restricted stock units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Cash flows (used in) provided by financing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(217,318)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194,239</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222,644</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172,475</w:t>
            </w: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395,119</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paid in cash</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Income taxes paid in cash</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7,441</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10,818</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conversion of accounts receivable to notes receivable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0" w:lineRule="exact"/>
        <w:rPr>
          <w:sz w:val="20"/>
          <w:szCs w:val="20"/>
          <w:color w:val="auto"/>
        </w:rPr>
      </w:pPr>
    </w:p>
    <w:p>
      <w:pPr>
        <w:ind w:firstLine="318"/>
        <w:spacing w:after="0" w:line="235" w:lineRule="auto"/>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three months ended March 31, 2021 are not necessarily indicative of the results that may be expected for the twelve months ending December 31, 2021.</w:t>
      </w:r>
    </w:p>
    <w:p>
      <w:pPr>
        <w:spacing w:after="0" w:line="175" w:lineRule="exact"/>
        <w:rPr>
          <w:sz w:val="20"/>
          <w:szCs w:val="20"/>
          <w:color w:val="auto"/>
        </w:rPr>
      </w:pPr>
    </w:p>
    <w:p>
      <w:pPr>
        <w:ind w:right="520" w:firstLine="318"/>
        <w:spacing w:after="0" w:line="249" w:lineRule="auto"/>
        <w:rPr>
          <w:sz w:val="20"/>
          <w:szCs w:val="20"/>
          <w:color w:val="auto"/>
        </w:rPr>
      </w:pPr>
      <w:r>
        <w:rPr>
          <w:rFonts w:ascii="Arial" w:cs="Arial" w:eastAsia="Arial" w:hAnsi="Arial"/>
          <w:sz w:val="18"/>
          <w:szCs w:val="18"/>
          <w:color w:val="auto"/>
        </w:rPr>
        <w:t>The consolidated balance sheet at December 31, 2020 has been derived from the audited consolidated financial statements at that date but does not include all of information and footnotes required by U.S. GAAP for complete financial statements.</w:t>
      </w:r>
    </w:p>
    <w:p>
      <w:pPr>
        <w:spacing w:after="0" w:line="167" w:lineRule="exact"/>
        <w:rPr>
          <w:sz w:val="20"/>
          <w:szCs w:val="20"/>
          <w:color w:val="auto"/>
        </w:rPr>
      </w:pPr>
    </w:p>
    <w:p>
      <w:pPr>
        <w:ind w:right="300" w:firstLine="318"/>
        <w:spacing w:after="0" w:line="249"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3" w:lineRule="exact"/>
        <w:rPr>
          <w:sz w:val="20"/>
          <w:szCs w:val="20"/>
          <w:color w:val="auto"/>
        </w:rPr>
      </w:pPr>
    </w:p>
    <w:p>
      <w:pPr>
        <w:ind w:right="120" w:firstLine="318"/>
        <w:spacing w:after="0" w:line="239"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2021 began on January 4, 2021 and ended on April 4, 2021. The first fiscal quarter of 2020 began on December 30, 2019 and ended on March 29, 2020.</w:t>
      </w:r>
    </w:p>
    <w:p>
      <w:pPr>
        <w:spacing w:after="0" w:line="216"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67" w:lineRule="exact"/>
        <w:rPr>
          <w:sz w:val="20"/>
          <w:szCs w:val="20"/>
          <w:color w:val="auto"/>
        </w:rPr>
      </w:pPr>
    </w:p>
    <w:p>
      <w:pPr>
        <w:ind w:right="20" w:firstLine="318"/>
        <w:spacing w:after="0" w:line="288" w:lineRule="auto"/>
        <w:rPr>
          <w:sz w:val="20"/>
          <w:szCs w:val="20"/>
          <w:color w:val="auto"/>
        </w:rPr>
      </w:pPr>
      <w:r>
        <w:rPr>
          <w:rFonts w:ascii="Arial" w:cs="Arial" w:eastAsia="Arial" w:hAnsi="Arial"/>
          <w:sz w:val="15"/>
          <w:szCs w:val="15"/>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may include the calculation and assessment of the following: impairment of goodwill, other intangible assets and tangible assets; income taxes; allowance for credit losses on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30" w:lineRule="exact"/>
        <w:rPr>
          <w:sz w:val="20"/>
          <w:szCs w:val="20"/>
          <w:color w:val="auto"/>
        </w:rPr>
      </w:pPr>
    </w:p>
    <w:p>
      <w:pPr>
        <w:ind w:right="80" w:firstLine="318"/>
        <w:spacing w:after="0" w:line="285" w:lineRule="auto"/>
        <w:rPr>
          <w:sz w:val="20"/>
          <w:szCs w:val="20"/>
          <w:color w:val="auto"/>
        </w:rPr>
      </w:pPr>
      <w:r>
        <w:rPr>
          <w:rFonts w:ascii="Arial" w:cs="Arial" w:eastAsia="Arial" w:hAnsi="Arial"/>
          <w:sz w:val="15"/>
          <w:szCs w:val="15"/>
          <w:color w:val="auto"/>
        </w:rPr>
        <w:t>The Company was subject to risks and uncertainties as a result of the continuing outbreak of a novel strain of coronavirus, designated “COVID-19.” The extent of the continued impact of the COVID-19 pandemic on the Company's business is highly uncertain and difficult to predict, as measures taken in response to and the effect of the pandemic has varied and continues to vary by state and municipalities within states. Assessments of the success of measures taken and the timing of any further restrictions, or lifting of such restrictions, is rapidly evolving. The Company first began to experience impacts from COVID-19 in March 2020, as federal, state, local and international governments began to react to the public health crisis by encouraging “social distancing” and requiring, in varying degrees, restaurant dine-in limitations and other restrictions that largely limited the restaurants of the Company's franchisees and its company-operated restaurants to take-out and delivery sales. Subsequently, government-imposed dine-in restrictions have been relaxed in many of the locations in which the Company operates as incidents of infection decline within the respective governmental jurisdictions, although dining room capacity continues to be limited to 50% or less at over two-thirds of the Company's restaurants as of March 31, 2021.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(Continued)</w:t>
      </w:r>
    </w:p>
    <w:p>
      <w:pPr>
        <w:spacing w:after="0" w:line="200" w:lineRule="exact"/>
        <w:rPr>
          <w:sz w:val="20"/>
          <w:szCs w:val="20"/>
          <w:color w:val="auto"/>
        </w:rPr>
      </w:pPr>
    </w:p>
    <w:p>
      <w:pPr>
        <w:spacing w:after="0" w:line="307" w:lineRule="exact"/>
        <w:rPr>
          <w:sz w:val="20"/>
          <w:szCs w:val="20"/>
          <w:color w:val="auto"/>
        </w:rPr>
      </w:pPr>
    </w:p>
    <w:p>
      <w:pPr>
        <w:ind w:firstLine="318"/>
        <w:spacing w:after="0" w:line="250" w:lineRule="auto"/>
        <w:rPr>
          <w:sz w:val="20"/>
          <w:szCs w:val="20"/>
          <w:color w:val="auto"/>
        </w:rPr>
      </w:pPr>
      <w:r>
        <w:rPr>
          <w:rFonts w:ascii="Arial" w:cs="Arial" w:eastAsia="Arial" w:hAnsi="Arial"/>
          <w:sz w:val="17"/>
          <w:szCs w:val="17"/>
          <w:color w:val="auto"/>
        </w:rPr>
        <w:t>The Company took several actions to mitigate the effects of the COVID-19 pandemic on its operations and its franchisees, as follows: (i) drew down $220 million from its revolving credit facility in March 2020 and repaid the borrowing in March 2021;(ii) suspended repurchases of common stock; (iii) the Company's Board of Directors has not declared dividends after the first quarter of 2020; (iv) voluntarily increased the interest reserve for securitized debt from the required $16.4 million (approximately one quarter of estimated interest) to $32.8 million; (v) deferred franchisee payment of royalty, advertising and other fees, and lease obligations for up to two months on a case-by-case basis; (vi) deferred franchisee remodel and development obligations for up to 15 months; and (vii) negotiated deferrals and abatements for properties on which the Company was lessee.</w:t>
      </w:r>
    </w:p>
    <w:p>
      <w:pPr>
        <w:spacing w:after="0" w:line="209" w:lineRule="exact"/>
        <w:rPr>
          <w:sz w:val="20"/>
          <w:szCs w:val="20"/>
          <w:color w:val="auto"/>
        </w:rPr>
      </w:pPr>
    </w:p>
    <w:p>
      <w:pPr>
        <w:ind w:right="20" w:firstLine="318"/>
        <w:spacing w:after="0" w:line="286" w:lineRule="auto"/>
        <w:rPr>
          <w:sz w:val="20"/>
          <w:szCs w:val="20"/>
          <w:color w:val="auto"/>
        </w:rPr>
      </w:pPr>
      <w:r>
        <w:rPr>
          <w:rFonts w:ascii="Arial" w:cs="Arial" w:eastAsia="Arial" w:hAnsi="Arial"/>
          <w:sz w:val="15"/>
          <w:szCs w:val="15"/>
          <w:color w:val="auto"/>
        </w:rPr>
        <w:t>The severity of the continued impact of the COVID-19 pandemic on the Company's business will depend on a number of factors, including, but not limited to, how long the pandemic will last, whether/when recurrences of the virus and variants of the virus may arise, the availability and acceptance of vaccines, what restrictions on in-restaurant dining may be imposed or re-imposed,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adversely be impacted by the length of time dine-in restrictions remain in place and the success of any initiatives or programs that the Company may undertake to address financial and operational challenges faced by itself and its franchisees. As such, the extent to which the COVID-19 pandemic may continue to materially impact the Company's financial condition, liquidity, or results of operations is highly uncertain.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Standards Adopted and Newly Issued Accounting Standards Not Yet Adopted</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Standards Adopted in the Current Fiscal Year</w:t>
      </w:r>
    </w:p>
    <w:p>
      <w:pPr>
        <w:spacing w:after="0" w:line="204" w:lineRule="exact"/>
        <w:rPr>
          <w:sz w:val="20"/>
          <w:szCs w:val="20"/>
          <w:color w:val="auto"/>
        </w:rPr>
      </w:pPr>
    </w:p>
    <w:p>
      <w:pPr>
        <w:ind w:right="300" w:firstLine="318"/>
        <w:spacing w:after="0" w:line="261" w:lineRule="auto"/>
        <w:rPr>
          <w:sz w:val="20"/>
          <w:szCs w:val="20"/>
          <w:color w:val="auto"/>
        </w:rPr>
      </w:pPr>
      <w:r>
        <w:rPr>
          <w:rFonts w:ascii="Arial" w:cs="Arial" w:eastAsia="Arial" w:hAnsi="Arial"/>
          <w:sz w:val="17"/>
          <w:szCs w:val="17"/>
          <w:color w:val="auto"/>
        </w:rPr>
        <w:t>In December 2019, the Financial Accounting Standards Board (“FASB”) issued new guidance intended to simplify the accounting for income taxes, change the accounting for certain income tax transactions, and make other minor changes. The Company adopted the new guidance at the beginning of the first fiscal quarter of 2021. Adoption did not have any material effect on the consolidated financial statements.</w:t>
      </w:r>
    </w:p>
    <w:p>
      <w:pPr>
        <w:spacing w:after="0" w:line="197" w:lineRule="exact"/>
        <w:rPr>
          <w:sz w:val="20"/>
          <w:szCs w:val="20"/>
          <w:color w:val="auto"/>
        </w:rPr>
      </w:pPr>
    </w:p>
    <w:p>
      <w:pPr>
        <w:ind w:right="60" w:firstLine="318"/>
        <w:spacing w:after="0" w:line="347" w:lineRule="auto"/>
        <w:rPr>
          <w:sz w:val="20"/>
          <w:szCs w:val="20"/>
          <w:color w:val="auto"/>
        </w:rPr>
      </w:pPr>
      <w:r>
        <w:rPr>
          <w:rFonts w:ascii="Arial" w:cs="Arial" w:eastAsia="Arial" w:hAnsi="Arial"/>
          <w:sz w:val="15"/>
          <w:szCs w:val="15"/>
          <w:color w:val="auto"/>
        </w:rPr>
        <w:t>Additional new accounting guidance became effective for the Company as of the beginning of fiscal 2021 that the Company reviewed and concluded was either not applicable to its operations or had no material effect on its consolidated financial statements in the current or future fiscal years.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230" w:lineRule="exact"/>
        <w:rPr>
          <w:sz w:val="20"/>
          <w:szCs w:val="20"/>
          <w:color w:val="auto"/>
        </w:rPr>
      </w:pPr>
    </w:p>
    <w:p>
      <w:pPr>
        <w:ind w:right="160" w:firstLine="318"/>
        <w:spacing w:after="0" w:line="300" w:lineRule="auto"/>
        <w:rPr>
          <w:sz w:val="20"/>
          <w:szCs w:val="20"/>
          <w:color w:val="auto"/>
        </w:rPr>
      </w:pPr>
      <w:r>
        <w:rPr>
          <w:rFonts w:ascii="Arial" w:cs="Arial" w:eastAsia="Arial" w:hAnsi="Arial"/>
          <w:sz w:val="15"/>
          <w:szCs w:val="15"/>
          <w:color w:val="auto"/>
        </w:rPr>
        <w:t>In March 2020, with an update in January 2021, the FASB issued guidance which provides optional expedients and exceptions for applying current U.S. GAAP to contracts, hedging relationships, and other transactions affected by the discontinuation of the London Interbank Offered Rate (“LIBOR”) or by another reference rate expected to be discontinued. The guidance can be adopted immediately and is applicable to contracts entered into on or before December 31, 2022. We are currently evaluating our contracts that reference LIBOR and the potential effects of adopting this new guidance.</w:t>
      </w:r>
    </w:p>
    <w:p>
      <w:pPr>
        <w:spacing w:after="0" w:line="171"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Disclosures</w:t>
      </w:r>
    </w:p>
    <w:p>
      <w:pPr>
        <w:spacing w:after="0" w:line="250"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color w:val="auto"/>
        </w:rPr>
        <w:t>Franchise revenue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Disclosures (Continued)</w:t>
      </w: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Franchising Activities</w:t>
      </w:r>
    </w:p>
    <w:p>
      <w:pPr>
        <w:spacing w:after="0" w:line="236" w:lineRule="exact"/>
        <w:rPr>
          <w:sz w:val="20"/>
          <w:szCs w:val="20"/>
          <w:color w:val="auto"/>
        </w:rPr>
      </w:pPr>
    </w:p>
    <w:p>
      <w:pPr>
        <w:ind w:right="80" w:firstLine="318"/>
        <w:spacing w:after="0" w:line="251" w:lineRule="auto"/>
        <w:rPr>
          <w:sz w:val="20"/>
          <w:szCs w:val="20"/>
          <w:color w:val="auto"/>
        </w:rPr>
      </w:pPr>
      <w:r>
        <w:rPr>
          <w:rFonts w:ascii="Arial" w:cs="Arial" w:eastAsia="Arial" w:hAnsi="Arial"/>
          <w:sz w:val="17"/>
          <w:szCs w:val="17"/>
          <w:color w:val="auto"/>
        </w:rPr>
        <w:t>The Company owns, franchises and operates the Applebee's Neighborhood Grill &amp; Bar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(“Applebee's”) concept in the casual dining category of the restaurant industry and the Company owns and franchises the International House of Pancakes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(“IHOP”) concept in the family dining category of the restaurant industry.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22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All domestic IHOP franchise agreements require franchisees to purchase proprietary pancake and waffle dry mix from the Company.</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244" w:lineRule="exact"/>
        <w:rPr>
          <w:sz w:val="20"/>
          <w:szCs w:val="20"/>
          <w:color w:val="auto"/>
        </w:rPr>
      </w:pPr>
    </w:p>
    <w:p>
      <w:pPr>
        <w:ind w:left="560" w:right="140" w:hanging="316"/>
        <w:spacing w:after="0" w:line="250"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60" w:right="20" w:hanging="316"/>
        <w:spacing w:after="0" w:line="24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in the Consolidated Balance Sheets.</w:t>
      </w:r>
    </w:p>
    <w:p>
      <w:pPr>
        <w:spacing w:after="0" w:line="2" w:lineRule="exact"/>
        <w:rPr>
          <w:rFonts w:ascii="Arial" w:cs="Arial" w:eastAsia="Arial" w:hAnsi="Arial"/>
          <w:sz w:val="18"/>
          <w:szCs w:val="18"/>
          <w:color w:val="auto"/>
        </w:rPr>
      </w:pPr>
    </w:p>
    <w:p>
      <w:pPr>
        <w:ind w:left="560" w:right="700" w:hanging="316"/>
        <w:spacing w:after="0" w:line="349" w:lineRule="auto"/>
        <w:tabs>
          <w:tab w:leader="none" w:pos="556" w:val="left"/>
        </w:tabs>
        <w:numPr>
          <w:ilvl w:val="0"/>
          <w:numId w:val="3"/>
        </w:numPr>
        <w:rPr>
          <w:rFonts w:ascii="Arial" w:cs="Arial" w:eastAsia="Arial" w:hAnsi="Arial"/>
          <w:sz w:val="15"/>
          <w:szCs w:val="15"/>
          <w:color w:val="auto"/>
        </w:rPr>
      </w:pPr>
      <w:r>
        <w:rPr>
          <w:rFonts w:ascii="Arial" w:cs="Arial" w:eastAsia="Arial" w:hAnsi="Arial"/>
          <w:sz w:val="15"/>
          <w:szCs w:val="15"/>
          <w:color w:val="auto"/>
        </w:rPr>
        <w:t>Revenue from the sale of proprietary pancake and waffle dry mix is recognized in the period in which distributors ship the franchisee's order; recognition of revenue results in an accounts receivable included in “receivables, net” in the Consolidated Balance Sheets.</w:t>
      </w:r>
    </w:p>
    <w:p>
      <w:pPr>
        <w:spacing w:after="0" w:line="149"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In determining the amount and timing of revenue from contracts with customers, the Company exercises significant judgment with respect to collectibility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franchising activities. The Company's franchising arrangements do not contain a significant financing component.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Company Restaurant Revenue</w:t>
      </w:r>
    </w:p>
    <w:p>
      <w:pPr>
        <w:spacing w:after="0" w:line="24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 Revenue Disclosures (Continued)</w:t>
      </w: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franchise revenue by major type for the three months ended March 31, 2021 and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center"/>
              <w:ind w:right="193"/>
              <w:spacing w:after="0"/>
              <w:rPr>
                <w:sz w:val="20"/>
                <w:szCs w:val="20"/>
                <w:color w:val="auto"/>
              </w:rPr>
            </w:pPr>
            <w:r>
              <w:rPr>
                <w:rFonts w:ascii="Arial" w:cs="Arial" w:eastAsia="Arial" w:hAnsi="Arial"/>
                <w:sz w:val="16"/>
                <w:szCs w:val="16"/>
                <w:b w:val="1"/>
                <w:bCs w:val="1"/>
                <w:color w:val="auto"/>
                <w:w w:val="90"/>
              </w:rPr>
              <w:t>Three Months Ended</w:t>
            </w:r>
          </w:p>
        </w:tc>
      </w:tr>
      <w:tr>
        <w:trPr>
          <w:trHeight w:val="215"/>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6"/>
                <w:szCs w:val="16"/>
                <w:b w:val="1"/>
                <w:bCs w:val="1"/>
                <w:color w:val="auto"/>
                <w:w w:val="94"/>
              </w:rPr>
              <w:t>March 31,</w:t>
            </w:r>
          </w:p>
        </w:tc>
        <w:tc>
          <w:tcPr>
            <w:tcW w:w="780" w:type="dxa"/>
            <w:vAlign w:val="bottom"/>
            <w:tcBorders>
              <w:bottom w:val="single" w:sz="8" w:color="auto"/>
            </w:tcBorders>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8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89"/>
              </w:rPr>
              <w:t>2020</w:t>
            </w:r>
          </w:p>
        </w:tc>
      </w:tr>
      <w:tr>
        <w:trPr>
          <w:trHeight w:val="179"/>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5"/>
                <w:szCs w:val="15"/>
                <w:color w:val="auto"/>
              </w:rPr>
            </w:pPr>
          </w:p>
        </w:tc>
      </w:tr>
      <w:tr>
        <w:trPr>
          <w:trHeight w:val="226"/>
        </w:trPr>
        <w:tc>
          <w:tcPr>
            <w:tcW w:w="8740" w:type="dxa"/>
            <w:vAlign w:val="bottom"/>
            <w:gridSpan w:val="2"/>
          </w:tcPr>
          <w:p>
            <w:pPr>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w:t>
            </w:r>
          </w:p>
        </w:tc>
      </w:tr>
      <w:tr>
        <w:trPr>
          <w:trHeight w:val="225"/>
        </w:trPr>
        <w:tc>
          <w:tcPr>
            <w:tcW w:w="2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Advertising fees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60,885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61,723</w:t>
            </w:r>
          </w:p>
        </w:tc>
      </w:tr>
      <w:tr>
        <w:trPr>
          <w:trHeight w:val="226"/>
        </w:trPr>
        <w:tc>
          <w:tcPr>
            <w:tcW w:w="20" w:type="dxa"/>
            <w:vAlign w:val="bottom"/>
          </w:tcPr>
          <w:p>
            <w:pPr>
              <w:spacing w:after="0"/>
              <w:rPr>
                <w:sz w:val="19"/>
                <w:szCs w:val="19"/>
                <w:color w:val="auto"/>
              </w:rPr>
            </w:pPr>
          </w:p>
        </w:tc>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Pancake and waffle dry mix sales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12,848</w:t>
            </w:r>
          </w:p>
        </w:tc>
      </w:tr>
      <w:tr>
        <w:trPr>
          <w:trHeight w:val="225"/>
        </w:trPr>
        <w:tc>
          <w:tcPr>
            <w:tcW w:w="20" w:type="dxa"/>
            <w:vAlign w:val="bottom"/>
          </w:tcPr>
          <w:p>
            <w:pPr>
              <w:spacing w:after="0"/>
              <w:rPr>
                <w:sz w:val="19"/>
                <w:szCs w:val="19"/>
                <w:color w:val="auto"/>
              </w:rPr>
            </w:pPr>
          </w:p>
        </w:tc>
        <w:tc>
          <w:tcPr>
            <w:tcW w:w="8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Franchise and development fees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w:t>
            </w:r>
          </w:p>
        </w:tc>
      </w:tr>
      <w:tr>
        <w:trPr>
          <w:trHeight w:val="244"/>
        </w:trPr>
        <w:tc>
          <w:tcPr>
            <w:tcW w:w="20" w:type="dxa"/>
            <w:vAlign w:val="bottom"/>
          </w:tcPr>
          <w:p>
            <w:pPr>
              <w:spacing w:after="0"/>
              <w:rPr>
                <w:sz w:val="20"/>
                <w:szCs w:val="20"/>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franchise revenue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145,037</w:t>
            </w:r>
          </w:p>
        </w:tc>
      </w:tr>
      <w:tr>
        <w:trPr>
          <w:trHeight w:val="20"/>
        </w:trPr>
        <w:tc>
          <w:tcPr>
            <w:tcW w:w="20" w:type="dxa"/>
            <w:vAlign w:val="bottom"/>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0" w:right="80" w:firstLine="318"/>
        <w:spacing w:after="0" w:line="294" w:lineRule="auto"/>
        <w:rPr>
          <w:sz w:val="20"/>
          <w:szCs w:val="20"/>
          <w:color w:val="auto"/>
        </w:rPr>
      </w:pPr>
      <w:r>
        <w:rPr>
          <w:rFonts w:ascii="Arial" w:cs="Arial" w:eastAsia="Arial" w:hAnsi="Arial"/>
          <w:sz w:val="17"/>
          <w:szCs w:val="17"/>
          <w:color w:val="auto"/>
        </w:rPr>
        <w:t>Accounts and other receivables from franchisees as of March 31, 2021 and December 31, 2020 were $79.5 million (net of allowance of $7.7 million) and $76.3 million (net of allowance of $11.4 million), respectively, and were included in receivables, net in the Consolidated Balance Sheets.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Changes in the Company's contract liability for deferred franchise and development fees during the three months ended March 31, 2021 are as follows:</w:t>
      </w:r>
    </w:p>
    <w:p>
      <w:pPr>
        <w:sectPr>
          <w:pgSz w:w="11900" w:h="16838" w:orient="portrait"/>
          <w:cols w:equalWidth="0" w:num="1">
            <w:col w:w="11260"/>
          </w:cols>
          <w:pgMar w:left="30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-131445</wp:posOffset>
            </wp:positionV>
            <wp:extent cx="7008495"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8495" cy="1428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Recognized as revenue during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10795</wp:posOffset>
            </wp:positionV>
            <wp:extent cx="7008495"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8495" cy="1428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Fees deferred during the three months ended March 31, 2021</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at March 31, 2021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balance of deferred revenue as of March 31, 2021 is expected to be recognized as follows: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Deferred Franchise Revenue</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(short- and long-term)</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(In thousands)</w:t>
            </w:r>
          </w:p>
        </w:tc>
      </w:tr>
      <w:tr>
        <w:trPr>
          <w:trHeight w:val="224"/>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59,919</w:t>
            </w:r>
          </w:p>
        </w:tc>
      </w:tr>
      <w:tr>
        <w:trPr>
          <w:trHeight w:val="225"/>
        </w:trPr>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(3,354)</w:t>
            </w:r>
          </w:p>
        </w:tc>
      </w:tr>
      <w:tr>
        <w:trPr>
          <w:trHeight w:val="226"/>
        </w:trPr>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r>
      <w:tr>
        <w:trPr>
          <w:trHeight w:val="219"/>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 thousands)</w:t>
      </w:r>
    </w:p>
    <w:p>
      <w:pPr>
        <w:spacing w:after="0" w:line="43" w:lineRule="exact"/>
        <w:rPr>
          <w:sz w:val="20"/>
          <w:szCs w:val="20"/>
          <w:color w:val="auto"/>
        </w:rPr>
      </w:pPr>
    </w:p>
    <w:p>
      <w:pPr>
        <w:sectPr>
          <w:pgSz w:w="11900" w:h="16838" w:orient="portrait"/>
          <w:cols w:equalWidth="0" w:num="2">
            <w:col w:w="8340" w:space="720"/>
            <w:col w:w="2200"/>
          </w:cols>
          <w:pgMar w:left="300" w:top="122" w:right="3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w:t>
            </w:r>
          </w:p>
        </w:tc>
      </w:tr>
      <w:tr>
        <w:trPr>
          <w:trHeight w:val="225"/>
        </w:trPr>
        <w:tc>
          <w:tcPr>
            <w:tcW w:w="9000" w:type="dxa"/>
            <w:vAlign w:val="bottom"/>
          </w:tcPr>
          <w:p>
            <w:pPr>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7,130</w:t>
            </w:r>
          </w:p>
        </w:tc>
      </w:tr>
      <w:tr>
        <w:trPr>
          <w:trHeight w:val="22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r>
      <w:tr>
        <w:trPr>
          <w:trHeight w:val="225"/>
        </w:trPr>
        <w:tc>
          <w:tcPr>
            <w:tcW w:w="900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6,044</w:t>
            </w:r>
          </w:p>
        </w:tc>
      </w:tr>
      <w:tr>
        <w:trPr>
          <w:trHeight w:val="22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r>
      <w:tr>
        <w:trPr>
          <w:trHeight w:val="225"/>
        </w:trPr>
        <w:tc>
          <w:tcPr>
            <w:tcW w:w="9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25,352</w:t>
            </w:r>
          </w:p>
        </w:tc>
      </w:tr>
      <w:tr>
        <w:trPr>
          <w:trHeight w:val="244"/>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Current Expected Credit Losses</w:t>
      </w:r>
    </w:p>
    <w:p>
      <w:pPr>
        <w:spacing w:after="0" w:line="250" w:lineRule="exact"/>
        <w:rPr>
          <w:sz w:val="20"/>
          <w:szCs w:val="20"/>
          <w:color w:val="auto"/>
        </w:rPr>
      </w:pPr>
    </w:p>
    <w:p>
      <w:pPr>
        <w:ind w:left="20" w:right="60" w:firstLine="318"/>
        <w:spacing w:after="0" w:line="248" w:lineRule="auto"/>
        <w:rPr>
          <w:sz w:val="20"/>
          <w:szCs w:val="20"/>
          <w:color w:val="auto"/>
        </w:rPr>
      </w:pPr>
      <w:r>
        <w:rPr>
          <w:rFonts w:ascii="Arial" w:cs="Arial" w:eastAsia="Arial" w:hAnsi="Arial"/>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considers its portfolio segments to be the following:</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Accounts Receivable (Franchise-Related)</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Most of the Company’s short-term receivables due from franchisees are derived from royalty, advertising and other franchise-related fees.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Gift Card Receivables</w:t>
      </w:r>
    </w:p>
    <w:p>
      <w:pPr>
        <w:spacing w:after="0" w:line="217"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Gift card receivables consist primarily of amounts due from third-party vendors. Receivables related to gift card sales are subject to seasonality and usually peak around year end as a result of the December holiday season.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Notes Receivable</w:t>
      </w:r>
    </w:p>
    <w:p>
      <w:pPr>
        <w:spacing w:after="0" w:line="24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Notes receivable balances primarily relate to the conversion of certain Applebee's franchisee accounts receivable to notes receivable, cash loans to franchisees for working capital purposes, a note receivable in connection with the sale of IHOP company restaurants and IHOP franchise fee and other notes. The notes are typically collateralized by the franchise. A significant portion of these notes have specific reserves recorded against them amounting to $9.4 million as of March 31, 2021.</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Equipment Leases Receivable</w:t>
      </w:r>
    </w:p>
    <w:p>
      <w:pPr>
        <w:spacing w:after="0" w:line="244" w:lineRule="exact"/>
        <w:rPr>
          <w:sz w:val="20"/>
          <w:szCs w:val="20"/>
          <w:color w:val="auto"/>
        </w:rPr>
      </w:pPr>
    </w:p>
    <w:p>
      <w:pPr>
        <w:ind w:right="320" w:firstLine="318"/>
        <w:spacing w:after="0" w:line="330" w:lineRule="auto"/>
        <w:rPr>
          <w:sz w:val="20"/>
          <w:szCs w:val="20"/>
          <w:color w:val="auto"/>
        </w:rPr>
      </w:pPr>
      <w:r>
        <w:rPr>
          <w:rFonts w:ascii="Arial" w:cs="Arial" w:eastAsia="Arial" w:hAnsi="Arial"/>
          <w:sz w:val="15"/>
          <w:szCs w:val="15"/>
          <w:color w:val="auto"/>
        </w:rPr>
        <w:t>Equipment leases receivable also relate to IHOP franchise development activity prior to 2003.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5.2 years as of March 31, 2021.</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Direct Financing Leases Receivable</w:t>
      </w:r>
    </w:p>
    <w:p>
      <w:pPr>
        <w:spacing w:after="0" w:line="1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Direct financing lease receivables relate to IHOP franchise development activity prior to 2003 when IHOP typically leased or purchased the restaurant site, built and equipped the restaurant, then franchised the restaurant to a franchisee. IHOP provided the financing for leasing or subleasing the site. Direct financing leases at March 31, 2021, comprised 85 leases with a weighted average remaining life of 4.1 years, and relate to locations that IHOP is leasing from third parties and subleasing to franchisees.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Distributor Receivables</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5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3"/>
              </w:rPr>
              <w:t>December 31, 2020</w:t>
            </w:r>
          </w:p>
        </w:tc>
      </w:tr>
      <w:tr>
        <w:trPr>
          <w:trHeight w:val="183"/>
        </w:trPr>
        <w:tc>
          <w:tcPr>
            <w:tcW w:w="6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5"/>
                <w:szCs w:val="15"/>
                <w:color w:val="auto"/>
              </w:rPr>
            </w:pPr>
          </w:p>
        </w:tc>
      </w:tr>
      <w:tr>
        <w:trPr>
          <w:trHeight w:val="22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5"/>
        </w:trPr>
        <w:tc>
          <w:tcPr>
            <w:tcW w:w="6440" w:type="dxa"/>
            <w:vAlign w:val="bottom"/>
          </w:tcPr>
          <w:p>
            <w:pPr>
              <w:ind w:left="340"/>
              <w:spacing w:after="0"/>
              <w:rPr>
                <w:sz w:val="20"/>
                <w:szCs w:val="20"/>
                <w:color w:val="auto"/>
              </w:rPr>
            </w:pPr>
            <w:r>
              <w:rPr>
                <w:rFonts w:ascii="Arial" w:cs="Arial" w:eastAsia="Arial" w:hAnsi="Arial"/>
                <w:sz w:val="18"/>
                <w:szCs w:val="18"/>
                <w:color w:val="auto"/>
              </w:rPr>
              <w:t>Gift card receivables</w:t>
            </w:r>
          </w:p>
        </w:tc>
        <w:tc>
          <w:tcPr>
            <w:tcW w:w="5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5"/>
        </w:trPr>
        <w:tc>
          <w:tcPr>
            <w:tcW w:w="6440" w:type="dxa"/>
            <w:vAlign w:val="bottom"/>
          </w:tcPr>
          <w:p>
            <w:pPr>
              <w:ind w:left="340"/>
              <w:spacing w:after="0"/>
              <w:rPr>
                <w:sz w:val="20"/>
                <w:szCs w:val="20"/>
                <w:color w:val="auto"/>
              </w:rPr>
            </w:pPr>
            <w:r>
              <w:rPr>
                <w:rFonts w:ascii="Arial" w:cs="Arial" w:eastAsia="Arial" w:hAnsi="Arial"/>
                <w:sz w:val="18"/>
                <w:szCs w:val="18"/>
                <w:color w:val="auto"/>
              </w:rPr>
              <w:t>Financing receivables:</w:t>
            </w:r>
          </w:p>
        </w:tc>
        <w:tc>
          <w:tcPr>
            <w:tcW w:w="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6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Equipment leases receivable</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5"/>
        </w:trPr>
        <w:tc>
          <w:tcPr>
            <w:tcW w:w="6440" w:type="dxa"/>
            <w:vAlign w:val="bottom"/>
          </w:tcPr>
          <w:p>
            <w:pPr>
              <w:ind w:left="560"/>
              <w:spacing w:after="0"/>
              <w:rPr>
                <w:sz w:val="20"/>
                <w:szCs w:val="20"/>
                <w:color w:val="auto"/>
              </w:rPr>
            </w:pPr>
            <w:r>
              <w:rPr>
                <w:rFonts w:ascii="Arial" w:cs="Arial" w:eastAsia="Arial" w:hAnsi="Arial"/>
                <w:sz w:val="18"/>
                <w:szCs w:val="18"/>
                <w:color w:val="auto"/>
              </w:rPr>
              <w:t>Direct financing leases receivable</w:t>
            </w:r>
          </w:p>
        </w:tc>
        <w:tc>
          <w:tcPr>
            <w:tcW w:w="5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26"/>
        </w:trPr>
        <w:tc>
          <w:tcPr>
            <w:tcW w:w="6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Franchise fee notes receivable</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19"/>
        </w:trPr>
        <w:tc>
          <w:tcPr>
            <w:tcW w:w="6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25"/>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allowance for credit losses</w:t>
            </w: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19"/>
        </w:trPr>
        <w:tc>
          <w:tcPr>
            <w:tcW w:w="6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25"/>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current portion</w:t>
            </w: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r>
      <w:tr>
        <w:trPr>
          <w:trHeight w:val="244"/>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receivables</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 w:name="page13"/>
    <w:bookmarkEnd w:id="12"/>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allowance for credit losses during the three months ended March 31, 2021 were as follows:</w:t>
      </w:r>
    </w:p>
    <w:p>
      <w:pPr>
        <w:spacing w:after="0" w:line="1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12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Accounts</w:t>
            </w:r>
          </w:p>
        </w:tc>
        <w:tc>
          <w:tcPr>
            <w:tcW w:w="1340" w:type="dxa"/>
            <w:vAlign w:val="bottom"/>
          </w:tcPr>
          <w:p>
            <w:pPr>
              <w:ind w:left="680"/>
              <w:spacing w:after="0"/>
              <w:rPr>
                <w:sz w:val="20"/>
                <w:szCs w:val="20"/>
                <w:color w:val="auto"/>
              </w:rPr>
            </w:pPr>
            <w:r>
              <w:rPr>
                <w:rFonts w:ascii="Arial" w:cs="Arial" w:eastAsia="Arial" w:hAnsi="Arial"/>
                <w:sz w:val="14"/>
                <w:szCs w:val="14"/>
                <w:b w:val="1"/>
                <w:bCs w:val="1"/>
                <w:color w:val="auto"/>
              </w:rPr>
              <w:t>Notes</w:t>
            </w:r>
          </w:p>
        </w:tc>
        <w:tc>
          <w:tcPr>
            <w:tcW w:w="1320" w:type="dxa"/>
            <w:vAlign w:val="bottom"/>
          </w:tcPr>
          <w:p>
            <w:pPr>
              <w:ind w:left="620"/>
              <w:spacing w:after="0"/>
              <w:rPr>
                <w:sz w:val="20"/>
                <w:szCs w:val="20"/>
                <w:color w:val="auto"/>
              </w:rPr>
            </w:pPr>
            <w:r>
              <w:rPr>
                <w:rFonts w:ascii="Arial" w:cs="Arial" w:eastAsia="Arial" w:hAnsi="Arial"/>
                <w:sz w:val="14"/>
                <w:szCs w:val="14"/>
                <w:b w:val="1"/>
                <w:bCs w:val="1"/>
                <w:color w:val="auto"/>
              </w:rPr>
              <w:t>Notes</w:t>
            </w:r>
          </w:p>
        </w:tc>
        <w:tc>
          <w:tcPr>
            <w:tcW w:w="13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Lease</w:t>
            </w:r>
          </w:p>
        </w:tc>
        <w:tc>
          <w:tcPr>
            <w:tcW w:w="13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Equipment</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40" w:type="dxa"/>
            <w:vAlign w:val="bottom"/>
            <w:vMerge w:val="continue"/>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receivable, short-</w:t>
            </w:r>
          </w:p>
        </w:tc>
        <w:tc>
          <w:tcPr>
            <w:tcW w:w="1320" w:type="dxa"/>
            <w:vAlign w:val="bottom"/>
          </w:tcPr>
          <w:p>
            <w:pPr>
              <w:jc w:val="center"/>
              <w:ind w:right="9"/>
              <w:spacing w:after="0" w:line="133" w:lineRule="exact"/>
              <w:rPr>
                <w:sz w:val="20"/>
                <w:szCs w:val="20"/>
                <w:color w:val="auto"/>
              </w:rPr>
            </w:pPr>
            <w:r>
              <w:rPr>
                <w:rFonts w:ascii="Arial" w:cs="Arial" w:eastAsia="Arial" w:hAnsi="Arial"/>
                <w:sz w:val="14"/>
                <w:szCs w:val="14"/>
                <w:b w:val="1"/>
                <w:bCs w:val="1"/>
                <w:color w:val="auto"/>
                <w:w w:val="90"/>
              </w:rPr>
              <w:t>receivable, long-</w:t>
            </w:r>
          </w:p>
        </w:tc>
        <w:tc>
          <w:tcPr>
            <w:tcW w:w="13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2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8"/>
                <w:szCs w:val="18"/>
                <w:b w:val="1"/>
                <w:bCs w:val="1"/>
                <w:color w:val="auto"/>
                <w:vertAlign w:val="superscript"/>
              </w:rPr>
              <w:t>(1)</w:t>
            </w:r>
          </w:p>
        </w:tc>
        <w:tc>
          <w:tcPr>
            <w:tcW w:w="9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Receivable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term</w:t>
            </w:r>
          </w:p>
        </w:tc>
        <w:tc>
          <w:tcPr>
            <w:tcW w:w="13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2"/>
              </w:rPr>
              <w:t>term</w:t>
            </w: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Receivables</w:t>
            </w: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Notes</w:t>
            </w:r>
          </w:p>
        </w:tc>
        <w:tc>
          <w:tcPr>
            <w:tcW w:w="12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ind w:left="24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1270</wp:posOffset>
            </wp:positionV>
            <wp:extent cx="6995160" cy="252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25273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3" w:lineRule="exact"/>
        <w:rPr>
          <w:sz w:val="20"/>
          <w:szCs w:val="20"/>
          <w:color w:val="auto"/>
        </w:rPr>
      </w:pPr>
    </w:p>
    <w:p>
      <w:pPr>
        <w:ind w:left="340" w:right="160" w:firstLine="318"/>
        <w:spacing w:after="0" w:line="229" w:lineRule="auto"/>
        <w:rPr>
          <w:sz w:val="20"/>
          <w:szCs w:val="20"/>
          <w:color w:val="auto"/>
        </w:rPr>
      </w:pPr>
      <w:r>
        <w:rPr>
          <w:rFonts w:ascii="Arial" w:cs="Arial" w:eastAsia="Arial" w:hAnsi="Arial"/>
          <w:sz w:val="18"/>
          <w:szCs w:val="18"/>
          <w:color w:val="auto"/>
        </w:rPr>
        <w:t>Balance, December 31, 2020</w:t>
      </w:r>
    </w:p>
    <w:p>
      <w:pPr>
        <w:spacing w:after="0" w:line="3" w:lineRule="exact"/>
        <w:rPr>
          <w:sz w:val="20"/>
          <w:szCs w:val="20"/>
          <w:color w:val="auto"/>
        </w:rPr>
      </w:pPr>
    </w:p>
    <w:p>
      <w:pPr>
        <w:ind w:left="340" w:firstLine="318"/>
        <w:spacing w:after="0" w:line="264" w:lineRule="auto"/>
        <w:rPr>
          <w:sz w:val="20"/>
          <w:szCs w:val="20"/>
          <w:color w:val="auto"/>
        </w:rPr>
      </w:pPr>
      <w:r>
        <w:rPr>
          <w:rFonts w:ascii="Arial" w:cs="Arial" w:eastAsia="Arial" w:hAnsi="Arial"/>
          <w:sz w:val="15"/>
          <w:szCs w:val="15"/>
          <w:color w:val="auto"/>
        </w:rPr>
        <w:t>Bad debt (credit) expense for the three months ended March 31, 2021</w:t>
      </w:r>
    </w:p>
    <w:p>
      <w:pPr>
        <w:spacing w:after="0" w:line="1" w:lineRule="exact"/>
        <w:rPr>
          <w:sz w:val="20"/>
          <w:szCs w:val="20"/>
          <w:color w:val="auto"/>
        </w:rPr>
      </w:pPr>
    </w:p>
    <w:p>
      <w:pPr>
        <w:ind w:left="340" w:right="260" w:firstLine="318"/>
        <w:spacing w:after="0" w:line="229" w:lineRule="auto"/>
        <w:rPr>
          <w:sz w:val="20"/>
          <w:szCs w:val="20"/>
          <w:color w:val="auto"/>
        </w:rPr>
      </w:pPr>
      <w:r>
        <w:rPr>
          <w:rFonts w:ascii="Arial" w:cs="Arial" w:eastAsia="Arial" w:hAnsi="Arial"/>
          <w:sz w:val="18"/>
          <w:szCs w:val="18"/>
          <w:color w:val="auto"/>
        </w:rPr>
        <w:t>Advertising provision adjustment</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Write-offs</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Recoveries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Balance, March 31, 2021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11.2</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3.6</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5.3</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0.4</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2.3</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0.3</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570"/>
        </w:trPr>
        <w:tc>
          <w:tcPr>
            <w:tcW w:w="640" w:type="dxa"/>
            <w:vAlign w:val="bottom"/>
          </w:tcPr>
          <w:p>
            <w:pPr>
              <w:spacing w:after="0"/>
              <w:rPr>
                <w:sz w:val="24"/>
                <w:szCs w:val="24"/>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24"/>
                <w:szCs w:val="24"/>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24"/>
                <w:szCs w:val="24"/>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98"/>
        </w:trPr>
        <w:tc>
          <w:tcPr>
            <w:tcW w:w="640" w:type="dxa"/>
            <w:vAlign w:val="bottom"/>
          </w:tcPr>
          <w:p>
            <w:pPr>
              <w:spacing w:after="0"/>
              <w:rPr>
                <w:sz w:val="24"/>
                <w:szCs w:val="24"/>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64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0.0</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18"/>
        </w:trPr>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7.6</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5.3</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0.1</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0.2</w:t>
            </w: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-723265</wp:posOffset>
            </wp:positionV>
            <wp:extent cx="6995160" cy="252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25273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-327660</wp:posOffset>
            </wp:positionV>
            <wp:extent cx="699516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2460" w:space="220"/>
            <w:col w:w="8660"/>
          </w:cols>
          <w:pgMar w:left="320" w:top="121" w:right="239" w:bottom="1440" w:gutter="0" w:footer="0" w:header="0"/>
          <w:type w:val="continuous"/>
        </w:sectPr>
      </w:pPr>
    </w:p>
    <w:p>
      <w:pPr>
        <w:ind w:left="500" w:hanging="176"/>
        <w:spacing w:after="0"/>
        <w:tabs>
          <w:tab w:leader="none" w:pos="50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Primarily distributor receivables, gift card receivables and credit card receivables</w:t>
      </w:r>
    </w:p>
    <w:p>
      <w:pPr>
        <w:spacing w:after="0" w:line="231"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Company's primary credit quality indicator for all portfolio segments is delinquency. The delinquency status of receivables (other than accounts receivable, gift card receivables and distributor receivables) at March 31, 2021 was as follows:</w:t>
      </w:r>
    </w:p>
    <w:tbl>
      <w:tblPr>
        <w:tblLayout w:type="fixed"/>
        <w:tblInd w:w="220" w:type="dxa"/>
        <w:tblCellMar>
          <w:top w:w="0" w:type="dxa"/>
          <w:left w:w="0" w:type="dxa"/>
          <w:bottom w:w="0" w:type="dxa"/>
          <w:right w:w="0" w:type="dxa"/>
        </w:tblCellMar>
      </w:tblPr>
      <w:tr>
        <w:trPr>
          <w:trHeight w:val="167"/>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5"/>
              <w:spacing w:after="0" w:line="167" w:lineRule="exact"/>
              <w:rPr>
                <w:sz w:val="20"/>
                <w:szCs w:val="20"/>
                <w:color w:val="auto"/>
              </w:rPr>
            </w:pPr>
            <w:r>
              <w:rPr>
                <w:rFonts w:ascii="Arial" w:cs="Arial" w:eastAsia="Arial" w:hAnsi="Arial"/>
                <w:sz w:val="16"/>
                <w:szCs w:val="16"/>
                <w:b w:val="1"/>
                <w:bCs w:val="1"/>
                <w:color w:val="auto"/>
              </w:rPr>
              <w:t>Notes</w:t>
            </w:r>
          </w:p>
        </w:tc>
        <w:tc>
          <w:tcPr>
            <w:tcW w:w="240" w:type="dxa"/>
            <w:vAlign w:val="bottom"/>
          </w:tcPr>
          <w:p>
            <w:pPr>
              <w:spacing w:after="0"/>
              <w:rPr>
                <w:sz w:val="14"/>
                <w:szCs w:val="14"/>
                <w:color w:val="auto"/>
              </w:rPr>
            </w:pPr>
          </w:p>
        </w:tc>
        <w:tc>
          <w:tcPr>
            <w:tcW w:w="980" w:type="dxa"/>
            <w:vAlign w:val="bottom"/>
          </w:tcPr>
          <w:p>
            <w:pPr>
              <w:jc w:val="center"/>
              <w:ind w:right="75"/>
              <w:spacing w:after="0" w:line="167" w:lineRule="exact"/>
              <w:rPr>
                <w:sz w:val="20"/>
                <w:szCs w:val="20"/>
                <w:color w:val="auto"/>
              </w:rPr>
            </w:pPr>
            <w:r>
              <w:rPr>
                <w:rFonts w:ascii="Arial" w:cs="Arial" w:eastAsia="Arial" w:hAnsi="Arial"/>
                <w:sz w:val="16"/>
                <w:szCs w:val="16"/>
                <w:b w:val="1"/>
                <w:bCs w:val="1"/>
                <w:color w:val="auto"/>
                <w:w w:val="85"/>
              </w:rPr>
              <w:t>Notes</w:t>
            </w:r>
          </w:p>
        </w:tc>
        <w:tc>
          <w:tcPr>
            <w:tcW w:w="220" w:type="dxa"/>
            <w:vAlign w:val="bottom"/>
          </w:tcPr>
          <w:p>
            <w:pPr>
              <w:spacing w:after="0"/>
              <w:rPr>
                <w:sz w:val="14"/>
                <w:szCs w:val="14"/>
                <w:color w:val="auto"/>
              </w:rPr>
            </w:pPr>
          </w:p>
        </w:tc>
        <w:tc>
          <w:tcPr>
            <w:tcW w:w="1040" w:type="dxa"/>
            <w:vAlign w:val="bottom"/>
            <w:vMerge w:val="restart"/>
          </w:tcPr>
          <w:p>
            <w:pPr>
              <w:jc w:val="right"/>
              <w:ind w:right="315"/>
              <w:spacing w:after="0"/>
              <w:rPr>
                <w:sz w:val="20"/>
                <w:szCs w:val="20"/>
                <w:color w:val="auto"/>
              </w:rPr>
            </w:pPr>
            <w:r>
              <w:rPr>
                <w:rFonts w:ascii="Arial" w:cs="Arial" w:eastAsia="Arial" w:hAnsi="Arial"/>
                <w:sz w:val="16"/>
                <w:szCs w:val="16"/>
                <w:b w:val="1"/>
                <w:bCs w:val="1"/>
                <w:color w:val="auto"/>
              </w:rPr>
              <w:t>Lease</w:t>
            </w:r>
          </w:p>
        </w:tc>
        <w:tc>
          <w:tcPr>
            <w:tcW w:w="220" w:type="dxa"/>
            <w:vAlign w:val="bottom"/>
          </w:tcPr>
          <w:p>
            <w:pPr>
              <w:spacing w:after="0"/>
              <w:rPr>
                <w:sz w:val="14"/>
                <w:szCs w:val="14"/>
                <w:color w:val="auto"/>
              </w:rPr>
            </w:pPr>
          </w:p>
        </w:tc>
        <w:tc>
          <w:tcPr>
            <w:tcW w:w="1000" w:type="dxa"/>
            <w:vAlign w:val="bottom"/>
            <w:vMerge w:val="restart"/>
          </w:tcPr>
          <w:p>
            <w:pPr>
              <w:jc w:val="right"/>
              <w:ind w:right="134"/>
              <w:spacing w:after="0"/>
              <w:rPr>
                <w:sz w:val="20"/>
                <w:szCs w:val="20"/>
                <w:color w:val="auto"/>
              </w:rPr>
            </w:pPr>
            <w:r>
              <w:rPr>
                <w:rFonts w:ascii="Arial" w:cs="Arial" w:eastAsia="Arial" w:hAnsi="Arial"/>
                <w:sz w:val="16"/>
                <w:szCs w:val="16"/>
                <w:b w:val="1"/>
                <w:bCs w:val="1"/>
                <w:color w:val="auto"/>
                <w:w w:val="91"/>
              </w:rPr>
              <w:t>Equipment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line="159" w:lineRule="exact"/>
              <w:rPr>
                <w:sz w:val="20"/>
                <w:szCs w:val="20"/>
                <w:color w:val="auto"/>
              </w:rPr>
            </w:pPr>
            <w:r>
              <w:rPr>
                <w:rFonts w:ascii="Arial" w:cs="Arial" w:eastAsia="Arial" w:hAnsi="Arial"/>
                <w:sz w:val="16"/>
                <w:szCs w:val="16"/>
                <w:b w:val="1"/>
                <w:bCs w:val="1"/>
                <w:color w:val="auto"/>
                <w:w w:val="89"/>
              </w:rPr>
              <w:t>receivable,</w:t>
            </w:r>
          </w:p>
        </w:tc>
        <w:tc>
          <w:tcPr>
            <w:tcW w:w="240" w:type="dxa"/>
            <w:vAlign w:val="bottom"/>
          </w:tcPr>
          <w:p>
            <w:pPr>
              <w:spacing w:after="0"/>
              <w:rPr>
                <w:sz w:val="13"/>
                <w:szCs w:val="13"/>
                <w:color w:val="auto"/>
              </w:rPr>
            </w:pPr>
          </w:p>
        </w:tc>
        <w:tc>
          <w:tcPr>
            <w:tcW w:w="980" w:type="dxa"/>
            <w:vAlign w:val="bottom"/>
          </w:tcPr>
          <w:p>
            <w:pPr>
              <w:jc w:val="center"/>
              <w:ind w:right="95"/>
              <w:spacing w:after="0" w:line="159" w:lineRule="exact"/>
              <w:rPr>
                <w:sz w:val="20"/>
                <w:szCs w:val="20"/>
                <w:color w:val="auto"/>
              </w:rPr>
            </w:pPr>
            <w:r>
              <w:rPr>
                <w:rFonts w:ascii="Arial" w:cs="Arial" w:eastAsia="Arial" w:hAnsi="Arial"/>
                <w:sz w:val="16"/>
                <w:szCs w:val="16"/>
                <w:b w:val="1"/>
                <w:bCs w:val="1"/>
                <w:color w:val="auto"/>
                <w:w w:val="86"/>
              </w:rPr>
              <w:t>receivable,</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w w:val="97"/>
              </w:rPr>
              <w:t xml:space="preserve">Other </w:t>
            </w:r>
            <w:r>
              <w:rPr>
                <w:rFonts w:ascii="Arial" w:cs="Arial" w:eastAsia="Arial" w:hAnsi="Arial"/>
                <w:sz w:val="20"/>
                <w:szCs w:val="20"/>
                <w:b w:val="1"/>
                <w:bCs w:val="1"/>
                <w:color w:val="auto"/>
                <w:w w:val="97"/>
                <w:vertAlign w:val="superscript"/>
              </w:rPr>
              <w:t>(1)</w:t>
            </w:r>
          </w:p>
        </w:tc>
        <w:tc>
          <w:tcPr>
            <w:tcW w:w="32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w w:val="94"/>
              </w:rPr>
              <w:t>short-term</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2"/>
              </w:rPr>
              <w:t>long-term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w w:val="88"/>
              </w:rPr>
              <w:t>Receivables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Notes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Arial" w:cs="Arial" w:eastAsia="Arial" w:hAnsi="Arial"/>
                <w:sz w:val="18"/>
                <w:szCs w:val="18"/>
                <w:color w:val="auto"/>
              </w:rPr>
              <w:t>30-59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60-89 days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Arial" w:cs="Arial" w:eastAsia="Arial" w:hAnsi="Arial"/>
                <w:sz w:val="18"/>
                <w:szCs w:val="18"/>
                <w:color w:val="auto"/>
              </w:rPr>
              <w:t>90-119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120+ days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9"/>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00" w:hanging="176"/>
        <w:spacing w:after="0"/>
        <w:tabs>
          <w:tab w:leader="none" w:pos="50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Primarily c</w:t>
      </w:r>
      <w:r>
        <w:rPr>
          <w:rFonts w:ascii="Arial" w:cs="Arial" w:eastAsia="Arial" w:hAnsi="Arial"/>
          <w:sz w:val="14"/>
          <w:szCs w:val="14"/>
          <w:color w:val="auto"/>
        </w:rPr>
        <w:t>redit card receivables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year of origination of the Company's financing receivables is as follows:</w:t>
      </w:r>
    </w:p>
    <w:p>
      <w:pPr>
        <w:spacing w:after="0" w:line="1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760" w:type="dxa"/>
            <w:vAlign w:val="bottom"/>
            <w:gridSpan w:val="2"/>
          </w:tcPr>
          <w:p>
            <w:pPr>
              <w:jc w:val="right"/>
              <w:ind w:right="152"/>
              <w:spacing w:after="0"/>
              <w:rPr>
                <w:sz w:val="20"/>
                <w:szCs w:val="20"/>
                <w:color w:val="auto"/>
              </w:rPr>
            </w:pPr>
            <w:r>
              <w:rPr>
                <w:rFonts w:ascii="Arial" w:cs="Arial" w:eastAsia="Arial" w:hAnsi="Arial"/>
                <w:sz w:val="16"/>
                <w:szCs w:val="16"/>
                <w:b w:val="1"/>
                <w:bCs w:val="1"/>
                <w:color w:val="auto"/>
              </w:rPr>
              <w:t>Notes receivable,</w:t>
            </w:r>
          </w:p>
        </w:tc>
        <w:tc>
          <w:tcPr>
            <w:tcW w:w="48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6"/>
                <w:szCs w:val="16"/>
                <w:b w:val="1"/>
                <w:bCs w:val="1"/>
                <w:color w:val="auto"/>
              </w:rPr>
              <w:t>Lease</w:t>
            </w:r>
          </w:p>
        </w:tc>
        <w:tc>
          <w:tcPr>
            <w:tcW w:w="38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6"/>
                <w:szCs w:val="16"/>
                <w:b w:val="1"/>
                <w:bCs w:val="1"/>
                <w:color w:val="auto"/>
                <w:w w:val="89"/>
              </w:rPr>
              <w:t>Equipment</w:t>
            </w:r>
          </w:p>
        </w:tc>
        <w:tc>
          <w:tcPr>
            <w:tcW w:w="480" w:type="dxa"/>
            <w:vAlign w:val="bottom"/>
          </w:tcPr>
          <w:p>
            <w:pPr>
              <w:spacing w:after="0"/>
              <w:rPr>
                <w:sz w:val="16"/>
                <w:szCs w:val="16"/>
                <w:color w:val="auto"/>
              </w:rPr>
            </w:pPr>
          </w:p>
        </w:tc>
        <w:tc>
          <w:tcPr>
            <w:tcW w:w="8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7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6"/>
                <w:szCs w:val="16"/>
                <w:b w:val="1"/>
                <w:bCs w:val="1"/>
                <w:color w:val="auto"/>
                <w:w w:val="95"/>
              </w:rPr>
              <w:t>short and long-term</w:t>
            </w:r>
          </w:p>
        </w:tc>
        <w:tc>
          <w:tcPr>
            <w:tcW w:w="152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6"/>
                <w:szCs w:val="16"/>
                <w:b w:val="1"/>
                <w:bCs w:val="1"/>
                <w:color w:val="auto"/>
              </w:rPr>
              <w:t>Receivables</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w w:val="89"/>
              </w:rPr>
              <w:t>Notes</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2021</w:t>
            </w:r>
          </w:p>
        </w:tc>
        <w:tc>
          <w:tcPr>
            <w:tcW w:w="8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4660" w:type="dxa"/>
            <w:vAlign w:val="bottom"/>
          </w:tcPr>
          <w:p>
            <w:pPr>
              <w:ind w:left="320"/>
              <w:spacing w:after="0"/>
              <w:rPr>
                <w:sz w:val="20"/>
                <w:szCs w:val="20"/>
                <w:color w:val="auto"/>
              </w:rPr>
            </w:pPr>
            <w:r>
              <w:rPr>
                <w:rFonts w:ascii="Arial" w:cs="Arial" w:eastAsia="Arial" w:hAnsi="Arial"/>
                <w:sz w:val="18"/>
                <w:szCs w:val="18"/>
                <w:color w:val="auto"/>
              </w:rPr>
              <w:t>2020</w:t>
            </w:r>
          </w:p>
        </w:tc>
        <w:tc>
          <w:tcPr>
            <w:tcW w:w="8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2019</w:t>
            </w: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5"/>
        </w:trPr>
        <w:tc>
          <w:tcPr>
            <w:tcW w:w="4660" w:type="dxa"/>
            <w:vAlign w:val="bottom"/>
          </w:tcPr>
          <w:p>
            <w:pPr>
              <w:ind w:left="320"/>
              <w:spacing w:after="0"/>
              <w:rPr>
                <w:sz w:val="20"/>
                <w:szCs w:val="20"/>
                <w:color w:val="auto"/>
              </w:rPr>
            </w:pPr>
            <w:r>
              <w:rPr>
                <w:rFonts w:ascii="Arial" w:cs="Arial" w:eastAsia="Arial" w:hAnsi="Arial"/>
                <w:sz w:val="18"/>
                <w:szCs w:val="18"/>
                <w:color w:val="auto"/>
              </w:rPr>
              <w:t>2018</w:t>
            </w:r>
          </w:p>
        </w:tc>
        <w:tc>
          <w:tcPr>
            <w:tcW w:w="8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2017</w:t>
            </w: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17.7</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40.8</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20.4</w:t>
            </w: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20.1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40.8</w:t>
            </w: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does not place its financing receivables in non-accrual status.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 Disclosures</w:t>
      </w:r>
    </w:p>
    <w:p>
      <w:pPr>
        <w:spacing w:after="0" w:line="250"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The Company engages in leasing activity as both a lessee and a lessor. The Company currently leases from third parties the real property on which approximately 550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55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Kansas City, Missouri and Raleigh, North Carolina. The Company does not have a significant amount of non-real estate leases.</w:t>
      </w:r>
    </w:p>
    <w:p>
      <w:pPr>
        <w:sectPr>
          <w:pgSz w:w="11900" w:h="16838" w:orient="portrait"/>
          <w:cols w:equalWidth="0" w:num="1">
            <w:col w:w="11340"/>
          </w:cols>
          <w:pgMar w:left="320" w:top="121" w:right="2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 Disclosures (Continued)</w:t>
      </w:r>
    </w:p>
    <w:p>
      <w:pPr>
        <w:spacing w:after="0" w:line="200" w:lineRule="exact"/>
        <w:rPr>
          <w:sz w:val="20"/>
          <w:szCs w:val="20"/>
          <w:color w:val="auto"/>
        </w:rPr>
      </w:pPr>
    </w:p>
    <w:p>
      <w:pPr>
        <w:spacing w:after="0" w:line="227" w:lineRule="exact"/>
        <w:rPr>
          <w:sz w:val="20"/>
          <w:szCs w:val="20"/>
          <w:color w:val="auto"/>
        </w:rPr>
      </w:pPr>
    </w:p>
    <w:p>
      <w:pPr>
        <w:ind w:right="40" w:firstLine="238"/>
        <w:spacing w:after="0" w:line="267" w:lineRule="auto"/>
        <w:rPr>
          <w:sz w:val="20"/>
          <w:szCs w:val="20"/>
          <w:color w:val="auto"/>
        </w:rPr>
      </w:pPr>
      <w:r>
        <w:rPr>
          <w:rFonts w:ascii="Arial" w:cs="Arial" w:eastAsia="Arial" w:hAnsi="Arial"/>
          <w:sz w:val="17"/>
          <w:szCs w:val="17"/>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240 of the Company's leases met the sales levels that required variable rent payments to the Company (as lessor), based on a percentage of restaurant sales during the three months ended March 31, 2021. Approximately 30 of the leases met the sales levels that required variable rent payments by the Company (as lessee), based on a percentage of restaurant sales during the three months ended March 31, 2021.</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lease cost for the three months ended March 31, 2021 and 2020 was as follows:</w:t>
      </w:r>
    </w:p>
    <w:p>
      <w:pPr>
        <w:spacing w:after="0" w:line="43" w:lineRule="exact"/>
        <w:rPr>
          <w:sz w:val="20"/>
          <w:szCs w:val="20"/>
          <w:color w:val="auto"/>
        </w:rPr>
      </w:pPr>
    </w:p>
    <w:p>
      <w:pPr>
        <w:jc w:val="cente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18415</wp:posOffset>
            </wp:positionV>
            <wp:extent cx="18510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21" w:lineRule="exact"/>
        <w:rPr>
          <w:sz w:val="20"/>
          <w:szCs w:val="20"/>
          <w:color w:val="auto"/>
        </w:rPr>
      </w:pPr>
    </w:p>
    <w:p>
      <w:pPr>
        <w:ind w:left="8880"/>
        <w:spacing w:after="0"/>
        <w:tabs>
          <w:tab w:leader="none" w:pos="1036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-98425</wp:posOffset>
            </wp:positionV>
            <wp:extent cx="18510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Amortization of right-of-use assets</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on lease liabilities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cost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cost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5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5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25.1</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5"/>
        </w:trPr>
        <w:tc>
          <w:tcPr>
            <w:tcW w:w="5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5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6"/>
        </w:trPr>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18"/>
        </w:trPr>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w:t>
            </w:r>
          </w:p>
        </w:tc>
        <w:tc>
          <w:tcPr>
            <w:tcW w:w="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-1042670</wp:posOffset>
            </wp:positionV>
            <wp:extent cx="7134860" cy="142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-756285</wp:posOffset>
            </wp:positionV>
            <wp:extent cx="7134860" cy="14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-470535</wp:posOffset>
            </wp:positionV>
            <wp:extent cx="713486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-184150</wp:posOffset>
            </wp:positionV>
            <wp:extent cx="7134860" cy="168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0" w:space="720"/>
            <w:col w:w="2920"/>
          </w:cols>
          <w:pgMar w:left="320" w:top="360" w:right="339" w:bottom="1440" w:gutter="0" w:footer="0" w:header="0"/>
          <w:type w:val="continuous"/>
        </w:sect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lease payments under noncancelable leases as lessee as of March 31, 2021 were as follows: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Finance</w:t>
            </w:r>
          </w:p>
        </w:tc>
        <w:tc>
          <w:tcPr>
            <w:tcW w:w="360" w:type="dxa"/>
            <w:vAlign w:val="bottom"/>
          </w:tcPr>
          <w:p>
            <w:pPr>
              <w:spacing w:after="0"/>
              <w:rPr>
                <w:sz w:val="14"/>
                <w:szCs w:val="14"/>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w w:val="93"/>
              </w:rPr>
              <w:t>Operating</w:t>
            </w:r>
          </w:p>
        </w:tc>
      </w:tr>
      <w:tr>
        <w:trPr>
          <w:trHeight w:val="185"/>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4"/>
              </w:rPr>
              <w:t>Leases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Leases</w:t>
            </w:r>
          </w:p>
        </w:tc>
      </w:tr>
      <w:tr>
        <w:trPr>
          <w:trHeight w:val="179"/>
        </w:trPr>
        <w:tc>
          <w:tcPr>
            <w:tcW w:w="8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nine months)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5"/>
        </w:trPr>
        <w:tc>
          <w:tcPr>
            <w:tcW w:w="834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5"/>
        </w:trPr>
        <w:tc>
          <w:tcPr>
            <w:tcW w:w="834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r>
      <w:tr>
        <w:trPr>
          <w:trHeight w:val="22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interest/imputed interest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obligations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r>
      <w:tr>
        <w:trPr>
          <w:trHeight w:val="22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weighted average remaining lease term as of March 31, 2021 was 7.2 years for finance leases and 9.2 years for operating leases. The weighted average discount rate as of March 31, 2021 was 10.2% for finance leases and 5.6% for operating leases.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4" w:name="page15"/>
    <w:bookmarkEnd w:id="14"/>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 Disclosures (Continued)</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three months ended March 31, 2021 and 2020, the Company made the following cash payments for leases:</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03"/>
        </w:trPr>
        <w:tc>
          <w:tcPr>
            <w:tcW w:w="77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2020</w:t>
            </w:r>
          </w:p>
        </w:tc>
      </w:tr>
      <w:tr>
        <w:trPr>
          <w:trHeight w:val="171"/>
        </w:trPr>
        <w:tc>
          <w:tcPr>
            <w:tcW w:w="7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4"/>
                <w:szCs w:val="14"/>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w w:val="72"/>
              </w:rPr>
              <w:t>millions)</w:t>
            </w:r>
          </w:p>
        </w:tc>
        <w:tc>
          <w:tcPr>
            <w:tcW w:w="860" w:type="dxa"/>
            <w:vAlign w:val="bottom"/>
          </w:tcPr>
          <w:p>
            <w:pPr>
              <w:spacing w:after="0"/>
              <w:rPr>
                <w:sz w:val="14"/>
                <w:szCs w:val="14"/>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8"/>
                <w:szCs w:val="18"/>
                <w:color w:val="auto"/>
              </w:rPr>
              <w:t>Principal payments on finance lease obligations</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payments on finance lease obligations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7720" w:type="dxa"/>
            <w:vAlign w:val="bottom"/>
          </w:tcPr>
          <w:p>
            <w:pPr>
              <w:ind w:left="340"/>
              <w:spacing w:after="0"/>
              <w:rPr>
                <w:sz w:val="20"/>
                <w:szCs w:val="20"/>
                <w:color w:val="auto"/>
              </w:rPr>
            </w:pPr>
            <w:r>
              <w:rPr>
                <w:rFonts w:ascii="Arial" w:cs="Arial" w:eastAsia="Arial" w:hAnsi="Arial"/>
                <w:sz w:val="18"/>
                <w:szCs w:val="18"/>
                <w:color w:val="auto"/>
              </w:rPr>
              <w:t>Payments on operating leases</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6"/>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Variable lease payments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income from operating leases for the three months ended March 31, 2021 and 2020 was as follows:</w:t>
      </w:r>
    </w:p>
    <w:p>
      <w:pPr>
        <w:spacing w:after="0" w:line="43"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5"/>
          </w:tcPr>
          <w:p>
            <w:pPr>
              <w:jc w:val="right"/>
              <w:ind w:right="654"/>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Minimum lease payments</w:t>
            </w:r>
          </w:p>
        </w:tc>
        <w:tc>
          <w:tcPr>
            <w:tcW w:w="12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ind w:right="57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Variable lease income</w:t>
            </w:r>
          </w:p>
        </w:tc>
        <w:tc>
          <w:tcPr>
            <w:tcW w:w="12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Total operating lease income</w:t>
            </w:r>
          </w:p>
        </w:tc>
        <w:tc>
          <w:tcPr>
            <w:tcW w:w="120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0" w:type="dxa"/>
            <w:vAlign w:val="bottom"/>
          </w:tcPr>
          <w:p>
            <w:pPr>
              <w:spacing w:after="0"/>
              <w:rPr>
                <w:sz w:val="24"/>
                <w:szCs w:val="24"/>
                <w:color w:val="auto"/>
              </w:rPr>
            </w:pPr>
          </w:p>
        </w:tc>
        <w:tc>
          <w:tcPr>
            <w:tcW w:w="912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Minimum payments to be received as lessor under noncancelable operating leases as of March 31, 2021 were as follows: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2021 (remaining nine months)</w:t>
            </w: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20" w:type="dxa"/>
            <w:vAlign w:val="bottom"/>
            <w:tcBorders>
              <w:right w:val="single" w:sz="8" w:color="CCEEFF"/>
            </w:tcBorders>
            <w:gridSpan w:val="2"/>
          </w:tcPr>
          <w:p>
            <w:pPr>
              <w:spacing w:after="0"/>
              <w:rPr>
                <w:sz w:val="19"/>
                <w:szCs w:val="19"/>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2022</w:t>
            </w: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gridSpan w:val="3"/>
          </w:tcPr>
          <w:p>
            <w:pPr>
              <w:ind w:left="540"/>
              <w:spacing w:after="0"/>
              <w:rPr>
                <w:sz w:val="20"/>
                <w:szCs w:val="20"/>
                <w:color w:val="auto"/>
              </w:rPr>
            </w:pPr>
            <w:r>
              <w:rPr>
                <w:rFonts w:ascii="Arial" w:cs="Arial" w:eastAsia="Arial" w:hAnsi="Arial"/>
                <w:sz w:val="18"/>
                <w:szCs w:val="18"/>
                <w:color w:val="auto"/>
              </w:rPr>
              <w:t>2023</w:t>
            </w: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0" w:type="dxa"/>
            <w:vAlign w:val="bottom"/>
            <w:tcBorders>
              <w:right w:val="single" w:sz="8" w:color="CCEEFF"/>
            </w:tcBorders>
            <w:gridSpan w:val="2"/>
          </w:tcPr>
          <w:p>
            <w:pPr>
              <w:spacing w:after="0"/>
              <w:rPr>
                <w:sz w:val="19"/>
                <w:szCs w:val="19"/>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gridSpan w:val="3"/>
          </w:tcPr>
          <w:p>
            <w:pPr>
              <w:ind w:left="540"/>
              <w:spacing w:after="0"/>
              <w:rPr>
                <w:sz w:val="20"/>
                <w:szCs w:val="20"/>
                <w:color w:val="auto"/>
              </w:rPr>
            </w:pPr>
            <w:r>
              <w:rPr>
                <w:rFonts w:ascii="Arial" w:cs="Arial" w:eastAsia="Arial" w:hAnsi="Arial"/>
                <w:sz w:val="18"/>
                <w:szCs w:val="18"/>
                <w:color w:val="auto"/>
              </w:rPr>
              <w:t>2025</w:t>
            </w: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Thereafter</w:t>
            </w: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2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Total minimum rents receivable</w:t>
            </w: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5"/>
            <w:vMerge w:val="restart"/>
          </w:tcPr>
          <w:p>
            <w:pPr>
              <w:jc w:val="right"/>
              <w:ind w:right="580"/>
              <w:spacing w:after="0"/>
              <w:rPr>
                <w:sz w:val="20"/>
                <w:szCs w:val="20"/>
                <w:color w:val="auto"/>
              </w:rPr>
            </w:pPr>
            <w:r>
              <w:rPr>
                <w:rFonts w:ascii="Arial" w:cs="Arial" w:eastAsia="Arial" w:hAnsi="Arial"/>
                <w:sz w:val="18"/>
                <w:szCs w:val="18"/>
                <w:color w:val="auto"/>
                <w:w w:val="88"/>
              </w:rPr>
              <w:t>The Company's income from direct financing leases for the three months ended March 31, 2021 and 2020 was as follows:</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920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5"/>
          </w:tcPr>
          <w:p>
            <w:pPr>
              <w:jc w:val="right"/>
              <w:ind w:right="634"/>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Variable lease income</w:t>
            </w:r>
          </w:p>
        </w:tc>
        <w:tc>
          <w:tcPr>
            <w:tcW w:w="1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4"/>
        </w:trPr>
        <w:tc>
          <w:tcPr>
            <w:tcW w:w="80" w:type="dxa"/>
            <w:vAlign w:val="bottom"/>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lease income</w:t>
            </w:r>
          </w:p>
        </w:tc>
        <w:tc>
          <w:tcPr>
            <w:tcW w:w="120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0" w:type="dxa"/>
            <w:vAlign w:val="bottom"/>
          </w:tcPr>
          <w:p>
            <w:pPr>
              <w:spacing w:after="0"/>
              <w:rPr>
                <w:sz w:val="24"/>
                <w:szCs w:val="24"/>
                <w:color w:val="auto"/>
              </w:rPr>
            </w:pPr>
          </w:p>
        </w:tc>
        <w:tc>
          <w:tcPr>
            <w:tcW w:w="9120" w:type="dxa"/>
            <w:vAlign w:val="bottom"/>
            <w:gridSpan w:val="4"/>
          </w:tcPr>
          <w:p>
            <w:pPr>
              <w:spacing w:after="0"/>
              <w:rPr>
                <w:sz w:val="20"/>
                <w:szCs w:val="20"/>
                <w:color w:val="auto"/>
              </w:rPr>
            </w:pPr>
            <w:r>
              <w:rPr>
                <w:rFonts w:ascii="Arial" w:cs="Arial" w:eastAsia="Arial" w:hAnsi="Arial"/>
                <w:sz w:val="18"/>
                <w:szCs w:val="18"/>
                <w:color w:val="auto"/>
                <w:w w:val="89"/>
              </w:rPr>
              <w:t>Minimum payments to be received as lessor under noncancelable direct financing leases as of March 31, 2021 were as follows: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2021 (remaining nine months)</w:t>
            </w: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20" w:type="dxa"/>
            <w:vAlign w:val="bottom"/>
            <w:gridSpan w:val="2"/>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gridSpan w:val="3"/>
          </w:tcPr>
          <w:p>
            <w:pPr>
              <w:ind w:left="560"/>
              <w:spacing w:after="0"/>
              <w:rPr>
                <w:sz w:val="20"/>
                <w:szCs w:val="20"/>
                <w:color w:val="auto"/>
              </w:rPr>
            </w:pPr>
            <w:r>
              <w:rPr>
                <w:rFonts w:ascii="Arial" w:cs="Arial" w:eastAsia="Arial" w:hAnsi="Arial"/>
                <w:sz w:val="18"/>
                <w:szCs w:val="18"/>
                <w:color w:val="auto"/>
              </w:rPr>
              <w:t>2023</w:t>
            </w: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0" w:type="dxa"/>
            <w:vAlign w:val="bottom"/>
            <w:gridSpan w:val="2"/>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gridSpan w:val="3"/>
          </w:tcPr>
          <w:p>
            <w:pPr>
              <w:ind w:left="560"/>
              <w:spacing w:after="0"/>
              <w:rPr>
                <w:sz w:val="20"/>
                <w:szCs w:val="20"/>
                <w:color w:val="auto"/>
              </w:rPr>
            </w:pPr>
            <w:r>
              <w:rPr>
                <w:rFonts w:ascii="Arial" w:cs="Arial" w:eastAsia="Arial" w:hAnsi="Arial"/>
                <w:sz w:val="18"/>
                <w:szCs w:val="18"/>
                <w:color w:val="auto"/>
              </w:rPr>
              <w:t>2025</w:t>
            </w: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12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Total minimum rents receivable</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unearned income</w:t>
            </w:r>
          </w:p>
        </w:tc>
        <w:tc>
          <w:tcPr>
            <w:tcW w:w="12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Total net investment in direct financing leases</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portion</w:t>
            </w:r>
          </w:p>
        </w:tc>
        <w:tc>
          <w:tcPr>
            <w:tcW w:w="12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Long-term investment in direct financing leases</w:t>
            </w:r>
          </w:p>
        </w:tc>
        <w:tc>
          <w:tcPr>
            <w:tcW w:w="1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March 31, 2021 and December 31, 2020, long-term debt consisted of the following:</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2019-1 4.194% Fixed Rate Senior Secured Notes, Class A-2-I</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5"/>
        </w:trPr>
        <w:tc>
          <w:tcPr>
            <w:tcW w:w="6760" w:type="dxa"/>
            <w:vAlign w:val="bottom"/>
          </w:tcPr>
          <w:p>
            <w:pPr>
              <w:ind w:left="340"/>
              <w:spacing w:after="0"/>
              <w:rPr>
                <w:sz w:val="20"/>
                <w:szCs w:val="20"/>
                <w:color w:val="auto"/>
              </w:rPr>
            </w:pPr>
            <w:r>
              <w:rPr>
                <w:rFonts w:ascii="Arial" w:cs="Arial" w:eastAsia="Arial" w:hAnsi="Arial"/>
                <w:sz w:val="18"/>
                <w:szCs w:val="18"/>
                <w:color w:val="auto"/>
              </w:rPr>
              <w:t>Series 2019-1 4.723% Fixed Rate Senior Secured Notes, Class A-2-II</w:t>
            </w: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174"/>
        </w:trPr>
        <w:tc>
          <w:tcPr>
            <w:tcW w:w="67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Series 2019-1 Variable Funding Senior Notes Class A-1, variable interest rate of 2.42% at</w:t>
            </w:r>
          </w:p>
        </w:tc>
        <w:tc>
          <w:tcPr>
            <w:tcW w:w="5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w:t>
            </w:r>
          </w:p>
        </w:tc>
        <w:tc>
          <w:tcPr>
            <w:tcW w:w="58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Debt issuance costs</w:t>
            </w:r>
          </w:p>
        </w:tc>
        <w:tc>
          <w:tcPr>
            <w:tcW w:w="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net of debt issuance costs</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240" w:firstLine="318"/>
        <w:spacing w:after="0" w:line="249" w:lineRule="auto"/>
        <w:rPr>
          <w:sz w:val="20"/>
          <w:szCs w:val="20"/>
          <w:color w:val="auto"/>
        </w:rPr>
      </w:pPr>
      <w:r>
        <w:rPr>
          <w:rFonts w:ascii="Arial" w:cs="Arial" w:eastAsia="Arial" w:hAnsi="Arial"/>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w:t>
      </w:r>
    </w:p>
    <w:p>
      <w:pPr>
        <w:ind w:right="160"/>
        <w:spacing w:after="0" w:line="251" w:lineRule="auto"/>
        <w:rPr>
          <w:sz w:val="20"/>
          <w:szCs w:val="20"/>
          <w:color w:val="auto"/>
        </w:rPr>
      </w:pPr>
      <w:r>
        <w:rPr>
          <w:rFonts w:ascii="Arial" w:cs="Arial" w:eastAsia="Arial" w:hAnsi="Arial"/>
          <w:sz w:val="18"/>
          <w:szCs w:val="18"/>
          <w:color w:val="auto"/>
        </w:rPr>
        <w:t>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18"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The Co-Issuers also entered into a revolving financing facility, the 2019-1 Variable Funding Senior Notes, Class A-1 (the “Credit Facility”), that allows for drawings up to $225 million of variable funding notes and the issuance of letters of credit. The Credit Facility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07"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2019 Class A-2 Notes</w:t>
      </w:r>
    </w:p>
    <w:p>
      <w:pPr>
        <w:spacing w:after="0" w:line="250" w:lineRule="exact"/>
        <w:rPr>
          <w:sz w:val="20"/>
          <w:szCs w:val="20"/>
          <w:color w:val="auto"/>
        </w:rPr>
      </w:pPr>
    </w:p>
    <w:p>
      <w:pPr>
        <w:ind w:right="160" w:firstLine="318"/>
        <w:spacing w:after="0" w:line="306" w:lineRule="auto"/>
        <w:rPr>
          <w:sz w:val="20"/>
          <w:szCs w:val="20"/>
          <w:color w:val="auto"/>
        </w:rPr>
      </w:pPr>
      <w:r>
        <w:rPr>
          <w:rFonts w:ascii="Arial" w:cs="Arial" w:eastAsia="Arial" w:hAnsi="Arial"/>
          <w:sz w:val="15"/>
          <w:szCs w:val="15"/>
          <w:color w:val="auto"/>
        </w:rPr>
        <w:t>The legal final maturity of the 2019 Class A-2 Notes is in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183" w:lineRule="exact"/>
        <w:rPr>
          <w:sz w:val="20"/>
          <w:szCs w:val="20"/>
          <w:color w:val="auto"/>
        </w:rPr>
      </w:pPr>
    </w:p>
    <w:p>
      <w:pPr>
        <w:ind w:right="340" w:firstLine="318"/>
        <w:spacing w:after="0" w:line="250" w:lineRule="auto"/>
        <w:rPr>
          <w:sz w:val="20"/>
          <w:szCs w:val="20"/>
          <w:color w:val="auto"/>
        </w:rPr>
      </w:pPr>
      <w:r>
        <w:rPr>
          <w:rFonts w:ascii="Arial" w:cs="Arial" w:eastAsia="Arial" w:hAnsi="Arial"/>
          <w:sz w:val="18"/>
          <w:szCs w:val="18"/>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3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07"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As of March 31, 2021, the Company's leverage ratio was 7.02x. As a result, quarterly principal payments on the 2019 Class A-2 Notes of $3.25 million continue to be required. Exceeding the leverage ratio of 5.25x does not violate any covenant related to the New Notes.</w:t>
      </w:r>
    </w:p>
    <w:p>
      <w:pPr>
        <w:spacing w:after="0" w:line="207" w:lineRule="exact"/>
        <w:rPr>
          <w:sz w:val="20"/>
          <w:szCs w:val="20"/>
          <w:color w:val="auto"/>
        </w:rPr>
      </w:pPr>
    </w:p>
    <w:p>
      <w:pPr>
        <w:ind w:right="120" w:firstLine="318"/>
        <w:spacing w:after="0" w:line="305" w:lineRule="auto"/>
        <w:rPr>
          <w:sz w:val="20"/>
          <w:szCs w:val="20"/>
          <w:color w:val="auto"/>
        </w:rPr>
      </w:pPr>
      <w:r>
        <w:rPr>
          <w:rFonts w:ascii="Arial" w:cs="Arial" w:eastAsia="Arial" w:hAnsi="Arial"/>
          <w:sz w:val="15"/>
          <w:szCs w:val="15"/>
          <w:color w:val="auto"/>
        </w:rPr>
        <w:t>The Company may voluntarily repay the 2019 Class A-2 Notes at any time; however, if the 2019 Class A-2 Notes are repaid prior to certain dates, the Company would be required to pay make-whole premiums. As of March 31, 2021, the make-whole premium associated with voluntary prepayment of the Class A-2-I Notes was approximately $29 million; this amount declines progressively each quarter to zero in June 2022. As of March 31, 2021, the make-whole premium associated with voluntary prepayment of the Class A-2-II Notes was approximately $59 million; this amount declines progressively each quarter to zero in June 2024. 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The Company estimated the fair value of these derivatives to be immaterial as of March 31, 2021, based on the probability-weighted discounted cash flows associated with either event.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2019 Class A-1 Notes</w:t>
      </w:r>
    </w:p>
    <w:p>
      <w:pPr>
        <w:spacing w:after="0" w:line="22" w:lineRule="exact"/>
        <w:rPr>
          <w:sz w:val="20"/>
          <w:szCs w:val="20"/>
          <w:color w:val="auto"/>
        </w:rPr>
      </w:pPr>
    </w:p>
    <w:p>
      <w:pPr>
        <w:ind w:firstLine="318"/>
        <w:spacing w:after="0" w:line="294" w:lineRule="auto"/>
        <w:rPr>
          <w:sz w:val="20"/>
          <w:szCs w:val="20"/>
          <w:color w:val="auto"/>
        </w:rPr>
      </w:pPr>
      <w:r>
        <w:rPr>
          <w:rFonts w:ascii="Arial" w:cs="Arial" w:eastAsia="Arial" w:hAnsi="Arial"/>
          <w:sz w:val="15"/>
          <w:szCs w:val="15"/>
          <w:color w:val="auto"/>
        </w:rPr>
        <w:t>The Co-Issuers entered into the Credit Facility that allows for drawings up to $225 million of variable funding notes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Eurodollar Funding Rate, in either case, plus</w:t>
      </w:r>
    </w:p>
    <w:p>
      <w:pPr>
        <w:spacing w:after="0" w:line="2" w:lineRule="exact"/>
        <w:rPr>
          <w:sz w:val="20"/>
          <w:szCs w:val="20"/>
          <w:color w:val="auto"/>
        </w:rPr>
      </w:pPr>
    </w:p>
    <w:p>
      <w:pPr>
        <w:jc w:val="both"/>
        <w:ind w:right="140"/>
        <w:spacing w:after="0" w:line="313" w:lineRule="auto"/>
        <w:rPr>
          <w:sz w:val="20"/>
          <w:szCs w:val="20"/>
          <w:color w:val="auto"/>
        </w:rPr>
      </w:pPr>
      <w:r>
        <w:rPr>
          <w:rFonts w:ascii="Arial" w:cs="Arial" w:eastAsia="Arial" w:hAnsi="Arial"/>
          <w:sz w:val="15"/>
          <w:szCs w:val="15"/>
          <w:color w:val="auto"/>
        </w:rPr>
        <w:t>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 0.50% and (iii) the one-month Eurodollar Funding Rate plus 1.00%. There is no upfront fee for the Credit Facility. There is a fee of 50 basis points on any unused portion of the revolving financing facility. Undrawn face amounts of outstanding letters of credit that are not cash collateralized accrue a fee of 2.15% per annum.</w:t>
      </w:r>
    </w:p>
    <w:p>
      <w:pPr>
        <w:spacing w:after="0" w:line="175"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In March 2020, the Company borrowed $220.0 million against the Credit Facility. The maximum amount of borrowings from the Credit Facility outstanding during the three months ended March 31, 2021 was $220.0 million. The $220.0 million was repaid on March 5, 2021 and as of March 31, 2021, there were no outstanding borrowings under the Credit Facility. The interest rate for borrowings under the Credit Facility is the three-month LIBOR rate plus 2.15% for 60% of the advances and the commercial paper funding rate of our conduit investor plus 2.15% for 40% of the advances. The weighted average interest rate on Credit Facility borrowings for the period outstanding during the three months ended March 31, 2021 was 2.4%.</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At March 31, 2021, $3.3 million was pledged against the Credit Facility for outstanding letters of credit, leaving $221.7 million available for borrowing.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letters of credit are used primarily to satisfy insurance-related collateral requirements.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Covenants and Restrictions</w:t>
      </w:r>
    </w:p>
    <w:p>
      <w:pPr>
        <w:spacing w:after="0" w:line="250"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07"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83" w:lineRule="exact"/>
        <w:rPr>
          <w:sz w:val="20"/>
          <w:szCs w:val="20"/>
          <w:color w:val="auto"/>
        </w:rPr>
      </w:pPr>
    </w:p>
    <w:p>
      <w:pPr>
        <w:ind w:left="1280" w:hanging="320"/>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16" w:lineRule="exact"/>
        <w:rPr>
          <w:rFonts w:ascii="Arial" w:cs="Arial" w:eastAsia="Arial" w:hAnsi="Arial"/>
          <w:sz w:val="18"/>
          <w:szCs w:val="18"/>
          <w:color w:val="auto"/>
        </w:rPr>
      </w:pPr>
    </w:p>
    <w:p>
      <w:pPr>
        <w:ind w:left="1280" w:hanging="320"/>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DSCR for the reporting period ended March 31, 2021 was approximately 3.45x.</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Debt Issuance Costs</w:t>
      </w:r>
    </w:p>
    <w:p>
      <w:pPr>
        <w:spacing w:after="0" w:line="250" w:lineRule="exact"/>
        <w:rPr>
          <w:sz w:val="20"/>
          <w:szCs w:val="20"/>
          <w:color w:val="auto"/>
        </w:rPr>
      </w:pPr>
    </w:p>
    <w:p>
      <w:pPr>
        <w:ind w:right="160" w:firstLine="318"/>
        <w:spacing w:after="0" w:line="300" w:lineRule="auto"/>
        <w:rPr>
          <w:sz w:val="20"/>
          <w:szCs w:val="20"/>
          <w:color w:val="auto"/>
        </w:rPr>
      </w:pPr>
      <w:r>
        <w:rPr>
          <w:rFonts w:ascii="Arial" w:cs="Arial" w:eastAsia="Arial" w:hAnsi="Arial"/>
          <w:sz w:val="15"/>
          <w:szCs w:val="15"/>
          <w:color w:val="auto"/>
        </w:rPr>
        <w:t>Amortization of costs incurred in connection with the issuance of the 2019 Class A-2 Notes of $0.5 million and $0.5 million were included in interest expense for the three months ended March 31, 2021 and 2020, respectively. Amortization costs incurred in connection with the Company's Credit Facility and prior credit facility of $0.2 million and $0.2 million were included in interest expense for the three months ended March 31, 2021 and 2020, respectively.</w:t>
      </w:r>
    </w:p>
    <w:p>
      <w:pPr>
        <w:spacing w:after="0" w:line="1" w:lineRule="exact"/>
        <w:rPr>
          <w:sz w:val="20"/>
          <w:szCs w:val="20"/>
          <w:color w:val="auto"/>
        </w:rPr>
      </w:pPr>
    </w:p>
    <w:p>
      <w:pPr>
        <w:ind w:right="320" w:firstLine="318"/>
        <w:spacing w:after="0" w:line="270" w:lineRule="auto"/>
        <w:rPr>
          <w:sz w:val="20"/>
          <w:szCs w:val="20"/>
          <w:color w:val="auto"/>
        </w:rPr>
      </w:pPr>
      <w:r>
        <w:rPr>
          <w:rFonts w:ascii="Arial" w:cs="Arial" w:eastAsia="Arial" w:hAnsi="Arial"/>
          <w:sz w:val="17"/>
          <w:szCs w:val="17"/>
          <w:color w:val="auto"/>
        </w:rPr>
        <w:t>At March 31, 2021, total unamortized debt issuance costs of $9.1 million are reported as a direct reduction of the 2019 Class A-2 Notes in the Consolidated Balance Sheets. At March 31, 2021, total unamortized debt issuance costs of $2.0 million related to the Credit Facility and prior credit facility are classified as other long-term assets because there are no borrowings outstanding against the Credit Facility.</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Maturities of Long-term Debt</w:t>
      </w:r>
    </w:p>
    <w:p>
      <w:pPr>
        <w:spacing w:after="0" w:line="157" w:lineRule="exact"/>
        <w:rPr>
          <w:sz w:val="20"/>
          <w:szCs w:val="20"/>
          <w:color w:val="auto"/>
        </w:rPr>
      </w:pPr>
    </w:p>
    <w:p>
      <w:pPr>
        <w:ind w:left="640" w:hanging="316"/>
        <w:spacing w:after="0"/>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anticipated repayment date of the Class A-2-I Notes is June 2024.</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anticipated repayment date of the Class A-2-II Notes is in June 2026.</w:t>
      </w:r>
    </w:p>
    <w:p>
      <w:pPr>
        <w:spacing w:after="0" w:line="150" w:lineRule="exact"/>
        <w:rPr>
          <w:rFonts w:ascii="Arial" w:cs="Arial" w:eastAsia="Arial" w:hAnsi="Arial"/>
          <w:sz w:val="18"/>
          <w:szCs w:val="18"/>
          <w:color w:val="auto"/>
        </w:rPr>
      </w:pPr>
    </w:p>
    <w:p>
      <w:pPr>
        <w:ind w:left="640" w:right="820" w:hanging="316"/>
        <w:spacing w:after="0" w:line="264" w:lineRule="auto"/>
        <w:tabs>
          <w:tab w:leader="none" w:pos="635" w:val="left"/>
        </w:tabs>
        <w:numPr>
          <w:ilvl w:val="1"/>
          <w:numId w:val="7"/>
        </w:numPr>
        <w:rPr>
          <w:rFonts w:ascii="Arial" w:cs="Arial" w:eastAsia="Arial" w:hAnsi="Arial"/>
          <w:sz w:val="18"/>
          <w:szCs w:val="18"/>
          <w:color w:val="auto"/>
        </w:rPr>
      </w:pPr>
      <w:r>
        <w:rPr>
          <w:rFonts w:ascii="Arial" w:cs="Arial" w:eastAsia="Arial" w:hAnsi="Arial"/>
          <w:sz w:val="18"/>
          <w:szCs w:val="18"/>
          <w:color w:val="auto"/>
        </w:rPr>
        <w:t>Quarterly principal payments on the Class A-2-I and Class A-2-II Notes totaling $3.25 million ($13.0 million per annum) are required if the Company's leverage ratio is greater than 5.25x.</w:t>
      </w:r>
    </w:p>
    <w:p>
      <w:pPr>
        <w:spacing w:after="0" w:line="320" w:lineRule="exact"/>
        <w:rPr>
          <w:rFonts w:ascii="Arial" w:cs="Arial" w:eastAsia="Arial" w:hAnsi="Arial"/>
          <w:sz w:val="18"/>
          <w:szCs w:val="18"/>
          <w:color w:val="auto"/>
        </w:rPr>
      </w:pPr>
    </w:p>
    <w:p>
      <w:pPr>
        <w:ind w:left="180" w:hanging="174"/>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Dividends declared and paid per share for the three months ended March 31, 2021 and 2020 were as follows:</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78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06"/>
        </w:trPr>
        <w:tc>
          <w:tcPr>
            <w:tcW w:w="78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2020</w:t>
            </w:r>
          </w:p>
        </w:tc>
      </w:tr>
      <w:tr>
        <w:trPr>
          <w:trHeight w:val="221"/>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 per common share</w:t>
            </w: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4"/>
        </w:trPr>
        <w:tc>
          <w:tcPr>
            <w:tcW w:w="7880" w:type="dxa"/>
            <w:vAlign w:val="bottom"/>
          </w:tcPr>
          <w:p>
            <w:pPr>
              <w:ind w:left="340"/>
              <w:spacing w:after="0"/>
              <w:rPr>
                <w:sz w:val="20"/>
                <w:szCs w:val="20"/>
                <w:color w:val="auto"/>
              </w:rPr>
            </w:pPr>
            <w:r>
              <w:rPr>
                <w:rFonts w:ascii="Arial" w:cs="Arial" w:eastAsia="Arial" w:hAnsi="Arial"/>
                <w:sz w:val="18"/>
                <w:szCs w:val="18"/>
                <w:color w:val="auto"/>
              </w:rPr>
              <w:t>Dividends paid per common share</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30"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Stockholders' Deficit (Continued)</w:t>
      </w:r>
    </w:p>
    <w:p>
      <w:pPr>
        <w:spacing w:after="0" w:line="200" w:lineRule="exact"/>
        <w:rPr>
          <w:sz w:val="20"/>
          <w:szCs w:val="20"/>
          <w:color w:val="auto"/>
        </w:rPr>
      </w:pPr>
    </w:p>
    <w:p>
      <w:pPr>
        <w:spacing w:after="0" w:line="227"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Company did not repurchase any shares during three months ended March 31, 2021, as compared to repurchasing 459,899 shares during the three months ended March 31, 2020. As of March 31, 2021, cumulative repurchases of stock total 1,697,597 shares at a cost of $129.8 million, with a dollar value of $70.2 million remaining for repurchase under the 2019 Repurchase Program.</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Treasury Stock</w:t>
      </w:r>
    </w:p>
    <w:p>
      <w:pPr>
        <w:spacing w:after="0" w:line="217"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three months ended March 31, 2021, the Company re-issued 539,134 shares of treasury stock at a total FIFO cost of $21.8 million.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57" w:lineRule="exact"/>
        <w:rPr>
          <w:sz w:val="20"/>
          <w:szCs w:val="20"/>
          <w:color w:val="auto"/>
        </w:rPr>
      </w:pPr>
    </w:p>
    <w:p>
      <w:pPr>
        <w:ind w:right="240" w:firstLine="636"/>
        <w:spacing w:after="0" w:line="330" w:lineRule="auto"/>
        <w:rPr>
          <w:sz w:val="20"/>
          <w:szCs w:val="20"/>
          <w:color w:val="auto"/>
        </w:rPr>
      </w:pPr>
      <w:r>
        <w:rPr>
          <w:rFonts w:ascii="Arial" w:cs="Arial" w:eastAsia="Arial" w:hAnsi="Arial"/>
          <w:sz w:val="15"/>
          <w:szCs w:val="15"/>
          <w:color w:val="auto"/>
        </w:rPr>
        <w:t>The Company's effective tax rate was (6.6)% (a tax benefit of $1.6 million on the pretax book income of $24.0 million) for the three months ended March 31, 2021, as compared to 23.2% for the three months ended March 31, 2020. The effective tax rate for the three months ended March 31, 2021 was lower than the rate of the prior year period primarily due to the recognition of excess tax benefits on stock-based compensation.</w:t>
      </w:r>
    </w:p>
    <w:p>
      <w:pPr>
        <w:spacing w:after="0" w:line="163"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total gross unrecognized tax benefit as of March 31, 2021 and December 31, 2020 was $2.5 million and $2.2 million, respectively, excluding interest, penalties and related tax benefits. The Company estimates the unrecognized tax benefit as of March 31, 2021 may decrease over the upcoming 12 months by an amount up to $0.8 million related to settlements with taxing authorities and expiring statutes of limitations. For the remaining liability, due to the uncertainties related to these tax matters, the Company is unable to make a reasonable estimate as to when cash settlement with a taxing authority will occur.</w:t>
      </w:r>
    </w:p>
    <w:p>
      <w:pPr>
        <w:spacing w:after="0" w:line="22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March 31, 2021, accrued interest was $0.9 million and accrued penalties were less than $0.1 million, excluding any related income tax benefits. As of December 31, 2020, accrued interest was $0.9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217" w:lineRule="exact"/>
        <w:rPr>
          <w:sz w:val="20"/>
          <w:szCs w:val="20"/>
          <w:color w:val="auto"/>
        </w:rPr>
      </w:pPr>
    </w:p>
    <w:p>
      <w:pPr>
        <w:ind w:right="340" w:firstLine="318"/>
        <w:spacing w:after="0" w:line="252" w:lineRule="auto"/>
        <w:rPr>
          <w:sz w:val="20"/>
          <w:szCs w:val="20"/>
          <w:color w:val="auto"/>
        </w:rPr>
      </w:pPr>
      <w:r>
        <w:rPr>
          <w:rFonts w:ascii="Arial" w:cs="Arial" w:eastAsia="Arial" w:hAnsi="Arial"/>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2017 and state or non-United States tax examinations by tax authorities for years before 2011. The Company believes that adequate reserves have been provided related to all matters contained in the tax periods open to examination.</w:t>
      </w:r>
    </w:p>
    <w:p>
      <w:pPr>
        <w:spacing w:after="0" w:line="217"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On March 11, 2021, the American Rescue Plan Act of 2021 (“ARP Act”) was enacted in response to the COVID-19 pandemic. The Company is continuing to evaluate the impact of the ARP Act, but at present does not expect the ARP Act would result in a material impact to our income tax benefit or provision.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components of stock-based compensation expense included in general and administrative expenses in the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0" w:type="dxa"/>
            <w:vAlign w:val="bottom"/>
          </w:tcPr>
          <w:p>
            <w:pPr>
              <w:spacing w:after="0"/>
              <w:rPr>
                <w:sz w:val="16"/>
                <w:szCs w:val="16"/>
                <w:color w:val="auto"/>
              </w:rPr>
            </w:pPr>
          </w:p>
        </w:tc>
        <w:tc>
          <w:tcPr>
            <w:tcW w:w="20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Three months ended March</w:t>
            </w:r>
          </w:p>
        </w:tc>
      </w:tr>
      <w:tr>
        <w:trPr>
          <w:trHeight w:val="210"/>
        </w:trPr>
        <w:tc>
          <w:tcPr>
            <w:tcW w:w="9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31,</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203"/>
        </w:trPr>
        <w:tc>
          <w:tcPr>
            <w:tcW w:w="9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2020</w:t>
            </w:r>
          </w:p>
        </w:tc>
      </w:tr>
      <w:tr>
        <w:trPr>
          <w:trHeight w:val="209"/>
        </w:trPr>
        <w:tc>
          <w:tcPr>
            <w:tcW w:w="92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8"/>
                <w:szCs w:val="18"/>
                <w:color w:val="auto"/>
              </w:rPr>
            </w:pPr>
          </w:p>
        </w:tc>
      </w:tr>
      <w:tr>
        <w:trPr>
          <w:trHeight w:val="226"/>
        </w:trPr>
        <w:tc>
          <w:tcPr>
            <w:tcW w:w="9200" w:type="dxa"/>
            <w:vAlign w:val="bottom"/>
          </w:tcPr>
          <w:p>
            <w:pPr>
              <w:ind w:left="340"/>
              <w:spacing w:after="0"/>
              <w:rPr>
                <w:sz w:val="20"/>
                <w:szCs w:val="20"/>
                <w:color w:val="auto"/>
              </w:rPr>
            </w:pPr>
            <w:r>
              <w:rPr>
                <w:rFonts w:ascii="Arial" w:cs="Arial" w:eastAsia="Arial" w:hAnsi="Arial"/>
                <w:sz w:val="18"/>
                <w:szCs w:val="18"/>
                <w:color w:val="auto"/>
              </w:rPr>
              <w:t>Equity classified awards expense</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336"/>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Pr>
          <w:p>
            <w:pPr>
              <w:jc w:val="center"/>
              <w:ind w:left="233"/>
              <w:spacing w:after="0"/>
              <w:rPr>
                <w:sz w:val="20"/>
                <w:szCs w:val="20"/>
                <w:color w:val="auto"/>
              </w:rPr>
            </w:pPr>
            <w:r>
              <w:rPr>
                <w:rFonts w:ascii="Arial" w:cs="Arial" w:eastAsia="Arial" w:hAnsi="Arial"/>
                <w:sz w:val="18"/>
                <w:szCs w:val="18"/>
                <w:color w:val="auto"/>
                <w:w w:val="87"/>
              </w:rPr>
              <w:t>4.1</w:t>
            </w:r>
          </w:p>
        </w:tc>
      </w:tr>
      <w:tr>
        <w:trPr>
          <w:trHeight w:val="226"/>
        </w:trPr>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Liability classified awards expense (credit)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87"/>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1"/>
              </w:rPr>
              <w:t>(0.6)</w:t>
            </w:r>
          </w:p>
        </w:tc>
      </w:tr>
      <w:tr>
        <w:trPr>
          <w:trHeight w:val="218"/>
        </w:trPr>
        <w:tc>
          <w:tcPr>
            <w:tcW w:w="9200" w:type="dxa"/>
            <w:vAlign w:val="bottom"/>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240" w:type="dxa"/>
            <w:vAlign w:val="bottom"/>
          </w:tcPr>
          <w:p>
            <w:pPr>
              <w:spacing w:after="0"/>
              <w:rPr>
                <w:sz w:val="18"/>
                <w:szCs w:val="18"/>
                <w:color w:val="auto"/>
              </w:rPr>
            </w:pPr>
          </w:p>
        </w:tc>
        <w:tc>
          <w:tcPr>
            <w:tcW w:w="800" w:type="dxa"/>
            <w:vAlign w:val="bottom"/>
          </w:tcPr>
          <w:p>
            <w:pPr>
              <w:jc w:val="center"/>
              <w:ind w:left="336"/>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center"/>
              <w:ind w:left="233"/>
              <w:spacing w:after="0"/>
              <w:rPr>
                <w:sz w:val="20"/>
                <w:szCs w:val="20"/>
                <w:color w:val="auto"/>
              </w:rPr>
            </w:pPr>
            <w:r>
              <w:rPr>
                <w:rFonts w:ascii="Arial" w:cs="Arial" w:eastAsia="Arial" w:hAnsi="Arial"/>
                <w:sz w:val="18"/>
                <w:szCs w:val="18"/>
                <w:color w:val="auto"/>
                <w:w w:val="87"/>
              </w:rPr>
              <w:t>3.5</w:t>
            </w:r>
          </w:p>
        </w:tc>
      </w:tr>
      <w:tr>
        <w:trPr>
          <w:trHeight w:val="225"/>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income tax benefit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16"/>
              <w:spacing w:after="0"/>
              <w:rPr>
                <w:sz w:val="20"/>
                <w:szCs w:val="20"/>
                <w:color w:val="auto"/>
              </w:rPr>
            </w:pPr>
            <w:r>
              <w:rPr>
                <w:rFonts w:ascii="Arial" w:cs="Arial" w:eastAsia="Arial" w:hAnsi="Arial"/>
                <w:sz w:val="18"/>
                <w:szCs w:val="18"/>
                <w:color w:val="auto"/>
                <w:w w:val="86"/>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1"/>
              </w:rPr>
              <w:t>(0.9)</w:t>
            </w:r>
          </w:p>
        </w:tc>
      </w:tr>
      <w:tr>
        <w:trPr>
          <w:trHeight w:val="219"/>
        </w:trPr>
        <w:tc>
          <w:tcPr>
            <w:tcW w:w="9200" w:type="dxa"/>
            <w:vAlign w:val="bottom"/>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center"/>
              <w:ind w:left="233"/>
              <w:spacing w:after="0"/>
              <w:rPr>
                <w:sz w:val="20"/>
                <w:szCs w:val="20"/>
                <w:color w:val="auto"/>
              </w:rPr>
            </w:pPr>
            <w:r>
              <w:rPr>
                <w:rFonts w:ascii="Arial" w:cs="Arial" w:eastAsia="Arial" w:hAnsi="Arial"/>
                <w:sz w:val="18"/>
                <w:szCs w:val="18"/>
                <w:color w:val="auto"/>
                <w:w w:val="87"/>
              </w:rPr>
              <w:t>2.6</w:t>
            </w:r>
          </w:p>
        </w:tc>
      </w:tr>
      <w:tr>
        <w:trPr>
          <w:trHeight w:val="20"/>
        </w:trPr>
        <w:tc>
          <w:tcPr>
            <w:tcW w:w="9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As of March 31, 2021, total unrecognized compensation expense of $23.6 million related to restricted stock and restricted stock units and $4.6 million related to stock options are expected to be recognized over a weighted average period of 1.7 years for restricted stock and restricted stock units and 1.8 years for stock options.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244"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The Company granted 91,743 stock options during the three months ended March 31, 2021 for which the fair value was estimated using a Black-Scholes option pricing model. The following summarizes the weighted average assumptions used in the Black-Scholes model: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Historical volatility</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Expected years until exercise</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granted</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555"/>
        </w:trPr>
        <w:tc>
          <w:tcPr>
            <w:tcW w:w="56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Equity Classified Awards - Stock Options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0000" w:type="dxa"/>
            <w:vAlign w:val="bottom"/>
            <w:gridSpan w:val="8"/>
          </w:tcPr>
          <w:p>
            <w:pPr>
              <w:ind w:left="320"/>
              <w:spacing w:after="0"/>
              <w:rPr>
                <w:sz w:val="20"/>
                <w:szCs w:val="20"/>
                <w:color w:val="auto"/>
              </w:rPr>
            </w:pPr>
            <w:r>
              <w:rPr>
                <w:rFonts w:ascii="Arial" w:cs="Arial" w:eastAsia="Arial" w:hAnsi="Arial"/>
                <w:sz w:val="18"/>
                <w:szCs w:val="18"/>
                <w:color w:val="auto"/>
              </w:rPr>
              <w:t>Stock option balances at March 31, 2021, and activity for the three months ended March 31, 2021 were as follows: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 Average</w:t>
            </w:r>
          </w:p>
        </w:tc>
        <w:tc>
          <w:tcPr>
            <w:tcW w:w="200" w:type="dxa"/>
            <w:vAlign w:val="bottom"/>
          </w:tcPr>
          <w:p>
            <w:pPr>
              <w:spacing w:after="0"/>
              <w:rPr>
                <w:sz w:val="16"/>
                <w:szCs w:val="16"/>
                <w:color w:val="auto"/>
              </w:rPr>
            </w:pPr>
          </w:p>
        </w:tc>
        <w:tc>
          <w:tcPr>
            <w:tcW w:w="104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8"/>
              </w:rPr>
              <w:t>Average</w:t>
            </w:r>
          </w:p>
        </w:tc>
        <w:tc>
          <w:tcPr>
            <w:tcW w:w="182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90"/>
              </w:rPr>
              <w:t>Remaining</w:t>
            </w:r>
          </w:p>
        </w:tc>
        <w:tc>
          <w:tcPr>
            <w:tcW w:w="200" w:type="dxa"/>
            <w:vAlign w:val="bottom"/>
          </w:tcPr>
          <w:p>
            <w:pPr>
              <w:spacing w:after="0"/>
              <w:rPr>
                <w:sz w:val="13"/>
                <w:szCs w:val="13"/>
                <w:color w:val="auto"/>
              </w:rPr>
            </w:pPr>
          </w:p>
        </w:tc>
        <w:tc>
          <w:tcPr>
            <w:tcW w:w="1040" w:type="dxa"/>
            <w:vAlign w:val="bottom"/>
          </w:tcPr>
          <w:p>
            <w:pPr>
              <w:jc w:val="center"/>
              <w:ind w:right="95"/>
              <w:spacing w:after="0" w:line="159"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8"/>
              </w:rPr>
              <w:t>Exercise</w:t>
            </w:r>
          </w:p>
        </w:tc>
        <w:tc>
          <w:tcPr>
            <w:tcW w:w="182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92"/>
              </w:rPr>
              <w:t>Contractual Term</w:t>
            </w:r>
          </w:p>
        </w:tc>
        <w:tc>
          <w:tcPr>
            <w:tcW w:w="200" w:type="dxa"/>
            <w:vAlign w:val="bottom"/>
          </w:tcPr>
          <w:p>
            <w:pPr>
              <w:spacing w:after="0"/>
              <w:rPr>
                <w:sz w:val="13"/>
                <w:szCs w:val="13"/>
                <w:color w:val="auto"/>
              </w:rPr>
            </w:pPr>
          </w:p>
        </w:tc>
        <w:tc>
          <w:tcPr>
            <w:tcW w:w="1040" w:type="dxa"/>
            <w:vAlign w:val="bottom"/>
          </w:tcPr>
          <w:p>
            <w:pPr>
              <w:jc w:val="center"/>
              <w:ind w:right="115"/>
              <w:spacing w:after="0" w:line="159" w:lineRule="exact"/>
              <w:rPr>
                <w:sz w:val="20"/>
                <w:szCs w:val="20"/>
                <w:color w:val="auto"/>
              </w:rPr>
            </w:pPr>
            <w:r>
              <w:rPr>
                <w:rFonts w:ascii="Arial" w:cs="Arial" w:eastAsia="Arial" w:hAnsi="Arial"/>
                <w:sz w:val="16"/>
                <w:szCs w:val="16"/>
                <w:b w:val="1"/>
                <w:bCs w:val="1"/>
                <w:color w:val="auto"/>
                <w:w w:val="89"/>
              </w:rPr>
              <w:t>Value (in</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5"/>
              </w:rPr>
              <w:t>Millions)</w:t>
            </w:r>
          </w:p>
        </w:tc>
        <w:tc>
          <w:tcPr>
            <w:tcW w:w="0" w:type="dxa"/>
            <w:vAlign w:val="bottom"/>
          </w:tcPr>
          <w:p>
            <w:pPr>
              <w:spacing w:after="0"/>
              <w:rPr>
                <w:sz w:val="1"/>
                <w:szCs w:val="1"/>
                <w:color w:val="auto"/>
              </w:rPr>
            </w:pPr>
          </w:p>
        </w:tc>
      </w:tr>
      <w:tr>
        <w:trPr>
          <w:trHeight w:val="221"/>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91,743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Expired</w:t>
            </w:r>
          </w:p>
        </w:tc>
        <w:tc>
          <w:tcPr>
            <w:tcW w:w="1180" w:type="dxa"/>
            <w:vAlign w:val="bottom"/>
          </w:tcPr>
          <w:p>
            <w:pPr>
              <w:jc w:val="right"/>
              <w:spacing w:after="0"/>
              <w:rPr>
                <w:sz w:val="20"/>
                <w:szCs w:val="20"/>
                <w:color w:val="auto"/>
              </w:rPr>
            </w:pPr>
            <w:r>
              <w:rPr>
                <w:rFonts w:ascii="Arial" w:cs="Arial" w:eastAsia="Arial" w:hAnsi="Arial"/>
                <w:sz w:val="18"/>
                <w:szCs w:val="18"/>
                <w:color w:val="auto"/>
              </w:rPr>
              <w:t>(20,169)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98.11</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8"/>
                <w:szCs w:val="18"/>
                <w:color w:val="auto"/>
              </w:rPr>
              <w:t>Outstanding at March 31,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at March 31, 2021 and Expected to Vest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tcPr>
          <w:p>
            <w:pPr>
              <w:ind w:left="20"/>
              <w:spacing w:after="0" w:line="198" w:lineRule="exact"/>
              <w:rPr>
                <w:sz w:val="20"/>
                <w:szCs w:val="20"/>
                <w:color w:val="auto"/>
              </w:rPr>
            </w:pPr>
            <w:r>
              <w:rPr>
                <w:rFonts w:ascii="Arial" w:cs="Arial" w:eastAsia="Arial" w:hAnsi="Arial"/>
                <w:sz w:val="18"/>
                <w:szCs w:val="18"/>
                <w:color w:val="auto"/>
              </w:rPr>
              <w:t>Exercisable at March 31, 2021</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423,603</w:t>
            </w:r>
          </w:p>
        </w:tc>
        <w:tc>
          <w:tcPr>
            <w:tcW w:w="28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72.91</w:t>
            </w:r>
          </w:p>
        </w:tc>
        <w:tc>
          <w:tcPr>
            <w:tcW w:w="100" w:type="dxa"/>
            <w:vAlign w:val="bottom"/>
          </w:tcPr>
          <w:p>
            <w:pPr>
              <w:spacing w:after="0"/>
              <w:rPr>
                <w:sz w:val="17"/>
                <w:szCs w:val="17"/>
                <w:color w:val="auto"/>
              </w:rPr>
            </w:pPr>
          </w:p>
        </w:tc>
        <w:tc>
          <w:tcPr>
            <w:tcW w:w="1720" w:type="dxa"/>
            <w:vAlign w:val="bottom"/>
          </w:tcPr>
          <w:p>
            <w:pPr>
              <w:jc w:val="center"/>
              <w:spacing w:after="0" w:line="198" w:lineRule="exact"/>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17"/>
                <w:szCs w:val="17"/>
                <w:color w:val="auto"/>
              </w:rPr>
            </w:pPr>
          </w:p>
        </w:tc>
        <w:tc>
          <w:tcPr>
            <w:tcW w:w="20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the Company’s common stock on the last trading day of the first quarter of 2021 and the exercise price, multiplied by the number of in-the-money options) that would have been received by the option holders had all option holders exercised their options on March 31, 2021. The aggregate intrinsic value will change based on the fair market value of the Company’s common stock and the number of in-the-money options.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Stock-Based Compensation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244"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Outstanding balances as of March 31, 2021, and activity related to restricted stock and restricted stock units for the three months ended March 31, 2021 were as follows:</w:t>
      </w:r>
    </w:p>
    <w:tbl>
      <w:tblPr>
        <w:tblLayout w:type="fixed"/>
        <w:tblInd w:w="0" w:type="dxa"/>
        <w:tblCellMar>
          <w:top w:w="0" w:type="dxa"/>
          <w:left w:w="0" w:type="dxa"/>
          <w:bottom w:w="0" w:type="dxa"/>
          <w:right w:w="0" w:type="dxa"/>
        </w:tblCellMar>
      </w:tblPr>
      <w:tr>
        <w:trPr>
          <w:trHeight w:val="167"/>
        </w:trPr>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6"/>
                <w:szCs w:val="16"/>
                <w:b w:val="1"/>
                <w:bCs w:val="1"/>
                <w:color w:val="auto"/>
                <w:w w:val="91"/>
              </w:rPr>
              <w:t>Weighted</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Stock-Settled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56"/>
              <w:spacing w:after="0" w:line="167" w:lineRule="exact"/>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5"/>
              </w:rPr>
              <w:t>Grant Date</w:t>
            </w:r>
          </w:p>
        </w:tc>
        <w:tc>
          <w:tcPr>
            <w:tcW w:w="13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91"/>
              </w:rPr>
              <w:t>Fair Value</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Units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22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254,331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ind w:left="680"/>
              <w:spacing w:after="0"/>
              <w:rPr>
                <w:sz w:val="20"/>
                <w:szCs w:val="20"/>
                <w:color w:val="auto"/>
              </w:rPr>
            </w:pPr>
            <w:r>
              <w:rPr>
                <w:rFonts w:ascii="Arial" w:cs="Arial" w:eastAsia="Arial" w:hAnsi="Arial"/>
                <w:sz w:val="18"/>
                <w:szCs w:val="18"/>
                <w:color w:val="auto"/>
                <w:w w:val="95"/>
              </w:rPr>
              <w:t>110,840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(40,416)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2"/>
              </w:rPr>
              <w:t>(18,644)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84.15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3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5"/>
              </w:rPr>
              <w:t>306,111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109,435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244"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The Company has granted cash-settled restricted stock units to certain employees. These instruments are recorded as liabilities at fair value as of the respective period end.</w:t>
      </w:r>
    </w:p>
    <w:tbl>
      <w:tblPr>
        <w:tblLayout w:type="fixed"/>
        <w:tblInd w:w="420" w:type="dxa"/>
        <w:tblCellMar>
          <w:top w:w="0" w:type="dxa"/>
          <w:left w:w="0" w:type="dxa"/>
          <w:bottom w:w="0" w:type="dxa"/>
          <w:right w:w="0" w:type="dxa"/>
        </w:tblCellMar>
      </w:tblPr>
      <w:tr>
        <w:trPr>
          <w:trHeight w:val="167"/>
        </w:trPr>
        <w:tc>
          <w:tcPr>
            <w:tcW w:w="8420" w:type="dxa"/>
            <w:vAlign w:val="bottom"/>
          </w:tcPr>
          <w:p>
            <w:pPr>
              <w:spacing w:after="0"/>
              <w:rPr>
                <w:sz w:val="14"/>
                <w:szCs w:val="14"/>
                <w:color w:val="auto"/>
              </w:rPr>
            </w:pPr>
          </w:p>
        </w:tc>
        <w:tc>
          <w:tcPr>
            <w:tcW w:w="2300" w:type="dxa"/>
            <w:vAlign w:val="bottom"/>
          </w:tcPr>
          <w:p>
            <w:pPr>
              <w:jc w:val="right"/>
              <w:ind w:right="95"/>
              <w:spacing w:after="0" w:line="167" w:lineRule="exact"/>
              <w:rPr>
                <w:sz w:val="20"/>
                <w:szCs w:val="20"/>
                <w:color w:val="auto"/>
              </w:rPr>
            </w:pPr>
            <w:r>
              <w:rPr>
                <w:rFonts w:ascii="Arial" w:cs="Arial" w:eastAsia="Arial" w:hAnsi="Arial"/>
                <w:sz w:val="16"/>
                <w:szCs w:val="16"/>
                <w:b w:val="1"/>
                <w:bCs w:val="1"/>
                <w:color w:val="auto"/>
              </w:rPr>
              <w:t>Cash-Settled Restricted</w:t>
            </w:r>
          </w:p>
        </w:tc>
      </w:tr>
      <w:tr>
        <w:trPr>
          <w:trHeight w:val="210"/>
        </w:trPr>
        <w:tc>
          <w:tcPr>
            <w:tcW w:w="842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Stock Units</w:t>
            </w:r>
          </w:p>
        </w:tc>
      </w:tr>
      <w:tr>
        <w:trPr>
          <w:trHeight w:val="221"/>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December 31, 2020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52,956</w:t>
            </w:r>
          </w:p>
        </w:tc>
      </w:tr>
      <w:tr>
        <w:trPr>
          <w:trHeight w:val="225"/>
        </w:trPr>
        <w:tc>
          <w:tcPr>
            <w:tcW w:w="8420" w:type="dxa"/>
            <w:vAlign w:val="bottom"/>
          </w:tcPr>
          <w:p>
            <w:pPr>
              <w:ind w:left="340"/>
              <w:spacing w:after="0"/>
              <w:rPr>
                <w:sz w:val="20"/>
                <w:szCs w:val="20"/>
                <w:color w:val="auto"/>
              </w:rPr>
            </w:pPr>
            <w:r>
              <w:rPr>
                <w:rFonts w:ascii="Arial" w:cs="Arial" w:eastAsia="Arial" w:hAnsi="Arial"/>
                <w:sz w:val="18"/>
                <w:szCs w:val="18"/>
                <w:color w:val="auto"/>
              </w:rPr>
              <w:t>Released</w:t>
            </w:r>
          </w:p>
        </w:tc>
        <w:tc>
          <w:tcPr>
            <w:tcW w:w="2300" w:type="dxa"/>
            <w:vAlign w:val="bottom"/>
          </w:tcPr>
          <w:p>
            <w:pPr>
              <w:jc w:val="right"/>
              <w:spacing w:after="0"/>
              <w:rPr>
                <w:sz w:val="20"/>
                <w:szCs w:val="20"/>
                <w:color w:val="auto"/>
              </w:rPr>
            </w:pPr>
            <w:r>
              <w:rPr>
                <w:rFonts w:ascii="Arial" w:cs="Arial" w:eastAsia="Arial" w:hAnsi="Arial"/>
                <w:sz w:val="18"/>
                <w:szCs w:val="18"/>
                <w:color w:val="auto"/>
              </w:rPr>
              <w:t>(38,171)</w:t>
            </w:r>
          </w:p>
        </w:tc>
      </w:tr>
      <w:tr>
        <w:trPr>
          <w:trHeight w:val="225"/>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9"/>
        </w:trPr>
        <w:tc>
          <w:tcPr>
            <w:tcW w:w="8420" w:type="dxa"/>
            <w:vAlign w:val="bottom"/>
          </w:tcPr>
          <w:p>
            <w:pPr>
              <w:ind w:left="340"/>
              <w:spacing w:after="0"/>
              <w:rPr>
                <w:sz w:val="20"/>
                <w:szCs w:val="20"/>
                <w:color w:val="auto"/>
              </w:rPr>
            </w:pPr>
            <w:r>
              <w:rPr>
                <w:rFonts w:ascii="Arial" w:cs="Arial" w:eastAsia="Arial" w:hAnsi="Arial"/>
                <w:sz w:val="18"/>
                <w:szCs w:val="18"/>
                <w:color w:val="auto"/>
              </w:rPr>
              <w:t>Outstanding at March 31, 2021</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14,731</w:t>
            </w:r>
          </w:p>
        </w:tc>
      </w:tr>
      <w:tr>
        <w:trPr>
          <w:trHeight w:val="20"/>
        </w:trPr>
        <w:tc>
          <w:tcPr>
            <w:tcW w:w="84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For the three months ended March 31, 2021 and 2020, an expense of $1.4 million and a credit of $1.3 million, respectively, was included as stock-based compensation expense related to cash-settled restricted stock units. At March 31, 2021 and December 31, 2020, liabilities of $0.8 million and $2.1 million, respectively, related to cash-settled restricted stock units were included as part of accrued employee compensation and benefits in the Consolidated Balance Sheets.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51"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has granted cash long-term incentive awards (“LTIP awards”) to certain employees. Annual LTIP awards vest over a three-year period and are determined using multipliers from 0% to 200% of the target award based on the total stockholder return of Dine Brands Global common stock compared to the total stockholder returns of a peer group of companies. The awards are considered stock-based compensation and are classified as liabilities measured at fair value as of the respective period end. For the three months ended March 31, 2021 and 2020, an expense of $0.1 million and $0.8 million, respectively, were included in total stock-based compensation expense related to LTIP awards. At March 31, 2021 and December 31, 2020, liabilities of $0.8 million and $2.1 million, respectively, related to LTIP awards were included as part of accrued employee compensation and benefits in the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Segments</w:t>
      </w:r>
    </w:p>
    <w:p>
      <w:pPr>
        <w:spacing w:after="0" w:line="183" w:lineRule="exact"/>
        <w:rPr>
          <w:sz w:val="20"/>
          <w:szCs w:val="20"/>
          <w:color w:val="auto"/>
        </w:rPr>
      </w:pPr>
    </w:p>
    <w:p>
      <w:pPr>
        <w:ind w:right="200" w:firstLine="318"/>
        <w:spacing w:after="0" w:line="298" w:lineRule="auto"/>
        <w:rPr>
          <w:sz w:val="20"/>
          <w:szCs w:val="20"/>
          <w:color w:val="auto"/>
        </w:rPr>
      </w:pPr>
      <w:r>
        <w:rPr>
          <w:rFonts w:ascii="Arial" w:cs="Arial" w:eastAsia="Arial" w:hAnsi="Arial"/>
          <w:sz w:val="15"/>
          <w:szCs w:val="15"/>
          <w:color w:val="auto"/>
        </w:rPr>
        <w:t>The Company identifies its reporting segments based on the organizational units used by management to monitor performance and make operating decisions. The Company currently has five operating segments: Applebee's franchise operations, Applebee's company-operated restaurant operations, IHOP franchise operations, rental operations and financing operations. The Company has four reportable segments: franchise operations, (an aggregation of Applebee's and IHOP franchise operations), company-operated restaurant operations, rental operations and financing operations. The Company</w:t>
      </w:r>
    </w:p>
    <w:p>
      <w:pPr>
        <w:spacing w:after="0" w:line="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considers these to be its reportable segments, regardless of whether any segment exceeds 10% of consolidated revenues, income before income tax provision or total assets.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Segments (Continued)</w:t>
      </w:r>
    </w:p>
    <w:p>
      <w:pPr>
        <w:spacing w:after="0" w:line="200" w:lineRule="exact"/>
        <w:rPr>
          <w:sz w:val="20"/>
          <w:szCs w:val="20"/>
          <w:color w:val="auto"/>
        </w:rPr>
      </w:pPr>
    </w:p>
    <w:p>
      <w:pPr>
        <w:spacing w:after="0" w:line="307" w:lineRule="exact"/>
        <w:rPr>
          <w:sz w:val="20"/>
          <w:szCs w:val="20"/>
          <w:color w:val="auto"/>
        </w:rPr>
      </w:pPr>
    </w:p>
    <w:p>
      <w:pPr>
        <w:ind w:right="100" w:firstLine="352"/>
        <w:spacing w:after="0" w:line="267" w:lineRule="auto"/>
        <w:rPr>
          <w:sz w:val="20"/>
          <w:szCs w:val="20"/>
          <w:color w:val="auto"/>
        </w:rPr>
      </w:pPr>
      <w:r>
        <w:rPr>
          <w:rFonts w:ascii="Arial" w:cs="Arial" w:eastAsia="Arial" w:hAnsi="Arial"/>
          <w:sz w:val="17"/>
          <w:szCs w:val="17"/>
          <w:color w:val="auto"/>
        </w:rPr>
        <w:t>As of March 31, 2021, the franchise operations segment consisted of (i) 1,636 restaurants operated by Applebee’s franchisees in the United States, two U.S. territories and 11 countries outside the United States and (ii) 1,749 restaurants operated by IHOP franchisees and area licensees in the United States, two U.S. territories and seven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206" w:lineRule="exact"/>
        <w:rPr>
          <w:sz w:val="20"/>
          <w:szCs w:val="20"/>
          <w:color w:val="auto"/>
        </w:rPr>
      </w:pPr>
    </w:p>
    <w:p>
      <w:pPr>
        <w:ind w:right="640" w:firstLine="318"/>
        <w:spacing w:after="0" w:line="252" w:lineRule="auto"/>
        <w:rPr>
          <w:sz w:val="20"/>
          <w:szCs w:val="20"/>
          <w:color w:val="auto"/>
        </w:rPr>
      </w:pPr>
      <w:r>
        <w:rPr>
          <w:rFonts w:ascii="Arial" w:cs="Arial" w:eastAsia="Arial" w:hAnsi="Arial"/>
          <w:sz w:val="18"/>
          <w:szCs w:val="18"/>
          <w:color w:val="auto"/>
        </w:rPr>
        <w:t>Company restaurant sales are retail sales at 69 Applebee's company-operated restaurants. Company restaurant expenses are operating expenses at company-operated restaurants and include food, labor, utilities, rent and other restaurant operating costs.</w:t>
      </w:r>
    </w:p>
    <w:p>
      <w:pPr>
        <w:spacing w:after="0" w:line="1"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Rental operations revenue includes revenue from operating leases and interest income from direct financing leases. Rental operations expenses are costs of operating leases and interest expense from finance leases on which the Company is the lessee.</w:t>
      </w:r>
    </w:p>
    <w:p>
      <w:pPr>
        <w:spacing w:after="0" w:line="1"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and interest income on Applebee's notes receivable from franchisees. Financing expenses are the cost of taxes related to IHOP equipment leases.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on segments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4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Revenues from external customers:</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4760" w:type="dxa"/>
            <w:vAlign w:val="bottom"/>
            <w:gridSpan w:val="2"/>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141.0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3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38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760" w:type="dxa"/>
            <w:vAlign w:val="bottom"/>
            <w:gridSpan w:val="2"/>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204.2</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Interest expense:</w:t>
            </w:r>
          </w:p>
        </w:tc>
        <w:tc>
          <w:tcPr>
            <w:tcW w:w="3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vMerge w:val="continue"/>
          </w:tcPr>
          <w:p>
            <w:pPr>
              <w:spacing w:after="0"/>
              <w:rPr>
                <w:sz w:val="19"/>
                <w:szCs w:val="19"/>
                <w:color w:val="auto"/>
              </w:rPr>
            </w:pP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operations</w:t>
            </w:r>
          </w:p>
        </w:tc>
        <w:tc>
          <w:tcPr>
            <w:tcW w:w="4760" w:type="dxa"/>
            <w:vAlign w:val="bottom"/>
            <w:gridSpan w:val="2"/>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Company restaurants</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9"/>
        </w:trPr>
        <w:tc>
          <w:tcPr>
            <w:tcW w:w="4360" w:type="dxa"/>
            <w:vAlign w:val="bottom"/>
          </w:tcPr>
          <w:p>
            <w:pPr>
              <w:ind w:left="100"/>
              <w:spacing w:after="0"/>
              <w:rPr>
                <w:sz w:val="20"/>
                <w:szCs w:val="20"/>
                <w:color w:val="auto"/>
              </w:rPr>
            </w:pPr>
            <w:r>
              <w:rPr>
                <w:rFonts w:ascii="Arial" w:cs="Arial" w:eastAsia="Arial" w:hAnsi="Arial"/>
                <w:sz w:val="18"/>
                <w:szCs w:val="18"/>
                <w:color w:val="auto"/>
              </w:rPr>
              <w:t>Total</w:t>
            </w:r>
          </w:p>
        </w:tc>
        <w:tc>
          <w:tcPr>
            <w:tcW w:w="4760" w:type="dxa"/>
            <w:vAlign w:val="bottom"/>
            <w:gridSpan w:val="2"/>
          </w:tcPr>
          <w:p>
            <w:pPr>
              <w:jc w:val="right"/>
              <w:ind w:right="74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3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4760" w:type="dxa"/>
            <w:vAlign w:val="bottom"/>
            <w:gridSpan w:val="2"/>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3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38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760" w:type="dxa"/>
            <w:vAlign w:val="bottom"/>
            <w:gridSpan w:val="2"/>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 by segment:</w:t>
            </w:r>
          </w:p>
        </w:tc>
        <w:tc>
          <w:tcPr>
            <w:tcW w:w="3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vMerge w:val="continue"/>
          </w:tcPr>
          <w:p>
            <w:pPr>
              <w:spacing w:after="0"/>
              <w:rPr>
                <w:sz w:val="19"/>
                <w:szCs w:val="19"/>
                <w:color w:val="auto"/>
              </w:rPr>
            </w:pP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4760" w:type="dxa"/>
            <w:vAlign w:val="bottom"/>
            <w:gridSpan w:val="2"/>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3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38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profit</w:t>
            </w:r>
          </w:p>
        </w:tc>
        <w:tc>
          <w:tcPr>
            <w:tcW w:w="3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Corporate and unallocated expenses, net</w:t>
            </w:r>
          </w:p>
        </w:tc>
        <w:tc>
          <w:tcPr>
            <w:tcW w:w="38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4760" w:type="dxa"/>
            <w:vAlign w:val="bottom"/>
            <w:gridSpan w:val="2"/>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2392"/>
              <w:spacing w:after="0"/>
              <w:rPr>
                <w:sz w:val="20"/>
                <w:szCs w:val="20"/>
                <w:color w:val="auto"/>
              </w:rPr>
            </w:pPr>
            <w:r>
              <w:rPr>
                <w:rFonts w:ascii="Arial" w:cs="Arial" w:eastAsia="Arial" w:hAnsi="Arial"/>
                <w:sz w:val="18"/>
                <w:szCs w:val="18"/>
                <w:color w:val="auto"/>
              </w:rPr>
              <w:t>21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43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36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computation of the Company's basic and diluted net income per share is as follows:</w:t>
      </w:r>
    </w:p>
    <w:p>
      <w:pPr>
        <w:spacing w:after="0" w:line="35"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ind w:left="40"/>
              <w:spacing w:after="0"/>
              <w:rPr>
                <w:sz w:val="20"/>
                <w:szCs w:val="20"/>
                <w:color w:val="auto"/>
              </w:rPr>
            </w:pPr>
            <w:r>
              <w:rPr>
                <w:rFonts w:ascii="Arial" w:cs="Arial" w:eastAsia="Arial" w:hAnsi="Arial"/>
                <w:sz w:val="14"/>
                <w:szCs w:val="14"/>
                <w:b w:val="1"/>
                <w:bCs w:val="1"/>
                <w:color w:val="auto"/>
                <w:w w:val="84"/>
              </w:rPr>
              <w:t>(In thousands, except</w:t>
            </w:r>
          </w:p>
        </w:tc>
        <w:tc>
          <w:tcPr>
            <w:tcW w:w="112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w w:val="95"/>
              </w:rPr>
              <w:t>per share data)</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800" w:type="dxa"/>
            <w:vAlign w:val="bottom"/>
            <w:gridSpan w:val="4"/>
          </w:tcPr>
          <w:p>
            <w:pPr>
              <w:ind w:left="20"/>
              <w:spacing w:after="0"/>
              <w:rPr>
                <w:sz w:val="20"/>
                <w:szCs w:val="20"/>
                <w:color w:val="auto"/>
              </w:rPr>
            </w:pPr>
            <w:r>
              <w:rPr>
                <w:rFonts w:ascii="Arial" w:cs="Arial" w:eastAsia="Arial" w:hAnsi="Arial"/>
                <w:sz w:val="18"/>
                <w:szCs w:val="18"/>
                <w:color w:val="auto"/>
              </w:rPr>
              <w:t>Numerator for basic and diluted income per common share:</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800" w:type="dxa"/>
            <w:vAlign w:val="bottom"/>
            <w:tcBorders>
              <w:bottom w:val="single" w:sz="8" w:color="CCEEFF"/>
            </w:tcBorders>
            <w:gridSpan w:val="4"/>
          </w:tcPr>
          <w:p>
            <w:pPr>
              <w:ind w:left="220"/>
              <w:spacing w:after="0"/>
              <w:rPr>
                <w:sz w:val="20"/>
                <w:szCs w:val="20"/>
                <w:color w:val="auto"/>
              </w:rPr>
            </w:pPr>
            <w:r>
              <w:rPr>
                <w:rFonts w:ascii="Arial" w:cs="Arial" w:eastAsia="Arial" w:hAnsi="Arial"/>
                <w:sz w:val="18"/>
                <w:szCs w:val="18"/>
                <w:color w:val="auto"/>
              </w:rPr>
              <w:t>Less: Net income allocated to unvested participating restricted stock</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stockholders - basic</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800" w:type="dxa"/>
            <w:vAlign w:val="bottom"/>
            <w:tcBorders>
              <w:bottom w:val="single" w:sz="8" w:color="CCEEFF"/>
            </w:tcBorders>
            <w:gridSpan w:val="4"/>
          </w:tcPr>
          <w:p>
            <w:pPr>
              <w:ind w:left="220"/>
              <w:spacing w:after="0"/>
              <w:rPr>
                <w:sz w:val="20"/>
                <w:szCs w:val="20"/>
                <w:color w:val="auto"/>
              </w:rPr>
            </w:pPr>
            <w:r>
              <w:rPr>
                <w:rFonts w:ascii="Arial" w:cs="Arial" w:eastAsia="Arial" w:hAnsi="Arial"/>
                <w:sz w:val="18"/>
                <w:szCs w:val="18"/>
                <w:color w:val="auto"/>
              </w:rPr>
              <w:t>Effect of unvested participating restricted stock in two-class calculation</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stockholders - diluted</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80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basic</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800" w:type="dxa"/>
            <w:vAlign w:val="bottom"/>
            <w:tcBorders>
              <w:bottom w:val="single" w:sz="8" w:color="CCEEFF"/>
            </w:tcBorders>
            <w:gridSpan w:val="4"/>
          </w:tcPr>
          <w:p>
            <w:pPr>
              <w:ind w:left="220"/>
              <w:spacing w:after="0"/>
              <w:rPr>
                <w:sz w:val="20"/>
                <w:szCs w:val="20"/>
                <w:color w:val="auto"/>
              </w:rPr>
            </w:pPr>
            <w:r>
              <w:rPr>
                <w:rFonts w:ascii="Arial" w:cs="Arial" w:eastAsia="Arial" w:hAnsi="Arial"/>
                <w:sz w:val="18"/>
                <w:szCs w:val="18"/>
                <w:color w:val="auto"/>
              </w:rPr>
              <w:t>Dilutive effect of stock options</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diluted</w:t>
            </w:r>
          </w:p>
        </w:tc>
        <w:tc>
          <w:tcPr>
            <w:tcW w:w="3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80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0" w:type="dxa"/>
            <w:vAlign w:val="bottom"/>
            <w:gridSpan w:val="4"/>
          </w:tcPr>
          <w:p>
            <w:pPr>
              <w:ind w:left="220"/>
              <w:spacing w:after="0" w:line="198"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13. Closure and Impairment Charges</w:t>
            </w: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880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Closure and Long-lived Asset Impairment Charges</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32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w w:val="89"/>
              </w:rPr>
              <w:t>Closure and long-lived tangible asset impairment charges for the three months ended March 31, 2021 were as follows:</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5"/>
          </w:tcPr>
          <w:p>
            <w:pPr>
              <w:jc w:val="center"/>
              <w:ind w:left="135"/>
              <w:spacing w:after="0"/>
              <w:rPr>
                <w:sz w:val="20"/>
                <w:szCs w:val="20"/>
                <w:color w:val="auto"/>
              </w:rPr>
            </w:pPr>
            <w:r>
              <w:rPr>
                <w:rFonts w:ascii="Arial" w:cs="Arial" w:eastAsia="Arial" w:hAnsi="Arial"/>
                <w:sz w:val="16"/>
                <w:szCs w:val="16"/>
                <w:b w:val="1"/>
                <w:bCs w:val="1"/>
                <w:color w:val="auto"/>
                <w:w w:val="90"/>
              </w:rPr>
              <w:t>Three Months Ended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jc w:val="center"/>
              <w:ind w:left="155"/>
              <w:spacing w:after="0"/>
              <w:rPr>
                <w:sz w:val="20"/>
                <w:szCs w:val="20"/>
                <w:color w:val="auto"/>
              </w:rPr>
            </w:pPr>
            <w:r>
              <w:rPr>
                <w:rFonts w:ascii="Arial" w:cs="Arial" w:eastAsia="Arial" w:hAnsi="Arial"/>
                <w:sz w:val="16"/>
                <w:szCs w:val="16"/>
                <w:b w:val="1"/>
                <w:bCs w:val="1"/>
                <w:color w:val="auto"/>
                <w:w w:val="94"/>
              </w:rPr>
              <w:t>March 31,</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5"/>
          </w:tcPr>
          <w:p>
            <w:pPr>
              <w:jc w:val="center"/>
              <w:ind w:left="115"/>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8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Closure charges</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40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Long-lived tangible asset impairment</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8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Total closure and long-lived asset impairment charges</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Closure Charges</w:t>
      </w:r>
    </w:p>
    <w:p>
      <w:pPr>
        <w:spacing w:after="0" w:line="230" w:lineRule="exact"/>
        <w:rPr>
          <w:sz w:val="20"/>
          <w:szCs w:val="20"/>
          <w:color w:val="auto"/>
        </w:rPr>
      </w:pPr>
    </w:p>
    <w:p>
      <w:pPr>
        <w:ind w:right="820" w:firstLine="318"/>
        <w:spacing w:after="0" w:line="249" w:lineRule="auto"/>
        <w:rPr>
          <w:sz w:val="20"/>
          <w:szCs w:val="20"/>
          <w:color w:val="auto"/>
        </w:rPr>
      </w:pPr>
      <w:r>
        <w:rPr>
          <w:rFonts w:ascii="Arial" w:cs="Arial" w:eastAsia="Arial" w:hAnsi="Arial"/>
          <w:sz w:val="18"/>
          <w:szCs w:val="18"/>
          <w:color w:val="auto"/>
        </w:rPr>
        <w:t>The closure charges of $1.9 million for the three months ended March 31, 2021 related to the establishment of or revision to closure reserves for approximately 35 IHOP restaurants.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Long-lived Tangible Asset Impairment</w:t>
      </w:r>
    </w:p>
    <w:p>
      <w:pPr>
        <w:spacing w:after="0" w:line="244" w:lineRule="exact"/>
        <w:rPr>
          <w:sz w:val="20"/>
          <w:szCs w:val="20"/>
          <w:color w:val="auto"/>
        </w:rPr>
      </w:pPr>
    </w:p>
    <w:p>
      <w:pPr>
        <w:ind w:right="180" w:firstLine="318"/>
        <w:spacing w:after="0" w:line="237" w:lineRule="auto"/>
        <w:rPr>
          <w:sz w:val="20"/>
          <w:szCs w:val="20"/>
          <w:color w:val="auto"/>
        </w:rPr>
      </w:pPr>
      <w:r>
        <w:rPr>
          <w:rFonts w:ascii="Arial" w:cs="Arial" w:eastAsia="Arial" w:hAnsi="Arial"/>
          <w:sz w:val="18"/>
          <w:szCs w:val="18"/>
          <w:color w:val="auto"/>
        </w:rPr>
        <w:t>The long-lived asset impairment of $0.1 million for the three months ended March 31, 2021 related one IHOP franchisee-operated restaurant for which the carrying amount exceeded the undiscounted cash flows. The impairment recorded represented the difference between the carrying value and the estimated fair value. The impairment related to operating lease right-of-use assets that had been recorded in 2019 upon adoption of new lease accounting guidance codified in Accounting Standards Codification Topic 842.</w:t>
      </w:r>
    </w:p>
    <w:p>
      <w:pPr>
        <w:sectPr>
          <w:pgSz w:w="11900" w:h="16838" w:orient="portrait"/>
          <w:cols w:equalWidth="0" w:num="1">
            <w:col w:w="11340"/>
          </w:cols>
          <w:pgMar w:left="32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57"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values of the Company's 2019 Class A-2 Notes at March 31, 2021 and December 31, 2020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Borders>
              <w:bottom w:val="single" w:sz="8" w:color="auto"/>
            </w:tcBorders>
          </w:tcPr>
          <w:p>
            <w:pPr>
              <w:spacing w:after="0"/>
              <w:rPr>
                <w:sz w:val="16"/>
                <w:szCs w:val="16"/>
                <w:color w:val="auto"/>
              </w:rPr>
            </w:pPr>
          </w:p>
        </w:tc>
      </w:tr>
      <w:tr>
        <w:trPr>
          <w:trHeight w:val="183"/>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4"/>
          </w:tcPr>
          <w:p>
            <w:pPr>
              <w:jc w:val="right"/>
              <w:ind w:right="117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r>
      <w:tr>
        <w:trPr>
          <w:trHeight w:val="227"/>
        </w:trPr>
        <w:tc>
          <w:tcPr>
            <w:tcW w:w="7760" w:type="dxa"/>
            <w:vAlign w:val="bottom"/>
          </w:tcPr>
          <w:p>
            <w:pPr>
              <w:spacing w:after="0"/>
              <w:rPr>
                <w:sz w:val="20"/>
                <w:szCs w:val="20"/>
                <w:color w:val="auto"/>
              </w:rPr>
            </w:pPr>
            <w:r>
              <w:rPr>
                <w:rFonts w:ascii="Arial" w:cs="Arial" w:eastAsia="Arial" w:hAnsi="Arial"/>
                <w:sz w:val="18"/>
                <w:szCs w:val="18"/>
                <w:color w:val="auto"/>
              </w:rPr>
              <w:t>Face Value of Class A-2 Notes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1,293.5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7760" w:type="dxa"/>
            <w:vAlign w:val="bottom"/>
          </w:tcPr>
          <w:p>
            <w:pPr>
              <w:spacing w:after="0"/>
              <w:rPr>
                <w:sz w:val="20"/>
                <w:szCs w:val="20"/>
                <w:color w:val="auto"/>
              </w:rPr>
            </w:pPr>
            <w:r>
              <w:rPr>
                <w:rFonts w:ascii="Arial" w:cs="Arial" w:eastAsia="Arial" w:hAnsi="Arial"/>
                <w:sz w:val="18"/>
                <w:szCs w:val="18"/>
                <w:color w:val="auto"/>
              </w:rPr>
              <w:t>Fair Value of Class A-2 Notes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1,338.5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1,259.5</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fair values were determined based on Level 2 inputs, including information gathered from brokers who trade in the Company’s 2019 Class A-2 Notes, as well as information on notes that are similar to those of the Company.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 Claims and Disputes</w:t>
      </w:r>
    </w:p>
    <w:p>
      <w:pPr>
        <w:spacing w:after="0" w:line="177" w:lineRule="exact"/>
        <w:rPr>
          <w:sz w:val="20"/>
          <w:szCs w:val="20"/>
          <w:color w:val="auto"/>
        </w:rPr>
      </w:pPr>
    </w:p>
    <w:p>
      <w:pPr>
        <w:ind w:right="140" w:firstLine="318"/>
        <w:spacing w:after="0" w:line="288" w:lineRule="auto"/>
        <w:rPr>
          <w:sz w:val="20"/>
          <w:szCs w:val="20"/>
          <w:color w:val="auto"/>
        </w:rPr>
      </w:pPr>
      <w:r>
        <w:rPr>
          <w:rFonts w:ascii="Arial" w:cs="Arial" w:eastAsia="Arial" w:hAnsi="Arial"/>
          <w:sz w:val="15"/>
          <w:szCs w:val="15"/>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77"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In connection with the sale of Applebee’s restaurants to franchisees, the Company has, in certain cases, guaranteed or has potential continuing liability for lease payments totaling $235.9 million as of March 31, 2021. This amount represents the maximum potential liability for future payments under these leases. These leases have been assigned to the buyers and expire at the end of the respective lease terms, which range from 2021 through 2048. Excluding unexercised option periods, the Company's potential liability for future payments under these leases is $34.2 million. In the event of default, the indemnity and default clauses in the sale or assignment agreements govern the Company's ability to pursue and recover damages incurred.</w:t>
      </w:r>
    </w:p>
    <w:p>
      <w:pPr>
        <w:spacing w:after="0" w:line="171" w:lineRule="exact"/>
        <w:rPr>
          <w:sz w:val="20"/>
          <w:szCs w:val="20"/>
          <w:color w:val="auto"/>
        </w:rPr>
      </w:pPr>
    </w:p>
    <w:p>
      <w:pPr>
        <w:ind w:left="360" w:right="7600" w:hanging="354"/>
        <w:spacing w:after="0" w:line="410" w:lineRule="auto"/>
        <w:tabs>
          <w:tab w:leader="none" w:pos="26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i w:val="1"/>
          <w:iCs w:val="1"/>
          <w:color w:val="auto"/>
        </w:rPr>
        <w:t>Cash and Cash Equivalents</w:t>
      </w:r>
    </w:p>
    <w:p>
      <w:pPr>
        <w:spacing w:after="0" w:line="1"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9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Restricted Cash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cash and cash equivalents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120650</wp:posOffset>
            </wp:positionV>
            <wp:extent cx="2338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359"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March 31, 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December 31, 2020</w:t>
            </w:r>
          </w:p>
        </w:tc>
      </w:tr>
      <w:tr>
        <w:trPr>
          <w:trHeight w:val="183"/>
        </w:trPr>
        <w:tc>
          <w:tcPr>
            <w:tcW w:w="6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gridSpan w:val="4"/>
          </w:tcPr>
          <w:p>
            <w:pPr>
              <w:jc w:val="right"/>
              <w:ind w:right="1235"/>
              <w:spacing w:after="0"/>
              <w:rPr>
                <w:sz w:val="20"/>
                <w:szCs w:val="20"/>
                <w:color w:val="auto"/>
              </w:rPr>
            </w:pPr>
            <w:r>
              <w:rPr>
                <w:rFonts w:ascii="Arial" w:cs="Arial" w:eastAsia="Arial" w:hAnsi="Arial"/>
                <w:sz w:val="14"/>
                <w:szCs w:val="14"/>
                <w:b w:val="1"/>
                <w:bCs w:val="1"/>
                <w:color w:val="auto"/>
                <w:w w:val="91"/>
              </w:rPr>
              <w:t>(In millions)</w:t>
            </w:r>
          </w:p>
        </w:tc>
      </w:tr>
      <w:tr>
        <w:trPr>
          <w:trHeight w:val="226"/>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5"/>
        </w:trPr>
        <w:tc>
          <w:tcPr>
            <w:tcW w:w="6900" w:type="dxa"/>
            <w:vAlign w:val="bottom"/>
          </w:tcPr>
          <w:p>
            <w:pPr>
              <w:ind w:left="340"/>
              <w:spacing w:after="0"/>
              <w:rPr>
                <w:sz w:val="20"/>
                <w:szCs w:val="20"/>
                <w:color w:val="auto"/>
              </w:rPr>
            </w:pPr>
            <w:r>
              <w:rPr>
                <w:rFonts w:ascii="Arial" w:cs="Arial" w:eastAsia="Arial" w:hAnsi="Arial"/>
                <w:sz w:val="18"/>
                <w:szCs w:val="18"/>
                <w:color w:val="auto"/>
              </w:rPr>
              <w:t>IHOP advertising funds and gift card programs</w:t>
            </w: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25"/>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depository accounts</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19"/>
        </w:trPr>
        <w:tc>
          <w:tcPr>
            <w:tcW w:w="6900" w:type="dxa"/>
            <w:vAlign w:val="bottom"/>
          </w:tcPr>
          <w:p>
            <w:pPr>
              <w:ind w:left="340"/>
              <w:spacing w:after="0"/>
              <w:rPr>
                <w:sz w:val="20"/>
                <w:szCs w:val="20"/>
                <w:color w:val="auto"/>
              </w:rPr>
            </w:pPr>
            <w:r>
              <w:rPr>
                <w:rFonts w:ascii="Arial" w:cs="Arial" w:eastAsia="Arial" w:hAnsi="Arial"/>
                <w:sz w:val="18"/>
                <w:szCs w:val="18"/>
                <w:color w:val="auto"/>
              </w:rPr>
              <w:t>Total cash and cash equivalents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179.6</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383.4</w:t>
            </w:r>
          </w:p>
        </w:tc>
      </w:tr>
      <w:tr>
        <w:trPr>
          <w:trHeight w:val="20"/>
        </w:trPr>
        <w:tc>
          <w:tcPr>
            <w:tcW w:w="6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decrease in total cash and cash equivalents between December 31, 2020 and March 31, 2021 was due to the repayment of $220.0 million previously drawn on the Company's Credit Facility.</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Current Restricted Cash</w:t>
      </w:r>
    </w:p>
    <w:p>
      <w:pPr>
        <w:spacing w:after="0" w:line="151"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 The components of current restricted cash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4614545</wp:posOffset>
            </wp:positionH>
            <wp:positionV relativeFrom="paragraph">
              <wp:posOffset>93980</wp:posOffset>
            </wp:positionV>
            <wp:extent cx="23221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31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6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80" w:type="dxa"/>
            <w:vAlign w:val="bottom"/>
            <w:gridSpan w:val="4"/>
          </w:tcPr>
          <w:p>
            <w:pPr>
              <w:jc w:val="right"/>
              <w:ind w:right="1215"/>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Securitized debt reserves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5"/>
        </w:trPr>
        <w:tc>
          <w:tcPr>
            <w:tcW w:w="6940" w:type="dxa"/>
            <w:vAlign w:val="bottom"/>
          </w:tcPr>
          <w:p>
            <w:pPr>
              <w:ind w:left="340"/>
              <w:spacing w:after="0"/>
              <w:rPr>
                <w:sz w:val="20"/>
                <w:szCs w:val="20"/>
                <w:color w:val="auto"/>
              </w:rPr>
            </w:pPr>
            <w:r>
              <w:rPr>
                <w:rFonts w:ascii="Arial" w:cs="Arial" w:eastAsia="Arial" w:hAnsi="Arial"/>
                <w:sz w:val="18"/>
                <w:szCs w:val="18"/>
                <w:color w:val="auto"/>
              </w:rPr>
              <w:t>Applebee's advertising funds</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9"/>
        </w:trPr>
        <w:tc>
          <w:tcPr>
            <w:tcW w:w="6940" w:type="dxa"/>
            <w:vAlign w:val="bottom"/>
          </w:tcPr>
          <w:p>
            <w:pPr>
              <w:ind w:left="340"/>
              <w:spacing w:after="0"/>
              <w:rPr>
                <w:sz w:val="20"/>
                <w:szCs w:val="20"/>
                <w:color w:val="auto"/>
              </w:rPr>
            </w:pPr>
            <w:r>
              <w:rPr>
                <w:rFonts w:ascii="Arial" w:cs="Arial" w:eastAsia="Arial" w:hAnsi="Arial"/>
                <w:sz w:val="18"/>
                <w:szCs w:val="18"/>
                <w:color w:val="auto"/>
              </w:rPr>
              <w:t>Total current restricted cash</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0"/>
        </w:trPr>
        <w:tc>
          <w:tcPr>
            <w:tcW w:w="6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Non-current Restricted Cash</w:t>
      </w:r>
    </w:p>
    <w:p>
      <w:pPr>
        <w:spacing w:after="0" w:line="13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Non-current restricted cash was $32.8 million at both March 31, 2021 and December 31, 2020 and represents interest reserves required to be set aside for the duration of the Company's securitized debt. The required reserve is approximately one quarter's interest payment on the Company's securitized debt, currently approximately $16 million. The Company voluntarily increased the amount held in non-current cash to twice the required amount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2020. Except where the context indicates otherwise, the words “we,” “us,” “our,” “Dine Brands Global” and the “Company” refer to Dine Brands Global, Inc., together with its subsidiaries that are consolidated in accordance with United States generally accepted accounting principles (“U.S. GAAP”). The financial tables appearing in MD&amp;A present amounts in millions of dollars that are rounded from our consolidated financial statements presented in thousands of dollars. As a result, the tables may not foot or crossfoot due to rounding.</w:t>
      </w:r>
    </w:p>
    <w:p>
      <w:pPr>
        <w:spacing w:after="0" w:line="149" w:lineRule="exact"/>
        <w:rPr>
          <w:sz w:val="20"/>
          <w:szCs w:val="20"/>
          <w:color w:val="auto"/>
        </w:rPr>
      </w:pPr>
    </w:p>
    <w:p>
      <w:pPr>
        <w:ind w:right="100" w:firstLine="318"/>
        <w:spacing w:after="0" w:line="245" w:lineRule="auto"/>
        <w:rPr>
          <w:sz w:val="20"/>
          <w:szCs w:val="20"/>
          <w:color w:val="auto"/>
        </w:rPr>
      </w:pPr>
      <w:r>
        <w:rPr>
          <w:rFonts w:ascii="Arial" w:cs="Arial" w:eastAsia="Arial" w:hAnsi="Arial"/>
          <w:sz w:val="16"/>
          <w:szCs w:val="16"/>
          <w:color w:val="auto"/>
        </w:rPr>
        <w:t>Through various subsidiaries, we own, franchise and operate the Applebee's Neighborhood Grill &amp; Bar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(“Applebee's”) concept in the bar and grill segment within the casual dining category of the restaurant industry and we own and franchise the International House of Pancakes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(“IHOP”) concept in the family dining category of the restaurant industry. References herein to Applebee's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IHOP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restaurants are to these two restaurant concepts, whether operated by franchisees, area licensees and their sub-licensees (collectively, “area licensees”) or by us. With 3,458 restaurants combined, the substantial majority of which are franchised, we believe we are one of the largest full-service restaurant companies in the world.</w:t>
      </w:r>
    </w:p>
    <w:p>
      <w:pPr>
        <w:spacing w:after="0" w:line="226"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Impact of COVID-19 Pandemic</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252525"/>
        </w:rPr>
        <w:t>The global pandemic declared in March 2020 by the World Health Organization related to the outbreak of a novel strain of coronavirus, designated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252525"/>
        </w:rPr>
        <w:t>COVID-19,</w:t>
      </w:r>
      <w:r>
        <w:rPr>
          <w:rFonts w:ascii="Arial" w:cs="Arial" w:eastAsia="Arial" w:hAnsi="Arial"/>
          <w:sz w:val="15"/>
          <w:szCs w:val="15"/>
          <w:color w:val="auto"/>
        </w:rPr>
        <w:t>” continued to have an adverse impact on our operations during the three months ended March 31, 2021. The operating status of our restaurants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was fluid throughout the first quarter of 2021 and subject to change as governmental authorities increased or reduced restrictions on restaurant operations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response to changes in the number of COVID-19 infections and in the availability and acceptance of vaccines within their respective jurisdictions. While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significant majority of our restaurants were open for in-restaurant dining during the three months ended March 31, 2021, many </w:t>
      </w:r>
      <w:r>
        <w:rPr>
          <w:rFonts w:ascii="Arial" w:cs="Arial" w:eastAsia="Arial" w:hAnsi="Arial"/>
          <w:sz w:val="15"/>
          <w:szCs w:val="15"/>
          <w:color w:val="252525"/>
        </w:rPr>
        <w:t>federal, state, local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252525"/>
        </w:rPr>
        <w:t>international governments maintained protocols that limited restaurant dine-in occupancy levels to less than 100% of capacity. As of March 31, 2021,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52525"/>
        </w:rPr>
        <w:t>operating status of our restaurants was as follows: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8"/>
              </w:rPr>
              <w:t>Status as of March 31, 2021</w:t>
            </w:r>
          </w:p>
        </w:tc>
        <w:tc>
          <w:tcPr>
            <w:tcW w:w="1100" w:type="dxa"/>
            <w:vAlign w:val="bottom"/>
            <w:tcBorders>
              <w:bottom w:val="single" w:sz="8" w:color="auto"/>
            </w:tcBorders>
          </w:tcPr>
          <w:p>
            <w:pPr>
              <w:spacing w:after="0"/>
              <w:rPr>
                <w:sz w:val="19"/>
                <w:szCs w:val="19"/>
                <w:color w:val="auto"/>
              </w:rPr>
            </w:pPr>
          </w:p>
        </w:tc>
      </w:tr>
      <w:tr>
        <w:trPr>
          <w:trHeight w:val="219"/>
        </w:trPr>
        <w:tc>
          <w:tcPr>
            <w:tcW w:w="6040" w:type="dxa"/>
            <w:vAlign w:val="bottom"/>
          </w:tcPr>
          <w:p>
            <w:pPr>
              <w:spacing w:after="0"/>
              <w:rPr>
                <w:sz w:val="19"/>
                <w:szCs w:val="19"/>
                <w:color w:val="auto"/>
              </w:rPr>
            </w:pPr>
          </w:p>
        </w:tc>
        <w:tc>
          <w:tcPr>
            <w:tcW w:w="3560" w:type="dxa"/>
            <w:vAlign w:val="bottom"/>
            <w:gridSpan w:val="6"/>
          </w:tcPr>
          <w:p>
            <w:pPr>
              <w:ind w:left="1340"/>
              <w:spacing w:after="0"/>
              <w:rPr>
                <w:sz w:val="20"/>
                <w:szCs w:val="20"/>
                <w:color w:val="auto"/>
              </w:rPr>
            </w:pPr>
            <w:r>
              <w:rPr>
                <w:rFonts w:ascii="Arial" w:cs="Arial" w:eastAsia="Arial" w:hAnsi="Arial"/>
                <w:sz w:val="18"/>
                <w:szCs w:val="18"/>
                <w:b w:val="1"/>
                <w:bCs w:val="1"/>
                <w:color w:val="auto"/>
              </w:rPr>
              <w:t>Domestic</w:t>
            </w:r>
          </w:p>
        </w:tc>
        <w:tc>
          <w:tcPr>
            <w:tcW w:w="1100" w:type="dxa"/>
            <w:vAlign w:val="bottom"/>
          </w:tcPr>
          <w:p>
            <w:pPr>
              <w:spacing w:after="0"/>
              <w:rPr>
                <w:sz w:val="19"/>
                <w:szCs w:val="19"/>
                <w:color w:val="auto"/>
              </w:rPr>
            </w:pPr>
          </w:p>
        </w:tc>
      </w:tr>
      <w:tr>
        <w:trPr>
          <w:trHeight w:val="218"/>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Dining room capacity %/other status</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Applebee's</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IHOP</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International</w:t>
            </w:r>
          </w:p>
        </w:tc>
      </w:tr>
      <w:tr>
        <w:trPr>
          <w:trHeight w:val="218"/>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 capacity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040" w:type="dxa"/>
            <w:vAlign w:val="bottom"/>
          </w:tcPr>
          <w:p>
            <w:pPr>
              <w:ind w:left="340"/>
              <w:spacing w:after="0"/>
              <w:rPr>
                <w:sz w:val="20"/>
                <w:szCs w:val="20"/>
                <w:color w:val="auto"/>
              </w:rPr>
            </w:pPr>
            <w:r>
              <w:rPr>
                <w:rFonts w:ascii="Arial" w:cs="Arial" w:eastAsia="Arial" w:hAnsi="Arial"/>
                <w:sz w:val="18"/>
                <w:szCs w:val="18"/>
                <w:color w:val="auto"/>
              </w:rPr>
              <w:t>&gt; 50% capacity</w:t>
            </w:r>
          </w:p>
        </w:tc>
        <w:tc>
          <w:tcPr>
            <w:tcW w:w="1440" w:type="dxa"/>
            <w:vAlign w:val="bottom"/>
          </w:tcPr>
          <w:p>
            <w:pPr>
              <w:jc w:val="right"/>
              <w:spacing w:after="0"/>
              <w:rPr>
                <w:sz w:val="20"/>
                <w:szCs w:val="20"/>
                <w:color w:val="auto"/>
              </w:rPr>
            </w:pPr>
            <w:r>
              <w:rPr>
                <w:rFonts w:ascii="Arial" w:cs="Arial" w:eastAsia="Arial" w:hAnsi="Arial"/>
                <w:sz w:val="18"/>
                <w:szCs w:val="18"/>
                <w:color w:val="auto"/>
              </w:rPr>
              <w:t>142</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26%-50% capacity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5"/>
        </w:trPr>
        <w:tc>
          <w:tcPr>
            <w:tcW w:w="6040" w:type="dxa"/>
            <w:vAlign w:val="bottom"/>
          </w:tcPr>
          <w:p>
            <w:pPr>
              <w:ind w:left="340"/>
              <w:spacing w:after="0"/>
              <w:rPr>
                <w:sz w:val="20"/>
                <w:szCs w:val="20"/>
                <w:color w:val="auto"/>
              </w:rPr>
            </w:pPr>
            <w:r>
              <w:rPr>
                <w:rFonts w:ascii="Arial" w:cs="Arial" w:eastAsia="Arial" w:hAnsi="Arial"/>
                <w:sz w:val="18"/>
                <w:szCs w:val="18"/>
                <w:color w:val="auto"/>
              </w:rPr>
              <w:t>Up to 25% capacity</w:t>
            </w:r>
          </w:p>
        </w:tc>
        <w:tc>
          <w:tcPr>
            <w:tcW w:w="1440" w:type="dxa"/>
            <w:vAlign w:val="bottom"/>
          </w:tcPr>
          <w:p>
            <w:pPr>
              <w:jc w:val="right"/>
              <w:spacing w:after="0"/>
              <w:rPr>
                <w:sz w:val="20"/>
                <w:szCs w:val="20"/>
                <w:color w:val="auto"/>
              </w:rPr>
            </w:pPr>
            <w:r>
              <w:rPr>
                <w:rFonts w:ascii="Arial" w:cs="Arial" w:eastAsia="Arial" w:hAnsi="Arial"/>
                <w:sz w:val="18"/>
                <w:szCs w:val="18"/>
                <w:color w:val="auto"/>
              </w:rPr>
              <w:t>106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Off-premise/outdoors only and other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Restaurants temporarily closed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39"/>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252525"/>
        </w:rPr>
        <w:t xml:space="preserve">Federal, state, local and international governments, began to implement restrictions on in-restaurant dining around the second week of March, 2020. Accordingly, during the three months ended March 31, 2020, our restaurants essentially operated without restriction for the first 10 weeks of the quarter, followed by an increasing level of restriction over the final three weeks of the quarter. </w:t>
      </w:r>
      <w:r>
        <w:rPr>
          <w:rFonts w:ascii="Arial" w:cs="Arial" w:eastAsia="Arial" w:hAnsi="Arial"/>
          <w:sz w:val="18"/>
          <w:szCs w:val="18"/>
          <w:color w:val="000000"/>
        </w:rPr>
        <w:t>As of March 31, 2020, the operating status of our restaurants was as</w:t>
      </w:r>
      <w:r>
        <w:rPr>
          <w:rFonts w:ascii="Arial" w:cs="Arial" w:eastAsia="Arial" w:hAnsi="Arial"/>
          <w:sz w:val="18"/>
          <w:szCs w:val="18"/>
          <w:color w:val="252525"/>
        </w:rPr>
        <w:t xml:space="preserve"> </w:t>
      </w:r>
      <w:r>
        <w:rPr>
          <w:rFonts w:ascii="Arial" w:cs="Arial" w:eastAsia="Arial" w:hAnsi="Arial"/>
          <w:sz w:val="18"/>
          <w:szCs w:val="18"/>
          <w:color w:val="000000"/>
        </w:rPr>
        <w:t>follows :</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8"/>
              </w:rPr>
              <w:t>Status as of March 31, 2020</w:t>
            </w:r>
          </w:p>
        </w:tc>
        <w:tc>
          <w:tcPr>
            <w:tcW w:w="1100" w:type="dxa"/>
            <w:vAlign w:val="bottom"/>
            <w:tcBorders>
              <w:bottom w:val="single" w:sz="8" w:color="auto"/>
            </w:tcBorders>
          </w:tcPr>
          <w:p>
            <w:pPr>
              <w:spacing w:after="0"/>
              <w:rPr>
                <w:sz w:val="19"/>
                <w:szCs w:val="19"/>
                <w:color w:val="auto"/>
              </w:rPr>
            </w:pPr>
          </w:p>
        </w:tc>
      </w:tr>
      <w:tr>
        <w:trPr>
          <w:trHeight w:val="219"/>
        </w:trPr>
        <w:tc>
          <w:tcPr>
            <w:tcW w:w="6040" w:type="dxa"/>
            <w:vAlign w:val="bottom"/>
          </w:tcPr>
          <w:p>
            <w:pPr>
              <w:spacing w:after="0"/>
              <w:rPr>
                <w:sz w:val="19"/>
                <w:szCs w:val="19"/>
                <w:color w:val="auto"/>
              </w:rPr>
            </w:pPr>
          </w:p>
        </w:tc>
        <w:tc>
          <w:tcPr>
            <w:tcW w:w="3560" w:type="dxa"/>
            <w:vAlign w:val="bottom"/>
            <w:gridSpan w:val="6"/>
          </w:tcPr>
          <w:p>
            <w:pPr>
              <w:ind w:left="1340"/>
              <w:spacing w:after="0"/>
              <w:rPr>
                <w:sz w:val="20"/>
                <w:szCs w:val="20"/>
                <w:color w:val="auto"/>
              </w:rPr>
            </w:pPr>
            <w:r>
              <w:rPr>
                <w:rFonts w:ascii="Arial" w:cs="Arial" w:eastAsia="Arial" w:hAnsi="Arial"/>
                <w:sz w:val="18"/>
                <w:szCs w:val="18"/>
                <w:b w:val="1"/>
                <w:bCs w:val="1"/>
                <w:color w:val="auto"/>
              </w:rPr>
              <w:t>Domestic</w:t>
            </w:r>
          </w:p>
        </w:tc>
        <w:tc>
          <w:tcPr>
            <w:tcW w:w="1100" w:type="dxa"/>
            <w:vAlign w:val="bottom"/>
          </w:tcPr>
          <w:p>
            <w:pPr>
              <w:spacing w:after="0"/>
              <w:rPr>
                <w:sz w:val="19"/>
                <w:szCs w:val="19"/>
                <w:color w:val="auto"/>
              </w:rPr>
            </w:pPr>
          </w:p>
        </w:tc>
      </w:tr>
      <w:tr>
        <w:trPr>
          <w:trHeight w:val="218"/>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Restaurant status</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Applebee's</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IHOP</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International</w:t>
            </w:r>
          </w:p>
        </w:tc>
      </w:tr>
      <w:tr>
        <w:trPr>
          <w:trHeight w:val="218"/>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Dining rooms open*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5"/>
        </w:trPr>
        <w:tc>
          <w:tcPr>
            <w:tcW w:w="6040" w:type="dxa"/>
            <w:vAlign w:val="bottom"/>
          </w:tcPr>
          <w:p>
            <w:pPr>
              <w:ind w:left="340"/>
              <w:spacing w:after="0"/>
              <w:rPr>
                <w:sz w:val="20"/>
                <w:szCs w:val="20"/>
                <w:color w:val="auto"/>
              </w:rPr>
            </w:pPr>
            <w:r>
              <w:rPr>
                <w:rFonts w:ascii="Arial" w:cs="Arial" w:eastAsia="Arial" w:hAnsi="Arial"/>
                <w:sz w:val="18"/>
                <w:szCs w:val="18"/>
                <w:color w:val="auto"/>
              </w:rPr>
              <w:t>Off-premise/outdoors only and other</w:t>
            </w:r>
          </w:p>
        </w:tc>
        <w:tc>
          <w:tcPr>
            <w:tcW w:w="1440" w:type="dxa"/>
            <w:vAlign w:val="bottom"/>
          </w:tcPr>
          <w:p>
            <w:pPr>
              <w:jc w:val="right"/>
              <w:spacing w:after="0"/>
              <w:rPr>
                <w:sz w:val="20"/>
                <w:szCs w:val="20"/>
                <w:color w:val="auto"/>
              </w:rPr>
            </w:pPr>
            <w:r>
              <w:rPr>
                <w:rFonts w:ascii="Arial" w:cs="Arial" w:eastAsia="Arial" w:hAnsi="Arial"/>
                <w:sz w:val="18"/>
                <w:szCs w:val="18"/>
                <w:color w:val="auto"/>
              </w:rPr>
              <w:t>1,402</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5"/>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Restaurants temporarily closed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9"/>
        </w:trPr>
        <w:tc>
          <w:tcPr>
            <w:tcW w:w="6040" w:type="dxa"/>
            <w:vAlign w:val="bottom"/>
          </w:tcPr>
          <w:p>
            <w:pPr>
              <w:ind w:left="340"/>
              <w:spacing w:after="0"/>
              <w:rPr>
                <w:sz w:val="20"/>
                <w:szCs w:val="20"/>
                <w:color w:val="auto"/>
              </w:rPr>
            </w:pPr>
            <w:r>
              <w:rPr>
                <w:rFonts w:ascii="Arial" w:cs="Arial" w:eastAsia="Arial" w:hAnsi="Arial"/>
                <w:sz w:val="18"/>
                <w:szCs w:val="18"/>
                <w:color w:val="auto"/>
              </w:rPr>
              <w:t>Total</w:t>
            </w:r>
          </w:p>
        </w:tc>
        <w:tc>
          <w:tcPr>
            <w:tcW w:w="1440" w:type="dxa"/>
            <w:vAlign w:val="bottom"/>
          </w:tcPr>
          <w:p>
            <w:pPr>
              <w:jc w:val="right"/>
              <w:spacing w:after="0"/>
              <w:rPr>
                <w:sz w:val="20"/>
                <w:szCs w:val="20"/>
                <w:color w:val="auto"/>
              </w:rPr>
            </w:pPr>
            <w:r>
              <w:rPr>
                <w:rFonts w:ascii="Arial" w:cs="Arial" w:eastAsia="Arial" w:hAnsi="Arial"/>
                <w:sz w:val="18"/>
                <w:szCs w:val="18"/>
                <w:color w:val="auto"/>
              </w:rPr>
              <w:t>1,657</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0"/>
        </w:trPr>
        <w:tc>
          <w:tcPr>
            <w:tcW w:w="60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In most instances limited to 50% capacity or less, and/or reduced operating hours.</w:t>
      </w:r>
    </w:p>
    <w:p>
      <w:pPr>
        <w:spacing w:after="0" w:line="243"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Note that at the onset of the pandemic, information as to restaurant capacity was not available in the same detail as current data and therefore the dining room capacity details are unavailable as of March 31, 2020. Temporary closures can occur for a variety of reasons, and all temporary closures shown in the tables above were not necessarily related to COVID-19 restrictions.</w:t>
      </w:r>
    </w:p>
    <w:p>
      <w:pPr>
        <w:spacing w:after="0" w:line="215"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Updates to several actions taken over the past 12 months to mitigate the effects of the COVID-19 pandemic on the Company, its operations and its franchisees, are discussed below:</w:t>
      </w:r>
    </w:p>
    <w:p>
      <w:pPr>
        <w:spacing w:after="0" w:line="207" w:lineRule="exact"/>
        <w:rPr>
          <w:sz w:val="20"/>
          <w:szCs w:val="20"/>
          <w:color w:val="auto"/>
        </w:rPr>
      </w:pPr>
    </w:p>
    <w:p>
      <w:pPr>
        <w:ind w:left="560" w:right="100" w:hanging="316"/>
        <w:spacing w:after="0" w:line="263" w:lineRule="auto"/>
        <w:tabs>
          <w:tab w:leader="none" w:pos="556"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March 2021, we repaid $220 million of borrowings outstanding under our revolving credit facility that initially had been drawn in March 2020. At the time of the initial draw, we had no immediate need for additional liquidity, but in light of then-current market conditions and significant uncertainty related to the COVID-19 pandemic, we drew on the revolving facility to maximize our financial flexibility. As of March 31, 2021, our borrowing capacity under the credit facility was $221.7 million. See </w:t>
      </w:r>
      <w:r>
        <w:rPr>
          <w:rFonts w:ascii="Arial" w:cs="Arial" w:eastAsia="Arial" w:hAnsi="Arial"/>
          <w:sz w:val="17"/>
          <w:szCs w:val="17"/>
          <w:i w:val="1"/>
          <w:iCs w:val="1"/>
          <w:color w:val="auto"/>
        </w:rPr>
        <w:t>Liquidity and Capital Resources of the Company.</w:t>
      </w:r>
    </w:p>
    <w:p>
      <w:pPr>
        <w:spacing w:after="0" w:line="2" w:lineRule="exact"/>
        <w:rPr>
          <w:rFonts w:ascii="Arial" w:cs="Arial" w:eastAsia="Arial" w:hAnsi="Arial"/>
          <w:sz w:val="17"/>
          <w:szCs w:val="17"/>
          <w:color w:val="auto"/>
        </w:rPr>
      </w:pPr>
    </w:p>
    <w:p>
      <w:pPr>
        <w:ind w:left="560" w:right="80" w:hanging="316"/>
        <w:spacing w:after="0" w:line="245" w:lineRule="auto"/>
        <w:tabs>
          <w:tab w:leader="none" w:pos="55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offered Applebee's franchisees the opportunity to defer payment of their royalty, advertising and other fees, primarily amounts due for the months of March and April 2020. A total of 30 franchisees representing 94% of Applebee’s restaurants deferred payments totaling $33.4 million. Repayment of deferred amounts, scheduled over up to nine months, began in the third quarter of 2020. As of March 31, 2021, the outstanding balance of these deferrals was $3.9 million, with approximately $9.4 million collected during the three months ended March 31, 2021. Five franchisees have repaid their deferred balances in full.</w:t>
      </w:r>
    </w:p>
    <w:p>
      <w:pPr>
        <w:spacing w:after="0" w:line="3" w:lineRule="exact"/>
        <w:rPr>
          <w:rFonts w:ascii="Arial" w:cs="Arial" w:eastAsia="Arial" w:hAnsi="Arial"/>
          <w:sz w:val="18"/>
          <w:szCs w:val="18"/>
          <w:color w:val="auto"/>
        </w:rPr>
      </w:pPr>
    </w:p>
    <w:p>
      <w:pPr>
        <w:ind w:left="560" w:hanging="316"/>
        <w:spacing w:after="0" w:line="260" w:lineRule="auto"/>
        <w:tabs>
          <w:tab w:leader="none" w:pos="55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offered IHOP franchisees the opportunity to defer their royalty, advertising, equipment rent and sublease rent payments, primarily amounts due for the months of March and April 2020. Initially, 193 franchisees representing 58% of IHOP restaurants deferred payments totaling $24.1 million. Including subsequent deferrals made on a case-by case basis, the deferral program totaled $28.5 million. Repayment of deferred amounts, scheduled over up to 36 weeks, began in the third quarter of 2020. In certain instances, repayments were temporarily paused for up to 60 days. As of March 31, 2021, the outstanding balance of these deferrals was $9.6 million, with approximately $6.8 million collected during the three months ended March 31, 2021. A total of 73 franchisees have repaid their deferred balances in full.</w:t>
      </w:r>
    </w:p>
    <w:p>
      <w:pPr>
        <w:spacing w:after="0" w:line="1" w:lineRule="exact"/>
        <w:rPr>
          <w:rFonts w:ascii="Arial" w:cs="Arial" w:eastAsia="Arial" w:hAnsi="Arial"/>
          <w:sz w:val="17"/>
          <w:szCs w:val="17"/>
          <w:color w:val="auto"/>
        </w:rPr>
      </w:pPr>
    </w:p>
    <w:p>
      <w:pPr>
        <w:ind w:left="560" w:right="160" w:hanging="316"/>
        <w:spacing w:after="0" w:line="231" w:lineRule="auto"/>
        <w:tabs>
          <w:tab w:leader="none" w:pos="55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received rent deferrals and abatements on properties we lease of approximately $11 million during fiscal 2020, primarily related to rent deferrals for properties on which IHOP restaurants are located. As of March 31, 2021, the deferred rent balance of those deferrals was $2.4 million, with approximately $2.5 million paid during the three months ended March 31, 2021.</w:t>
      </w:r>
    </w:p>
    <w:p>
      <w:pPr>
        <w:spacing w:after="0" w:line="1" w:lineRule="exact"/>
        <w:rPr>
          <w:rFonts w:ascii="Arial" w:cs="Arial" w:eastAsia="Arial" w:hAnsi="Arial"/>
          <w:sz w:val="18"/>
          <w:szCs w:val="18"/>
          <w:color w:val="auto"/>
        </w:rPr>
      </w:pPr>
    </w:p>
    <w:p>
      <w:pPr>
        <w:ind w:left="560" w:right="140" w:hanging="316"/>
        <w:spacing w:after="0" w:line="232" w:lineRule="auto"/>
        <w:tabs>
          <w:tab w:leader="none" w:pos="55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suspended our repurchasing of common stock after the first quarter of 2020. Our Board of Directors did not declare a dividend for the second, third and fourth quarters of 2020 and has decided not to declare a dividend for the first quarter of 2021. 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 We will continue to evaluate our capital allocation strategy as industry conditions improve.</w:t>
      </w:r>
    </w:p>
    <w:p>
      <w:pPr>
        <w:spacing w:after="0" w:line="218" w:lineRule="exact"/>
        <w:rPr>
          <w:sz w:val="20"/>
          <w:szCs w:val="20"/>
          <w:color w:val="auto"/>
        </w:rPr>
      </w:pPr>
    </w:p>
    <w:p>
      <w:pPr>
        <w:ind w:right="120" w:firstLine="318"/>
        <w:spacing w:after="0" w:line="235" w:lineRule="auto"/>
        <w:rPr>
          <w:sz w:val="20"/>
          <w:szCs w:val="20"/>
          <w:color w:val="auto"/>
        </w:rPr>
      </w:pPr>
      <w:r>
        <w:rPr>
          <w:rFonts w:ascii="Arial" w:cs="Arial" w:eastAsia="Arial" w:hAnsi="Arial"/>
          <w:sz w:val="18"/>
          <w:szCs w:val="18"/>
          <w:color w:val="auto"/>
        </w:rPr>
        <w:t>We have experienced a number of temporary and permanent closures of our restaurants during the COVID-19 pandemic. These closures occurred for a variety of reasons, and all closures were not necessarily related to the impact of the COVID-19 pandemic or related restrictions. We cannot predict how long the COVID-19 pandemic and its impact on our operations will last, whether or when recurrences of the virus and variants of the virus may arise, the availability and acceptance of vaccines, what restrictions on in-restaurant dining may be imposed or re-imposed, the timing and extent of customer re-engagement with our brands and, in general, what the short- and long-term impact on consumer discretionary spending the COVID-19 pandemic might have on our operations and the restaurant industry as a whole.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16"/>
                <w:szCs w:val="16"/>
                <w:color w:val="auto"/>
              </w:rPr>
            </w:pPr>
          </w:p>
        </w:tc>
        <w:tc>
          <w:tcPr>
            <w:tcW w:w="118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Favorable</w:t>
            </w:r>
          </w:p>
        </w:tc>
      </w:tr>
      <w:tr>
        <w:trPr>
          <w:trHeight w:val="53"/>
        </w:trPr>
        <w:tc>
          <w:tcPr>
            <w:tcW w:w="71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jc w:val="center"/>
              <w:ind w:right="103"/>
              <w:spacing w:after="0" w:line="53" w:lineRule="exact"/>
              <w:rPr>
                <w:sz w:val="20"/>
                <w:szCs w:val="20"/>
                <w:color w:val="auto"/>
              </w:rPr>
            </w:pPr>
            <w:r>
              <w:rPr>
                <w:rFonts w:ascii="Arial" w:cs="Arial" w:eastAsia="Arial" w:hAnsi="Arial"/>
                <w:sz w:val="6"/>
                <w:szCs w:val="6"/>
                <w:b w:val="1"/>
                <w:bCs w:val="1"/>
                <w:color w:val="auto"/>
              </w:rPr>
              <w:t>(Unfavorable)</w:t>
            </w:r>
          </w:p>
        </w:tc>
      </w:tr>
      <w:tr>
        <w:trPr>
          <w:trHeight w:val="204"/>
        </w:trPr>
        <w:tc>
          <w:tcPr>
            <w:tcW w:w="7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9"/>
              </w:rPr>
              <w:t>Variance</w:t>
            </w:r>
          </w:p>
        </w:tc>
      </w:tr>
      <w:tr>
        <w:trPr>
          <w:trHeight w:val="254"/>
        </w:trPr>
        <w:tc>
          <w:tcPr>
            <w:tcW w:w="7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20" w:type="dxa"/>
            <w:vAlign w:val="bottom"/>
            <w:gridSpan w:val="7"/>
          </w:tcPr>
          <w:p>
            <w:pPr>
              <w:jc w:val="right"/>
              <w:ind w:right="923"/>
              <w:spacing w:after="0"/>
              <w:rPr>
                <w:sz w:val="20"/>
                <w:szCs w:val="20"/>
                <w:color w:val="auto"/>
              </w:rPr>
            </w:pPr>
            <w:r>
              <w:rPr>
                <w:rFonts w:ascii="Arial" w:cs="Arial" w:eastAsia="Arial" w:hAnsi="Arial"/>
                <w:sz w:val="14"/>
                <w:szCs w:val="14"/>
                <w:b w:val="1"/>
                <w:bCs w:val="1"/>
                <w:color w:val="auto"/>
              </w:rPr>
              <w:t>(In millions, except per share data)</w:t>
            </w:r>
          </w:p>
        </w:tc>
      </w:tr>
      <w:tr>
        <w:trPr>
          <w:trHeight w:val="23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(5.1)</w:t>
            </w:r>
          </w:p>
        </w:tc>
      </w:tr>
      <w:tr>
        <w:trPr>
          <w:trHeight w:val="225"/>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color w:val="auto"/>
              </w:rPr>
              <w:t>8.3</w:t>
            </w:r>
          </w:p>
        </w:tc>
      </w:tr>
      <w:tr>
        <w:trPr>
          <w:trHeight w:val="218"/>
        </w:trPr>
        <w:tc>
          <w:tcPr>
            <w:tcW w:w="714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6"/>
              <w:spacing w:after="0" w:line="193" w:lineRule="exact"/>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line="19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380"/>
              <w:spacing w:after="0" w:line="193" w:lineRule="exact"/>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3"/>
              <w:spacing w:after="0" w:line="193" w:lineRule="exact"/>
              <w:rPr>
                <w:sz w:val="20"/>
                <w:szCs w:val="20"/>
                <w:color w:val="auto"/>
              </w:rPr>
            </w:pPr>
            <w:r>
              <w:rPr>
                <w:rFonts w:ascii="Arial" w:cs="Arial" w:eastAsia="Arial" w:hAnsi="Arial"/>
                <w:sz w:val="18"/>
                <w:szCs w:val="18"/>
                <w:color w:val="auto"/>
              </w:rPr>
              <w:t>3.3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7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23.2 %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29.8 %</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7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diluted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8"/>
                <w:szCs w:val="18"/>
                <w:color w:val="auto"/>
              </w:rPr>
              <w:t>0.20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1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03"/>
              <w:spacing w:after="0" w:line="158" w:lineRule="exact"/>
              <w:rPr>
                <w:sz w:val="20"/>
                <w:szCs w:val="20"/>
                <w:color w:val="auto"/>
              </w:rPr>
            </w:pPr>
            <w:r>
              <w:rPr>
                <w:rFonts w:ascii="Arial" w:cs="Arial" w:eastAsia="Arial" w:hAnsi="Arial"/>
                <w:sz w:val="14"/>
                <w:szCs w:val="14"/>
                <w:b w:val="1"/>
                <w:bCs w:val="1"/>
                <w:color w:val="auto"/>
                <w:w w:val="92"/>
              </w:rPr>
              <w:t>% increase</w:t>
            </w:r>
          </w:p>
        </w:tc>
      </w:tr>
      <w:tr>
        <w:trPr>
          <w:trHeight w:val="24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The tax benefit recognized for the three months ended March 31, 2021 primarily was due to the one-time recognition of excess tax benefits on stock-based compensation related to the departure of our previous chief executive officer.</w:t>
      </w:r>
    </w:p>
    <w:p>
      <w:pPr>
        <w:spacing w:after="0" w:line="207" w:lineRule="exact"/>
        <w:rPr>
          <w:sz w:val="20"/>
          <w:szCs w:val="20"/>
          <w:color w:val="auto"/>
        </w:rPr>
      </w:pPr>
    </w:p>
    <w:p>
      <w:pPr>
        <w:ind w:right="260" w:firstLine="318"/>
        <w:spacing w:after="0" w:line="262" w:lineRule="auto"/>
        <w:rPr>
          <w:sz w:val="20"/>
          <w:szCs w:val="20"/>
          <w:color w:val="auto"/>
        </w:rPr>
      </w:pPr>
      <w:r>
        <w:rPr>
          <w:rFonts w:ascii="Arial" w:cs="Arial" w:eastAsia="Arial" w:hAnsi="Arial"/>
          <w:sz w:val="18"/>
          <w:szCs w:val="18"/>
          <w:color w:val="auto"/>
        </w:rPr>
        <w:t>The following table highlights the primary components of the decrease in our income before income taxes for the three months ended March 31, 2021, compared to our income before income taxes from the same period of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Applebee's franchise operations</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IHOP franchise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Company restaurant operations</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Rental and financing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51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increase in gross profit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Closure and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Increase in G&amp;A expenses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and expense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Decrease in income before income taxes</w:t>
      </w:r>
    </w:p>
    <w:p>
      <w:pPr>
        <w:spacing w:after="0" w:line="20" w:lineRule="exact"/>
        <w:rPr>
          <w:sz w:val="20"/>
          <w:szCs w:val="20"/>
          <w:color w:val="auto"/>
        </w:rPr>
      </w:pPr>
      <w:r>
        <w:rPr>
          <w:sz w:val="20"/>
          <w:szCs w:val="20"/>
          <w:color w:val="auto"/>
        </w:rPr>
        <w:br w:type="column"/>
      </w:r>
    </w:p>
    <w:p>
      <w:pPr>
        <w:jc w:val="center"/>
        <w:ind w:right="117"/>
        <w:spacing w:after="0" w:line="223" w:lineRule="auto"/>
        <w:rPr>
          <w:sz w:val="20"/>
          <w:szCs w:val="20"/>
          <w:color w:val="auto"/>
        </w:rPr>
      </w:pPr>
      <w:r>
        <w:rPr>
          <w:rFonts w:ascii="Arial" w:cs="Arial" w:eastAsia="Arial" w:hAnsi="Arial"/>
          <w:sz w:val="14"/>
          <w:szCs w:val="14"/>
          <w:b w:val="1"/>
          <w:bCs w:val="1"/>
          <w:color w:val="auto"/>
        </w:rPr>
        <w:t>Favorable</w:t>
      </w:r>
    </w:p>
    <w:p>
      <w:pPr>
        <w:spacing w:after="0" w:line="1" w:lineRule="exact"/>
        <w:rPr>
          <w:sz w:val="20"/>
          <w:szCs w:val="20"/>
          <w:color w:val="auto"/>
        </w:rPr>
      </w:pPr>
    </w:p>
    <w:p>
      <w:pPr>
        <w:jc w:val="center"/>
        <w:ind w:right="117"/>
        <w:spacing w:after="0"/>
        <w:rPr>
          <w:sz w:val="20"/>
          <w:szCs w:val="20"/>
          <w:color w:val="auto"/>
        </w:rPr>
      </w:pPr>
      <w:r>
        <w:rPr>
          <w:rFonts w:ascii="Arial" w:cs="Arial" w:eastAsia="Arial" w:hAnsi="Arial"/>
          <w:sz w:val="14"/>
          <w:szCs w:val="14"/>
          <w:b w:val="1"/>
          <w:bCs w:val="1"/>
          <w:color w:val="auto"/>
        </w:rPr>
        <w:t>(Unfavorable) 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11430</wp:posOffset>
            </wp:positionV>
            <wp:extent cx="11607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2" w:lineRule="exact"/>
        <w:rPr>
          <w:sz w:val="20"/>
          <w:szCs w:val="20"/>
          <w:color w:val="auto"/>
        </w:rPr>
      </w:pPr>
    </w:p>
    <w:p>
      <w:pPr>
        <w:ind w:left="423"/>
        <w:spacing w:after="0"/>
        <w:rPr>
          <w:sz w:val="20"/>
          <w:szCs w:val="20"/>
          <w:color w:val="auto"/>
        </w:rPr>
      </w:pPr>
      <w:r>
        <w:rPr>
          <w:rFonts w:ascii="Arial" w:cs="Arial" w:eastAsia="Arial" w:hAnsi="Arial"/>
          <w:sz w:val="14"/>
          <w:szCs w:val="14"/>
          <w:b w:val="1"/>
          <w:bCs w:val="1"/>
          <w:color w:val="auto"/>
        </w:rPr>
        <w:t>(In millions)</w:t>
      </w:r>
    </w:p>
    <w:p>
      <w:pPr>
        <w:spacing w:after="0" w:line="260" w:lineRule="exact"/>
        <w:rPr>
          <w:sz w:val="20"/>
          <w:szCs w:val="20"/>
          <w:color w:val="auto"/>
        </w:rPr>
      </w:pPr>
    </w:p>
    <w:tbl>
      <w:tblPr>
        <w:tblLayout w:type="fixed"/>
        <w:tblInd w:w="3" w:type="dxa"/>
        <w:tblCellMar>
          <w:top w:w="0" w:type="dxa"/>
          <w:left w:w="0" w:type="dxa"/>
          <w:bottom w:w="0" w:type="dxa"/>
          <w:right w:w="0" w:type="dxa"/>
        </w:tblCellMar>
      </w:tblPr>
      <w:tr>
        <w:trPr>
          <w:trHeight w:val="223"/>
        </w:trPr>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(0.6)</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w:t>
      </w:r>
    </w:p>
    <w:p>
      <w:pPr>
        <w:spacing w:after="0" w:line="32" w:lineRule="exact"/>
        <w:rPr>
          <w:sz w:val="20"/>
          <w:szCs w:val="20"/>
          <w:color w:val="auto"/>
        </w:rPr>
      </w:pPr>
    </w:p>
    <w:p>
      <w:pPr>
        <w:ind w:left="1423"/>
        <w:spacing w:after="0"/>
        <w:rPr>
          <w:sz w:val="20"/>
          <w:szCs w:val="20"/>
          <w:color w:val="auto"/>
        </w:rPr>
      </w:pPr>
      <w:r>
        <w:rPr>
          <w:rFonts w:ascii="Arial" w:cs="Arial" w:eastAsia="Arial" w:hAnsi="Arial"/>
          <w:sz w:val="18"/>
          <w:szCs w:val="18"/>
          <w:color w:val="auto"/>
        </w:rPr>
        <w:t>0.9</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(2.3)</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w:t>
      </w:r>
    </w:p>
    <w:p>
      <w:pPr>
        <w:spacing w:after="0" w:line="32" w:lineRule="exact"/>
        <w:rPr>
          <w:sz w:val="20"/>
          <w:szCs w:val="20"/>
          <w:color w:val="auto"/>
        </w:rPr>
      </w:pPr>
    </w:p>
    <w:p>
      <w:pPr>
        <w:ind w:left="1343" w:hanging="1343"/>
        <w:spacing w:after="0"/>
        <w:tabs>
          <w:tab w:leader="none" w:pos="1343" w:val="left"/>
        </w:tabs>
        <w:numPr>
          <w:ilvl w:val="0"/>
          <w:numId w:val="10"/>
        </w:numPr>
        <w:rPr>
          <w:rFonts w:ascii="Arial" w:cs="Arial" w:eastAsia="Arial" w:hAnsi="Arial"/>
          <w:sz w:val="15"/>
          <w:szCs w:val="15"/>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58420</wp:posOffset>
            </wp:positionV>
            <wp:extent cx="1093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817" w:space="720"/>
            <w:col w:w="1703"/>
          </w:cols>
          <w:pgMar w:left="320" w:top="121" w:right="339" w:bottom="1440" w:gutter="0" w:footer="0" w:header="0"/>
          <w:type w:val="continuous"/>
        </w:sectPr>
      </w:pPr>
    </w:p>
    <w:p>
      <w:pPr>
        <w:spacing w:after="0" w:line="211" w:lineRule="exact"/>
        <w:rPr>
          <w:sz w:val="20"/>
          <w:szCs w:val="20"/>
          <w:color w:val="auto"/>
        </w:rPr>
      </w:pPr>
    </w:p>
    <w:p>
      <w:pPr>
        <w:ind w:right="40" w:firstLine="318"/>
        <w:spacing w:after="0" w:line="239" w:lineRule="auto"/>
        <w:rPr>
          <w:sz w:val="20"/>
          <w:szCs w:val="20"/>
          <w:color w:val="auto"/>
        </w:rPr>
      </w:pPr>
      <w:r>
        <w:rPr>
          <w:rFonts w:ascii="Arial" w:cs="Arial" w:eastAsia="Arial" w:hAnsi="Arial"/>
          <w:sz w:val="18"/>
          <w:szCs w:val="18"/>
          <w:color w:val="auto"/>
        </w:rPr>
        <w:t>We recognized closure and impairment charges of $2.0 million during the three months ended March 31, 2021, primarily $1.9 million related to establishment of or revision to closure reserves for approximately 35 IHOP properties, as well as a $0.1 million impairment to one IHOP property. There were no similar charges during the three months ended March 31, 2020.</w:t>
      </w:r>
    </w:p>
    <w:p>
      <w:pPr>
        <w:spacing w:after="0" w:line="216"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“Consolidated Results of Operations - Comparison of</w:t>
      </w:r>
      <w:r>
        <w:rPr>
          <w:rFonts w:ascii="Arial" w:cs="Arial" w:eastAsia="Arial" w:hAnsi="Arial"/>
          <w:sz w:val="18"/>
          <w:szCs w:val="18"/>
          <w:color w:val="auto"/>
        </w:rPr>
        <w:t xml:space="preserve"> the </w:t>
      </w:r>
      <w:r>
        <w:rPr>
          <w:rFonts w:ascii="Arial" w:cs="Arial" w:eastAsia="Arial" w:hAnsi="Arial"/>
          <w:sz w:val="18"/>
          <w:szCs w:val="18"/>
          <w:i w:val="1"/>
          <w:iCs w:val="1"/>
          <w:color w:val="auto"/>
        </w:rPr>
        <w:t>Three Months ended March 31, 2021 and March 31, 2020”</w:t>
      </w:r>
      <w:r>
        <w:rPr>
          <w:rFonts w:ascii="Arial" w:cs="Arial" w:eastAsia="Arial" w:hAnsi="Arial"/>
          <w:sz w:val="18"/>
          <w:szCs w:val="18"/>
          <w:color w:val="auto"/>
        </w:rPr>
        <w:t xml:space="preserve"> for additional discussion of the changes shown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3"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Our key performance indicators for the three months ended March 31, 2021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Average Weekly Unit Sales</w:t>
            </w:r>
          </w:p>
        </w:tc>
        <w:tc>
          <w:tcPr>
            <w:tcW w:w="236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212"/>
        </w:trPr>
        <w:tc>
          <w:tcPr>
            <w:tcW w:w="8880" w:type="dxa"/>
            <w:vAlign w:val="bottom"/>
            <w:vMerge w:val="continue"/>
          </w:tcPr>
          <w:p>
            <w:pPr>
              <w:spacing w:after="0"/>
              <w:rPr>
                <w:sz w:val="18"/>
                <w:szCs w:val="18"/>
                <w:color w:val="auto"/>
              </w:rPr>
            </w:pPr>
          </w:p>
        </w:tc>
        <w:tc>
          <w:tcPr>
            <w:tcW w:w="1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560"/>
              <w:spacing w:after="0" w:line="166" w:lineRule="exact"/>
              <w:rPr>
                <w:sz w:val="20"/>
                <w:szCs w:val="20"/>
                <w:color w:val="auto"/>
              </w:rPr>
            </w:pPr>
            <w:r>
              <w:rPr>
                <w:rFonts w:ascii="Arial" w:cs="Arial" w:eastAsia="Arial" w:hAnsi="Arial"/>
                <w:sz w:val="16"/>
                <w:szCs w:val="16"/>
                <w:b w:val="1"/>
                <w:bCs w:val="1"/>
                <w:color w:val="auto"/>
                <w:w w:val="84"/>
              </w:rPr>
              <w:t>Applebee's</w:t>
            </w:r>
          </w:p>
        </w:tc>
        <w:tc>
          <w:tcPr>
            <w:tcW w:w="820" w:type="dxa"/>
            <w:vAlign w:val="bottom"/>
            <w:gridSpan w:val="3"/>
          </w:tcPr>
          <w:p>
            <w:pPr>
              <w:jc w:val="right"/>
              <w:ind w:right="240"/>
              <w:spacing w:after="0" w:line="166" w:lineRule="exact"/>
              <w:rPr>
                <w:sz w:val="20"/>
                <w:szCs w:val="20"/>
                <w:color w:val="auto"/>
              </w:rPr>
            </w:pPr>
            <w:r>
              <w:rPr>
                <w:rFonts w:ascii="Arial" w:cs="Arial" w:eastAsia="Arial" w:hAnsi="Arial"/>
                <w:sz w:val="16"/>
                <w:szCs w:val="16"/>
                <w:b w:val="1"/>
                <w:bCs w:val="1"/>
                <w:color w:val="auto"/>
              </w:rPr>
              <w:t>IHOP</w:t>
            </w:r>
          </w:p>
        </w:tc>
        <w:tc>
          <w:tcPr>
            <w:tcW w:w="0" w:type="dxa"/>
            <w:vAlign w:val="bottom"/>
          </w:tcPr>
          <w:p>
            <w:pPr>
              <w:spacing w:after="0"/>
              <w:rPr>
                <w:sz w:val="1"/>
                <w:szCs w:val="1"/>
                <w:color w:val="auto"/>
              </w:rPr>
            </w:pPr>
          </w:p>
        </w:tc>
      </w:tr>
      <w:tr>
        <w:trPr>
          <w:trHeight w:val="30"/>
        </w:trPr>
        <w:tc>
          <w:tcPr>
            <w:tcW w:w="8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percentage increase (decrease) in reported retail sales</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1.2 %</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5"/>
        </w:trPr>
        <w:tc>
          <w:tcPr>
            <w:tcW w:w="8880" w:type="dxa"/>
            <w:vAlign w:val="bottom"/>
          </w:tcPr>
          <w:p>
            <w:pPr>
              <w:ind w:left="20"/>
              <w:spacing w:after="0"/>
              <w:rPr>
                <w:sz w:val="20"/>
                <w:szCs w:val="20"/>
                <w:color w:val="auto"/>
              </w:rPr>
            </w:pPr>
            <w:r>
              <w:rPr>
                <w:rFonts w:ascii="Arial" w:cs="Arial" w:eastAsia="Arial" w:hAnsi="Arial"/>
                <w:sz w:val="18"/>
                <w:szCs w:val="18"/>
                <w:color w:val="auto"/>
              </w:rPr>
              <w:t>% increase (decrease) in domestic system-wide same-restaurant sales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11.9 %</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franchise restaurant reduction </w:t>
            </w:r>
            <w:r>
              <w:rPr>
                <w:rFonts w:ascii="Arial" w:cs="Arial" w:eastAsia="Arial" w:hAnsi="Arial"/>
                <w:sz w:val="10"/>
                <w:szCs w:val="10"/>
                <w:color w:val="auto"/>
              </w:rPr>
              <w:t>(1)</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0"/>
        </w:trPr>
        <w:tc>
          <w:tcPr>
            <w:tcW w:w="8880" w:type="dxa"/>
            <w:vAlign w:val="bottom"/>
          </w:tcPr>
          <w:p>
            <w:pPr>
              <w:ind w:left="20"/>
              <w:spacing w:after="0"/>
              <w:rPr>
                <w:sz w:val="20"/>
                <w:szCs w:val="20"/>
                <w:color w:val="auto"/>
              </w:rPr>
            </w:pPr>
            <w:r>
              <w:rPr>
                <w:rFonts w:ascii="Arial" w:cs="Arial" w:eastAsia="Arial" w:hAnsi="Arial"/>
                <w:sz w:val="18"/>
                <w:szCs w:val="18"/>
                <w:color w:val="auto"/>
              </w:rPr>
              <w:t xml:space="preserve">Net decrease in total effective restaurants </w:t>
            </w:r>
            <w:r>
              <w:rPr>
                <w:rFonts w:ascii="Arial" w:cs="Arial" w:eastAsia="Arial" w:hAnsi="Arial"/>
                <w:sz w:val="22"/>
                <w:szCs w:val="22"/>
                <w:color w:val="auto"/>
                <w:vertAlign w:val="superscript"/>
              </w:rPr>
              <w:t>(2)</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(69)</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spacing w:after="0" w:line="162" w:lineRule="exact"/>
        <w:rPr>
          <w:sz w:val="20"/>
          <w:szCs w:val="20"/>
          <w:color w:val="auto"/>
        </w:rPr>
      </w:pPr>
    </w:p>
    <w:p>
      <w:pPr>
        <w:ind w:left="160" w:hanging="154"/>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Franchise and area license restaurant closings, net of openings, during the three months ended March 31, 2021.</w:t>
      </w:r>
    </w:p>
    <w:p>
      <w:pPr>
        <w:ind w:left="160" w:right="400" w:hanging="154"/>
        <w:spacing w:after="0" w:line="216" w:lineRule="auto"/>
        <w:tabs>
          <w:tab w:leader="none" w:pos="152" w:val="left"/>
        </w:tabs>
        <w:numPr>
          <w:ilvl w:val="0"/>
          <w:numId w:val="11"/>
        </w:numPr>
        <w:rPr>
          <w:rFonts w:ascii="Arial" w:cs="Arial" w:eastAsia="Arial" w:hAnsi="Arial"/>
          <w:sz w:val="17"/>
          <w:szCs w:val="17"/>
          <w:color w:val="auto"/>
          <w:vertAlign w:val="superscript"/>
        </w:rPr>
      </w:pPr>
      <w:r>
        <w:rPr>
          <w:rFonts w:ascii="Arial" w:cs="Arial" w:eastAsia="Arial" w:hAnsi="Arial"/>
          <w:sz w:val="12"/>
          <w:szCs w:val="12"/>
          <w:color w:val="auto"/>
        </w:rPr>
        <w:t>Change in the weighted average number of franchise, area license and company-operated restaurants open during the three months ended March 31, 2021, compared to the weighted average number of those open during the same period of 2020.</w:t>
      </w:r>
    </w:p>
    <w:p>
      <w:pPr>
        <w:spacing w:after="0" w:line="200" w:lineRule="exact"/>
        <w:rPr>
          <w:sz w:val="20"/>
          <w:szCs w:val="20"/>
          <w:color w:val="auto"/>
        </w:rPr>
      </w:pPr>
    </w:p>
    <w:p>
      <w:pPr>
        <w:spacing w:after="0" w:line="249"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The changes in sales percentage and domestic same-restaurant sales of both brands were impacted by the varying degrees of restrictions on in-restaurant dining in effect during each period. Restrictions were first initiated in early March of 2020 by federal, state, local and international governments in response to the declaration of the COVID-19 pandemic. As a result, for the first 10 weeks of the 2020 first quarter, our restaurants operated without restriction, but during the last three weeks of that quarter, in-restaurant dining was essentially eliminated as most of our restaurants were either limited only to off-premise sales or were temporarily closed. For all 13 weeks of the 2021 first quarter, most of our restaurants were open for in-restaurant dining, however, the majority of restaurants that were open were operating with some degree of capacity limitation. Additionally, the calculation of the percentage change in domestic same-restaurant sales was also impacted by a shift in the weeks of comparison because of a 53rd week in fiscal 2020.</w:t>
      </w:r>
    </w:p>
    <w:p>
      <w:pPr>
        <w:spacing w:after="0" w:line="183"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In light of the distortive effects of both the pandemic and a 53rd week in fiscal 2020 on the key performance indicators as noted above, we believe a comparison of average weekly unit sales, a function of reported retail sales and the number of effective restaurants, for the months of January, February and March of 2021 and 2020, provides additional insight into each brand's performance during the three months ended March 31, 2021 as compared to the same period of the prior year:</w:t>
      </w:r>
    </w:p>
    <w:p>
      <w:pPr>
        <w:spacing w:after="0" w:line="255"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20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w w:val="87"/>
              </w:rPr>
              <w:t>Applebee's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IHOP</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vMerge w:val="restart"/>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3"/>
                <w:szCs w:val="13"/>
                <w:color w:val="auto"/>
              </w:rPr>
            </w:pPr>
          </w:p>
        </w:tc>
        <w:tc>
          <w:tcPr>
            <w:tcW w:w="1080" w:type="dxa"/>
            <w:vAlign w:val="bottom"/>
            <w:vMerge w:val="restart"/>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3"/>
                <w:szCs w:val="13"/>
                <w:color w:val="auto"/>
              </w:rPr>
            </w:pPr>
          </w:p>
        </w:tc>
        <w:tc>
          <w:tcPr>
            <w:tcW w:w="880" w:type="dxa"/>
            <w:vAlign w:val="bottom"/>
          </w:tcPr>
          <w:p>
            <w:pPr>
              <w:jc w:val="right"/>
              <w:ind w:right="153"/>
              <w:spacing w:after="0" w:line="155" w:lineRule="exact"/>
              <w:rPr>
                <w:sz w:val="20"/>
                <w:szCs w:val="20"/>
                <w:color w:val="auto"/>
              </w:rPr>
            </w:pPr>
            <w:r>
              <w:rPr>
                <w:rFonts w:ascii="Arial" w:cs="Arial" w:eastAsia="Arial" w:hAnsi="Arial"/>
                <w:sz w:val="16"/>
                <w:szCs w:val="16"/>
                <w:b w:val="1"/>
                <w:bCs w:val="1"/>
                <w:color w:val="auto"/>
                <w:w w:val="95"/>
              </w:rPr>
              <w:t>Increase</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13"/>
                <w:szCs w:val="13"/>
                <w:color w:val="auto"/>
              </w:rPr>
            </w:pPr>
          </w:p>
        </w:tc>
        <w:tc>
          <w:tcPr>
            <w:tcW w:w="980" w:type="dxa"/>
            <w:vAlign w:val="bottom"/>
            <w:vMerge w:val="restart"/>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3"/>
                <w:szCs w:val="13"/>
                <w:color w:val="auto"/>
              </w:rPr>
            </w:pPr>
          </w:p>
        </w:tc>
        <w:tc>
          <w:tcPr>
            <w:tcW w:w="900" w:type="dxa"/>
            <w:vAlign w:val="bottom"/>
          </w:tcPr>
          <w:p>
            <w:pPr>
              <w:jc w:val="right"/>
              <w:ind w:right="174"/>
              <w:spacing w:after="0" w:line="155" w:lineRule="exact"/>
              <w:rPr>
                <w:sz w:val="20"/>
                <w:szCs w:val="20"/>
                <w:color w:val="auto"/>
              </w:rPr>
            </w:pPr>
            <w:r>
              <w:rPr>
                <w:rFonts w:ascii="Arial" w:cs="Arial" w:eastAsia="Arial" w:hAnsi="Arial"/>
                <w:sz w:val="16"/>
                <w:szCs w:val="16"/>
                <w:b w:val="1"/>
                <w:bCs w:val="1"/>
                <w:color w:val="auto"/>
                <w:w w:val="95"/>
              </w:rPr>
              <w:t>Increase</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(decrease)</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January</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39.5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49.8</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24.8</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36.1</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5"/>
        </w:trPr>
        <w:tc>
          <w:tcPr>
            <w:tcW w:w="2000" w:type="dxa"/>
            <w:vAlign w:val="bottom"/>
          </w:tcPr>
          <w:p>
            <w:pPr>
              <w:ind w:left="340"/>
              <w:spacing w:after="0"/>
              <w:rPr>
                <w:sz w:val="20"/>
                <w:szCs w:val="20"/>
                <w:color w:val="auto"/>
              </w:rPr>
            </w:pPr>
            <w:r>
              <w:rPr>
                <w:rFonts w:ascii="Arial" w:cs="Arial" w:eastAsia="Arial" w:hAnsi="Arial"/>
                <w:sz w:val="18"/>
                <w:szCs w:val="18"/>
                <w:color w:val="auto"/>
              </w:rPr>
              <w:t>February</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43.5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49.7</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27.4</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35.0</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54.3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35.1</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35.1</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25.4</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color w:val="auto"/>
        </w:rPr>
        <w:t>The decrease in total effective restaurants for each brand reflects both permanent closures, net of openings, over the past 12 months as well as the weighted effect of restaurants temporarily closed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166370</wp:posOffset>
            </wp:positionV>
            <wp:extent cx="5048250" cy="2524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48250"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firstLine="159"/>
        <w:spacing w:after="0" w:line="248" w:lineRule="auto"/>
        <w:rPr>
          <w:sz w:val="20"/>
          <w:szCs w:val="20"/>
          <w:color w:val="auto"/>
        </w:rPr>
      </w:pPr>
      <w:r>
        <w:rPr>
          <w:rFonts w:ascii="Arial" w:cs="Arial" w:eastAsia="Arial" w:hAnsi="Arial"/>
          <w:sz w:val="18"/>
          <w:szCs w:val="18"/>
          <w:color w:val="auto"/>
        </w:rPr>
        <w:t>Applebee’s system-wide domestic same-restaurant sales increased 11.9% for the three months ended March 31, 2021 compared to the three months ended March 31, 2020. The increase primarily was due to a substantial increase in average check partially offset by a decline in customer traffic. The increase in average check was primarily due to favorable mix shifts related to a reduction in core menu items, successful promotional offerings and a larger number of items purchased with off-premise orders. We believe the distribution of the latest round of government stimulus checks that began in March 2021 favorably impacted consumer spending behavior as well.</w:t>
      </w:r>
    </w:p>
    <w:p>
      <w:pPr>
        <w:spacing w:after="0" w:line="2" w:lineRule="exact"/>
        <w:rPr>
          <w:sz w:val="20"/>
          <w:szCs w:val="20"/>
          <w:color w:val="auto"/>
        </w:rPr>
      </w:pPr>
    </w:p>
    <w:p>
      <w:pPr>
        <w:ind w:left="160" w:right="40" w:firstLine="238"/>
        <w:spacing w:after="0" w:line="233" w:lineRule="auto"/>
        <w:rPr>
          <w:sz w:val="20"/>
          <w:szCs w:val="20"/>
          <w:color w:val="auto"/>
        </w:rPr>
      </w:pPr>
      <w:r>
        <w:rPr>
          <w:rFonts w:ascii="Arial" w:cs="Arial" w:eastAsia="Arial" w:hAnsi="Arial"/>
          <w:sz w:val="18"/>
          <w:szCs w:val="18"/>
          <w:color w:val="auto"/>
        </w:rPr>
        <w:t>Based on data from Black Box Intelligence, a restaurant sales reporting firm (“Black Box”), Applebee's increase in same-restaurant sales for the three months ended March 31, 2021 outperformed the casual dining segment of the restaurant industry (excluding Applebee's) during that same period. During the three months ended March 31, 2021, the casual dining segment also experienced an increase in same-restaurant sales that was due to an increase in average check and an increase in customer traffic. Applebee's increase in average check for the three months ended March 31, 2021 was significantly larger than that of the casual dining segment.</w:t>
      </w:r>
    </w:p>
    <w:p>
      <w:pPr>
        <w:spacing w:after="0" w:line="216" w:lineRule="exact"/>
        <w:rPr>
          <w:sz w:val="20"/>
          <w:szCs w:val="20"/>
          <w:color w:val="auto"/>
        </w:rPr>
      </w:pPr>
    </w:p>
    <w:p>
      <w:pPr>
        <w:ind w:left="160" w:right="340" w:firstLine="159"/>
        <w:spacing w:after="0" w:line="264" w:lineRule="auto"/>
        <w:rPr>
          <w:sz w:val="20"/>
          <w:szCs w:val="20"/>
          <w:color w:val="auto"/>
        </w:rPr>
      </w:pPr>
      <w:r>
        <w:rPr>
          <w:rFonts w:ascii="Arial" w:cs="Arial" w:eastAsia="Arial" w:hAnsi="Arial"/>
          <w:sz w:val="18"/>
          <w:szCs w:val="18"/>
          <w:color w:val="auto"/>
        </w:rPr>
        <w:t>Off-premise sales totaled approximately $344 million and comprised 36.7% of sales mix for the three months ended March 31, 2021, as compared to approximately $153 million of sales comprising 16.3% of sales mix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414020</wp:posOffset>
            </wp:positionV>
            <wp:extent cx="5157470" cy="257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57470"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firstLine="318"/>
        <w:spacing w:after="0" w:line="281" w:lineRule="auto"/>
        <w:rPr>
          <w:sz w:val="20"/>
          <w:szCs w:val="20"/>
          <w:color w:val="auto"/>
        </w:rPr>
      </w:pPr>
      <w:r>
        <w:rPr>
          <w:rFonts w:ascii="Arial" w:cs="Arial" w:eastAsia="Arial" w:hAnsi="Arial"/>
          <w:sz w:val="15"/>
          <w:szCs w:val="15"/>
          <w:color w:val="auto"/>
        </w:rPr>
        <w:t>IHOP's system-wide domestic same-restaurant sales decreased 0.9% for the three months ended March 31, 2021 compared to the three months ended March 31, 2020. The decrease was due to a decline in customer traffic that was nearly offset by an increase in average check. The increase in average check was primarily due to consumer spending generally as well as increases in both menu prices and delivery prices. We believe the distribution of the latest round of government stimulus checks that began in March 2021 favorably impacted consumer spending behavior.</w:t>
      </w:r>
    </w:p>
    <w:p>
      <w:pPr>
        <w:spacing w:after="0" w:line="1" w:lineRule="exact"/>
        <w:rPr>
          <w:sz w:val="20"/>
          <w:szCs w:val="20"/>
          <w:color w:val="auto"/>
        </w:rPr>
      </w:pPr>
    </w:p>
    <w:p>
      <w:pPr>
        <w:ind w:right="100" w:firstLine="318"/>
        <w:spacing w:after="0" w:line="249" w:lineRule="auto"/>
        <w:rPr>
          <w:sz w:val="20"/>
          <w:szCs w:val="20"/>
          <w:color w:val="auto"/>
        </w:rPr>
      </w:pPr>
      <w:r>
        <w:rPr>
          <w:rFonts w:ascii="Arial" w:cs="Arial" w:eastAsia="Arial" w:hAnsi="Arial"/>
          <w:sz w:val="17"/>
          <w:szCs w:val="17"/>
          <w:color w:val="auto"/>
        </w:rPr>
        <w:t>Based on data from Black Box, IHOP's decrease in same-restaurant sales for the three months ended March 31, 2021 outperformed the family dining segment of the restaurant industry (excluding IHOP) during that same period. During the three months ended March 31, 2021, the family dining segment experienced a decrease in same-restaurant sales that was due to a decrease in traffic that was partially offset by an increase in average check. IHOP's decrease in traffic for the three months ended March 31, 2021 was smaller than that of the family dining segment.</w:t>
      </w:r>
    </w:p>
    <w:p>
      <w:pPr>
        <w:spacing w:after="0" w:line="208"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Off-premise sales totaled approximately $183 million and comprised 33.3% of sales mix for the three months ended March 31, 2021, as compared to approximately $80 million of sales comprising 12.8% of sales mix for the three months ended March 31, 2020.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Data</w:t>
      </w:r>
    </w:p>
    <w:p>
      <w:pPr>
        <w:spacing w:after="0" w:line="197"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following table sets forth the number of “Effective Restaurants” in the Applebee’s and IHOP systems and information regarding the percentage change in sales at those restaurants compared to the same periods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w w:val="96"/>
              </w:rPr>
              <w:t>Three months ended March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Applebee's Restaurant Data</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20" w:type="dxa"/>
            <w:vAlign w:val="bottom"/>
            <w:tcBorders>
              <w:top w:val="single" w:sz="8" w:color="auto"/>
            </w:tcBorders>
            <w:gridSpan w:val="2"/>
          </w:tcPr>
          <w:p>
            <w:pPr>
              <w:spacing w:after="0" w:line="245" w:lineRule="exact"/>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2"/>
                <w:szCs w:val="22"/>
                <w:b w:val="1"/>
                <w:bCs w:val="1"/>
                <w:color w:val="auto"/>
                <w:vertAlign w:val="superscript"/>
              </w:rPr>
              <w:t>(a)</w:t>
            </w:r>
          </w:p>
        </w:tc>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Franchise</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Company</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7960" w:type="dxa"/>
            <w:vAlign w:val="bottom"/>
            <w:tcBorders>
              <w:bottom w:val="single" w:sz="8" w:color="CCEEFF"/>
            </w:tcBorders>
            <w:gridSpan w:val="3"/>
            <w:shd w:val="clear" w:color="auto" w:fill="CCEEFF"/>
          </w:tcPr>
          <w:p>
            <w:pPr>
              <w:ind w:left="440"/>
              <w:spacing w:after="0" w:line="193"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3"/>
              <w:spacing w:after="0" w:line="193" w:lineRule="exact"/>
              <w:rPr>
                <w:sz w:val="20"/>
                <w:szCs w:val="20"/>
                <w:color w:val="auto"/>
              </w:rPr>
            </w:pPr>
            <w:r>
              <w:rPr>
                <w:rFonts w:ascii="Arial" w:cs="Arial" w:eastAsia="Arial" w:hAnsi="Arial"/>
                <w:sz w:val="18"/>
                <w:szCs w:val="18"/>
                <w:b w:val="1"/>
                <w:bCs w:val="1"/>
                <w:color w:val="auto"/>
              </w:rPr>
              <w:t>1,697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2"/>
              <w:spacing w:after="0" w:line="193" w:lineRule="exact"/>
              <w:rPr>
                <w:sz w:val="20"/>
                <w:szCs w:val="20"/>
                <w:color w:val="auto"/>
              </w:rPr>
            </w:pPr>
            <w:r>
              <w:rPr>
                <w:rFonts w:ascii="Arial" w:cs="Arial" w:eastAsia="Arial" w:hAnsi="Arial"/>
                <w:sz w:val="18"/>
                <w:szCs w:val="18"/>
                <w:b w:val="1"/>
                <w:bCs w:val="1"/>
                <w:color w:val="auto"/>
              </w:rPr>
              <w:t>1,766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bottom w:val="single" w:sz="8" w:color="CCEEFF"/>
            </w:tcBorders>
            <w:gridSpan w:val="3"/>
            <w:vMerge w:val="restart"/>
          </w:tcPr>
          <w:p>
            <w:pPr>
              <w:spacing w:after="0" w:line="239"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2"/>
                <w:szCs w:val="22"/>
                <w:b w:val="1"/>
                <w:bCs w:val="1"/>
                <w:color w:val="auto"/>
                <w:vertAlign w:val="superscript"/>
              </w:rPr>
              <w:t>(b)</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2"/>
                <w:szCs w:val="22"/>
                <w:color w:val="auto"/>
                <w:vertAlign w:val="superscript"/>
              </w:rPr>
              <w:t>(c)</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gridSpan w:val="3"/>
          </w:tcPr>
          <w:p>
            <w:pPr>
              <w:ind w:left="200"/>
              <w:spacing w:after="0" w:line="217"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2"/>
                <w:szCs w:val="22"/>
                <w:color w:val="auto"/>
                <w:vertAlign w:val="superscript"/>
              </w:rPr>
              <w:t>(d)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60" w:type="dxa"/>
            <w:vAlign w:val="bottom"/>
            <w:gridSpan w:val="3"/>
          </w:tcPr>
          <w:p>
            <w:pPr>
              <w:spacing w:after="0" w:line="233"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2"/>
                <w:szCs w:val="22"/>
                <w:b w:val="1"/>
                <w:bCs w:val="1"/>
                <w:color w:val="auto"/>
                <w:vertAlign w:val="superscript"/>
              </w:rPr>
              <w:t>(b)</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2"/>
                <w:szCs w:val="22"/>
                <w:color w:val="auto"/>
                <w:vertAlign w:val="superscript"/>
              </w:rPr>
              <w:t>(c)</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60" w:type="dxa"/>
            <w:vAlign w:val="bottom"/>
            <w:gridSpan w:val="3"/>
          </w:tcPr>
          <w:p>
            <w:pPr>
              <w:ind w:left="200"/>
              <w:spacing w:after="0" w:line="225"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2"/>
                <w:szCs w:val="22"/>
                <w:color w:val="auto"/>
                <w:vertAlign w:val="superscript"/>
              </w:rPr>
              <w:t>(d)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Average weekly domestic unit sales (in thousands)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IHOP Restaurant Data</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960" w:type="dxa"/>
            <w:vAlign w:val="bottom"/>
            <w:gridSpan w:val="3"/>
          </w:tcPr>
          <w:p>
            <w:pPr>
              <w:spacing w:after="0" w:line="245" w:lineRule="exact"/>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2"/>
                <w:szCs w:val="22"/>
                <w:b w:val="1"/>
                <w:bCs w:val="1"/>
                <w:color w:val="auto"/>
                <w:vertAlign w:val="superscript"/>
              </w:rPr>
              <w:t>(a)</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Franchise</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Area license</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960" w:type="dxa"/>
            <w:vAlign w:val="bottom"/>
            <w:tcBorders>
              <w:bottom w:val="single" w:sz="8" w:color="CCEEFF"/>
            </w:tcBorders>
            <w:gridSpan w:val="3"/>
            <w:shd w:val="clear" w:color="auto" w:fill="CCEEFF"/>
          </w:tcPr>
          <w:p>
            <w:pPr>
              <w:ind w:left="440"/>
              <w:spacing w:after="0" w:line="193"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line="193" w:lineRule="exact"/>
              <w:rPr>
                <w:sz w:val="20"/>
                <w:szCs w:val="20"/>
                <w:color w:val="auto"/>
              </w:rPr>
            </w:pPr>
            <w:r>
              <w:rPr>
                <w:rFonts w:ascii="Arial" w:cs="Arial" w:eastAsia="Arial" w:hAnsi="Arial"/>
                <w:sz w:val="18"/>
                <w:szCs w:val="18"/>
                <w:b w:val="1"/>
                <w:bCs w:val="1"/>
                <w:color w:val="auto"/>
              </w:rPr>
              <w:t>1,720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line="193" w:lineRule="exact"/>
              <w:rPr>
                <w:sz w:val="20"/>
                <w:szCs w:val="20"/>
                <w:color w:val="auto"/>
              </w:rPr>
            </w:pPr>
            <w:r>
              <w:rPr>
                <w:rFonts w:ascii="Arial" w:cs="Arial" w:eastAsia="Arial" w:hAnsi="Arial"/>
                <w:sz w:val="18"/>
                <w:szCs w:val="18"/>
                <w:b w:val="1"/>
                <w:bCs w:val="1"/>
                <w:color w:val="auto"/>
              </w:rPr>
              <w:t>1,821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spacing w:after="0" w:line="225"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2"/>
                <w:szCs w:val="22"/>
                <w:b w:val="1"/>
                <w:bCs w:val="1"/>
                <w:color w:val="auto"/>
                <w:vertAlign w:val="superscript"/>
              </w:rPr>
              <w:t>(b)</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60" w:type="dxa"/>
            <w:vAlign w:val="bottom"/>
            <w:gridSpan w:val="3"/>
          </w:tcPr>
          <w:p>
            <w:pPr>
              <w:ind w:left="200"/>
              <w:spacing w:after="0" w:line="225"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2"/>
                <w:szCs w:val="22"/>
                <w:color w:val="auto"/>
                <w:vertAlign w:val="superscript"/>
              </w:rPr>
              <w:t>(c)</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Domestic same-restaurant sales percentage change, including area license restaurants</w:t>
            </w:r>
            <w:r>
              <w:rPr>
                <w:rFonts w:ascii="Arial" w:cs="Arial" w:eastAsia="Arial" w:hAnsi="Arial"/>
                <w:sz w:val="22"/>
                <w:szCs w:val="22"/>
                <w:color w:val="auto"/>
                <w:vertAlign w:val="superscript"/>
              </w:rPr>
              <w:t>(d)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60" w:type="dxa"/>
            <w:vAlign w:val="bottom"/>
            <w:gridSpan w:val="3"/>
          </w:tcPr>
          <w:p>
            <w:pPr>
              <w:spacing w:after="0" w:line="225"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2"/>
                <w:szCs w:val="22"/>
                <w:b w:val="1"/>
                <w:bCs w:val="1"/>
                <w:color w:val="auto"/>
                <w:vertAlign w:val="superscript"/>
              </w:rPr>
              <w:t>(b)</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2"/>
                <w:szCs w:val="22"/>
                <w:color w:val="auto"/>
                <w:vertAlign w:val="superscript"/>
              </w:rPr>
              <w:t>(c)</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60" w:type="dxa"/>
            <w:vAlign w:val="bottom"/>
            <w:gridSpan w:val="3"/>
          </w:tcPr>
          <w:p>
            <w:pPr>
              <w:ind w:left="200"/>
              <w:spacing w:after="0" w:line="225"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2"/>
                <w:szCs w:val="22"/>
                <w:color w:val="auto"/>
                <w:vertAlign w:val="superscript"/>
              </w:rPr>
              <w:t>(d)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Average weekly unit sales (in thousands)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60" w:type="dxa"/>
            <w:vAlign w:val="bottom"/>
            <w:gridSpan w:val="3"/>
          </w:tcPr>
          <w:p>
            <w:pPr>
              <w:spacing w:after="0" w:line="225" w:lineRule="exact"/>
              <w:rPr>
                <w:sz w:val="20"/>
                <w:szCs w:val="20"/>
                <w:color w:val="auto"/>
              </w:rPr>
            </w:pPr>
            <w:r>
              <w:rPr>
                <w:rFonts w:ascii="Arial" w:cs="Arial" w:eastAsia="Arial" w:hAnsi="Arial"/>
                <w:sz w:val="18"/>
                <w:szCs w:val="18"/>
                <w:b w:val="1"/>
                <w:bCs w:val="1"/>
                <w:color w:val="auto"/>
              </w:rPr>
              <w:t>Area License</w:t>
            </w:r>
            <w:r>
              <w:rPr>
                <w:rFonts w:ascii="Arial" w:cs="Arial" w:eastAsia="Arial" w:hAnsi="Arial"/>
                <w:sz w:val="22"/>
                <w:szCs w:val="22"/>
                <w:b w:val="1"/>
                <w:bCs w:val="1"/>
                <w:color w:val="auto"/>
                <w:vertAlign w:val="superscript"/>
              </w:rPr>
              <w:t>(b)</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2"/>
                <w:szCs w:val="22"/>
                <w:color w:val="auto"/>
                <w:vertAlign w:val="superscript"/>
              </w:rPr>
              <w:t>(c)</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0" w:hanging="270"/>
        <w:spacing w:after="0" w:line="250" w:lineRule="auto"/>
        <w:tabs>
          <w:tab w:leader="none" w:pos="442" w:val="left"/>
        </w:tabs>
        <w:numPr>
          <w:ilvl w:val="1"/>
          <w:numId w:val="12"/>
        </w:numPr>
        <w:rPr>
          <w:rFonts w:ascii="Arial" w:cs="Arial" w:eastAsia="Arial" w:hAnsi="Arial"/>
          <w:sz w:val="16"/>
          <w:szCs w:val="16"/>
          <w:color w:val="auto"/>
        </w:rPr>
      </w:pPr>
      <w:r>
        <w:rPr>
          <w:rFonts w:ascii="Arial" w:cs="Arial" w:eastAsia="Arial" w:hAnsi="Arial"/>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2" w:lineRule="exact"/>
        <w:rPr>
          <w:rFonts w:ascii="Arial" w:cs="Arial" w:eastAsia="Arial" w:hAnsi="Arial"/>
          <w:sz w:val="16"/>
          <w:szCs w:val="16"/>
          <w:color w:val="auto"/>
        </w:rPr>
      </w:pPr>
    </w:p>
    <w:p>
      <w:pPr>
        <w:ind w:left="420" w:right="160" w:hanging="314"/>
        <w:spacing w:after="0" w:line="287" w:lineRule="auto"/>
        <w:tabs>
          <w:tab w:leader="none" w:pos="4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“System-wide sales” are retail sales at Applebee’s restaurants operated by franchisees and IHOP restaurants operated by franchisees and area licensees, as reported to the Company, in addition to retail sales at company-operated Applebee's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06"/>
        </w:trPr>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r>
      <w:tr>
        <w:trPr>
          <w:trHeight w:val="166"/>
        </w:trPr>
        <w:tc>
          <w:tcPr>
            <w:tcW w:w="16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6"/>
                <w:szCs w:val="16"/>
                <w:b w:val="1"/>
                <w:bCs w:val="1"/>
                <w:color w:val="auto"/>
                <w:w w:val="86"/>
              </w:rPr>
              <w:t>ported sales (in millions)</w:t>
            </w:r>
          </w:p>
        </w:tc>
        <w:tc>
          <w:tcPr>
            <w:tcW w:w="40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ind w:left="460"/>
              <w:spacing w:after="0" w:line="157" w:lineRule="exact"/>
              <w:rPr>
                <w:sz w:val="20"/>
                <w:szCs w:val="20"/>
                <w:color w:val="auto"/>
              </w:rPr>
            </w:pPr>
            <w:r>
              <w:rPr>
                <w:rFonts w:ascii="Arial" w:cs="Arial" w:eastAsia="Arial" w:hAnsi="Arial"/>
                <w:sz w:val="14"/>
                <w:szCs w:val="14"/>
                <w:b w:val="1"/>
                <w:bCs w:val="1"/>
                <w:color w:val="auto"/>
                <w:w w:val="97"/>
              </w:rPr>
              <w:t>(Unaudited)</w:t>
            </w:r>
          </w:p>
        </w:tc>
        <w:tc>
          <w:tcPr>
            <w:tcW w:w="840" w:type="dxa"/>
            <w:vAlign w:val="bottom"/>
          </w:tcPr>
          <w:p>
            <w:pPr>
              <w:spacing w:after="0"/>
              <w:rPr>
                <w:sz w:val="14"/>
                <w:szCs w:val="14"/>
                <w:color w:val="auto"/>
              </w:rPr>
            </w:pPr>
          </w:p>
        </w:tc>
      </w:tr>
      <w:tr>
        <w:trPr>
          <w:trHeight w:val="222"/>
        </w:trPr>
        <w:tc>
          <w:tcPr>
            <w:tcW w:w="100" w:type="dxa"/>
            <w:vAlign w:val="bottom"/>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pplebee's domestic franchise restaurant sales</w:t>
            </w:r>
          </w:p>
        </w:tc>
        <w:tc>
          <w:tcPr>
            <w:tcW w:w="3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924$.7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918.2</w:t>
            </w:r>
          </w:p>
        </w:tc>
      </w:tr>
      <w:tr>
        <w:trPr>
          <w:trHeight w:val="207"/>
        </w:trPr>
        <w:tc>
          <w:tcPr>
            <w:tcW w:w="5740" w:type="dxa"/>
            <w:vAlign w:val="bottom"/>
            <w:gridSpan w:val="3"/>
          </w:tcPr>
          <w:p>
            <w:pPr>
              <w:spacing w:after="0"/>
              <w:rPr>
                <w:sz w:val="20"/>
                <w:szCs w:val="20"/>
                <w:color w:val="auto"/>
              </w:rPr>
            </w:pPr>
            <w:r>
              <w:rPr>
                <w:rFonts w:ascii="Arial" w:cs="Arial" w:eastAsia="Arial" w:hAnsi="Arial"/>
                <w:sz w:val="16"/>
                <w:szCs w:val="16"/>
                <w:color w:val="auto"/>
              </w:rPr>
              <w:t>pplebee's company-operated restaurants</w:t>
            </w:r>
          </w:p>
        </w:tc>
        <w:tc>
          <w:tcPr>
            <w:tcW w:w="30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12"/>
        </w:trPr>
        <w:tc>
          <w:tcPr>
            <w:tcW w:w="5740" w:type="dxa"/>
            <w:vAlign w:val="bottom"/>
            <w:gridSpan w:val="3"/>
          </w:tcPr>
          <w:p>
            <w:pPr>
              <w:ind w:left="60"/>
              <w:spacing w:after="0"/>
              <w:rPr>
                <w:sz w:val="20"/>
                <w:szCs w:val="20"/>
                <w:color w:val="auto"/>
              </w:rPr>
            </w:pPr>
            <w:r>
              <w:rPr>
                <w:rFonts w:ascii="Arial" w:cs="Arial" w:eastAsia="Arial" w:hAnsi="Arial"/>
                <w:sz w:val="16"/>
                <w:szCs w:val="16"/>
                <w:color w:val="auto"/>
              </w:rPr>
              <w:t>OP franchise restaurant sales</w:t>
            </w:r>
          </w:p>
        </w:tc>
        <w:tc>
          <w:tcPr>
            <w:tcW w:w="30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596.7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684.8</w:t>
            </w:r>
          </w:p>
        </w:tc>
      </w:tr>
      <w:tr>
        <w:trPr>
          <w:trHeight w:val="214"/>
        </w:trPr>
        <w:tc>
          <w:tcPr>
            <w:tcW w:w="5740" w:type="dxa"/>
            <w:vAlign w:val="bottom"/>
            <w:gridSpan w:val="3"/>
          </w:tcPr>
          <w:p>
            <w:pPr>
              <w:ind w:left="60"/>
              <w:spacing w:after="0"/>
              <w:rPr>
                <w:sz w:val="20"/>
                <w:szCs w:val="20"/>
                <w:color w:val="auto"/>
              </w:rPr>
            </w:pPr>
            <w:r>
              <w:rPr>
                <w:rFonts w:ascii="Arial" w:cs="Arial" w:eastAsia="Arial" w:hAnsi="Arial"/>
                <w:sz w:val="16"/>
                <w:szCs w:val="16"/>
                <w:color w:val="auto"/>
              </w:rPr>
              <w:t>OP area license restaurant sales</w:t>
            </w:r>
          </w:p>
        </w:tc>
        <w:tc>
          <w:tcPr>
            <w:tcW w:w="30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28"/>
        </w:trPr>
        <w:tc>
          <w:tcPr>
            <w:tcW w:w="100" w:type="dxa"/>
            <w:vAlign w:val="bottom"/>
          </w:tcPr>
          <w:p>
            <w:pPr>
              <w:spacing w:after="0"/>
              <w:rPr>
                <w:sz w:val="19"/>
                <w:szCs w:val="19"/>
                <w:color w:val="auto"/>
              </w:rPr>
            </w:pPr>
          </w:p>
        </w:tc>
        <w:tc>
          <w:tcPr>
            <w:tcW w:w="56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080" w:type="dxa"/>
            <w:vAlign w:val="bottom"/>
            <w:tcBorders>
              <w:top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1,619$.0</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1,698.3</w:t>
            </w:r>
          </w:p>
        </w:tc>
      </w:tr>
      <w:tr>
        <w:trPr>
          <w:trHeight w:val="20"/>
        </w:trPr>
        <w:tc>
          <w:tcPr>
            <w:tcW w:w="10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-445135</wp:posOffset>
            </wp:positionV>
            <wp:extent cx="6932930" cy="134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2930" cy="134620"/>
                    </a:xfrm>
                    <a:prstGeom prst="rect">
                      <a:avLst/>
                    </a:prstGeom>
                    <a:noFill/>
                  </pic:spPr>
                </pic:pic>
              </a:graphicData>
            </a:graphic>
          </wp:anchor>
        </w:drawing>
      </w:r>
    </w:p>
    <w:p>
      <w:pPr>
        <w:spacing w:after="0" w:line="262" w:lineRule="exact"/>
        <w:rPr>
          <w:sz w:val="20"/>
          <w:szCs w:val="20"/>
          <w:color w:val="auto"/>
        </w:rPr>
      </w:pPr>
    </w:p>
    <w:p>
      <w:pPr>
        <w:ind w:left="420" w:right="320" w:hanging="314"/>
        <w:spacing w:after="0" w:line="251" w:lineRule="auto"/>
        <w:tabs>
          <w:tab w:leader="none" w:pos="3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“Sales percentage change” reflects, for each category of restaurants, the percentage change in sales in any given fiscal period compared to the prior fiscal period for all restaurants in that category.</w:t>
      </w:r>
    </w:p>
    <w:p>
      <w:pPr>
        <w:jc w:val="both"/>
        <w:ind w:left="420" w:hanging="314"/>
        <w:spacing w:after="0" w:line="297" w:lineRule="auto"/>
        <w:tabs>
          <w:tab w:leader="none" w:pos="451" w:val="left"/>
        </w:tabs>
        <w:numPr>
          <w:ilvl w:val="0"/>
          <w:numId w:val="14"/>
        </w:numPr>
        <w:rPr>
          <w:rFonts w:ascii="Arial" w:cs="Arial" w:eastAsia="Arial" w:hAnsi="Arial"/>
          <w:sz w:val="14"/>
          <w:szCs w:val="14"/>
          <w:color w:val="auto"/>
        </w:rPr>
      </w:pPr>
      <w:r>
        <w:rPr>
          <w:rFonts w:ascii="Arial" w:cs="Arial" w:eastAsia="Arial" w:hAnsi="Arial"/>
          <w:sz w:val="14"/>
          <w:szCs w:val="14"/>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2" w:name="page33"/>
    <w:bookmarkEnd w:id="32"/>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40" w:type="dxa"/>
            <w:vAlign w:val="bottom"/>
            <w:gridSpan w:val="4"/>
          </w:tcPr>
          <w:p>
            <w:pPr>
              <w:spacing w:after="0"/>
              <w:rPr>
                <w:sz w:val="20"/>
                <w:szCs w:val="20"/>
                <w:color w:val="auto"/>
              </w:rPr>
            </w:pPr>
            <w:r>
              <w:rPr>
                <w:rFonts w:ascii="Arial" w:cs="Arial" w:eastAsia="Arial" w:hAnsi="Arial"/>
                <w:sz w:val="19"/>
                <w:szCs w:val="19"/>
                <w:b w:val="1"/>
                <w:bCs w:val="1"/>
                <w:color w:val="auto"/>
              </w:rPr>
              <w:t>estaurant Development Activity</w:t>
            </w:r>
          </w:p>
        </w:tc>
        <w:tc>
          <w:tcPr>
            <w:tcW w:w="4580" w:type="dxa"/>
            <w:vAlign w:val="bottom"/>
            <w:gridSpan w:val="7"/>
          </w:tcPr>
          <w:p>
            <w:pPr>
              <w:jc w:val="right"/>
              <w:ind w:right="213"/>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3"/>
        </w:trPr>
        <w:tc>
          <w:tcPr>
            <w:tcW w:w="64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plebee's</w:t>
            </w:r>
          </w:p>
        </w:tc>
        <w:tc>
          <w:tcPr>
            <w:tcW w:w="21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8"/>
        </w:trPr>
        <w:tc>
          <w:tcPr>
            <w:tcW w:w="6440" w:type="dxa"/>
            <w:vAlign w:val="bottom"/>
            <w:gridSpan w:val="4"/>
            <w:vMerge w:val="continue"/>
          </w:tcPr>
          <w:p>
            <w:pPr>
              <w:spacing w:after="0"/>
              <w:rPr>
                <w:sz w:val="14"/>
                <w:szCs w:val="14"/>
                <w:color w:val="auto"/>
              </w:rPr>
            </w:pPr>
          </w:p>
        </w:tc>
        <w:tc>
          <w:tcPr>
            <w:tcW w:w="2180" w:type="dxa"/>
            <w:vAlign w:val="bottom"/>
          </w:tcPr>
          <w:p>
            <w:pPr>
              <w:spacing w:after="0"/>
              <w:rPr>
                <w:sz w:val="14"/>
                <w:szCs w:val="14"/>
                <w:color w:val="auto"/>
              </w:rPr>
            </w:pPr>
          </w:p>
        </w:tc>
        <w:tc>
          <w:tcPr>
            <w:tcW w:w="1420" w:type="dxa"/>
            <w:vAlign w:val="bottom"/>
            <w:gridSpan w:val="5"/>
          </w:tcPr>
          <w:p>
            <w:pPr>
              <w:ind w:left="62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mmary - beginning of period:</w:t>
            </w:r>
          </w:p>
        </w:tc>
        <w:tc>
          <w:tcPr>
            <w:tcW w:w="2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Company restaurants</w:t>
            </w:r>
          </w:p>
        </w:tc>
        <w:tc>
          <w:tcPr>
            <w:tcW w:w="2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6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ginning of period</w:t>
            </w:r>
          </w:p>
        </w:tc>
        <w:tc>
          <w:tcPr>
            <w:tcW w:w="2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1,787</w:t>
            </w:r>
          </w:p>
        </w:tc>
        <w:tc>
          <w:tcPr>
            <w:tcW w:w="0" w:type="dxa"/>
            <w:vAlign w:val="bottom"/>
          </w:tcPr>
          <w:p>
            <w:pPr>
              <w:spacing w:after="0"/>
              <w:rPr>
                <w:sz w:val="1"/>
                <w:szCs w:val="1"/>
                <w:color w:val="auto"/>
              </w:rPr>
            </w:pPr>
          </w:p>
        </w:tc>
      </w:tr>
      <w:tr>
        <w:trPr>
          <w:trHeight w:val="20"/>
        </w:trPr>
        <w:tc>
          <w:tcPr>
            <w:tcW w:w="6440" w:type="dxa"/>
            <w:vAlign w:val="bottom"/>
            <w:gridSpan w:val="4"/>
            <w:vMerge w:val="restart"/>
          </w:tcPr>
          <w:p>
            <w:pPr>
              <w:spacing w:after="0"/>
              <w:rPr>
                <w:sz w:val="20"/>
                <w:szCs w:val="20"/>
                <w:color w:val="auto"/>
              </w:rPr>
            </w:pPr>
            <w:r>
              <w:rPr>
                <w:rFonts w:ascii="Arial" w:cs="Arial" w:eastAsia="Arial" w:hAnsi="Arial"/>
                <w:sz w:val="18"/>
                <w:szCs w:val="18"/>
                <w:color w:val="auto"/>
              </w:rPr>
              <w:t>anchise restaurants opened:</w:t>
            </w:r>
          </w:p>
        </w:tc>
        <w:tc>
          <w:tcPr>
            <w:tcW w:w="2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40" w:type="dxa"/>
            <w:vAlign w:val="bottom"/>
            <w:gridSpan w:val="4"/>
            <w:vMerge w:val="continue"/>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40" w:type="dxa"/>
            <w:vAlign w:val="bottom"/>
            <w:gridSpan w:val="4"/>
          </w:tcPr>
          <w:p>
            <w:pPr>
              <w:spacing w:after="0"/>
              <w:rPr>
                <w:sz w:val="20"/>
                <w:szCs w:val="20"/>
                <w:color w:val="auto"/>
              </w:rPr>
            </w:pPr>
            <w:r>
              <w:rPr>
                <w:rFonts w:ascii="Arial" w:cs="Arial" w:eastAsia="Arial" w:hAnsi="Arial"/>
                <w:sz w:val="18"/>
                <w:szCs w:val="18"/>
                <w:color w:val="auto"/>
              </w:rPr>
              <w:t>Domestic</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3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franchise restaurants opened</w:t>
            </w:r>
          </w:p>
        </w:tc>
        <w:tc>
          <w:tcPr>
            <w:tcW w:w="21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6440" w:type="dxa"/>
            <w:vAlign w:val="bottom"/>
            <w:gridSpan w:val="4"/>
          </w:tcPr>
          <w:p>
            <w:pPr>
              <w:spacing w:after="0" w:line="204" w:lineRule="exact"/>
              <w:rPr>
                <w:sz w:val="20"/>
                <w:szCs w:val="20"/>
                <w:color w:val="auto"/>
              </w:rPr>
            </w:pPr>
            <w:r>
              <w:rPr>
                <w:rFonts w:ascii="Arial" w:cs="Arial" w:eastAsia="Arial" w:hAnsi="Arial"/>
                <w:sz w:val="18"/>
                <w:szCs w:val="18"/>
                <w:color w:val="auto"/>
              </w:rPr>
              <w:t>anchise restaurants permanently closed:</w:t>
            </w:r>
          </w:p>
        </w:tc>
        <w:tc>
          <w:tcPr>
            <w:tcW w:w="2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Domestic</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6440" w:type="dxa"/>
            <w:vAlign w:val="bottom"/>
            <w:gridSpan w:val="4"/>
          </w:tcPr>
          <w:p>
            <w:pPr>
              <w:spacing w:after="0"/>
              <w:rPr>
                <w:sz w:val="20"/>
                <w:szCs w:val="20"/>
                <w:color w:val="auto"/>
              </w:rPr>
            </w:pPr>
            <w:r>
              <w:rPr>
                <w:rFonts w:ascii="Arial" w:cs="Arial" w:eastAsia="Arial" w:hAnsi="Arial"/>
                <w:sz w:val="18"/>
                <w:szCs w:val="18"/>
                <w:color w:val="auto"/>
              </w:rPr>
              <w:t>International</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3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franchise restaurants permanently closed</w:t>
            </w:r>
          </w:p>
        </w:tc>
        <w:tc>
          <w:tcPr>
            <w:tcW w:w="21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2"/>
        </w:trPr>
        <w:tc>
          <w:tcPr>
            <w:tcW w:w="6440" w:type="dxa"/>
            <w:vAlign w:val="bottom"/>
            <w:gridSpan w:val="4"/>
          </w:tcPr>
          <w:p>
            <w:pPr>
              <w:ind w:left="20"/>
              <w:spacing w:after="0" w:line="192" w:lineRule="exact"/>
              <w:rPr>
                <w:sz w:val="20"/>
                <w:szCs w:val="20"/>
                <w:color w:val="auto"/>
              </w:rPr>
            </w:pPr>
            <w:r>
              <w:rPr>
                <w:rFonts w:ascii="Arial" w:cs="Arial" w:eastAsia="Arial" w:hAnsi="Arial"/>
                <w:sz w:val="18"/>
                <w:szCs w:val="18"/>
                <w:b w:val="1"/>
                <w:bCs w:val="1"/>
                <w:color w:val="auto"/>
              </w:rPr>
              <w:t>t franchise restaurant reduction</w:t>
            </w:r>
          </w:p>
        </w:tc>
        <w:tc>
          <w:tcPr>
            <w:tcW w:w="218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84"/>
        </w:trPr>
        <w:tc>
          <w:tcPr>
            <w:tcW w:w="100" w:type="dxa"/>
            <w:vAlign w:val="bottom"/>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5820" w:type="dxa"/>
            <w:vAlign w:val="bottom"/>
            <w:tcBorders>
              <w:bottom w:val="single" w:sz="8" w:color="CCEEFF"/>
            </w:tcBorders>
          </w:tcPr>
          <w:p>
            <w:pPr>
              <w:spacing w:after="0"/>
              <w:rPr>
                <w:sz w:val="6"/>
                <w:szCs w:val="6"/>
                <w:color w:val="auto"/>
              </w:rPr>
            </w:pPr>
          </w:p>
        </w:tc>
        <w:tc>
          <w:tcPr>
            <w:tcW w:w="218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634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mmary - end of period:</w:t>
            </w:r>
          </w:p>
        </w:tc>
        <w:tc>
          <w:tcPr>
            <w:tcW w:w="218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Company restaurants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2"/>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tal Applebee's restaurants, end of period</w:t>
            </w:r>
          </w:p>
        </w:tc>
        <w:tc>
          <w:tcPr>
            <w:tcW w:w="218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80" w:type="dxa"/>
            <w:vAlign w:val="bottom"/>
            <w:gridSpan w:val="2"/>
          </w:tcPr>
          <w:p>
            <w:pPr>
              <w:ind w:left="180"/>
              <w:spacing w:after="0"/>
              <w:rPr>
                <w:sz w:val="20"/>
                <w:szCs w:val="20"/>
                <w:color w:val="auto"/>
              </w:rPr>
            </w:pPr>
            <w:r>
              <w:rPr>
                <w:rFonts w:ascii="Arial" w:cs="Arial" w:eastAsia="Arial" w:hAnsi="Arial"/>
                <w:sz w:val="16"/>
                <w:szCs w:val="16"/>
                <w:color w:val="auto"/>
              </w:rPr>
              <w:t>Domestic</w:t>
            </w:r>
          </w:p>
        </w:tc>
        <w:tc>
          <w:tcPr>
            <w:tcW w:w="3320" w:type="dxa"/>
            <w:vAlign w:val="bottom"/>
            <w:gridSpan w:val="2"/>
          </w:tcPr>
          <w:p>
            <w:pPr>
              <w:jc w:val="right"/>
              <w:spacing w:after="0"/>
              <w:rPr>
                <w:sz w:val="20"/>
                <w:szCs w:val="20"/>
                <w:color w:val="auto"/>
              </w:rPr>
            </w:pPr>
            <w:r>
              <w:rPr>
                <w:rFonts w:ascii="Arial" w:cs="Arial" w:eastAsia="Arial" w:hAnsi="Arial"/>
                <w:sz w:val="16"/>
                <w:szCs w:val="16"/>
                <w:color w:val="auto"/>
              </w:rPr>
              <w:t>1,596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05"/>
        </w:trPr>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4"/>
              </w:rPr>
              <w:t>OP</w:t>
            </w:r>
          </w:p>
        </w:tc>
        <w:tc>
          <w:tcPr>
            <w:tcW w:w="6180" w:type="dxa"/>
            <w:vAlign w:val="bottom"/>
            <w:gridSpan w:val="2"/>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mmary - beginning of period:</w:t>
            </w:r>
          </w:p>
        </w:tc>
        <w:tc>
          <w:tcPr>
            <w:tcW w:w="2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Franchise</w:t>
            </w:r>
          </w:p>
        </w:tc>
        <w:tc>
          <w:tcPr>
            <w:tcW w:w="3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80" w:type="dxa"/>
            <w:vAlign w:val="bottom"/>
            <w:gridSpan w:val="2"/>
          </w:tcPr>
          <w:p>
            <w:pPr>
              <w:ind w:left="180"/>
              <w:spacing w:after="0"/>
              <w:rPr>
                <w:sz w:val="20"/>
                <w:szCs w:val="20"/>
                <w:color w:val="auto"/>
              </w:rPr>
            </w:pPr>
            <w:r>
              <w:rPr>
                <w:rFonts w:ascii="Arial" w:cs="Arial" w:eastAsia="Arial" w:hAnsi="Arial"/>
                <w:sz w:val="18"/>
                <w:szCs w:val="18"/>
                <w:color w:val="auto"/>
              </w:rPr>
              <w:t>Area license</w:t>
            </w:r>
          </w:p>
        </w:tc>
        <w:tc>
          <w:tcPr>
            <w:tcW w:w="3400" w:type="dxa"/>
            <w:vAlign w:val="bottom"/>
            <w:gridSpan w:val="3"/>
          </w:tcPr>
          <w:p>
            <w:pPr>
              <w:jc w:val="right"/>
              <w:ind w:right="8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3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tal IHOP restaurants, beginning of period</w:t>
            </w:r>
          </w:p>
        </w:tc>
        <w:tc>
          <w:tcPr>
            <w:tcW w:w="218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1,772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1,841</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anchise/area license restaurants opened:</w:t>
            </w:r>
          </w:p>
        </w:tc>
        <w:tc>
          <w:tcPr>
            <w:tcW w:w="2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Domestic franchise</w:t>
            </w:r>
          </w:p>
        </w:tc>
        <w:tc>
          <w:tcPr>
            <w:tcW w:w="340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Domestic area license</w:t>
            </w:r>
          </w:p>
        </w:tc>
        <w:tc>
          <w:tcPr>
            <w:tcW w:w="2180" w:type="dxa"/>
            <w:vAlign w:val="bottom"/>
            <w:shd w:val="clear" w:color="auto" w:fill="CCEEFF"/>
          </w:tcPr>
          <w:p>
            <w:pPr>
              <w:spacing w:after="0"/>
              <w:rPr>
                <w:sz w:val="19"/>
                <w:szCs w:val="19"/>
                <w:color w:val="auto"/>
              </w:rPr>
            </w:pP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International franchise</w:t>
            </w:r>
          </w:p>
        </w:tc>
        <w:tc>
          <w:tcPr>
            <w:tcW w:w="21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franchise/area license restaurants opened</w:t>
            </w:r>
          </w:p>
        </w:tc>
        <w:tc>
          <w:tcPr>
            <w:tcW w:w="3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4"/>
        </w:trPr>
        <w:tc>
          <w:tcPr>
            <w:tcW w:w="6440" w:type="dxa"/>
            <w:vAlign w:val="bottom"/>
            <w:gridSpan w:val="4"/>
          </w:tcPr>
          <w:p>
            <w:pPr>
              <w:spacing w:after="0" w:line="204" w:lineRule="exact"/>
              <w:rPr>
                <w:sz w:val="20"/>
                <w:szCs w:val="20"/>
                <w:color w:val="auto"/>
              </w:rPr>
            </w:pPr>
            <w:r>
              <w:rPr>
                <w:rFonts w:ascii="Arial" w:cs="Arial" w:eastAsia="Arial" w:hAnsi="Arial"/>
                <w:sz w:val="18"/>
                <w:szCs w:val="18"/>
                <w:color w:val="auto"/>
              </w:rPr>
              <w:t>anchise/area license restaurants permanently closed:</w:t>
            </w:r>
          </w:p>
        </w:tc>
        <w:tc>
          <w:tcPr>
            <w:tcW w:w="21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Domestic franchise</w:t>
            </w:r>
          </w:p>
        </w:tc>
        <w:tc>
          <w:tcPr>
            <w:tcW w:w="340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Domestic area license</w:t>
            </w:r>
          </w:p>
        </w:tc>
        <w:tc>
          <w:tcPr>
            <w:tcW w:w="3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International franchise</w:t>
            </w:r>
          </w:p>
        </w:tc>
        <w:tc>
          <w:tcPr>
            <w:tcW w:w="21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franchise/area license restaurants permanently closed</w:t>
            </w:r>
          </w:p>
        </w:tc>
        <w:tc>
          <w:tcPr>
            <w:tcW w:w="3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6440" w:type="dxa"/>
            <w:vAlign w:val="bottom"/>
            <w:gridSpan w:val="4"/>
          </w:tcPr>
          <w:p>
            <w:pPr>
              <w:ind w:left="20"/>
              <w:spacing w:after="0"/>
              <w:rPr>
                <w:sz w:val="20"/>
                <w:szCs w:val="20"/>
                <w:color w:val="auto"/>
              </w:rPr>
            </w:pPr>
            <w:r>
              <w:rPr>
                <w:rFonts w:ascii="Arial" w:cs="Arial" w:eastAsia="Arial" w:hAnsi="Arial"/>
                <w:sz w:val="18"/>
                <w:szCs w:val="18"/>
                <w:b w:val="1"/>
                <w:bCs w:val="1"/>
                <w:color w:val="auto"/>
              </w:rPr>
              <w:t>t franchise/area license restaurant closures</w:t>
            </w:r>
          </w:p>
        </w:tc>
        <w:tc>
          <w:tcPr>
            <w:tcW w:w="2180" w:type="dxa"/>
            <w:vAlign w:val="bottom"/>
          </w:tcPr>
          <w:p>
            <w:pPr>
              <w:spacing w:after="0"/>
              <w:rPr>
                <w:sz w:val="19"/>
                <w:szCs w:val="19"/>
                <w:color w:val="auto"/>
              </w:rPr>
            </w:pPr>
          </w:p>
        </w:tc>
        <w:tc>
          <w:tcPr>
            <w:tcW w:w="12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anchise restaurants reacquired by the Company</w:t>
            </w:r>
          </w:p>
        </w:tc>
        <w:tc>
          <w:tcPr>
            <w:tcW w:w="3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440" w:type="dxa"/>
            <w:vAlign w:val="bottom"/>
            <w:gridSpan w:val="4"/>
          </w:tcPr>
          <w:p>
            <w:pPr>
              <w:ind w:left="20"/>
              <w:spacing w:after="0"/>
              <w:rPr>
                <w:sz w:val="20"/>
                <w:szCs w:val="20"/>
                <w:color w:val="auto"/>
              </w:rPr>
            </w:pPr>
            <w:r>
              <w:rPr>
                <w:rFonts w:ascii="Arial" w:cs="Arial" w:eastAsia="Arial" w:hAnsi="Arial"/>
                <w:sz w:val="18"/>
                <w:szCs w:val="18"/>
                <w:b w:val="1"/>
                <w:bCs w:val="1"/>
                <w:color w:val="auto"/>
              </w:rPr>
              <w:t>t reduction in franchise/area license restaurants</w:t>
            </w:r>
          </w:p>
        </w:tc>
        <w:tc>
          <w:tcPr>
            <w:tcW w:w="218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6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mmary - end of period:</w:t>
            </w:r>
          </w:p>
        </w:tc>
        <w:tc>
          <w:tcPr>
            <w:tcW w:w="2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40" w:type="dxa"/>
            <w:vAlign w:val="bottom"/>
            <w:gridSpan w:val="4"/>
            <w:vMerge w:val="continue"/>
          </w:tcPr>
          <w:p>
            <w:pPr>
              <w:spacing w:after="0"/>
              <w:rPr>
                <w:sz w:val="21"/>
                <w:szCs w:val="21"/>
                <w:color w:val="auto"/>
              </w:rPr>
            </w:pPr>
          </w:p>
        </w:tc>
        <w:tc>
          <w:tcPr>
            <w:tcW w:w="2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Franchise</w:t>
            </w:r>
          </w:p>
        </w:tc>
        <w:tc>
          <w:tcPr>
            <w:tcW w:w="3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80" w:type="dxa"/>
            <w:vAlign w:val="bottom"/>
            <w:gridSpan w:val="2"/>
          </w:tcPr>
          <w:p>
            <w:pPr>
              <w:ind w:left="180"/>
              <w:spacing w:after="0"/>
              <w:rPr>
                <w:sz w:val="20"/>
                <w:szCs w:val="20"/>
                <w:color w:val="auto"/>
              </w:rPr>
            </w:pPr>
            <w:r>
              <w:rPr>
                <w:rFonts w:ascii="Arial" w:cs="Arial" w:eastAsia="Arial" w:hAnsi="Arial"/>
                <w:sz w:val="18"/>
                <w:szCs w:val="18"/>
                <w:color w:val="auto"/>
              </w:rPr>
              <w:t>Area license</w:t>
            </w:r>
          </w:p>
        </w:tc>
        <w:tc>
          <w:tcPr>
            <w:tcW w:w="3400" w:type="dxa"/>
            <w:vAlign w:val="bottom"/>
            <w:gridSpan w:val="3"/>
          </w:tcPr>
          <w:p>
            <w:pPr>
              <w:jc w:val="right"/>
              <w:ind w:right="8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3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tal IHOP restaurants, end of period</w:t>
            </w:r>
          </w:p>
        </w:tc>
        <w:tc>
          <w:tcPr>
            <w:tcW w:w="218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1,753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Domestic</w:t>
            </w:r>
          </w:p>
        </w:tc>
        <w:tc>
          <w:tcPr>
            <w:tcW w:w="3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80" w:type="dxa"/>
            <w:vAlign w:val="bottom"/>
            <w:gridSpan w:val="2"/>
          </w:tcPr>
          <w:p>
            <w:pPr>
              <w:ind w:left="180"/>
              <w:spacing w:after="0"/>
              <w:rPr>
                <w:sz w:val="20"/>
                <w:szCs w:val="20"/>
                <w:color w:val="auto"/>
              </w:rPr>
            </w:pPr>
            <w:r>
              <w:rPr>
                <w:rFonts w:ascii="Arial" w:cs="Arial" w:eastAsia="Arial" w:hAnsi="Arial"/>
                <w:sz w:val="16"/>
                <w:szCs w:val="16"/>
                <w:color w:val="auto"/>
              </w:rPr>
              <w:t>International</w:t>
            </w:r>
          </w:p>
        </w:tc>
        <w:tc>
          <w:tcPr>
            <w:tcW w:w="3400" w:type="dxa"/>
            <w:vAlign w:val="bottom"/>
            <w:gridSpan w:val="3"/>
          </w:tcPr>
          <w:p>
            <w:pPr>
              <w:jc w:val="right"/>
              <w:ind w:right="80"/>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-4413250</wp:posOffset>
            </wp:positionV>
            <wp:extent cx="6932930" cy="168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2930" cy="168275"/>
                    </a:xfrm>
                    <a:prstGeom prst="rect">
                      <a:avLst/>
                    </a:prstGeom>
                    <a:noFill/>
                  </pic:spPr>
                </pic:pic>
              </a:graphicData>
            </a:graphic>
          </wp:anchor>
        </w:drawing>
      </w:r>
    </w:p>
    <w:p>
      <w:pPr>
        <w:spacing w:after="0" w:line="317" w:lineRule="exact"/>
        <w:rPr>
          <w:sz w:val="20"/>
          <w:szCs w:val="20"/>
          <w:color w:val="auto"/>
        </w:rPr>
      </w:pPr>
    </w:p>
    <w:p>
      <w:pPr>
        <w:ind w:left="100" w:firstLine="318"/>
        <w:spacing w:after="0" w:line="330" w:lineRule="auto"/>
        <w:rPr>
          <w:sz w:val="20"/>
          <w:szCs w:val="20"/>
          <w:color w:val="auto"/>
        </w:rPr>
      </w:pPr>
      <w:r>
        <w:rPr>
          <w:rFonts w:ascii="Arial" w:cs="Arial" w:eastAsia="Arial" w:hAnsi="Arial"/>
          <w:sz w:val="15"/>
          <w:szCs w:val="15"/>
          <w:color w:val="auto"/>
        </w:rPr>
        <w:t>The restaurant counts and activity presented above do not include three domestic Applebee's ghost kitchens (small kitchens with no store-front presence, used to fill off-premise orders) and two international IHOP ghost kitchens. The Applebee's franchise restaurant count at the beginning of the period ended March 31, 2021 was adjusted downward by two restaurants, representing ghost kitchens that had been included in the total reported as of December 31, 2020.</w:t>
      </w:r>
    </w:p>
    <w:p>
      <w:pPr>
        <w:sectPr>
          <w:pgSz w:w="11900" w:h="16838" w:orient="portrait"/>
          <w:cols w:equalWidth="0" w:num="1">
            <w:col w:w="11260"/>
          </w:cols>
          <w:pgMar w:left="2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87630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220" w:top="121" w:right="41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The closures presented in the tables above represent permanent closures of restaurants. Temporary closures, which can occur for a variety of reasons, are not reflected as reductions in this table and temporarily closed restaurants are included in the summary counts at the beginning and end of each period shown. Temporary closures are reflected in the weighted calculation of Effective Restaurants presented in the preceding Restaurant Data table.</w:t>
      </w:r>
    </w:p>
    <w:p>
      <w:pPr>
        <w:spacing w:after="0" w:line="163"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Closures of Applebee's and IHOP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our obligation to make rental or other payments for such properties.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18"/>
                <w:szCs w:val="18"/>
                <w:color w:val="auto"/>
              </w:rPr>
            </w:pPr>
          </w:p>
        </w:tc>
        <w:tc>
          <w:tcPr>
            <w:tcW w:w="1080" w:type="dxa"/>
            <w:vAlign w:val="bottom"/>
          </w:tcPr>
          <w:p>
            <w:pPr>
              <w:jc w:val="center"/>
              <w:ind w:right="65"/>
              <w:spacing w:after="0"/>
              <w:rPr>
                <w:sz w:val="20"/>
                <w:szCs w:val="20"/>
                <w:color w:val="auto"/>
              </w:rPr>
            </w:pPr>
            <w:r>
              <w:rPr>
                <w:rFonts w:ascii="Arial" w:cs="Arial" w:eastAsia="Arial" w:hAnsi="Arial"/>
                <w:sz w:val="14"/>
                <w:szCs w:val="14"/>
                <w:b w:val="1"/>
                <w:bCs w:val="1"/>
                <w:color w:val="auto"/>
                <w:w w:val="93"/>
              </w:rPr>
              <w:t>Favorable</w:t>
            </w:r>
          </w:p>
        </w:tc>
      </w:tr>
      <w:tr>
        <w:trPr>
          <w:trHeight w:val="27"/>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jc w:val="center"/>
              <w:ind w:right="85"/>
              <w:spacing w:after="0" w:line="27" w:lineRule="exact"/>
              <w:rPr>
                <w:sz w:val="20"/>
                <w:szCs w:val="20"/>
                <w:color w:val="auto"/>
              </w:rPr>
            </w:pPr>
            <w:r>
              <w:rPr>
                <w:rFonts w:ascii="Arial" w:cs="Arial" w:eastAsia="Arial" w:hAnsi="Arial"/>
                <w:sz w:val="3"/>
                <w:szCs w:val="3"/>
                <w:b w:val="1"/>
                <w:bCs w:val="1"/>
                <w:color w:val="auto"/>
              </w:rPr>
              <w:t>(Unfavorable)</w:t>
            </w: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2"/>
              </w:rPr>
              <w:t>Variance</w:t>
            </w:r>
          </w:p>
        </w:tc>
      </w:tr>
      <w:tr>
        <w:trPr>
          <w:trHeight w:val="201"/>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1"/>
        </w:trPr>
        <w:tc>
          <w:tcPr>
            <w:tcW w:w="20" w:type="dxa"/>
            <w:vAlign w:val="bottom"/>
            <w:shd w:val="clear" w:color="auto" w:fill="CCEEFF"/>
          </w:tcPr>
          <w:p>
            <w:pPr>
              <w:spacing w:after="0"/>
              <w:rPr>
                <w:sz w:val="20"/>
                <w:szCs w:val="20"/>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625"/>
              <w:spacing w:after="0"/>
              <w:rPr>
                <w:sz w:val="20"/>
                <w:szCs w:val="20"/>
                <w:color w:val="auto"/>
              </w:rPr>
            </w:pPr>
            <w:r>
              <w:rPr>
                <w:rFonts w:ascii="Arial" w:cs="Arial" w:eastAsia="Arial" w:hAnsi="Arial"/>
                <w:sz w:val="18"/>
                <w:szCs w:val="18"/>
                <w:color w:val="auto"/>
                <w:w w:val="91"/>
              </w:rPr>
              <w:t>(4.1)</w:t>
            </w:r>
          </w:p>
        </w:tc>
      </w:tr>
      <w:tr>
        <w:trPr>
          <w:trHeight w:val="225"/>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Rental operations</w:t>
            </w:r>
          </w:p>
        </w:tc>
        <w:tc>
          <w:tcPr>
            <w:tcW w:w="16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left="625"/>
              <w:spacing w:after="0"/>
              <w:rPr>
                <w:sz w:val="20"/>
                <w:szCs w:val="20"/>
                <w:color w:val="auto"/>
              </w:rPr>
            </w:pPr>
            <w:r>
              <w:rPr>
                <w:rFonts w:ascii="Arial" w:cs="Arial" w:eastAsia="Arial" w:hAnsi="Arial"/>
                <w:sz w:val="18"/>
                <w:szCs w:val="18"/>
                <w:color w:val="auto"/>
                <w:w w:val="91"/>
              </w:rPr>
              <w:t>(2.9)</w:t>
            </w:r>
          </w:p>
        </w:tc>
      </w:tr>
      <w:tr>
        <w:trPr>
          <w:trHeight w:val="226"/>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restaurant operations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65"/>
              <w:spacing w:after="0"/>
              <w:rPr>
                <w:sz w:val="20"/>
                <w:szCs w:val="20"/>
                <w:color w:val="auto"/>
              </w:rPr>
            </w:pPr>
            <w:r>
              <w:rPr>
                <w:rFonts w:ascii="Arial" w:cs="Arial" w:eastAsia="Arial" w:hAnsi="Arial"/>
                <w:sz w:val="18"/>
                <w:szCs w:val="18"/>
                <w:color w:val="auto"/>
                <w:w w:val="87"/>
              </w:rPr>
              <w:t>4.7</w:t>
            </w:r>
          </w:p>
        </w:tc>
      </w:tr>
      <w:tr>
        <w:trPr>
          <w:trHeight w:val="225"/>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Financing operations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25"/>
              <w:spacing w:after="0"/>
              <w:rPr>
                <w:sz w:val="20"/>
                <w:szCs w:val="20"/>
                <w:color w:val="auto"/>
              </w:rPr>
            </w:pPr>
            <w:r>
              <w:rPr>
                <w:rFonts w:ascii="Arial" w:cs="Arial" w:eastAsia="Arial" w:hAnsi="Arial"/>
                <w:sz w:val="18"/>
                <w:szCs w:val="18"/>
                <w:color w:val="auto"/>
                <w:w w:val="91"/>
              </w:rPr>
              <w:t>(0.4)</w:t>
            </w:r>
          </w:p>
        </w:tc>
      </w:tr>
      <w:tr>
        <w:trPr>
          <w:trHeight w:val="239"/>
        </w:trPr>
        <w:tc>
          <w:tcPr>
            <w:tcW w:w="20" w:type="dxa"/>
            <w:vAlign w:val="bottom"/>
            <w:shd w:val="clear" w:color="auto" w:fill="CCEEFF"/>
          </w:tcPr>
          <w:p>
            <w:pPr>
              <w:spacing w:after="0"/>
              <w:rPr>
                <w:sz w:val="20"/>
                <w:szCs w:val="20"/>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625"/>
              <w:spacing w:after="0"/>
              <w:rPr>
                <w:sz w:val="20"/>
                <w:szCs w:val="20"/>
                <w:color w:val="auto"/>
              </w:rPr>
            </w:pPr>
            <w:r>
              <w:rPr>
                <w:rFonts w:ascii="Arial" w:cs="Arial" w:eastAsia="Arial" w:hAnsi="Arial"/>
                <w:sz w:val="18"/>
                <w:szCs w:val="18"/>
                <w:color w:val="auto"/>
                <w:w w:val="91"/>
              </w:rPr>
              <w:t>(2.7)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2"/>
          </w:tcPr>
          <w:p>
            <w:pPr>
              <w:spacing w:after="0" w:line="198" w:lineRule="exact"/>
              <w:rPr>
                <w:sz w:val="20"/>
                <w:szCs w:val="20"/>
                <w:color w:val="auto"/>
              </w:rPr>
            </w:pPr>
            <w:r>
              <w:rPr>
                <w:rFonts w:ascii="Arial" w:cs="Arial" w:eastAsia="Arial" w:hAnsi="Arial"/>
                <w:sz w:val="18"/>
                <w:szCs w:val="18"/>
                <w:color w:val="auto"/>
              </w:rPr>
              <w:t>Change vs. prior period</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32"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Total revenue for franchise and rental operations for the three months ended March 31, 2021 decreased compared with the same periods of the prior year, primarily due to restaurant closures and lease-buy-outs over the past 12 months, while financing revenues declined due to the progressive decline in interest revenue as note balances are repaid. Rental operations revenue was also impacted a decline in rent paid based on a percentage of franchisees' retail sales. These declines were partially offset by an increase in revenue from Applebee's company-operated restaurants due to a higher average check and increased traffic during the three months ended March 31, 2021 as compared to the same period of the prior year.</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18"/>
                <w:szCs w:val="18"/>
                <w:color w:val="auto"/>
              </w:rPr>
            </w:pPr>
          </w:p>
        </w:tc>
        <w:tc>
          <w:tcPr>
            <w:tcW w:w="108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restart"/>
          </w:tcPr>
          <w:p>
            <w:pPr>
              <w:jc w:val="center"/>
              <w:ind w:right="81"/>
              <w:spacing w:after="0" w:line="93" w:lineRule="exact"/>
              <w:rPr>
                <w:sz w:val="20"/>
                <w:szCs w:val="20"/>
                <w:color w:val="auto"/>
              </w:rPr>
            </w:pPr>
            <w:r>
              <w:rPr>
                <w:rFonts w:ascii="Arial" w:cs="Arial" w:eastAsia="Arial" w:hAnsi="Arial"/>
                <w:sz w:val="10"/>
                <w:szCs w:val="10"/>
                <w:b w:val="1"/>
                <w:bCs w:val="1"/>
                <w:color w:val="auto"/>
              </w:rPr>
              <w:t>(Unfavorable)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restart"/>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661"/>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Rental operations</w:t>
            </w:r>
          </w:p>
        </w:tc>
        <w:tc>
          <w:tcPr>
            <w:tcW w:w="16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left="621"/>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restaurant operations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61"/>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Financing operations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21"/>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661"/>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2"/>
          </w:tcPr>
          <w:p>
            <w:pPr>
              <w:spacing w:after="0" w:line="198" w:lineRule="exact"/>
              <w:rPr>
                <w:sz w:val="20"/>
                <w:szCs w:val="20"/>
                <w:color w:val="auto"/>
              </w:rPr>
            </w:pPr>
            <w:r>
              <w:rPr>
                <w:rFonts w:ascii="Arial" w:cs="Arial" w:eastAsia="Arial" w:hAnsi="Arial"/>
                <w:sz w:val="18"/>
                <w:szCs w:val="18"/>
                <w:color w:val="auto"/>
              </w:rPr>
              <w:t>Change vs. prior period</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240" w:firstLine="318"/>
        <w:spacing w:after="0" w:line="294" w:lineRule="auto"/>
        <w:rPr>
          <w:sz w:val="20"/>
          <w:szCs w:val="20"/>
          <w:color w:val="auto"/>
        </w:rPr>
      </w:pPr>
      <w:r>
        <w:rPr>
          <w:rFonts w:ascii="Arial" w:cs="Arial" w:eastAsia="Arial" w:hAnsi="Arial"/>
          <w:sz w:val="17"/>
          <w:szCs w:val="17"/>
          <w:color w:val="auto"/>
        </w:rPr>
        <w:t>Total gross profit for the three months ended March 31, 2021 increased compared with the same period of the prior year, primarily due to the increased revenue from Applebee's company-operated restaurants, partially offset by a decline in revenue from rental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780" w:type="dxa"/>
            <w:vAlign w:val="bottom"/>
            <w:gridSpan w:val="5"/>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9"/>
              </w:rPr>
              <w:t>Favorable</w:t>
            </w: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Franchise Operations</w:t>
            </w:r>
          </w:p>
        </w:tc>
        <w:tc>
          <w:tcPr>
            <w:tcW w:w="6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restart"/>
          </w:tcPr>
          <w:p>
            <w:pPr>
              <w:jc w:val="right"/>
              <w:spacing w:after="0" w:line="133" w:lineRule="exact"/>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59"/>
        </w:trPr>
        <w:tc>
          <w:tcPr>
            <w:tcW w:w="340" w:type="dxa"/>
            <w:vAlign w:val="bottom"/>
          </w:tcPr>
          <w:p>
            <w:pPr>
              <w:spacing w:after="0"/>
              <w:rPr>
                <w:sz w:val="5"/>
                <w:szCs w:val="5"/>
                <w:color w:val="auto"/>
              </w:rPr>
            </w:pPr>
          </w:p>
        </w:tc>
        <w:tc>
          <w:tcPr>
            <w:tcW w:w="56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56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13"/>
              <w:spacing w:after="0" w:line="146" w:lineRule="exact"/>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80" w:type="dxa"/>
            <w:vAlign w:val="bottom"/>
            <w:gridSpan w:val="7"/>
          </w:tcPr>
          <w:p>
            <w:pPr>
              <w:jc w:val="right"/>
              <w:ind w:right="229"/>
              <w:spacing w:after="0"/>
              <w:rPr>
                <w:sz w:val="20"/>
                <w:szCs w:val="20"/>
                <w:color w:val="auto"/>
              </w:rPr>
            </w:pPr>
            <w:r>
              <w:rPr>
                <w:rFonts w:ascii="Arial" w:cs="Arial" w:eastAsia="Arial" w:hAnsi="Arial"/>
                <w:sz w:val="14"/>
                <w:szCs w:val="14"/>
                <w:b w:val="1"/>
                <w:bCs w:val="1"/>
                <w:color w:val="auto"/>
                <w:w w:val="93"/>
              </w:rPr>
              <w:t>(In millions, except number of restaurants)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Effective Franchise Restaurants:</w:t>
            </w:r>
            <w:r>
              <w:rPr>
                <w:rFonts w:ascii="Arial" w:cs="Arial" w:eastAsia="Arial" w:hAnsi="Arial"/>
                <w:sz w:val="10"/>
                <w:szCs w:val="10"/>
                <w:color w:val="auto"/>
              </w:rPr>
              <w:t>(1)</w:t>
            </w: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Applebee’s</w:t>
            </w:r>
          </w:p>
        </w:tc>
        <w:tc>
          <w:tcPr>
            <w:tcW w:w="6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1,628</w:t>
            </w:r>
          </w:p>
        </w:tc>
        <w:tc>
          <w:tcPr>
            <w:tcW w:w="4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1,697</w:t>
            </w: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gridSpan w:val="3"/>
            <w:vMerge w:val="restart"/>
          </w:tcPr>
          <w:p>
            <w:pPr>
              <w:ind w:left="260"/>
              <w:spacing w:after="0"/>
              <w:rPr>
                <w:sz w:val="20"/>
                <w:szCs w:val="20"/>
                <w:color w:val="auto"/>
              </w:rPr>
            </w:pPr>
            <w:r>
              <w:rPr>
                <w:rFonts w:ascii="Arial" w:cs="Arial" w:eastAsia="Arial" w:hAnsi="Arial"/>
                <w:sz w:val="18"/>
                <w:szCs w:val="18"/>
                <w:color w:val="auto"/>
              </w:rPr>
              <w:t>IHOP</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40" w:type="dxa"/>
            <w:vAlign w:val="bottom"/>
            <w:gridSpan w:val="3"/>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198" w:lineRule="exact"/>
              <w:rPr>
                <w:sz w:val="20"/>
                <w:szCs w:val="20"/>
                <w:color w:val="auto"/>
              </w:rPr>
            </w:pPr>
            <w:r>
              <w:rPr>
                <w:rFonts w:ascii="Arial" w:cs="Arial" w:eastAsia="Arial" w:hAnsi="Arial"/>
                <w:sz w:val="18"/>
                <w:szCs w:val="18"/>
                <w:color w:val="auto"/>
              </w:rPr>
              <w:t>1,720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rPr>
              <w:t>1,821</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Franchise Revenues:</w:t>
            </w: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5600" w:type="dxa"/>
            <w:vAlign w:val="bottom"/>
            <w:gridSpan w:val="2"/>
            <w:vMerge w:val="continue"/>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Applebee’s franchise fees</w:t>
            </w: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38.7</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IHOP franchise fees</w:t>
            </w:r>
          </w:p>
        </w:tc>
        <w:tc>
          <w:tcPr>
            <w:tcW w:w="6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41.4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45.5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Advertising fees</w:t>
            </w:r>
          </w:p>
        </w:tc>
        <w:tc>
          <w:tcPr>
            <w:tcW w:w="6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61.8</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Total franchise revenues</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141.0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145.1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5600" w:type="dxa"/>
            <w:vAlign w:val="bottom"/>
            <w:gridSpan w:val="2"/>
          </w:tcPr>
          <w:p>
            <w:pPr>
              <w:spacing w:after="0" w:line="205" w:lineRule="exact"/>
              <w:rPr>
                <w:sz w:val="20"/>
                <w:szCs w:val="20"/>
                <w:color w:val="auto"/>
              </w:rPr>
            </w:pPr>
            <w:r>
              <w:rPr>
                <w:rFonts w:ascii="Arial" w:cs="Arial" w:eastAsia="Arial" w:hAnsi="Arial"/>
                <w:sz w:val="18"/>
                <w:szCs w:val="18"/>
                <w:color w:val="auto"/>
              </w:rPr>
              <w:t>Franchise Expenses: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Applebee’s</w:t>
            </w: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IHOP</w:t>
            </w:r>
          </w:p>
        </w:tc>
        <w:tc>
          <w:tcPr>
            <w:tcW w:w="6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Advertising expenses</w:t>
            </w:r>
          </w:p>
        </w:tc>
        <w:tc>
          <w:tcPr>
            <w:tcW w:w="6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61.8</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Total franchise expenses</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69.5</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5600" w:type="dxa"/>
            <w:vAlign w:val="bottom"/>
            <w:gridSpan w:val="2"/>
          </w:tcPr>
          <w:p>
            <w:pPr>
              <w:spacing w:after="0" w:line="205" w:lineRule="exact"/>
              <w:rPr>
                <w:sz w:val="20"/>
                <w:szCs w:val="20"/>
                <w:color w:val="auto"/>
              </w:rPr>
            </w:pPr>
            <w:r>
              <w:rPr>
                <w:rFonts w:ascii="Arial" w:cs="Arial" w:eastAsia="Arial" w:hAnsi="Arial"/>
                <w:sz w:val="18"/>
                <w:szCs w:val="18"/>
                <w:color w:val="auto"/>
              </w:rPr>
              <w:t>Franchise Gross Profit:</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Applebee’s</w:t>
            </w: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36.6</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IHOP</w:t>
            </w: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38.4</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39.0</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9"/>
        </w:trPr>
        <w:tc>
          <w:tcPr>
            <w:tcW w:w="34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franchise gross profit</w:t>
            </w: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0" w:type="dxa"/>
            <w:vAlign w:val="bottom"/>
          </w:tcPr>
          <w:p>
            <w:pPr>
              <w:spacing w:after="0"/>
              <w:rPr>
                <w:sz w:val="17"/>
                <w:szCs w:val="17"/>
                <w:color w:val="auto"/>
              </w:rPr>
            </w:pPr>
          </w:p>
        </w:tc>
        <w:tc>
          <w:tcPr>
            <w:tcW w:w="5600" w:type="dxa"/>
            <w:vAlign w:val="bottom"/>
            <w:gridSpan w:val="2"/>
          </w:tcPr>
          <w:p>
            <w:pPr>
              <w:spacing w:after="0" w:line="199"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2"/>
                <w:szCs w:val="22"/>
                <w:color w:val="auto"/>
                <w:vertAlign w:val="superscript"/>
              </w:rPr>
              <w:t>(2)</w:t>
            </w:r>
          </w:p>
        </w:tc>
        <w:tc>
          <w:tcPr>
            <w:tcW w:w="6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198" w:lineRule="exact"/>
              <w:rPr>
                <w:sz w:val="20"/>
                <w:szCs w:val="20"/>
                <w:color w:val="auto"/>
              </w:rPr>
            </w:pPr>
            <w:r>
              <w:rPr>
                <w:rFonts w:ascii="Arial" w:cs="Arial" w:eastAsia="Arial" w:hAnsi="Arial"/>
                <w:sz w:val="18"/>
                <w:szCs w:val="18"/>
                <w:color w:val="auto"/>
              </w:rPr>
              <w:t>53.9</w:t>
            </w:r>
          </w:p>
        </w:tc>
        <w:tc>
          <w:tcPr>
            <w:tcW w:w="4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rPr>
              <w:t>52.1</w:t>
            </w:r>
          </w:p>
        </w:tc>
        <w:tc>
          <w:tcPr>
            <w:tcW w:w="3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 w:type="dxa"/>
            <w:vAlign w:val="bottom"/>
          </w:tcPr>
          <w:p>
            <w:pPr>
              <w:spacing w:after="0"/>
              <w:rPr>
                <w:sz w:val="18"/>
                <w:szCs w:val="18"/>
                <w:color w:val="auto"/>
              </w:rPr>
            </w:pPr>
          </w:p>
        </w:tc>
        <w:tc>
          <w:tcPr>
            <w:tcW w:w="5600" w:type="dxa"/>
            <w:vAlign w:val="bottom"/>
            <w:gridSpan w:val="2"/>
          </w:tcPr>
          <w:p>
            <w:pPr>
              <w:spacing w:after="0" w:line="219" w:lineRule="exact"/>
              <w:rPr>
                <w:sz w:val="20"/>
                <w:szCs w:val="20"/>
                <w:color w:val="auto"/>
              </w:rPr>
            </w:pPr>
            <w:r>
              <w:rPr>
                <w:rFonts w:ascii="Arial" w:cs="Arial" w:eastAsia="Arial" w:hAnsi="Arial"/>
                <w:sz w:val="18"/>
                <w:szCs w:val="18"/>
                <w:color w:val="auto"/>
              </w:rPr>
              <w:t xml:space="preserve">Gross profit as % of franchise fees </w:t>
            </w:r>
            <w:r>
              <w:rPr>
                <w:rFonts w:ascii="Arial" w:cs="Arial" w:eastAsia="Arial" w:hAnsi="Arial"/>
                <w:sz w:val="22"/>
                <w:szCs w:val="22"/>
                <w:color w:val="auto"/>
                <w:vertAlign w:val="superscript"/>
              </w:rPr>
              <w:t>(2)(3)</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90.7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w:t>
      </w:r>
    </w:p>
    <w:p>
      <w:pPr>
        <w:spacing w:after="0" w:line="2" w:lineRule="exact"/>
        <w:rPr>
          <w:sz w:val="20"/>
          <w:szCs w:val="20"/>
          <w:color w:val="auto"/>
        </w:rPr>
      </w:pPr>
    </w:p>
    <w:p>
      <w:pPr>
        <w:ind w:left="160" w:right="220" w:hanging="154"/>
        <w:spacing w:after="0" w:line="252" w:lineRule="auto"/>
        <w:tabs>
          <w:tab w:leader="none" w:pos="131"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Effective Franchise Restaurants are the weighted average number of franchise and area license restaurants open in each fiscal period, adjusted to account for restaurants open for only a portion of the period.</w:t>
      </w:r>
    </w:p>
    <w:p>
      <w:pPr>
        <w:ind w:left="140" w:hanging="134"/>
        <w:spacing w:after="0" w:line="207"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Percentages calculated on actual amounts, not rounded amounts presented above.</w:t>
      </w:r>
    </w:p>
    <w:p>
      <w:pPr>
        <w:ind w:left="160" w:right="380" w:hanging="154"/>
        <w:spacing w:after="0" w:line="235" w:lineRule="auto"/>
        <w:tabs>
          <w:tab w:leader="none" w:pos="143"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From time to time, advertising fee revenue may be different from advertising expenses in a given accounting period. Over the long term, advertising activity should not generate gross profit or loss.</w:t>
      </w:r>
    </w:p>
    <w:p>
      <w:pPr>
        <w:spacing w:after="0" w:line="200" w:lineRule="exact"/>
        <w:rPr>
          <w:sz w:val="20"/>
          <w:szCs w:val="20"/>
          <w:color w:val="auto"/>
        </w:rPr>
      </w:pPr>
    </w:p>
    <w:p>
      <w:pPr>
        <w:spacing w:after="0" w:line="263"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Applebee’s franchise fee revenue for the three months ended March 31, 2021 increased 2.2% compared to the same period of the prior year. Approximately $1.3 million of the increase was due to the improvement in domestic franchise same-restaurant sales, approximately $1.0 million was due to improved collectibility and a slightly higher effective royalty rate, and $0.6 million was due to an increase in other franchise fees. These favorable items were partially offset by a $1.0 million decrease in royalty revenue due to restaurant closures, a $0.5 million increase in delivery credits that reduce royalty revenue and an $0.8 million decrease in international revenues.</w:t>
      </w:r>
    </w:p>
    <w:p>
      <w:pPr>
        <w:spacing w:after="0" w:line="22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decrease in Applebee's franchise expenses for the three months ended March 31, 2021 compared with the same period of the prior year primarily was due to a decrease in bad debt expense. Bad debt expense for the three months ended March 31, 2021 was less than $0.1 million as compared to bad debt expense of $0.3 million during the three months ended March 31, 2020.</w:t>
      </w:r>
    </w:p>
    <w:p>
      <w:pPr>
        <w:spacing w:after="0" w:line="215"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IHOP franchise fee revenue for the three months ended March 31, 2021 decreased 8.9% compared to the same period of the prior year, primarily due to lower royalty and pancake and waffle dry mix revenues resulting from a decrease in domestic franchise same-restaurant sales, a decline of $0.9 million in international revenues and a decrease of $0.6 million due to restaurant closures. These unfavorable changes were partially offset by a $1.6 million increase in termination and other franchise fees.</w:t>
      </w:r>
    </w:p>
    <w:p>
      <w:pPr>
        <w:spacing w:after="0" w:line="217"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auto"/>
        </w:rPr>
        <w:t>IHOP franchise expenses for the three months ended March 31, 2021 declined from the same period of the prior year primarily due to a $2.3 million decrease in bad debt expense and a decline in purchases of pancake and waffle dry mix. IHOP reduced its allowance for bad debts by $2.1 million during the three months ended March 31, 2021 compared to a bad debt expense of $0.2 million in the prior year period. Favorable changes to the aging status of certain franchisee receivables resulted in a downward revision of estimated reserve requirements.</w:t>
      </w: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Advertising revenue and expense by brand for the three months ended March 31, 2021 and 2020 were as follows:</w:t>
      </w:r>
    </w:p>
    <w:p>
      <w:pPr>
        <w:spacing w:after="0" w:line="295"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3080" w:type="dxa"/>
            <w:vAlign w:val="bottom"/>
            <w:gridSpan w:val="6"/>
          </w:tcPr>
          <w:p>
            <w:pPr>
              <w:ind w:left="58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w w:val="95"/>
              </w:rPr>
              <w:t>Increase</w:t>
            </w:r>
          </w:p>
        </w:tc>
      </w:tr>
      <w:tr>
        <w:trPr>
          <w:trHeight w:val="203"/>
        </w:trPr>
        <w:tc>
          <w:tcPr>
            <w:tcW w:w="676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6"/>
                <w:szCs w:val="16"/>
                <w:b w:val="1"/>
                <w:bCs w:val="1"/>
                <w:color w:val="auto"/>
              </w:rPr>
              <w:t>(decrease)</w:t>
            </w:r>
          </w:p>
        </w:tc>
      </w:tr>
      <w:tr>
        <w:trPr>
          <w:trHeight w:val="179"/>
        </w:trPr>
        <w:tc>
          <w:tcPr>
            <w:tcW w:w="6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6"/>
        </w:trPr>
        <w:tc>
          <w:tcPr>
            <w:tcW w:w="6760" w:type="dxa"/>
            <w:vAlign w:val="bottom"/>
          </w:tcPr>
          <w:p>
            <w:pPr>
              <w:ind w:left="340"/>
              <w:spacing w:after="0"/>
              <w:rPr>
                <w:sz w:val="20"/>
                <w:szCs w:val="20"/>
                <w:color w:val="auto"/>
              </w:rPr>
            </w:pPr>
            <w:r>
              <w:rPr>
                <w:rFonts w:ascii="Arial" w:cs="Arial" w:eastAsia="Arial" w:hAnsi="Arial"/>
                <w:sz w:val="18"/>
                <w:szCs w:val="18"/>
                <w:color w:val="auto"/>
              </w:rPr>
              <w:t>Advertising Revenues and Expenses:</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6"/>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Applebee’s</w:t>
            </w:r>
          </w:p>
        </w:tc>
        <w:tc>
          <w:tcPr>
            <w:tcW w:w="10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67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IHOP</w:t>
            </w: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advertising revenues and expenses</w:t>
            </w:r>
          </w:p>
        </w:tc>
        <w:tc>
          <w:tcPr>
            <w:tcW w:w="10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60.9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319" w:lineRule="exact"/>
        <w:rPr>
          <w:sz w:val="20"/>
          <w:szCs w:val="20"/>
          <w:color w:val="auto"/>
        </w:rPr>
      </w:pPr>
    </w:p>
    <w:p>
      <w:pPr>
        <w:ind w:right="160" w:firstLine="318"/>
        <w:spacing w:after="0" w:line="249" w:lineRule="auto"/>
        <w:rPr>
          <w:sz w:val="20"/>
          <w:szCs w:val="20"/>
          <w:color w:val="auto"/>
        </w:rPr>
      </w:pPr>
      <w:r>
        <w:rPr>
          <w:rFonts w:ascii="Arial" w:cs="Arial" w:eastAsia="Arial" w:hAnsi="Arial"/>
          <w:sz w:val="18"/>
          <w:szCs w:val="18"/>
          <w:color w:val="auto"/>
        </w:rPr>
        <w:t>Applebee's advertising revenue and expense for the three months ended March 31, 2021 increased 5.7% compared to the same period of the prior year. Approximately $2.1 million of the increase was due to improved collectibilty from franchisees, and $1.4 million was due to the increase in domestic franchise same-restaurant sales. Partially offsetting the increases was a decrease of $1.1 million due to permanent domestic restaurant closures and a $0.5 million increase in delivery credits that reduce advertising revenue. IHOP's advertising revenue and expense for the three months ended March 31, 2021 decreased 11.6% compared to the same period of the prior year, primarily due to the decrease in domestic franchise same-restaurant sales, as well as a $0.5 million decrease due to permanent restaurant closures.</w:t>
      </w:r>
    </w:p>
    <w:p>
      <w:pPr>
        <w:spacing w:after="0" w:line="222"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200" w:lineRule="exact"/>
        <w:rPr>
          <w:sz w:val="20"/>
          <w:szCs w:val="20"/>
          <w:color w:val="auto"/>
        </w:rPr>
      </w:pPr>
    </w:p>
    <w:p>
      <w:pPr>
        <w:spacing w:after="0" w:line="29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Rental Operations</w:t>
            </w:r>
          </w:p>
        </w:tc>
        <w:tc>
          <w:tcPr>
            <w:tcW w:w="700" w:type="dxa"/>
            <w:vAlign w:val="bottom"/>
          </w:tcPr>
          <w:p>
            <w:pPr>
              <w:spacing w:after="0"/>
              <w:rPr>
                <w:sz w:val="17"/>
                <w:szCs w:val="17"/>
                <w:color w:val="auto"/>
              </w:rPr>
            </w:pPr>
          </w:p>
        </w:tc>
        <w:tc>
          <w:tcPr>
            <w:tcW w:w="2800" w:type="dxa"/>
            <w:vAlign w:val="bottom"/>
            <w:gridSpan w:val="5"/>
          </w:tcPr>
          <w:p>
            <w:pPr>
              <w:jc w:val="right"/>
              <w:ind w:right="256"/>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(Unfavorable) Varia</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26.1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29.0</w:t>
            </w:r>
          </w:p>
        </w:tc>
        <w:tc>
          <w:tcPr>
            <w:tcW w:w="98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34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Rental expenses</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20.9</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22.5</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34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operations gross profit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6.5</w:t>
            </w:r>
          </w:p>
        </w:tc>
        <w:tc>
          <w:tcPr>
            <w:tcW w:w="98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0" w:type="dxa"/>
            <w:vAlign w:val="bottom"/>
          </w:tcPr>
          <w:p>
            <w:pPr>
              <w:spacing w:after="0"/>
              <w:rPr>
                <w:sz w:val="17"/>
                <w:szCs w:val="17"/>
                <w:color w:val="auto"/>
              </w:rPr>
            </w:pPr>
          </w:p>
        </w:tc>
        <w:tc>
          <w:tcPr>
            <w:tcW w:w="5440" w:type="dxa"/>
            <w:vAlign w:val="bottom"/>
            <w:gridSpan w:val="2"/>
          </w:tcPr>
          <w:p>
            <w:pPr>
              <w:spacing w:after="0" w:line="199"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2"/>
                <w:szCs w:val="22"/>
                <w:color w:val="auto"/>
                <w:vertAlign w:val="superscript"/>
              </w:rPr>
              <w:t>(1)</w:t>
            </w: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5"/>
              <w:spacing w:after="0" w:line="198" w:lineRule="exact"/>
              <w:rPr>
                <w:sz w:val="20"/>
                <w:szCs w:val="20"/>
                <w:color w:val="auto"/>
              </w:rPr>
            </w:pPr>
            <w:r>
              <w:rPr>
                <w:rFonts w:ascii="Arial" w:cs="Arial" w:eastAsia="Arial" w:hAnsi="Arial"/>
                <w:sz w:val="18"/>
                <w:szCs w:val="18"/>
                <w:color w:val="auto"/>
              </w:rPr>
              <w:t>19.8</w:t>
            </w:r>
          </w:p>
        </w:tc>
        <w:tc>
          <w:tcPr>
            <w:tcW w:w="3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6"/>
              <w:spacing w:after="0" w:line="198" w:lineRule="exact"/>
              <w:rPr>
                <w:sz w:val="20"/>
                <w:szCs w:val="20"/>
                <w:color w:val="auto"/>
              </w:rPr>
            </w:pPr>
            <w:r>
              <w:rPr>
                <w:rFonts w:ascii="Arial" w:cs="Arial" w:eastAsia="Arial" w:hAnsi="Arial"/>
                <w:sz w:val="18"/>
                <w:szCs w:val="18"/>
                <w:color w:val="auto"/>
              </w:rPr>
              <w:t>22.3</w:t>
            </w:r>
          </w:p>
        </w:tc>
        <w:tc>
          <w:tcPr>
            <w:tcW w:w="3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w:t>
      </w:r>
    </w:p>
    <w:p>
      <w:pPr>
        <w:spacing w:after="0" w:line="48" w:lineRule="exact"/>
        <w:rPr>
          <w:sz w:val="20"/>
          <w:szCs w:val="20"/>
          <w:color w:val="auto"/>
        </w:rPr>
      </w:pPr>
    </w:p>
    <w:p>
      <w:pPr>
        <w:ind w:left="140" w:hanging="134"/>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Percentages calculated on actual amounts, not rounded amounts presented above.</w:t>
      </w:r>
    </w:p>
    <w:p>
      <w:pPr>
        <w:spacing w:after="0" w:line="277"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Rental operations relate primarily to IHOP franchise restaurants. Rental income includes sublease revenue from operating leases and interest income from direct financing leases. Rental expenses are costs of prime operating leases and interest expense on prime finance leases.</w:t>
      </w:r>
    </w:p>
    <w:p>
      <w:pPr>
        <w:spacing w:after="0" w:line="184"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Rental segment revenue for the three months ended March 31, 2021 decreased as compared to the same period of the prior year, primarily due to a $0.9 million decrease in rental income based on a percentage of franchisees' retail sales, a $0.9 million decrease due to restaurant closures and lease buy-outs, a $0.7 million progressive decline in level rent adjustments and a progressive decline of $0.4 million in interest income as direct financing leases are repaid. Rental segment expenses for the three months ended March 31, 2021 decreased compared to the same period of the prior year due to an $0.8 million decrease in rental expenses, primarily due to restaurant closures and lease buy-outs, a $0.4 million decrease in depreciation expense, a $0.2 million decrease in rent paid based on a percentage of franchisees' retail sales and a $0.2 million decrease in interest expense as finance lease obligations are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Restaurant Operations</w:t>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right"/>
              <w:ind w:right="235"/>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22"/>
        </w:trPr>
        <w:tc>
          <w:tcPr>
            <w:tcW w:w="5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vMerge w:val="restart"/>
          </w:tcPr>
          <w:p>
            <w:pPr>
              <w:jc w:val="right"/>
              <w:ind w:right="155"/>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8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(Unfavorable) Varia</w:t>
            </w:r>
          </w:p>
        </w:tc>
        <w:tc>
          <w:tcPr>
            <w:tcW w:w="0" w:type="dxa"/>
            <w:vAlign w:val="bottom"/>
          </w:tcPr>
          <w:p>
            <w:pPr>
              <w:spacing w:after="0"/>
              <w:rPr>
                <w:sz w:val="1"/>
                <w:szCs w:val="1"/>
                <w:color w:val="auto"/>
              </w:rPr>
            </w:pPr>
          </w:p>
        </w:tc>
      </w:tr>
      <w:tr>
        <w:trPr>
          <w:trHeight w:val="140"/>
        </w:trPr>
        <w:tc>
          <w:tcPr>
            <w:tcW w:w="5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Effective Restaurants</w:t>
            </w:r>
          </w:p>
        </w:tc>
        <w:tc>
          <w:tcPr>
            <w:tcW w:w="6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69</w:t>
            </w: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69</w:t>
            </w: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CEEFF"/>
          </w:tcPr>
          <w:p>
            <w:pPr>
              <w:ind w:left="340"/>
              <w:spacing w:after="0" w:line="226" w:lineRule="exact"/>
              <w:rPr>
                <w:sz w:val="20"/>
                <w:szCs w:val="20"/>
                <w:color w:val="auto"/>
              </w:rPr>
            </w:pPr>
            <w:r>
              <w:rPr>
                <w:rFonts w:ascii="Arial" w:cs="Arial" w:eastAsia="Arial" w:hAnsi="Arial"/>
                <w:sz w:val="18"/>
                <w:szCs w:val="18"/>
                <w:color w:val="auto"/>
              </w:rPr>
              <w:t xml:space="preserve">Applebee's Company restaurant sales </w:t>
            </w:r>
            <w:r>
              <w:rPr>
                <w:rFonts w:ascii="Arial" w:cs="Arial" w:eastAsia="Arial" w:hAnsi="Arial"/>
                <w:sz w:val="22"/>
                <w:szCs w:val="22"/>
                <w:color w:val="auto"/>
                <w:vertAlign w:val="superscript"/>
              </w:rPr>
              <w:t>(1)</w:t>
            </w: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31.3</w:t>
            </w:r>
          </w:p>
        </w:tc>
        <w:tc>
          <w:tcPr>
            <w:tcW w:w="96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5860" w:type="dxa"/>
            <w:vAlign w:val="bottom"/>
          </w:tcPr>
          <w:p>
            <w:pPr>
              <w:ind w:left="340"/>
              <w:spacing w:after="0" w:line="225" w:lineRule="exact"/>
              <w:rPr>
                <w:sz w:val="20"/>
                <w:szCs w:val="20"/>
                <w:color w:val="auto"/>
              </w:rPr>
            </w:pPr>
            <w:r>
              <w:rPr>
                <w:rFonts w:ascii="Arial" w:cs="Arial" w:eastAsia="Arial" w:hAnsi="Arial"/>
                <w:sz w:val="18"/>
                <w:szCs w:val="18"/>
                <w:color w:val="auto"/>
              </w:rPr>
              <w:t xml:space="preserve">Applebee's Company restaurant expenses </w:t>
            </w:r>
            <w:r>
              <w:rPr>
                <w:rFonts w:ascii="Arial" w:cs="Arial" w:eastAsia="Arial" w:hAnsi="Arial"/>
                <w:sz w:val="22"/>
                <w:szCs w:val="22"/>
                <w:color w:val="auto"/>
                <w:vertAlign w:val="superscript"/>
              </w:rPr>
              <w:t>(1)</w:t>
            </w:r>
          </w:p>
        </w:tc>
        <w:tc>
          <w:tcPr>
            <w:tcW w:w="680" w:type="dxa"/>
            <w:vAlign w:val="bottom"/>
          </w:tcPr>
          <w:p>
            <w:pPr>
              <w:spacing w:after="0"/>
              <w:rPr>
                <w:sz w:val="19"/>
                <w:szCs w:val="19"/>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32.7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30.3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586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 xml:space="preserve">IHOP restaurant expenses </w:t>
            </w:r>
            <w:r>
              <w:rPr>
                <w:rFonts w:ascii="Arial" w:cs="Arial" w:eastAsia="Arial" w:hAnsi="Arial"/>
                <w:sz w:val="22"/>
                <w:szCs w:val="22"/>
                <w:color w:val="auto"/>
                <w:vertAlign w:val="superscript"/>
              </w:rPr>
              <w:t>(2)</w:t>
            </w:r>
          </w:p>
        </w:tc>
        <w:tc>
          <w:tcPr>
            <w:tcW w:w="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5860" w:type="dxa"/>
            <w:vAlign w:val="bottom"/>
          </w:tcPr>
          <w:p>
            <w:pPr>
              <w:ind w:left="340"/>
              <w:spacing w:after="0"/>
              <w:rPr>
                <w:sz w:val="20"/>
                <w:szCs w:val="20"/>
                <w:color w:val="auto"/>
              </w:rPr>
            </w:pPr>
            <w:r>
              <w:rPr>
                <w:rFonts w:ascii="Arial" w:cs="Arial" w:eastAsia="Arial" w:hAnsi="Arial"/>
                <w:sz w:val="18"/>
                <w:szCs w:val="18"/>
                <w:color w:val="auto"/>
              </w:rPr>
              <w:t>Company restaurant gross profit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ind w:right="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Average weekly sales (in thousands)</w:t>
            </w: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39.9</w:t>
            </w:r>
          </w:p>
        </w:tc>
        <w:tc>
          <w:tcPr>
            <w:tcW w:w="3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34.8</w:t>
            </w:r>
          </w:p>
        </w:tc>
        <w:tc>
          <w:tcPr>
            <w:tcW w:w="3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60" w:type="dxa"/>
            <w:vAlign w:val="bottom"/>
          </w:tcPr>
          <w:p>
            <w:pPr>
              <w:ind w:left="340"/>
              <w:spacing w:after="0" w:line="199"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2"/>
                <w:szCs w:val="22"/>
                <w:color w:val="auto"/>
                <w:vertAlign w:val="superscript"/>
              </w:rPr>
              <w:t>(3)</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4"/>
              <w:spacing w:after="0" w:line="198" w:lineRule="exact"/>
              <w:rPr>
                <w:sz w:val="20"/>
                <w:szCs w:val="20"/>
                <w:color w:val="auto"/>
              </w:rPr>
            </w:pPr>
            <w:r>
              <w:rPr>
                <w:rFonts w:ascii="Arial" w:cs="Arial" w:eastAsia="Arial" w:hAnsi="Arial"/>
                <w:sz w:val="18"/>
                <w:szCs w:val="18"/>
                <w:color w:val="auto"/>
              </w:rPr>
              <w:t>9.0</w:t>
            </w:r>
          </w:p>
        </w:tc>
        <w:tc>
          <w:tcPr>
            <w:tcW w:w="3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5"/>
              <w:spacing w:after="0" w:line="198" w:lineRule="exact"/>
              <w:rPr>
                <w:sz w:val="20"/>
                <w:szCs w:val="20"/>
                <w:color w:val="auto"/>
              </w:rPr>
            </w:pPr>
            <w:r>
              <w:rPr>
                <w:rFonts w:ascii="Arial" w:cs="Arial" w:eastAsia="Arial" w:hAnsi="Arial"/>
                <w:sz w:val="18"/>
                <w:szCs w:val="18"/>
                <w:color w:val="auto"/>
              </w:rPr>
              <w:t>3.1</w:t>
            </w:r>
          </w:p>
        </w:tc>
        <w:tc>
          <w:tcPr>
            <w:tcW w:w="3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48" w:lineRule="exact"/>
        <w:rPr>
          <w:sz w:val="20"/>
          <w:szCs w:val="20"/>
          <w:color w:val="auto"/>
        </w:rPr>
      </w:pPr>
    </w:p>
    <w:p>
      <w:pPr>
        <w:ind w:left="140" w:hanging="134"/>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Related to 69 Applebee's company-operated restaurants.</w:t>
      </w:r>
    </w:p>
    <w:p>
      <w:pPr>
        <w:spacing w:after="0" w:line="44" w:lineRule="exact"/>
        <w:rPr>
          <w:rFonts w:ascii="Arial" w:cs="Arial" w:eastAsia="Arial" w:hAnsi="Arial"/>
          <w:sz w:val="16"/>
          <w:szCs w:val="16"/>
          <w:color w:val="auto"/>
          <w:vertAlign w:val="superscript"/>
        </w:rPr>
      </w:pPr>
    </w:p>
    <w:p>
      <w:pPr>
        <w:ind w:left="140" w:hanging="134"/>
        <w:spacing w:after="0" w:line="218" w:lineRule="auto"/>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Costs associated with IHOP restaurants in the process of being refranchised.</w:t>
      </w:r>
    </w:p>
    <w:p>
      <w:pPr>
        <w:spacing w:after="0" w:line="44" w:lineRule="exact"/>
        <w:rPr>
          <w:rFonts w:ascii="Arial" w:cs="Arial" w:eastAsia="Arial" w:hAnsi="Arial"/>
          <w:sz w:val="16"/>
          <w:szCs w:val="16"/>
          <w:color w:val="auto"/>
          <w:vertAlign w:val="superscript"/>
        </w:rPr>
      </w:pPr>
    </w:p>
    <w:p>
      <w:pPr>
        <w:ind w:left="140" w:hanging="134"/>
        <w:spacing w:after="0" w:line="218" w:lineRule="auto"/>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Calculated for Applebee's company-operated restaurants only. Percentages calculated on actual amounts, not rounded amounts presented above.</w:t>
      </w:r>
    </w:p>
    <w:p>
      <w:pPr>
        <w:spacing w:after="0" w:line="225" w:lineRule="exact"/>
        <w:rPr>
          <w:sz w:val="20"/>
          <w:szCs w:val="20"/>
          <w:color w:val="auto"/>
        </w:rPr>
      </w:pPr>
    </w:p>
    <w:p>
      <w:pPr>
        <w:ind w:right="140" w:firstLine="238"/>
        <w:spacing w:after="0" w:line="248" w:lineRule="auto"/>
        <w:rPr>
          <w:sz w:val="20"/>
          <w:szCs w:val="20"/>
          <w:color w:val="auto"/>
        </w:rPr>
      </w:pPr>
      <w:r>
        <w:rPr>
          <w:rFonts w:ascii="Arial" w:cs="Arial" w:eastAsia="Arial" w:hAnsi="Arial"/>
          <w:sz w:val="18"/>
          <w:szCs w:val="18"/>
          <w:color w:val="auto"/>
        </w:rPr>
        <w:t>Applebee's company restaurant sales for the three months ended March 31, 2021 increased compared to the same period of 2020, due to an increase in average check as well as an increase in traffic. The increase in average check was due to favorable product mix and daypart shifts. We believe the distribution of the latest round of government stimulus checks in March 2021 favorably impacted both traffic and average check. All 69 of the Applebee's company-operated restaurants are located in South Carolina or North Carolina. Since the second week of January 2021, the 27 restaurants in South Carolina have operated without capacity limitations, while the 42 restaurants in North Carolina have operated at 50% capacity. In comparison, all 69 restaurants operated without restriction for the first 10 weeks of the 2020 first quarter but essentially were limited to off-premise sales for the last three weeks of the first quarter of 2020.</w:t>
      </w:r>
    </w:p>
    <w:p>
      <w:pPr>
        <w:spacing w:after="0" w:line="225" w:lineRule="exact"/>
        <w:rPr>
          <w:sz w:val="20"/>
          <w:szCs w:val="20"/>
          <w:color w:val="auto"/>
        </w:rPr>
      </w:pPr>
    </w:p>
    <w:p>
      <w:pPr>
        <w:ind w:right="100" w:firstLine="238"/>
        <w:spacing w:after="0" w:line="264" w:lineRule="auto"/>
        <w:rPr>
          <w:sz w:val="20"/>
          <w:szCs w:val="20"/>
          <w:color w:val="auto"/>
        </w:rPr>
      </w:pPr>
      <w:r>
        <w:rPr>
          <w:rFonts w:ascii="Arial" w:cs="Arial" w:eastAsia="Arial" w:hAnsi="Arial"/>
          <w:sz w:val="18"/>
          <w:szCs w:val="18"/>
          <w:color w:val="auto"/>
        </w:rPr>
        <w:t>Gross profit and gross profit as a percentage of revenue for the three months ended March 31, 2021 improved compared to gross profit for the three months ended March 31, 2020, which was adversely impacted by the COVID-19-related operating constraints described above.</w:t>
      </w:r>
    </w:p>
    <w:p>
      <w:pPr>
        <w:spacing w:after="0" w:line="207" w:lineRule="exact"/>
        <w:rPr>
          <w:sz w:val="20"/>
          <w:szCs w:val="20"/>
          <w:color w:val="auto"/>
        </w:rPr>
      </w:pPr>
    </w:p>
    <w:p>
      <w:pPr>
        <w:ind w:right="140" w:firstLine="238"/>
        <w:spacing w:after="0" w:line="255" w:lineRule="auto"/>
        <w:rPr>
          <w:sz w:val="20"/>
          <w:szCs w:val="20"/>
          <w:color w:val="auto"/>
        </w:rPr>
      </w:pPr>
      <w:r>
        <w:rPr>
          <w:rFonts w:ascii="Arial" w:cs="Arial" w:eastAsia="Arial" w:hAnsi="Arial"/>
          <w:sz w:val="18"/>
          <w:szCs w:val="18"/>
          <w:color w:val="auto"/>
        </w:rPr>
        <w:t>In addition, Company segment restaurant expenses for the three months ended March 31, 2021 include approximately $0.2 million of costs associated with reacquired IHOP restaurants in the process of being refranchised. None of the reacquired IHOP restaurants were operated during the three months ended March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Operations</w:t>
      </w:r>
    </w:p>
    <w:p>
      <w:pPr>
        <w:spacing w:after="0" w:line="250"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Financing revenues primarily consist of interest income from the financing of IHOP equipment leases and franchise fees as well as interest income on Applebee's notes receivable from franchisees. Financing expenses are the cost of taxes related to IHOP equipment leases.</w:t>
      </w:r>
    </w:p>
    <w:p>
      <w:pPr>
        <w:spacing w:after="0" w:line="184"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Financing revenue and gross profit for the three months ended March 31, 2021 declined primarily because of progressive decline in interest income as note balances are repaid.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G&amp;A Expenses</w:t>
            </w:r>
          </w:p>
        </w:tc>
        <w:tc>
          <w:tcPr>
            <w:tcW w:w="140" w:type="dxa"/>
            <w:vAlign w:val="bottom"/>
          </w:tcPr>
          <w:p>
            <w:pPr>
              <w:spacing w:after="0"/>
              <w:rPr>
                <w:sz w:val="18"/>
                <w:szCs w:val="18"/>
                <w:color w:val="auto"/>
              </w:rPr>
            </w:pPr>
          </w:p>
        </w:tc>
        <w:tc>
          <w:tcPr>
            <w:tcW w:w="246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18"/>
                <w:szCs w:val="18"/>
                <w:color w:val="auto"/>
              </w:rPr>
            </w:pPr>
          </w:p>
        </w:tc>
        <w:tc>
          <w:tcPr>
            <w:tcW w:w="116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w w:val="90"/>
              </w:rPr>
              <w:t>Favorable</w:t>
            </w:r>
          </w:p>
        </w:tc>
        <w:tc>
          <w:tcPr>
            <w:tcW w:w="0" w:type="dxa"/>
            <w:vAlign w:val="bottom"/>
          </w:tcPr>
          <w:p>
            <w:pPr>
              <w:spacing w:after="0"/>
              <w:rPr>
                <w:sz w:val="1"/>
                <w:szCs w:val="1"/>
                <w:color w:val="auto"/>
              </w:rPr>
            </w:pPr>
          </w:p>
        </w:tc>
      </w:tr>
      <w:tr>
        <w:trPr>
          <w:trHeight w:val="99"/>
        </w:trPr>
        <w:tc>
          <w:tcPr>
            <w:tcW w:w="1160" w:type="dxa"/>
            <w:vAlign w:val="bottom"/>
            <w:tcBorders>
              <w:top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55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vMerge w:val="restart"/>
          </w:tcPr>
          <w:p>
            <w:pPr>
              <w:jc w:val="center"/>
              <w:ind w:right="86"/>
              <w:spacing w:after="0" w:line="119"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5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jc w:val="right"/>
              <w:ind w:right="3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vMerge w:val="restart"/>
          </w:tcPr>
          <w:p>
            <w:pPr>
              <w:jc w:val="right"/>
              <w:ind w:right="356"/>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740" w:type="dxa"/>
            <w:vAlign w:val="bottom"/>
            <w:gridSpan w:val="2"/>
          </w:tcPr>
          <w:p>
            <w:pPr>
              <w:spacing w:after="0"/>
              <w:rPr>
                <w:sz w:val="20"/>
                <w:szCs w:val="20"/>
                <w:color w:val="auto"/>
              </w:rPr>
            </w:pPr>
            <w:r>
              <w:rPr>
                <w:rFonts w:ascii="Arial" w:cs="Arial" w:eastAsia="Arial" w:hAnsi="Arial"/>
                <w:sz w:val="18"/>
                <w:szCs w:val="18"/>
                <w:color w:val="auto"/>
              </w:rPr>
              <w:t>Total G&amp;A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G&amp;A expenses for the three months ended March 31, 2021 increased 6.1% compared to the same period of the prior year, primarily due to an increase in personnel-related costs, partially offset by a decrease in travel costs. The increase in personnel-related costs primarily was due to higher costs of equity-based and other incentive compensation. Included in total G&amp;A expenses for the three months ended March 31, 2021 were $1.2 million of expenses related to company-operated restaurants, an amount similar to same period of the prior year.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580" w:type="dxa"/>
            <w:vAlign w:val="bottom"/>
            <w:gridSpan w:val="3"/>
          </w:tcPr>
          <w:p>
            <w:pPr>
              <w:ind w:left="420"/>
              <w:spacing w:after="0"/>
              <w:rPr>
                <w:sz w:val="20"/>
                <w:szCs w:val="20"/>
                <w:color w:val="auto"/>
              </w:rPr>
            </w:pPr>
            <w:r>
              <w:rPr>
                <w:rFonts w:ascii="Arial" w:cs="Arial" w:eastAsia="Arial" w:hAnsi="Arial"/>
                <w:sz w:val="18"/>
                <w:szCs w:val="18"/>
                <w:b w:val="1"/>
                <w:bCs w:val="1"/>
                <w:color w:val="auto"/>
              </w:rPr>
              <w:t>Closure and Impairment Charges</w:t>
            </w:r>
          </w:p>
        </w:tc>
        <w:tc>
          <w:tcPr>
            <w:tcW w:w="3100" w:type="dxa"/>
            <w:vAlign w:val="bottom"/>
            <w:gridSpan w:val="6"/>
            <w:vMerge w:val="restart"/>
          </w:tcPr>
          <w:p>
            <w:pPr>
              <w:ind w:left="600"/>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2540" w:type="dxa"/>
            <w:vAlign w:val="bottom"/>
            <w:tcBorders>
              <w:top w:val="single" w:sz="8" w:color="auto"/>
            </w:tcBorders>
          </w:tcPr>
          <w:p>
            <w:pPr>
              <w:spacing w:after="0"/>
              <w:rPr>
                <w:sz w:val="13"/>
                <w:szCs w:val="13"/>
                <w:color w:val="auto"/>
              </w:rPr>
            </w:pPr>
          </w:p>
        </w:tc>
        <w:tc>
          <w:tcPr>
            <w:tcW w:w="3620" w:type="dxa"/>
            <w:vAlign w:val="bottom"/>
          </w:tcPr>
          <w:p>
            <w:pPr>
              <w:spacing w:after="0"/>
              <w:rPr>
                <w:sz w:val="13"/>
                <w:szCs w:val="13"/>
                <w:color w:val="auto"/>
              </w:rPr>
            </w:pPr>
          </w:p>
        </w:tc>
        <w:tc>
          <w:tcPr>
            <w:tcW w:w="3100" w:type="dxa"/>
            <w:vAlign w:val="bottom"/>
            <w:gridSpan w:val="6"/>
            <w:vMerge w:val="continue"/>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49"/>
        </w:trPr>
        <w:tc>
          <w:tcPr>
            <w:tcW w:w="4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960" w:type="dxa"/>
            <w:vAlign w:val="bottom"/>
            <w:tcBorders>
              <w:top w:val="single" w:sz="8" w:color="auto"/>
            </w:tcBorders>
            <w:vMerge w:val="restart"/>
          </w:tcPr>
          <w:p>
            <w:pPr>
              <w:jc w:val="right"/>
              <w:ind w:right="317"/>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(Unfavorable) Varian</w:t>
            </w:r>
          </w:p>
        </w:tc>
        <w:tc>
          <w:tcPr>
            <w:tcW w:w="0" w:type="dxa"/>
            <w:vAlign w:val="bottom"/>
          </w:tcPr>
          <w:p>
            <w:pPr>
              <w:spacing w:after="0"/>
              <w:rPr>
                <w:sz w:val="1"/>
                <w:szCs w:val="1"/>
                <w:color w:val="auto"/>
              </w:rPr>
            </w:pPr>
          </w:p>
        </w:tc>
      </w:tr>
      <w:tr>
        <w:trPr>
          <w:trHeight w:val="179"/>
        </w:trPr>
        <w:tc>
          <w:tcPr>
            <w:tcW w:w="4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Closure charges</w:t>
            </w:r>
          </w:p>
        </w:tc>
        <w:tc>
          <w:tcPr>
            <w:tcW w:w="11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580" w:type="dxa"/>
            <w:vAlign w:val="bottom"/>
            <w:gridSpan w:val="3"/>
          </w:tcPr>
          <w:p>
            <w:pPr>
              <w:ind w:left="420"/>
              <w:spacing w:after="0"/>
              <w:rPr>
                <w:sz w:val="20"/>
                <w:szCs w:val="20"/>
                <w:color w:val="auto"/>
              </w:rPr>
            </w:pPr>
            <w:r>
              <w:rPr>
                <w:rFonts w:ascii="Arial" w:cs="Arial" w:eastAsia="Arial" w:hAnsi="Arial"/>
                <w:sz w:val="18"/>
                <w:szCs w:val="18"/>
                <w:color w:val="auto"/>
              </w:rPr>
              <w:t>Long-lived tangible asset impairment</w:t>
            </w:r>
          </w:p>
        </w:tc>
        <w:tc>
          <w:tcPr>
            <w:tcW w:w="1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4"/>
        </w:trPr>
        <w:tc>
          <w:tcPr>
            <w:tcW w:w="6580" w:type="dxa"/>
            <w:vAlign w:val="bottom"/>
            <w:tcBorders>
              <w:top w:val="single" w:sz="8" w:color="CCEEFF"/>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Total closure and impairment charges</w:t>
            </w:r>
          </w:p>
        </w:tc>
        <w:tc>
          <w:tcPr>
            <w:tcW w:w="110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40" w:firstLine="318"/>
        <w:spacing w:after="0" w:line="294" w:lineRule="auto"/>
        <w:rPr>
          <w:sz w:val="20"/>
          <w:szCs w:val="20"/>
          <w:color w:val="auto"/>
        </w:rPr>
      </w:pPr>
      <w:r>
        <w:rPr>
          <w:rFonts w:ascii="Arial" w:cs="Arial" w:eastAsia="Arial" w:hAnsi="Arial"/>
          <w:sz w:val="17"/>
          <w:szCs w:val="17"/>
          <w:color w:val="auto"/>
        </w:rPr>
        <w:t>Closure charges for the three months ended March 31, 2021 related the establishment of or revision to closure reserves for approximately 35 IHOP restaurants. The $0.1 million of impairment related to the operating lease right-of-use asset of one IHOP restaurant.</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Arial" w:cs="Arial" w:eastAsia="Arial" w:hAnsi="Arial"/>
          <w:sz w:val="15"/>
          <w:szCs w:val="15"/>
          <w:b w:val="1"/>
          <w:bCs w:val="1"/>
          <w:u w:val="single" w:color="auto"/>
          <w:color w:val="auto"/>
        </w:rPr>
        <w:t>Other Income and Expense Items</w:t>
      </w:r>
    </w:p>
    <w:p>
      <w:pPr>
        <w:spacing w:after="0" w:line="200" w:lineRule="exact"/>
        <w:rPr>
          <w:sz w:val="20"/>
          <w:szCs w:val="20"/>
          <w:color w:val="auto"/>
        </w:rPr>
      </w:pPr>
    </w:p>
    <w:p>
      <w:pPr>
        <w:spacing w:after="0" w:line="3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Interest expense, net</w:t>
      </w:r>
    </w:p>
    <w:p>
      <w:pPr>
        <w:spacing w:after="0" w:line="1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Amortization of intangible assets</w:t>
      </w:r>
    </w:p>
    <w:p>
      <w:pPr>
        <w:spacing w:after="0" w:line="3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Loss (gain) on disposition of assets</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6"/>
                <w:szCs w:val="16"/>
                <w:b w:val="1"/>
                <w:bCs w:val="1"/>
                <w:color w:val="auto"/>
                <w:w w:val="92"/>
              </w:rPr>
              <w:t>Three months ended March 31,</w:t>
            </w:r>
          </w:p>
        </w:tc>
        <w:tc>
          <w:tcPr>
            <w:tcW w:w="6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49"/>
        </w:trPr>
        <w:tc>
          <w:tcPr>
            <w:tcW w:w="500" w:type="dxa"/>
            <w:vAlign w:val="bottom"/>
          </w:tcPr>
          <w:p>
            <w:pPr>
              <w:spacing w:after="0"/>
              <w:rPr>
                <w:sz w:val="4"/>
                <w:szCs w:val="4"/>
                <w:color w:val="auto"/>
              </w:rPr>
            </w:pPr>
          </w:p>
        </w:tc>
        <w:tc>
          <w:tcPr>
            <w:tcW w:w="1160" w:type="dxa"/>
            <w:vAlign w:val="bottom"/>
            <w:vMerge w:val="restart"/>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4"/>
                <w:szCs w:val="4"/>
                <w:color w:val="auto"/>
              </w:rPr>
            </w:pPr>
          </w:p>
        </w:tc>
        <w:tc>
          <w:tcPr>
            <w:tcW w:w="920" w:type="dxa"/>
            <w:vAlign w:val="bottom"/>
            <w:vMerge w:val="restart"/>
          </w:tcPr>
          <w:p>
            <w:pPr>
              <w:jc w:val="right"/>
              <w:ind w:right="296"/>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(Unfavorable) Varia</w:t>
            </w: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(In millions)</w:t>
            </w: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16.5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6"/>
        </w:trPr>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0.2</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9"/>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19.4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-613410</wp:posOffset>
            </wp:positionV>
            <wp:extent cx="6995160"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-327660</wp:posOffset>
            </wp:positionV>
            <wp:extent cx="6995160" cy="14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340"/>
          </w:cols>
          <w:pgMar w:left="320" w:top="121" w:right="239" w:bottom="1440" w:gutter="0" w:footer="0" w:header="0"/>
          <w:type w:val="continuous"/>
        </w:sectPr>
      </w:pP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Interest expense, net</w:t>
      </w:r>
    </w:p>
    <w:p>
      <w:pPr>
        <w:spacing w:after="0" w:line="24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 xml:space="preserve">Interest expense, net for the three months ended March 31, 2021 was higher than the same period of the prior year, primarily due to an increase in interest expense on $220.0 million borrowed under our Credit Facility in March 2020. The $220.0 million was outstanding for approximately nine weeks during the three months ended March 31, 2021, compared to $220.0 million outstanding for less than two weeks during the three months ended March 31, 2020. See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for additional discussion related to the borrowing.</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Loss on disposition of assets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individually significant losses or gains on disposition of assets during the three months ended March 31, 2021 and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18"/>
                <w:szCs w:val="18"/>
                <w:color w:val="auto"/>
              </w:rPr>
            </w:pPr>
          </w:p>
        </w:tc>
        <w:tc>
          <w:tcPr>
            <w:tcW w:w="2480" w:type="dxa"/>
            <w:vAlign w:val="bottom"/>
            <w:gridSpan w:val="3"/>
            <w:vMerge w:val="restart"/>
          </w:tcPr>
          <w:p>
            <w:pPr>
              <w:jc w:val="right"/>
              <w:ind w:right="197"/>
              <w:spacing w:after="0"/>
              <w:rPr>
                <w:sz w:val="20"/>
                <w:szCs w:val="20"/>
                <w:color w:val="auto"/>
              </w:rPr>
            </w:pPr>
            <w:r>
              <w:rPr>
                <w:rFonts w:ascii="Arial" w:cs="Arial" w:eastAsia="Arial" w:hAnsi="Arial"/>
                <w:sz w:val="16"/>
                <w:szCs w:val="16"/>
                <w:b w:val="1"/>
                <w:bCs w:val="1"/>
                <w:color w:val="auto"/>
                <w:w w:val="92"/>
              </w:rPr>
              <w:t>Three months ended March 31,</w:t>
            </w:r>
          </w:p>
        </w:tc>
        <w:tc>
          <w:tcPr>
            <w:tcW w:w="280" w:type="dxa"/>
            <w:vAlign w:val="bottom"/>
          </w:tcPr>
          <w:p>
            <w:pPr>
              <w:spacing w:after="0"/>
              <w:rPr>
                <w:sz w:val="18"/>
                <w:szCs w:val="18"/>
                <w:color w:val="auto"/>
              </w:rPr>
            </w:pPr>
          </w:p>
        </w:tc>
        <w:tc>
          <w:tcPr>
            <w:tcW w:w="1180" w:type="dxa"/>
            <w:vAlign w:val="bottom"/>
            <w:vMerge w:val="restart"/>
          </w:tcPr>
          <w:p>
            <w:pPr>
              <w:jc w:val="center"/>
              <w:ind w:right="107"/>
              <w:spacing w:after="0"/>
              <w:rPr>
                <w:sz w:val="20"/>
                <w:szCs w:val="20"/>
                <w:color w:val="auto"/>
              </w:rPr>
            </w:pPr>
            <w:r>
              <w:rPr>
                <w:rFonts w:ascii="Arial" w:cs="Arial" w:eastAsia="Arial" w:hAnsi="Arial"/>
                <w:sz w:val="14"/>
                <w:szCs w:val="14"/>
                <w:b w:val="1"/>
                <w:bCs w:val="1"/>
                <w:color w:val="auto"/>
                <w:w w:val="90"/>
              </w:rPr>
              <w:t>Favorable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jc w:val="center"/>
              <w:ind w:right="107"/>
              <w:spacing w:after="0" w:line="53" w:lineRule="exact"/>
              <w:rPr>
                <w:sz w:val="20"/>
                <w:szCs w:val="20"/>
                <w:color w:val="auto"/>
              </w:rPr>
            </w:pPr>
            <w:r>
              <w:rPr>
                <w:rFonts w:ascii="Arial" w:cs="Arial" w:eastAsia="Arial" w:hAnsi="Arial"/>
                <w:sz w:val="6"/>
                <w:szCs w:val="6"/>
                <w:b w:val="1"/>
                <w:bCs w:val="1"/>
                <w:color w:val="auto"/>
              </w:rPr>
              <w:t>(Unfavorable)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57"/>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7"/>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600"/>
              <w:spacing w:after="0"/>
              <w:rPr>
                <w:sz w:val="20"/>
                <w:szCs w:val="20"/>
                <w:color w:val="auto"/>
              </w:rPr>
            </w:pPr>
            <w:r>
              <w:rPr>
                <w:rFonts w:ascii="Arial" w:cs="Arial" w:eastAsia="Arial" w:hAnsi="Arial"/>
                <w:sz w:val="18"/>
                <w:szCs w:val="18"/>
                <w:color w:val="auto"/>
              </w:rPr>
              <w:t>(1.6)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7"/>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200" w:firstLine="358"/>
        <w:spacing w:after="0" w:line="255" w:lineRule="auto"/>
        <w:rPr>
          <w:sz w:val="20"/>
          <w:szCs w:val="20"/>
          <w:color w:val="auto"/>
        </w:rPr>
      </w:pPr>
      <w:r>
        <w:rPr>
          <w:rFonts w:ascii="Arial" w:cs="Arial" w:eastAsia="Arial" w:hAnsi="Arial"/>
          <w:sz w:val="18"/>
          <w:szCs w:val="18"/>
          <w:color w:val="auto"/>
        </w:rPr>
        <w:t xml:space="preserve">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w:t>
      </w:r>
      <w:r>
        <w:rPr>
          <w:rFonts w:ascii="Arial" w:cs="Arial" w:eastAsia="Arial" w:hAnsi="Arial"/>
          <w:sz w:val="18"/>
          <w:szCs w:val="18"/>
          <w:i w:val="1"/>
          <w:iCs w:val="1"/>
          <w:color w:val="auto"/>
        </w:rPr>
        <w:t>“Consolidated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 Comparison of the Three Months Ended March 31, 2021 and 2020.”</w:t>
      </w:r>
    </w:p>
    <w:p>
      <w:pPr>
        <w:spacing w:after="0" w:line="148" w:lineRule="exact"/>
        <w:rPr>
          <w:sz w:val="20"/>
          <w:szCs w:val="20"/>
          <w:color w:val="auto"/>
        </w:rPr>
      </w:pPr>
    </w:p>
    <w:p>
      <w:pPr>
        <w:jc w:val="both"/>
        <w:ind w:right="180" w:firstLine="318"/>
        <w:spacing w:after="0" w:line="239" w:lineRule="auto"/>
        <w:rPr>
          <w:sz w:val="20"/>
          <w:szCs w:val="20"/>
          <w:color w:val="auto"/>
        </w:rPr>
      </w:pPr>
      <w:r>
        <w:rPr>
          <w:rFonts w:ascii="Arial" w:cs="Arial" w:eastAsia="Arial" w:hAnsi="Arial"/>
          <w:sz w:val="18"/>
          <w:szCs w:val="18"/>
          <w:color w:val="auto"/>
        </w:rPr>
        <w:t>Our effective tax rate for the three months ended March 31, 2021 was significantly different than the rate of the prior comparable period and the statutory federal tax rate of 21%, primarily due to the one-time recognition of excess tax benefits on stock-based compensation related to the departure of our previous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ind w:right="120" w:firstLine="362"/>
        <w:spacing w:after="0" w:line="312" w:lineRule="auto"/>
        <w:rPr>
          <w:sz w:val="20"/>
          <w:szCs w:val="20"/>
          <w:color w:val="auto"/>
        </w:rPr>
      </w:pPr>
      <w:r>
        <w:rPr>
          <w:rFonts w:ascii="Arial" w:cs="Arial" w:eastAsia="Arial" w:hAnsi="Arial"/>
          <w:sz w:val="15"/>
          <w:szCs w:val="15"/>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77"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The Co-Issuers also established a new revolving financing facility, the 2019-1 Variable Funding Senior Notes, Class A-1 (the “Credit Facility”) that allows for drawings up to $225 million of variable funding notes and the issuance of letters of credit. The 2019 Class A-2 Notes and the Credit Facility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07"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While the 2019 Class A-2 Notes are outstanding, payment of principal and interest is required to be made on the 2019 Class A-2 Notes on a quarterly basis. The quarterly principal payment totaling $3.25 million on the 2019 Class A-2 Notes may be suspended when the leverage ratio for the Company and its subsidiaries is less than or equal to 5.25x. The complete definitions of all calculation elements of the leverage ratio are contained in the Base Indenture, dated as of September 30, 2014, amended and restated as of June 5, 2019 (the “Base Indenture”), as supplemented by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In general, the leverage ratio is our indebtedness (as defined in the Indenture) divided by adjusted EBITDA (as defined in the Indenture) for the four preceding quarterly periods.</w:t>
      </w:r>
    </w:p>
    <w:p>
      <w:pPr>
        <w:spacing w:after="0" w:line="183"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As of March 31, 2021, our leverage ratio was 7.02x. As a result, quarterly principal payments on the 2019 Class A-2 Notes of $3.25 million continue to be required. The leverage ratio is not a maintenance covenant and exceeding the leverage ratio of 5.25x does not violate any covenant related to the New Notes.</w:t>
      </w:r>
    </w:p>
    <w:p>
      <w:pPr>
        <w:spacing w:after="0" w:line="215"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Company may voluntarily repay the 2019 Class A-2 Notes at any time; however, if we repay the 2019 Class A-2 Notes prior to certain dates we would be required to pay make-whole premiums. As of March 31, 2021, the make-whole premium associated with voluntary prepayment of the Class A-2-I Notes was approximately $29 million; this amount declines each quarter to zero in June 2022. As of March 31, 2021, the make-whole premium associated with voluntary prepayment of the Class A-2-II Notes was approximately $59 million; this amount declines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March 31, 2021, based on the probability-weighted discounted cash flows associated with either event.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Covenants and Restrictions</w:t>
      </w:r>
    </w:p>
    <w:p>
      <w:pPr>
        <w:spacing w:after="0" w:line="130"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238"/>
        <w:spacing w:after="0" w:line="306" w:lineRule="auto"/>
        <w:rPr>
          <w:sz w:val="20"/>
          <w:szCs w:val="20"/>
          <w:color w:val="auto"/>
        </w:rPr>
      </w:pPr>
      <w:r>
        <w:rPr>
          <w:rFonts w:ascii="Arial" w:cs="Arial" w:eastAsia="Arial" w:hAnsi="Arial"/>
          <w:sz w:val="15"/>
          <w:szCs w:val="15"/>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83" w:lineRule="exact"/>
        <w:rPr>
          <w:sz w:val="20"/>
          <w:szCs w:val="20"/>
          <w:color w:val="auto"/>
        </w:rPr>
      </w:pPr>
    </w:p>
    <w:p>
      <w:pPr>
        <w:ind w:left="1280" w:hanging="320"/>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16" w:lineRule="exact"/>
        <w:rPr>
          <w:rFonts w:ascii="Arial" w:cs="Arial" w:eastAsia="Arial" w:hAnsi="Arial"/>
          <w:sz w:val="18"/>
          <w:szCs w:val="18"/>
          <w:color w:val="auto"/>
        </w:rPr>
      </w:pPr>
    </w:p>
    <w:p>
      <w:pPr>
        <w:ind w:left="1280" w:hanging="320"/>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DSCR for the reporting period ended March 31, 2021 was approximately 3.45x.</w:t>
      </w:r>
    </w:p>
    <w:p>
      <w:pPr>
        <w:spacing w:after="0" w:line="244" w:lineRule="exact"/>
        <w:rPr>
          <w:sz w:val="20"/>
          <w:szCs w:val="20"/>
          <w:color w:val="auto"/>
        </w:rPr>
      </w:pPr>
    </w:p>
    <w:p>
      <w:pPr>
        <w:jc w:val="both"/>
        <w:ind w:right="40" w:firstLine="318"/>
        <w:spacing w:after="0" w:line="300" w:lineRule="auto"/>
        <w:rPr>
          <w:sz w:val="20"/>
          <w:szCs w:val="20"/>
          <w:color w:val="auto"/>
        </w:rPr>
      </w:pPr>
      <w:r>
        <w:rPr>
          <w:rFonts w:ascii="Arial" w:cs="Arial" w:eastAsia="Arial" w:hAnsi="Arial"/>
          <w:sz w:val="15"/>
          <w:szCs w:val="15"/>
          <w:color w:val="auto"/>
        </w:rPr>
        <w:t>During the second quarter of 2020, we voluntarily increased the interest reserve set aside for our securitized debt from the required $16.4 million to $32.8 million, which represented an estimated six months of interest and fees related to the 2019 Class A-2 Notes and the Credit Facility. In April 2021, we reduced the balance of the interest reserve to $16.4 million, the required three months of interest and fees related to the 2019 Class A-2 Notes and the Credit Facility.</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Also, during the second quarter of 2020, we voluntarily began accelerating the funding of interest on the 2019 Class A-2 Notes and the Credit Facility with the redirection of cash receipts within our securitization structure. As of April 27, 2021, the interest payments on the 2019 Class A-2 Notes and the Credit Facility that are due June 7, 2021 and September 7, 2021 have been fully funded within the securitization structure, in addition to the $16.4 million of interest reserve noted above.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Credit Facilities</w:t>
      </w:r>
    </w:p>
    <w:p>
      <w:pPr>
        <w:spacing w:after="0" w:line="25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March 2020, the Co-Issuers drew down a total of $220.0 million from the Credit Facility. The $220.0 million borrowing was repaid on March 5, 2021. The current interest rate for borrowings under the Credit Facility is the three-month LIBOR rate plus 2.15% for 60% of the advances and the commercial paper funding rate of our conduit investor plus 2.15% for 40% of the advances. The weighted average interest rate on Credit Facility borrowings for the period outstanding during the three months ended March 31, 2021 was 2.4%.</w:t>
      </w:r>
    </w:p>
    <w:p>
      <w:pPr>
        <w:spacing w:after="0" w:line="217"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At March 31, 2021, there were no outstanding borrowings under the Credit Facility. At March 31, 2021, $3.3 million was pledged against the Credit Facility for outstanding letters of credit, leaving $221.7 million available for borrowing. The letters of credit are used primarily to satisfy insurance-related collateral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24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 To maintain financial flexibility in light of the COVID-19 pandemic, we have not declared any dividends after the first quarter of 2020 and have suspended repurchasing our common stock. We will continue to evaluate our capital allocation strategy as industry conditions evolve and normal restaurant operations resume.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Dividends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declare or pay dividends during the three months ended March 31,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Stock Repurchases</w:t>
      </w:r>
    </w:p>
    <w:p>
      <w:pPr>
        <w:spacing w:after="0" w:line="230"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did not repurchase any shares under the 2019 Repurchase Program during the three months ended March 31, 2021. As of March 31, 2021, cumulative repurchases of stock total 1,697,597 shares at a cost of $129.8 million, with a dollar value of $70.2 million remaining for repurchase under the 2019 Repurchase Program.</w:t>
      </w:r>
    </w:p>
    <w:p>
      <w:pPr>
        <w:spacing w:after="0" w:line="215" w:lineRule="exact"/>
        <w:rPr>
          <w:sz w:val="20"/>
          <w:szCs w:val="20"/>
          <w:color w:val="auto"/>
        </w:rPr>
      </w:pPr>
    </w:p>
    <w:p>
      <w:pPr>
        <w:ind w:right="200" w:firstLine="318"/>
        <w:spacing w:after="0" w:line="239"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first quarter of 2021.</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summary, our cash flows for the three months ended March 31, 2021 and March 31, 2020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40" w:type="dxa"/>
            <w:vAlign w:val="bottom"/>
          </w:tcPr>
          <w:p>
            <w:pPr>
              <w:spacing w:after="0"/>
              <w:rPr>
                <w:sz w:val="18"/>
                <w:szCs w:val="18"/>
                <w:color w:val="auto"/>
              </w:rPr>
            </w:pPr>
          </w:p>
        </w:tc>
        <w:tc>
          <w:tcPr>
            <w:tcW w:w="314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Variance</w:t>
            </w:r>
          </w:p>
        </w:tc>
      </w:tr>
      <w:tr>
        <w:trPr>
          <w:trHeight w:val="180"/>
        </w:trPr>
        <w:tc>
          <w:tcPr>
            <w:tcW w:w="6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64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r>
      <w:tr>
        <w:trPr>
          <w:trHeight w:val="219"/>
        </w:trPr>
        <w:tc>
          <w:tcPr>
            <w:tcW w:w="644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r>
      <w:tr>
        <w:trPr>
          <w:trHeight w:val="20"/>
        </w:trPr>
        <w:tc>
          <w:tcPr>
            <w:tcW w:w="6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Operating Activities</w:t>
      </w:r>
    </w:p>
    <w:p>
      <w:pPr>
        <w:spacing w:after="0" w:line="24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Cash provided by operating activities increased $1.0 million during the three months ended March 31, 2021 compared to the same period of the prior year. Our net income plus the non-cash reconciling items shown in our statements of cash flows (primarily closure and impairment charges, depreciation, deferred taxes and stock-based compensation) increased $5.9 million from 2020. This was primarily due to the recognition of excess tax benefits on stock-based compensation and an increase in gross profit, partially offset by an increase in G&amp;A expenses, each of which was discussed in preceding sections of the MD&amp;A. Net changes in working capital provided cash of $0.4 million during the three months ended March 31, 2021 compared to providing cash of $5.4 million during the same period of the prior year, an unfavorable change of $5.0 million. The unfavorable change in working capital was primarily due to a decrease in cash from trade and gift card receivables. Typically we see an increase in cash collections in the first fiscal quarter of the year due to gift card sales during the preceding holiday season. Due to the pandemic, gift card sales in the fourth quarter of 2020 were lower than the fourth quarter of 2019, resulting in lower cash collections in the first quarter of 2021 compared to the first quarter of 2020. This was partially offset by the timing of marketing disbursements.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Investing Activities</w:t>
      </w:r>
    </w:p>
    <w:p>
      <w:pPr>
        <w:spacing w:after="0" w:line="217"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Investing activities provided net cash of $3.1 million for the three months ended March 31, 2021. Principal receipts from notes, equipment contracts and other long-term receivables of $4.7 million and proceeds from asset sales of $1.0 million were partially offset by capital expenditures of $2.4 million. Investing activities used net cash of $1.2 million for the three months ended March 31, 2020. The variance between the two periods primarily was due to a decrease in capital expenditures during the three months ended March 31, 2021 compared to the same period of the prior year.</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Financing Activities</w:t>
      </w:r>
    </w:p>
    <w:p>
      <w:pPr>
        <w:spacing w:after="0" w:line="217"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 xml:space="preserve">Financing activities used net cash of $217.3 million for the three months ended March 31, 2021. As discussed above under </w:t>
      </w:r>
      <w:r>
        <w:rPr>
          <w:rFonts w:ascii="Arial" w:cs="Arial" w:eastAsia="Arial" w:hAnsi="Arial"/>
          <w:sz w:val="18"/>
          <w:szCs w:val="18"/>
          <w:i w:val="1"/>
          <w:iCs w:val="1"/>
          <w:color w:val="auto"/>
        </w:rPr>
        <w:t>Use of Credit Facilities</w:t>
      </w:r>
      <w:r>
        <w:rPr>
          <w:rFonts w:ascii="Arial" w:cs="Arial" w:eastAsia="Arial" w:hAnsi="Arial"/>
          <w:sz w:val="18"/>
          <w:szCs w:val="18"/>
          <w:color w:val="auto"/>
        </w:rPr>
        <w:t>, we repaid $220.0 million borrowed from our Credit Facility. We also paid $9.7 million for taxes withheld for vesting of restricted stock units and made payments totaling $5.9 million on long-term debt and capital lease obligations. We had a net cash inflow of approximately $18.3 million related to equity compensation awards</w:t>
      </w:r>
      <w:r>
        <w:rPr>
          <w:rFonts w:ascii="Arial" w:cs="Arial" w:eastAsia="Arial" w:hAnsi="Arial"/>
          <w:sz w:val="14"/>
          <w:szCs w:val="14"/>
          <w:color w:val="auto"/>
        </w:rPr>
        <w:t>.</w:t>
      </w:r>
    </w:p>
    <w:p>
      <w:pPr>
        <w:spacing w:after="0" w:line="217"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Financing activities provided net cash of $194.2 million for the three months ended March 31, 2020, primarily due to a $220 million drawdown from our Credit Facility and $20.5 million in proceeds from stock option exercises, offset by stock repurchases and dividend payments totaling $41.3 million. The variance of $411.5 million between periods primarily was due to the $440 million swing in use of the Credit Facility, partially offset by our not having repurchased stock or paid dividends during the three months ended March 31, 2021.</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Cash and Cash Equivalents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total cash balances as of March 31, 2021 and December 31, 2020 were are follows:</w:t>
      </w:r>
    </w:p>
    <w:p>
      <w:pPr>
        <w:spacing w:after="0" w:line="35"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5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5"/>
                <w:szCs w:val="15"/>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383.4</w:t>
            </w:r>
          </w:p>
        </w:tc>
      </w:tr>
      <w:tr>
        <w:trPr>
          <w:trHeight w:val="225"/>
        </w:trPr>
        <w:tc>
          <w:tcPr>
            <w:tcW w:w="5820" w:type="dxa"/>
            <w:vAlign w:val="bottom"/>
          </w:tcPr>
          <w:p>
            <w:pPr>
              <w:spacing w:after="0"/>
              <w:rPr>
                <w:sz w:val="20"/>
                <w:szCs w:val="20"/>
                <w:color w:val="auto"/>
              </w:rPr>
            </w:pPr>
            <w:r>
              <w:rPr>
                <w:rFonts w:ascii="Arial" w:cs="Arial" w:eastAsia="Arial" w:hAnsi="Arial"/>
                <w:sz w:val="18"/>
                <w:szCs w:val="18"/>
                <w:color w:val="auto"/>
              </w:rPr>
              <w:t>Restricted cash, current</w:t>
            </w: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19"/>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w:t>
            </w:r>
          </w:p>
        </w:tc>
      </w:tr>
      <w:tr>
        <w:trPr>
          <w:trHeight w:val="20"/>
        </w:trPr>
        <w:tc>
          <w:tcPr>
            <w:tcW w:w="5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both"/>
        <w:ind w:right="220" w:firstLine="318"/>
        <w:spacing w:after="0" w:line="255" w:lineRule="auto"/>
        <w:rPr>
          <w:sz w:val="20"/>
          <w:szCs w:val="20"/>
          <w:color w:val="auto"/>
        </w:rPr>
      </w:pPr>
      <w:r>
        <w:rPr>
          <w:rFonts w:ascii="Arial" w:cs="Arial" w:eastAsia="Arial" w:hAnsi="Arial"/>
          <w:sz w:val="18"/>
          <w:szCs w:val="18"/>
          <w:color w:val="auto"/>
        </w:rPr>
        <w:t xml:space="preserve">Cash and cash equivalents include $72.0 million and $71.6 million of cash held for gift card programs and advertising funds as of March 31, 2021 and December 31, 2020, respectively. The decrease in cash and cash equivalents between December 31, 2020 and March 31, 2021 was due to the repayment of $220.0 million discussed above under </w:t>
      </w:r>
      <w:r>
        <w:rPr>
          <w:rFonts w:ascii="Arial" w:cs="Arial" w:eastAsia="Arial" w:hAnsi="Arial"/>
          <w:sz w:val="18"/>
          <w:szCs w:val="18"/>
          <w:i w:val="1"/>
          <w:iCs w:val="1"/>
          <w:color w:val="auto"/>
        </w:rPr>
        <w:t>Use of Credit Facilities.</w:t>
      </w:r>
    </w:p>
    <w:p>
      <w:pPr>
        <w:spacing w:after="0" w:line="215"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We believe that our unrestricted cash on hand, cash flow from operations, and the $221.7 million of borrowing capacity available under our Credit Facility will provide us with adequate liquidity for the next twelve months.</w:t>
      </w: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4" w:lineRule="exact"/>
        <w:rPr>
          <w:sz w:val="20"/>
          <w:szCs w:val="20"/>
          <w:color w:val="auto"/>
        </w:rPr>
      </w:pPr>
    </w:p>
    <w:p>
      <w:pPr>
        <w:jc w:val="both"/>
        <w:ind w:right="560" w:firstLine="318"/>
        <w:spacing w:after="0" w:line="318" w:lineRule="auto"/>
        <w:rPr>
          <w:sz w:val="20"/>
          <w:szCs w:val="20"/>
          <w:color w:val="auto"/>
        </w:rPr>
      </w:pPr>
      <w:r>
        <w:rPr>
          <w:rFonts w:ascii="Arial" w:cs="Arial" w:eastAsia="Arial" w:hAnsi="Arial"/>
          <w:sz w:val="15"/>
          <w:szCs w:val="15"/>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72"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255"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6"/>
        </w:trPr>
        <w:tc>
          <w:tcPr>
            <w:tcW w:w="54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Variance</w:t>
            </w:r>
          </w:p>
        </w:tc>
      </w:tr>
      <w:tr>
        <w:trPr>
          <w:trHeight w:val="180"/>
        </w:trPr>
        <w:tc>
          <w:tcPr>
            <w:tcW w:w="5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6"/>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flows provided by operating activities</w:t>
            </w:r>
          </w:p>
        </w:tc>
        <w:tc>
          <w:tcPr>
            <w:tcW w:w="12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5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87"/>
              </w:rPr>
              <w:t>1.0</w:t>
            </w:r>
          </w:p>
        </w:tc>
      </w:tr>
      <w:tr>
        <w:trPr>
          <w:trHeight w:val="225"/>
        </w:trPr>
        <w:tc>
          <w:tcPr>
            <w:tcW w:w="5480" w:type="dxa"/>
            <w:vAlign w:val="bottom"/>
          </w:tcPr>
          <w:p>
            <w:pPr>
              <w:ind w:left="320"/>
              <w:spacing w:after="0"/>
              <w:rPr>
                <w:sz w:val="20"/>
                <w:szCs w:val="20"/>
                <w:color w:val="auto"/>
              </w:rPr>
            </w:pPr>
            <w:r>
              <w:rPr>
                <w:rFonts w:ascii="Arial" w:cs="Arial" w:eastAsia="Arial" w:hAnsi="Arial"/>
                <w:sz w:val="18"/>
                <w:szCs w:val="18"/>
                <w:color w:val="auto"/>
              </w:rPr>
              <w:t>Receipts from notes and equipment contracts receivable</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center"/>
              <w:ind w:left="535"/>
              <w:spacing w:after="0"/>
              <w:rPr>
                <w:sz w:val="20"/>
                <w:szCs w:val="20"/>
                <w:color w:val="auto"/>
              </w:rPr>
            </w:pPr>
            <w:r>
              <w:rPr>
                <w:rFonts w:ascii="Arial" w:cs="Arial" w:eastAsia="Arial" w:hAnsi="Arial"/>
                <w:sz w:val="18"/>
                <w:szCs w:val="18"/>
                <w:color w:val="auto"/>
                <w:w w:val="86"/>
              </w:rPr>
              <w:t>(0.5)</w:t>
            </w:r>
          </w:p>
        </w:tc>
      </w:tr>
      <w:tr>
        <w:trPr>
          <w:trHeight w:val="225"/>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property and equipment</w:t>
            </w:r>
          </w:p>
        </w:tc>
        <w:tc>
          <w:tcPr>
            <w:tcW w:w="1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87"/>
              </w:rPr>
              <w:t>2.7</w:t>
            </w:r>
          </w:p>
        </w:tc>
      </w:tr>
      <w:tr>
        <w:trPr>
          <w:trHeight w:val="219"/>
        </w:trPr>
        <w:tc>
          <w:tcPr>
            <w:tcW w:w="5480" w:type="dxa"/>
            <w:vAlign w:val="bottom"/>
          </w:tcPr>
          <w:p>
            <w:pPr>
              <w:ind w:left="320"/>
              <w:spacing w:after="0"/>
              <w:rPr>
                <w:sz w:val="20"/>
                <w:szCs w:val="20"/>
                <w:color w:val="auto"/>
              </w:rPr>
            </w:pPr>
            <w:r>
              <w:rPr>
                <w:rFonts w:ascii="Arial" w:cs="Arial" w:eastAsia="Arial" w:hAnsi="Arial"/>
                <w:sz w:val="18"/>
                <w:szCs w:val="18"/>
                <w:b w:val="1"/>
                <w:bCs w:val="1"/>
                <w:color w:val="auto"/>
              </w:rPr>
              <w:t>Adjusted free cash flow</w:t>
            </w:r>
          </w:p>
        </w:tc>
        <w:tc>
          <w:tcPr>
            <w:tcW w:w="128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85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27.5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87"/>
              </w:rPr>
              <w:t>3.2</w:t>
            </w:r>
          </w:p>
        </w:tc>
      </w:tr>
      <w:tr>
        <w:trPr>
          <w:trHeight w:val="20"/>
        </w:trPr>
        <w:tc>
          <w:tcPr>
            <w:tcW w:w="5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0"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We have obligations for guarantees on certain franchisee lease agreements, as disclosed in Note 15 - Commitments and Contingencies, of Notes to Consolidated Financial Statements of Part I, Item 1 of this Form 10-Q. Other than such guarantees, we did not have any off-balance sheet arrangements, as defined in Item 303(a)(4) of SEC Regulation S-K as of March 31, 2021.</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3"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As discussed above, in March 2021, we repaid $220 million of borrowings outstanding under our Credit Facility. Other than this repayment, there were no material changes to the contractual obligations table as disclosed in our Annual Report on Form 10-K for the year ended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52"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 summary of our critical accounting estimates is included in Management’s Discussion and Analysis of Financial Condition and Results of Operations contained in our Annual Report on Form 10-K for the year ended December 31, 2020. During the three months ended March 31, 2021, there were no significant changes in our critical accounting policies or in our critical accounting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3"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following change from the information contained in the Company’s Annual Report on Form 10-K for the year ended December 31, 2020 took place during the three months ended March 31, 2021:</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only exposed to interest rate risk on borrowings we make under our Credit Facility, borrowings from which are subject to variable interest rates.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As of March 2021, we have no borrowings outstanding under the Credit Facility and currently are not exposed to interest rate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3"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3"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ind w:right="2300" w:firstLine="359"/>
        <w:spacing w:after="0" w:line="264" w:lineRule="auto"/>
        <w:rPr>
          <w:sz w:val="20"/>
          <w:szCs w:val="20"/>
          <w:color w:val="auto"/>
        </w:rPr>
      </w:pPr>
      <w:r>
        <w:rPr>
          <w:rFonts w:ascii="Arial" w:cs="Arial" w:eastAsia="Arial" w:hAnsi="Arial"/>
          <w:sz w:val="18"/>
          <w:szCs w:val="18"/>
          <w:color w:val="auto"/>
        </w:rPr>
        <w:t>There are no material changes from the risk factors set forth under Item 1A of Part I of the Company’s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5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0"/>
              </w:rPr>
              <w:t>Total number of</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vMerge w:val="restart"/>
          </w:tcPr>
          <w:p>
            <w:pPr>
              <w:jc w:val="center"/>
              <w:ind w:right="21"/>
              <w:spacing w:after="0"/>
              <w:rPr>
                <w:sz w:val="20"/>
                <w:szCs w:val="20"/>
                <w:color w:val="auto"/>
              </w:rPr>
            </w:pPr>
            <w:r>
              <w:rPr>
                <w:rFonts w:ascii="Arial" w:cs="Arial" w:eastAsia="Arial" w:hAnsi="Arial"/>
                <w:sz w:val="14"/>
                <w:szCs w:val="14"/>
                <w:b w:val="1"/>
                <w:bCs w:val="1"/>
                <w:color w:val="auto"/>
                <w:w w:val="92"/>
              </w:rPr>
              <w:t>Approximate dollar value of</w:t>
            </w: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 price</w:t>
            </w: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shares purchased as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part of publicly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88"/>
              </w:rPr>
              <w:t>shares that may yet be</w:t>
            </w:r>
          </w:p>
        </w:tc>
        <w:tc>
          <w:tcPr>
            <w:tcW w:w="0" w:type="dxa"/>
            <w:vAlign w:val="bottom"/>
          </w:tcPr>
          <w:p>
            <w:pPr>
              <w:spacing w:after="0"/>
              <w:rPr>
                <w:sz w:val="1"/>
                <w:szCs w:val="1"/>
                <w:color w:val="auto"/>
              </w:rPr>
            </w:pPr>
          </w:p>
        </w:tc>
      </w:tr>
      <w:tr>
        <w:trPr>
          <w:trHeight w:val="133"/>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paid per</w:t>
            </w: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announced plans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89"/>
              </w:rPr>
              <w:t>purchased under the</w:t>
            </w:r>
          </w:p>
        </w:tc>
        <w:tc>
          <w:tcPr>
            <w:tcW w:w="0" w:type="dxa"/>
            <w:vAlign w:val="bottom"/>
          </w:tcPr>
          <w:p>
            <w:pPr>
              <w:spacing w:after="0"/>
              <w:rPr>
                <w:sz w:val="1"/>
                <w:szCs w:val="1"/>
                <w:color w:val="auto"/>
              </w:rPr>
            </w:pPr>
          </w:p>
        </w:tc>
      </w:tr>
      <w:tr>
        <w:trPr>
          <w:trHeight w:val="184"/>
        </w:trPr>
        <w:tc>
          <w:tcPr>
            <w:tcW w:w="4500" w:type="dxa"/>
            <w:vAlign w:val="bottom"/>
            <w:vMerge w:val="continue"/>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5"/>
              </w:rPr>
              <w:t>share</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(b)</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plans or programs (b)</w:t>
            </w:r>
          </w:p>
        </w:tc>
        <w:tc>
          <w:tcPr>
            <w:tcW w:w="0" w:type="dxa"/>
            <w:vAlign w:val="bottom"/>
          </w:tcPr>
          <w:p>
            <w:pPr>
              <w:spacing w:after="0"/>
              <w:rPr>
                <w:sz w:val="1"/>
                <w:szCs w:val="1"/>
                <w:color w:val="auto"/>
              </w:rPr>
            </w:pPr>
          </w:p>
        </w:tc>
      </w:tr>
      <w:tr>
        <w:trPr>
          <w:trHeight w:val="214"/>
        </w:trPr>
        <w:tc>
          <w:tcPr>
            <w:tcW w:w="4500" w:type="dxa"/>
            <w:vAlign w:val="bottom"/>
          </w:tcPr>
          <w:p>
            <w:pPr>
              <w:ind w:left="20"/>
              <w:spacing w:after="0" w:line="213" w:lineRule="exact"/>
              <w:rPr>
                <w:sz w:val="20"/>
                <w:szCs w:val="20"/>
                <w:color w:val="auto"/>
              </w:rPr>
            </w:pPr>
            <w:r>
              <w:rPr>
                <w:rFonts w:ascii="Arial" w:cs="Arial" w:eastAsia="Arial" w:hAnsi="Arial"/>
                <w:sz w:val="18"/>
                <w:szCs w:val="18"/>
                <w:color w:val="auto"/>
              </w:rPr>
              <w:t>January 4, 2021 - January 31, 2021</w:t>
            </w:r>
            <w:r>
              <w:rPr>
                <w:rFonts w:ascii="Arial" w:cs="Arial" w:eastAsia="Arial" w:hAnsi="Arial"/>
                <w:sz w:val="22"/>
                <w:szCs w:val="22"/>
                <w:color w:val="auto"/>
                <w:vertAlign w:val="superscript"/>
              </w:rPr>
              <w:t>(a)</w:t>
            </w:r>
          </w:p>
        </w:tc>
        <w:tc>
          <w:tcPr>
            <w:tcW w:w="1500" w:type="dxa"/>
            <w:vAlign w:val="bottom"/>
          </w:tcPr>
          <w:p>
            <w:pPr>
              <w:jc w:val="right"/>
              <w:spacing w:after="0"/>
              <w:rPr>
                <w:sz w:val="20"/>
                <w:szCs w:val="20"/>
                <w:color w:val="auto"/>
              </w:rPr>
            </w:pPr>
            <w:r>
              <w:rPr>
                <w:rFonts w:ascii="Arial" w:cs="Arial" w:eastAsia="Arial" w:hAnsi="Arial"/>
                <w:sz w:val="18"/>
                <w:szCs w:val="18"/>
                <w:color w:val="auto"/>
              </w:rPr>
              <w:t>902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70.48</w:t>
            </w:r>
          </w:p>
        </w:tc>
        <w:tc>
          <w:tcPr>
            <w:tcW w:w="100" w:type="dxa"/>
            <w:vAlign w:val="bottom"/>
          </w:tcPr>
          <w:p>
            <w:pPr>
              <w:spacing w:after="0"/>
              <w:rPr>
                <w:sz w:val="18"/>
                <w:szCs w:val="18"/>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line="225" w:lineRule="exact"/>
              <w:rPr>
                <w:sz w:val="20"/>
                <w:szCs w:val="20"/>
                <w:color w:val="auto"/>
              </w:rPr>
            </w:pPr>
            <w:r>
              <w:rPr>
                <w:rFonts w:ascii="Arial" w:cs="Arial" w:eastAsia="Arial" w:hAnsi="Arial"/>
                <w:sz w:val="18"/>
                <w:szCs w:val="18"/>
                <w:color w:val="auto"/>
              </w:rPr>
              <w:t>February 1, 2021 - February 28, 2021</w:t>
            </w:r>
            <w:r>
              <w:rPr>
                <w:rFonts w:ascii="Arial" w:cs="Arial" w:eastAsia="Arial" w:hAnsi="Arial"/>
                <w:sz w:val="22"/>
                <w:szCs w:val="22"/>
                <w:color w:val="auto"/>
                <w:vertAlign w:val="superscript"/>
              </w:rPr>
              <w:t>(a)</w:t>
            </w:r>
          </w:p>
        </w:tc>
        <w:tc>
          <w:tcPr>
            <w:tcW w:w="1500" w:type="dxa"/>
            <w:vAlign w:val="bottom"/>
          </w:tcPr>
          <w:p>
            <w:pPr>
              <w:jc w:val="right"/>
              <w:spacing w:after="0"/>
              <w:rPr>
                <w:sz w:val="20"/>
                <w:szCs w:val="20"/>
                <w:color w:val="auto"/>
              </w:rPr>
            </w:pPr>
            <w:r>
              <w:rPr>
                <w:rFonts w:ascii="Arial" w:cs="Arial" w:eastAsia="Arial" w:hAnsi="Arial"/>
                <w:sz w:val="18"/>
                <w:szCs w:val="18"/>
                <w:color w:val="auto"/>
              </w:rPr>
              <w:t>11,733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31"/>
        </w:trPr>
        <w:tc>
          <w:tcPr>
            <w:tcW w:w="4500" w:type="dxa"/>
            <w:vAlign w:val="bottom"/>
          </w:tcPr>
          <w:p>
            <w:pPr>
              <w:ind w:left="20"/>
              <w:spacing w:after="0" w:line="231" w:lineRule="exact"/>
              <w:rPr>
                <w:sz w:val="20"/>
                <w:szCs w:val="20"/>
                <w:color w:val="auto"/>
              </w:rPr>
            </w:pPr>
            <w:r>
              <w:rPr>
                <w:rFonts w:ascii="Arial" w:cs="Arial" w:eastAsia="Arial" w:hAnsi="Arial"/>
                <w:sz w:val="18"/>
                <w:szCs w:val="18"/>
                <w:color w:val="auto"/>
              </w:rPr>
              <w:t>March 1, 2021 - April 4, 2021</w:t>
            </w:r>
            <w:r>
              <w:rPr>
                <w:rFonts w:ascii="Arial" w:cs="Arial" w:eastAsia="Arial" w:hAnsi="Arial"/>
                <w:sz w:val="22"/>
                <w:szCs w:val="22"/>
                <w:color w:val="auto"/>
                <w:vertAlign w:val="superscript"/>
              </w:rPr>
              <w:t>(a)</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20"/>
                <w:szCs w:val="20"/>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81.35</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40" w:right="120" w:hanging="234"/>
        <w:spacing w:after="0" w:line="270" w:lineRule="auto"/>
        <w:tabs>
          <w:tab w:leader="none" w:pos="157"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These amounts represent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1" w:lineRule="exact"/>
        <w:rPr>
          <w:rFonts w:ascii="Arial" w:cs="Arial" w:eastAsia="Arial" w:hAnsi="Arial"/>
          <w:sz w:val="18"/>
          <w:szCs w:val="18"/>
          <w:color w:val="auto"/>
          <w:vertAlign w:val="superscript"/>
        </w:rPr>
      </w:pPr>
    </w:p>
    <w:p>
      <w:pPr>
        <w:jc w:val="both"/>
        <w:ind w:left="240" w:hanging="234"/>
        <w:spacing w:after="0" w:line="212" w:lineRule="auto"/>
        <w:tabs>
          <w:tab w:leader="none" w:pos="254"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In February 2019, the Company’s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6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Item 6. Exhibits.</w:t>
            </w:r>
          </w:p>
        </w:tc>
        <w:tc>
          <w:tcPr>
            <w:tcW w:w="108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5"/>
        </w:trPr>
        <w:tc>
          <w:tcPr>
            <w:tcW w:w="146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9560" w:type="dxa"/>
            <w:vAlign w:val="bottom"/>
            <w:gridSpan w:val="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Nonqualified Stock Option Agreement, dated January 4, 2021, by and between the Registrant and John W. Peyton.</w:t>
              </w:r>
            </w:hyperlink>
          </w:p>
        </w:tc>
      </w:tr>
      <w:tr>
        <w:trPr>
          <w:trHeight w:val="205"/>
        </w:trPr>
        <w:tc>
          <w:tcPr>
            <w:tcW w:w="1460" w:type="dxa"/>
            <w:vAlign w:val="bottom"/>
          </w:tcPr>
          <w:p>
            <w:pPr>
              <w:jc w:val="right"/>
              <w:ind w:right="292"/>
              <w:spacing w:after="0" w:line="205" w:lineRule="exact"/>
              <w:rPr>
                <w:sz w:val="20"/>
                <w:szCs w:val="20"/>
                <w:color w:val="auto"/>
              </w:rPr>
            </w:pPr>
            <w:r>
              <w:rPr>
                <w:rFonts w:ascii="Arial" w:cs="Arial" w:eastAsia="Arial" w:hAnsi="Arial"/>
                <w:sz w:val="18"/>
                <w:szCs w:val="18"/>
                <w:color w:val="auto"/>
              </w:rPr>
              <w:t>*†10.2</w:t>
            </w:r>
          </w:p>
        </w:tc>
        <w:tc>
          <w:tcPr>
            <w:tcW w:w="772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87"/>
              </w:rPr>
            </w:pPr>
            <w:hyperlink w:anchor="page55">
              <w:r>
                <w:rPr>
                  <w:rFonts w:ascii="Arial" w:cs="Arial" w:eastAsia="Arial" w:hAnsi="Arial"/>
                  <w:sz w:val="18"/>
                  <w:szCs w:val="18"/>
                  <w:color w:val="0000FF"/>
                  <w:w w:val="87"/>
                </w:rPr>
                <w:t>Restricted Stock Unit Agreement, dated January 4, 2021, by and between the Registrant and John W. Peyton.</w:t>
              </w:r>
            </w:hyperlink>
          </w:p>
        </w:tc>
        <w:tc>
          <w:tcPr>
            <w:tcW w:w="380" w:type="dxa"/>
            <w:vAlign w:val="bottom"/>
            <w:tcBorders>
              <w:top w:val="single" w:sz="8" w:color="0000FF"/>
            </w:tcBorders>
          </w:tcPr>
          <w:p>
            <w:pPr>
              <w:spacing w:after="0"/>
              <w:rPr>
                <w:sz w:val="17"/>
                <w:szCs w:val="17"/>
                <w:color w:val="auto"/>
              </w:rPr>
            </w:pPr>
          </w:p>
        </w:tc>
        <w:tc>
          <w:tcPr>
            <w:tcW w:w="1460" w:type="dxa"/>
            <w:vAlign w:val="bottom"/>
            <w:gridSpan w:val="4"/>
          </w:tcPr>
          <w:p>
            <w:pPr>
              <w:spacing w:after="0"/>
              <w:rPr>
                <w:sz w:val="17"/>
                <w:szCs w:val="17"/>
                <w:color w:val="auto"/>
              </w:rPr>
            </w:pPr>
          </w:p>
        </w:tc>
      </w:tr>
      <w:tr>
        <w:trPr>
          <w:trHeight w:val="205"/>
        </w:trPr>
        <w:tc>
          <w:tcPr>
            <w:tcW w:w="1460" w:type="dxa"/>
            <w:vAlign w:val="bottom"/>
          </w:tcPr>
          <w:p>
            <w:pPr>
              <w:jc w:val="right"/>
              <w:ind w:right="292"/>
              <w:spacing w:after="0" w:line="205" w:lineRule="exact"/>
              <w:rPr>
                <w:sz w:val="20"/>
                <w:szCs w:val="20"/>
                <w:color w:val="auto"/>
              </w:rPr>
            </w:pPr>
            <w:r>
              <w:rPr>
                <w:rFonts w:ascii="Arial" w:cs="Arial" w:eastAsia="Arial" w:hAnsi="Arial"/>
                <w:sz w:val="18"/>
                <w:szCs w:val="18"/>
                <w:color w:val="auto"/>
              </w:rPr>
              <w:t>*31.1</w:t>
            </w:r>
          </w:p>
        </w:tc>
        <w:tc>
          <w:tcPr>
            <w:tcW w:w="8560" w:type="dxa"/>
            <w:vAlign w:val="bottom"/>
            <w:tcBorders>
              <w:bottom w:val="single" w:sz="8" w:color="0000FF"/>
            </w:tcBorders>
            <w:gridSpan w:val="5"/>
          </w:tcPr>
          <w:p>
            <w:pPr>
              <w:spacing w:after="0" w:line="205"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Certification of Chief Executive Officer pursuant to Rule 13a-14(a) of the Securities Exchange Act of 1934, as amended.</w:t>
              </w:r>
            </w:hyperlink>
          </w:p>
        </w:tc>
        <w:tc>
          <w:tcPr>
            <w:tcW w:w="1000" w:type="dxa"/>
            <w:vAlign w:val="bottom"/>
            <w:gridSpan w:val="2"/>
          </w:tcPr>
          <w:p>
            <w:pPr>
              <w:spacing w:after="0"/>
              <w:rPr>
                <w:sz w:val="17"/>
                <w:szCs w:val="17"/>
                <w:color w:val="auto"/>
              </w:rPr>
            </w:pPr>
          </w:p>
        </w:tc>
      </w:tr>
      <w:tr>
        <w:trPr>
          <w:trHeight w:val="205"/>
        </w:trPr>
        <w:tc>
          <w:tcPr>
            <w:tcW w:w="1460" w:type="dxa"/>
            <w:vAlign w:val="bottom"/>
          </w:tcPr>
          <w:p>
            <w:pPr>
              <w:jc w:val="right"/>
              <w:ind w:right="292"/>
              <w:spacing w:after="0" w:line="205" w:lineRule="exact"/>
              <w:rPr>
                <w:sz w:val="20"/>
                <w:szCs w:val="20"/>
                <w:color w:val="auto"/>
              </w:rPr>
            </w:pPr>
            <w:r>
              <w:rPr>
                <w:rFonts w:ascii="Arial" w:cs="Arial" w:eastAsia="Arial" w:hAnsi="Arial"/>
                <w:sz w:val="18"/>
                <w:szCs w:val="18"/>
                <w:color w:val="auto"/>
              </w:rPr>
              <w:t>*31.2</w:t>
            </w:r>
          </w:p>
        </w:tc>
        <w:tc>
          <w:tcPr>
            <w:tcW w:w="9560" w:type="dxa"/>
            <w:vAlign w:val="bottom"/>
            <w:gridSpan w:val="7"/>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Certification of Chief Financial Officer pursuant to Rule 13a-14(a) of the Securities Exchange Act of 1934, as amended.</w:t>
              </w:r>
            </w:hyperlink>
          </w:p>
        </w:tc>
      </w:tr>
      <w:tr>
        <w:trPr>
          <w:trHeight w:val="20"/>
        </w:trPr>
        <w:tc>
          <w:tcPr>
            <w:tcW w:w="14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42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460" w:type="dxa"/>
            <w:vAlign w:val="bottom"/>
          </w:tcPr>
          <w:p>
            <w:pPr>
              <w:jc w:val="right"/>
              <w:ind w:right="292"/>
              <w:spacing w:after="0" w:line="205" w:lineRule="exact"/>
              <w:rPr>
                <w:sz w:val="20"/>
                <w:szCs w:val="20"/>
                <w:color w:val="auto"/>
              </w:rPr>
            </w:pPr>
            <w:r>
              <w:rPr>
                <w:rFonts w:ascii="Arial" w:cs="Arial" w:eastAsia="Arial" w:hAnsi="Arial"/>
                <w:sz w:val="18"/>
                <w:szCs w:val="18"/>
                <w:color w:val="auto"/>
              </w:rPr>
              <w:t>*32.1</w:t>
            </w:r>
          </w:p>
        </w:tc>
        <w:tc>
          <w:tcPr>
            <w:tcW w:w="9560" w:type="dxa"/>
            <w:vAlign w:val="bottom"/>
            <w:tcBorders>
              <w:bottom w:val="single" w:sz="8" w:color="0000FF"/>
            </w:tcBorders>
            <w:gridSpan w:val="7"/>
          </w:tcPr>
          <w:p>
            <w:pPr>
              <w:spacing w:after="0" w:line="205"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Certification of Chief Executive Officer pursuant to 18 U.S.C. Section 1350, as adopted pursuant to Section 906 of the Sarbanes-Oxley</w:t>
              </w:r>
            </w:hyperlink>
          </w:p>
        </w:tc>
      </w:tr>
      <w:tr>
        <w:trPr>
          <w:trHeight w:val="152"/>
        </w:trPr>
        <w:tc>
          <w:tcPr>
            <w:tcW w:w="1460" w:type="dxa"/>
            <w:vAlign w:val="bottom"/>
          </w:tcPr>
          <w:p>
            <w:pPr>
              <w:spacing w:after="0"/>
              <w:rPr>
                <w:sz w:val="13"/>
                <w:szCs w:val="13"/>
                <w:color w:val="auto"/>
              </w:rPr>
            </w:pPr>
          </w:p>
        </w:tc>
        <w:tc>
          <w:tcPr>
            <w:tcW w:w="1080" w:type="dxa"/>
            <w:vAlign w:val="bottom"/>
            <w:tcBorders>
              <w:bottom w:val="single" w:sz="8" w:color="0000FF"/>
            </w:tcBorders>
          </w:tcPr>
          <w:p>
            <w:pPr>
              <w:spacing w:after="0" w:line="152" w:lineRule="exact"/>
              <w:rPr>
                <w:rFonts w:ascii="Arial" w:cs="Arial" w:eastAsia="Arial" w:hAnsi="Arial"/>
                <w:sz w:val="17"/>
                <w:szCs w:val="17"/>
                <w:color w:val="0000FF"/>
              </w:rPr>
            </w:pPr>
            <w:hyperlink w:anchor="page66">
              <w:r>
                <w:rPr>
                  <w:rFonts w:ascii="Arial" w:cs="Arial" w:eastAsia="Arial" w:hAnsi="Arial"/>
                  <w:sz w:val="17"/>
                  <w:szCs w:val="17"/>
                  <w:color w:val="0000FF"/>
                </w:rPr>
                <w:t>Act of 2002.**</w:t>
              </w:r>
            </w:hyperlink>
          </w:p>
        </w:tc>
        <w:tc>
          <w:tcPr>
            <w:tcW w:w="8480" w:type="dxa"/>
            <w:vAlign w:val="bottom"/>
            <w:gridSpan w:val="6"/>
          </w:tcPr>
          <w:p>
            <w:pPr>
              <w:spacing w:after="0"/>
              <w:rPr>
                <w:sz w:val="13"/>
                <w:szCs w:val="13"/>
                <w:color w:val="auto"/>
              </w:rPr>
            </w:pPr>
          </w:p>
        </w:tc>
      </w:tr>
      <w:tr>
        <w:trPr>
          <w:trHeight w:val="205"/>
        </w:trPr>
        <w:tc>
          <w:tcPr>
            <w:tcW w:w="1460" w:type="dxa"/>
            <w:vAlign w:val="bottom"/>
          </w:tcPr>
          <w:p>
            <w:pPr>
              <w:jc w:val="right"/>
              <w:ind w:right="292"/>
              <w:spacing w:after="0" w:line="205" w:lineRule="exact"/>
              <w:rPr>
                <w:sz w:val="20"/>
                <w:szCs w:val="20"/>
                <w:color w:val="auto"/>
              </w:rPr>
            </w:pPr>
            <w:r>
              <w:rPr>
                <w:rFonts w:ascii="Arial" w:cs="Arial" w:eastAsia="Arial" w:hAnsi="Arial"/>
                <w:sz w:val="18"/>
                <w:szCs w:val="18"/>
                <w:color w:val="auto"/>
              </w:rPr>
              <w:t>*32.2</w:t>
            </w:r>
          </w:p>
        </w:tc>
        <w:tc>
          <w:tcPr>
            <w:tcW w:w="9560" w:type="dxa"/>
            <w:vAlign w:val="bottom"/>
            <w:gridSpan w:val="7"/>
          </w:tcPr>
          <w:p>
            <w:pPr>
              <w:spacing w:after="0" w:line="205"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Certification of Chief Financial Officer pursuant to 18 U.S.C. Section 1350, as adopted pursuant to Section 906 of the Sarbanes-Oxley</w:t>
              </w:r>
            </w:hyperlink>
          </w:p>
        </w:tc>
      </w:tr>
      <w:tr>
        <w:trPr>
          <w:trHeight w:val="152"/>
        </w:trPr>
        <w:tc>
          <w:tcPr>
            <w:tcW w:w="146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rPr>
            </w:pPr>
            <w:hyperlink w:anchor="page67">
              <w:r>
                <w:rPr>
                  <w:rFonts w:ascii="Arial" w:cs="Arial" w:eastAsia="Arial" w:hAnsi="Arial"/>
                  <w:sz w:val="17"/>
                  <w:szCs w:val="17"/>
                  <w:color w:val="0000FF"/>
                </w:rPr>
                <w:t>Act of 2002.**</w:t>
              </w:r>
            </w:hyperlink>
          </w:p>
        </w:tc>
        <w:tc>
          <w:tcPr>
            <w:tcW w:w="842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r>
      <w:tr>
        <w:trPr>
          <w:trHeight w:val="193"/>
        </w:trPr>
        <w:tc>
          <w:tcPr>
            <w:tcW w:w="1460" w:type="dxa"/>
            <w:vAlign w:val="bottom"/>
          </w:tcPr>
          <w:p>
            <w:pPr>
              <w:jc w:val="right"/>
              <w:ind w:right="292"/>
              <w:spacing w:after="0" w:line="193" w:lineRule="exact"/>
              <w:rPr>
                <w:sz w:val="20"/>
                <w:szCs w:val="20"/>
                <w:color w:val="auto"/>
              </w:rPr>
            </w:pPr>
            <w:r>
              <w:rPr>
                <w:rFonts w:ascii="Arial" w:cs="Arial" w:eastAsia="Arial" w:hAnsi="Arial"/>
                <w:sz w:val="18"/>
                <w:szCs w:val="18"/>
                <w:color w:val="auto"/>
              </w:rPr>
              <w:t>101.INS</w:t>
            </w:r>
          </w:p>
        </w:tc>
        <w:tc>
          <w:tcPr>
            <w:tcW w:w="9560" w:type="dxa"/>
            <w:vAlign w:val="bottom"/>
            <w:gridSpan w:val="7"/>
          </w:tcPr>
          <w:p>
            <w:pPr>
              <w:spacing w:after="0" w:line="193"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23"/>
        </w:trPr>
        <w:tc>
          <w:tcPr>
            <w:tcW w:w="1460" w:type="dxa"/>
            <w:vAlign w:val="bottom"/>
          </w:tcPr>
          <w:p>
            <w:pPr>
              <w:spacing w:after="0"/>
              <w:rPr>
                <w:sz w:val="19"/>
                <w:szCs w:val="19"/>
                <w:color w:val="auto"/>
              </w:rPr>
            </w:pPr>
          </w:p>
        </w:tc>
        <w:tc>
          <w:tcPr>
            <w:tcW w:w="9560" w:type="dxa"/>
            <w:vAlign w:val="bottom"/>
            <w:gridSpan w:val="7"/>
          </w:tcPr>
          <w:p>
            <w:pPr>
              <w:ind w:left="240"/>
              <w:spacing w:after="0"/>
              <w:rPr>
                <w:sz w:val="20"/>
                <w:szCs w:val="20"/>
                <w:color w:val="auto"/>
              </w:rPr>
            </w:pPr>
            <w:r>
              <w:rPr>
                <w:rFonts w:ascii="Arial" w:cs="Arial" w:eastAsia="Arial" w:hAnsi="Arial"/>
                <w:sz w:val="18"/>
                <w:szCs w:val="18"/>
                <w:color w:val="auto"/>
              </w:rPr>
              <w:t>within the Inline XBRL document.</w:t>
            </w:r>
          </w:p>
        </w:tc>
      </w:tr>
      <w:tr>
        <w:trPr>
          <w:trHeight w:val="225"/>
        </w:trPr>
        <w:tc>
          <w:tcPr>
            <w:tcW w:w="1460" w:type="dxa"/>
            <w:vAlign w:val="bottom"/>
          </w:tcPr>
          <w:p>
            <w:pPr>
              <w:jc w:val="right"/>
              <w:ind w:right="292"/>
              <w:spacing w:after="0"/>
              <w:rPr>
                <w:sz w:val="20"/>
                <w:szCs w:val="20"/>
                <w:color w:val="auto"/>
              </w:rPr>
            </w:pPr>
            <w:r>
              <w:rPr>
                <w:rFonts w:ascii="Arial" w:cs="Arial" w:eastAsia="Arial" w:hAnsi="Arial"/>
                <w:sz w:val="18"/>
                <w:szCs w:val="18"/>
                <w:color w:val="auto"/>
              </w:rPr>
              <w:t>101.SCH</w:t>
            </w: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Schema Document.***</w:t>
            </w:r>
          </w:p>
        </w:tc>
      </w:tr>
      <w:tr>
        <w:trPr>
          <w:trHeight w:val="225"/>
        </w:trPr>
        <w:tc>
          <w:tcPr>
            <w:tcW w:w="1460" w:type="dxa"/>
            <w:vAlign w:val="bottom"/>
          </w:tcPr>
          <w:p>
            <w:pPr>
              <w:jc w:val="right"/>
              <w:ind w:right="292"/>
              <w:spacing w:after="0"/>
              <w:rPr>
                <w:sz w:val="20"/>
                <w:szCs w:val="20"/>
                <w:color w:val="auto"/>
              </w:rPr>
            </w:pPr>
            <w:r>
              <w:rPr>
                <w:rFonts w:ascii="Arial" w:cs="Arial" w:eastAsia="Arial" w:hAnsi="Arial"/>
                <w:sz w:val="18"/>
                <w:szCs w:val="18"/>
                <w:color w:val="auto"/>
              </w:rPr>
              <w:t>101.CAL</w:t>
            </w: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25"/>
        </w:trPr>
        <w:tc>
          <w:tcPr>
            <w:tcW w:w="1460" w:type="dxa"/>
            <w:vAlign w:val="bottom"/>
          </w:tcPr>
          <w:p>
            <w:pPr>
              <w:jc w:val="right"/>
              <w:ind w:right="292"/>
              <w:spacing w:after="0"/>
              <w:rPr>
                <w:sz w:val="20"/>
                <w:szCs w:val="20"/>
                <w:color w:val="auto"/>
              </w:rPr>
            </w:pPr>
            <w:r>
              <w:rPr>
                <w:rFonts w:ascii="Arial" w:cs="Arial" w:eastAsia="Arial" w:hAnsi="Arial"/>
                <w:sz w:val="18"/>
                <w:szCs w:val="18"/>
                <w:color w:val="auto"/>
              </w:rPr>
              <w:t>101.DEF</w:t>
            </w: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Definition Linkbase Document.***</w:t>
            </w:r>
          </w:p>
        </w:tc>
      </w:tr>
      <w:tr>
        <w:trPr>
          <w:trHeight w:val="225"/>
        </w:trPr>
        <w:tc>
          <w:tcPr>
            <w:tcW w:w="1460" w:type="dxa"/>
            <w:vAlign w:val="bottom"/>
          </w:tcPr>
          <w:p>
            <w:pPr>
              <w:jc w:val="right"/>
              <w:ind w:right="292"/>
              <w:spacing w:after="0"/>
              <w:rPr>
                <w:sz w:val="20"/>
                <w:szCs w:val="20"/>
                <w:color w:val="auto"/>
              </w:rPr>
            </w:pPr>
            <w:r>
              <w:rPr>
                <w:rFonts w:ascii="Arial" w:cs="Arial" w:eastAsia="Arial" w:hAnsi="Arial"/>
                <w:sz w:val="18"/>
                <w:szCs w:val="18"/>
                <w:color w:val="auto"/>
              </w:rPr>
              <w:t>101.LAB</w:t>
            </w: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Label Linkbase Document.***</w:t>
            </w:r>
          </w:p>
        </w:tc>
      </w:tr>
      <w:tr>
        <w:trPr>
          <w:trHeight w:val="225"/>
        </w:trPr>
        <w:tc>
          <w:tcPr>
            <w:tcW w:w="1460" w:type="dxa"/>
            <w:vAlign w:val="bottom"/>
          </w:tcPr>
          <w:p>
            <w:pPr>
              <w:jc w:val="right"/>
              <w:ind w:right="292"/>
              <w:spacing w:after="0"/>
              <w:rPr>
                <w:sz w:val="20"/>
                <w:szCs w:val="20"/>
                <w:color w:val="auto"/>
              </w:rPr>
            </w:pPr>
            <w:r>
              <w:rPr>
                <w:rFonts w:ascii="Arial" w:cs="Arial" w:eastAsia="Arial" w:hAnsi="Arial"/>
                <w:sz w:val="18"/>
                <w:szCs w:val="18"/>
                <w:color w:val="auto"/>
              </w:rPr>
              <w:t>101.PRE</w:t>
            </w: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Presentation Linkbase Document.***</w:t>
            </w:r>
          </w:p>
        </w:tc>
      </w:tr>
    </w:tbl>
    <w:p>
      <w:pPr>
        <w:spacing w:after="0" w:line="2" w:lineRule="exact"/>
        <w:rPr>
          <w:sz w:val="20"/>
          <w:szCs w:val="20"/>
          <w:color w:val="auto"/>
        </w:rPr>
      </w:pPr>
    </w:p>
    <w:p>
      <w:pPr>
        <w:ind w:left="1460" w:hanging="690"/>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6" w:lineRule="exact"/>
        <w:rPr>
          <w:rFonts w:ascii="Arial" w:cs="Arial" w:eastAsia="Arial" w:hAnsi="Arial"/>
          <w:sz w:val="18"/>
          <w:szCs w:val="18"/>
          <w:color w:val="auto"/>
        </w:rPr>
      </w:pPr>
    </w:p>
    <w:p>
      <w:pPr>
        <w:ind w:left="480" w:right="140" w:hanging="474"/>
        <w:spacing w:after="0" w:line="245" w:lineRule="auto"/>
        <w:tabs>
          <w:tab w:leader="none" w:pos="3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 w:lineRule="exact"/>
        <w:rPr>
          <w:rFonts w:ascii="Arial" w:cs="Arial" w:eastAsia="Arial" w:hAnsi="Arial"/>
          <w:sz w:val="18"/>
          <w:szCs w:val="18"/>
          <w:color w:val="auto"/>
        </w:rPr>
      </w:pPr>
    </w:p>
    <w:p>
      <w:pPr>
        <w:ind w:left="480" w:hanging="474"/>
        <w:spacing w:after="0" w:line="260" w:lineRule="auto"/>
        <w:tabs>
          <w:tab w:leader="none" w:pos="361"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1" w:lineRule="exact"/>
        <w:rPr>
          <w:sz w:val="20"/>
          <w:szCs w:val="20"/>
          <w:color w:val="auto"/>
        </w:rPr>
      </w:pPr>
    </w:p>
    <w:p>
      <w:pPr>
        <w:ind w:left="260" w:hanging="254"/>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contract, compensatory plan or arrangement in which directors or executive officers are eligible to participate.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Dine Brands Global, Inc.</w:t>
      </w:r>
    </w:p>
    <w:p>
      <w:pPr>
        <w:ind w:left="45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55" w:lineRule="exact"/>
        <w:rPr>
          <w:sz w:val="20"/>
          <w:szCs w:val="20"/>
          <w:color w:val="auto"/>
        </w:rPr>
      </w:pPr>
    </w:p>
    <w:p>
      <w:pPr>
        <w:ind w:left="820"/>
        <w:spacing w:after="0"/>
        <w:tabs>
          <w:tab w:leader="none" w:pos="5800" w:val="left"/>
          <w:tab w:leader="none" w:pos="7440" w:val="left"/>
        </w:tabs>
        <w:rPr>
          <w:sz w:val="20"/>
          <w:szCs w:val="20"/>
          <w:color w:val="auto"/>
        </w:rPr>
      </w:pPr>
      <w:r>
        <w:rPr>
          <w:rFonts w:ascii="Arial" w:cs="Arial" w:eastAsia="Arial" w:hAnsi="Arial"/>
          <w:sz w:val="18"/>
          <w:szCs w:val="18"/>
          <w:color w:val="auto"/>
        </w:rPr>
        <w:t>Dated: 5th day of May,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10795</wp:posOffset>
            </wp:positionV>
            <wp:extent cx="25749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8"/>
          <w:szCs w:val="18"/>
          <w:color w:val="auto"/>
        </w:rPr>
        <w:t>John W. Peyton</w:t>
      </w:r>
    </w:p>
    <w:p>
      <w:pPr>
        <w:jc w:val="center"/>
        <w:ind w:left="5000"/>
        <w:spacing w:after="0" w:line="19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left="820"/>
        <w:spacing w:after="0"/>
        <w:tabs>
          <w:tab w:leader="none" w:pos="5800" w:val="left"/>
          <w:tab w:leader="none" w:pos="7560" w:val="left"/>
        </w:tabs>
        <w:rPr>
          <w:sz w:val="20"/>
          <w:szCs w:val="20"/>
          <w:color w:val="auto"/>
        </w:rPr>
      </w:pPr>
      <w:r>
        <w:rPr>
          <w:rFonts w:ascii="Arial" w:cs="Arial" w:eastAsia="Arial" w:hAnsi="Arial"/>
          <w:sz w:val="18"/>
          <w:szCs w:val="18"/>
          <w:color w:val="auto"/>
        </w:rPr>
        <w:t>Dated: 5th day of May,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10795</wp:posOffset>
            </wp:positionV>
            <wp:extent cx="25749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8"/>
          <w:szCs w:val="18"/>
          <w:color w:val="auto"/>
        </w:rPr>
        <w:t>Allison Hall</w:t>
      </w:r>
    </w:p>
    <w:p>
      <w:pPr>
        <w:jc w:val="center"/>
        <w:ind w:left="5000"/>
        <w:spacing w:after="0" w:line="199" w:lineRule="auto"/>
        <w:rPr>
          <w:sz w:val="20"/>
          <w:szCs w:val="20"/>
          <w:color w:val="auto"/>
        </w:rPr>
      </w:pPr>
      <w:r>
        <w:rPr>
          <w:rFonts w:ascii="Arial" w:cs="Arial" w:eastAsia="Arial" w:hAnsi="Arial"/>
          <w:sz w:val="18"/>
          <w:szCs w:val="18"/>
          <w:i w:val="1"/>
          <w:iCs w:val="1"/>
          <w:color w:val="auto"/>
        </w:rPr>
        <w:t>Interim Chief Financial Officer</w:t>
      </w:r>
    </w:p>
    <w:p>
      <w:pPr>
        <w:jc w:val="center"/>
        <w:ind w:left="5000"/>
        <w:spacing w:after="0" w:line="200" w:lineRule="auto"/>
        <w:rPr>
          <w:sz w:val="20"/>
          <w:szCs w:val="20"/>
          <w:color w:val="auto"/>
        </w:rPr>
      </w:pPr>
      <w:r>
        <w:rPr>
          <w:rFonts w:ascii="Arial" w:cs="Arial" w:eastAsia="Arial" w:hAnsi="Arial"/>
          <w:sz w:val="18"/>
          <w:szCs w:val="18"/>
          <w:i w:val="1"/>
          <w:iCs w:val="1"/>
          <w:color w:val="auto"/>
        </w:rPr>
        <w:t>(Principal Financial Officer and Principal Accounting</w:t>
      </w:r>
    </w:p>
    <w:p>
      <w:pPr>
        <w:jc w:val="center"/>
        <w:ind w:left="500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20"/>
          </w:cols>
          <w:pgMar w:left="320" w:top="122" w:right="85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DINE BRANDS GLOBAL, INC.</w:t>
      </w:r>
    </w:p>
    <w:p>
      <w:pPr>
        <w:spacing w:after="0" w:line="34"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2019 STOCK INCENTIVE PLAN</w:t>
      </w:r>
    </w:p>
    <w:p>
      <w:pPr>
        <w:spacing w:after="0" w:line="10"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NONQUALIFIED STOCK OPTION AGREEMENT</w:t>
      </w:r>
    </w:p>
    <w:p>
      <w:pPr>
        <w:spacing w:after="0" w:line="198" w:lineRule="exact"/>
        <w:rPr>
          <w:sz w:val="20"/>
          <w:szCs w:val="20"/>
          <w:color w:val="auto"/>
        </w:rPr>
      </w:pPr>
    </w:p>
    <w:p>
      <w:pPr>
        <w:ind w:right="100" w:firstLine="636"/>
        <w:spacing w:after="0" w:line="267" w:lineRule="auto"/>
        <w:rPr>
          <w:sz w:val="20"/>
          <w:szCs w:val="20"/>
          <w:color w:val="auto"/>
        </w:rPr>
      </w:pPr>
      <w:r>
        <w:rPr>
          <w:rFonts w:ascii="Arial" w:cs="Arial" w:eastAsia="Arial" w:hAnsi="Arial"/>
          <w:sz w:val="21"/>
          <w:szCs w:val="21"/>
          <w:b w:val="1"/>
          <w:bCs w:val="1"/>
          <w:color w:val="auto"/>
        </w:rPr>
        <w:t xml:space="preserve">THIS NONQUALIFIED STOCK OPTION AGREEMENT </w:t>
      </w:r>
      <w:r>
        <w:rPr>
          <w:rFonts w:ascii="Arial" w:cs="Arial" w:eastAsia="Arial" w:hAnsi="Arial"/>
          <w:sz w:val="21"/>
          <w:szCs w:val="21"/>
          <w:color w:val="auto"/>
        </w:rPr>
        <w:t>(the “Agreement”) is entered into as of January 4, 2021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“Date of Grant”), by and between </w:t>
      </w:r>
      <w:r>
        <w:rPr>
          <w:rFonts w:ascii="Arial" w:cs="Arial" w:eastAsia="Arial" w:hAnsi="Arial"/>
          <w:sz w:val="21"/>
          <w:szCs w:val="21"/>
          <w:b w:val="1"/>
          <w:bCs w:val="1"/>
          <w:color w:val="auto"/>
        </w:rPr>
        <w:t>DINE BRANDS GLOBAL, INC.</w:t>
      </w:r>
      <w:r>
        <w:rPr>
          <w:rFonts w:ascii="Arial" w:cs="Arial" w:eastAsia="Arial" w:hAnsi="Arial"/>
          <w:sz w:val="21"/>
          <w:szCs w:val="21"/>
          <w:color w:val="auto"/>
        </w:rPr>
        <w:t>, a Delaware corporation (the “Company”), and John W. Peyton (the “Optionee”).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r>
        <w:rPr>
          <w:rFonts w:ascii="Arial" w:cs="Arial" w:eastAsia="Arial" w:hAnsi="Arial"/>
          <w:sz w:val="21"/>
          <w:szCs w:val="21"/>
          <w:b w:val="1"/>
          <w:bCs w:val="1"/>
          <w:color w:val="auto"/>
        </w:rPr>
        <w:t>:</w:t>
      </w:r>
    </w:p>
    <w:p>
      <w:pPr>
        <w:spacing w:after="0" w:line="228" w:lineRule="exact"/>
        <w:rPr>
          <w:sz w:val="20"/>
          <w:szCs w:val="20"/>
          <w:color w:val="auto"/>
        </w:rPr>
      </w:pPr>
    </w:p>
    <w:p>
      <w:pPr>
        <w:ind w:right="40" w:firstLine="636"/>
        <w:spacing w:after="0" w:line="290" w:lineRule="auto"/>
        <w:rPr>
          <w:sz w:val="20"/>
          <w:szCs w:val="20"/>
          <w:color w:val="auto"/>
        </w:rPr>
      </w:pPr>
      <w:r>
        <w:rPr>
          <w:rFonts w:ascii="Arial" w:cs="Arial" w:eastAsia="Arial" w:hAnsi="Arial"/>
          <w:sz w:val="19"/>
          <w:szCs w:val="19"/>
          <w:color w:val="auto"/>
        </w:rPr>
        <w:t>Pursuant to the Dine Brands Global, Inc. 2019 Stock Incentive Plan (the “Plan”), the Compensation Committee of the Board of Directors of the Company (the “Committee”), as the administrator of the Plan, has determined that the Optionee is to be granted an option (the “Option”) to purchase shares of the Company’s common stock, par value $0.01 per share (the “Common Stock”), on the terms and conditions set forth herein, and hereby grants such Option. The Option is not intended to constitute an “incentive stock option” within the meaning of Section 422 of the Internal Revenue Code of 1986, as amended (the “Code”).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Any capitalized terms not defined herein shall have their respective meanings set forth in the Plan.</w:t>
      </w:r>
    </w:p>
    <w:p>
      <w:pPr>
        <w:spacing w:after="0" w:line="216" w:lineRule="exact"/>
        <w:rPr>
          <w:sz w:val="20"/>
          <w:szCs w:val="20"/>
          <w:color w:val="auto"/>
        </w:rPr>
      </w:pPr>
    </w:p>
    <w:p>
      <w:pPr>
        <w:ind w:left="4900"/>
        <w:spacing w:after="0"/>
        <w:rPr>
          <w:sz w:val="20"/>
          <w:szCs w:val="20"/>
          <w:color w:val="auto"/>
        </w:rPr>
      </w:pPr>
      <w:r>
        <w:rPr>
          <w:rFonts w:ascii="Arial" w:cs="Arial" w:eastAsia="Arial" w:hAnsi="Arial"/>
          <w:sz w:val="21"/>
          <w:szCs w:val="21"/>
          <w:b w:val="1"/>
          <w:bCs w:val="1"/>
          <w:u w:val="single" w:color="auto"/>
          <w:color w:val="auto"/>
        </w:rPr>
        <w:t>AGREEMENT</w:t>
      </w:r>
      <w:r>
        <w:rPr>
          <w:rFonts w:ascii="Arial" w:cs="Arial" w:eastAsia="Arial" w:hAnsi="Arial"/>
          <w:sz w:val="21"/>
          <w:szCs w:val="21"/>
          <w:b w:val="1"/>
          <w:bCs w:val="1"/>
          <w:color w:val="auto"/>
        </w:rPr>
        <w:t>:</w:t>
      </w:r>
    </w:p>
    <w:p>
      <w:pPr>
        <w:spacing w:after="0" w:line="228" w:lineRule="exact"/>
        <w:rPr>
          <w:sz w:val="20"/>
          <w:szCs w:val="20"/>
          <w:color w:val="auto"/>
        </w:rPr>
      </w:pPr>
    </w:p>
    <w:p>
      <w:pPr>
        <w:ind w:right="20" w:firstLine="636"/>
        <w:spacing w:after="0" w:line="279" w:lineRule="auto"/>
        <w:rPr>
          <w:sz w:val="20"/>
          <w:szCs w:val="20"/>
          <w:color w:val="auto"/>
        </w:rPr>
      </w:pPr>
      <w:r>
        <w:rPr>
          <w:rFonts w:ascii="Arial" w:cs="Arial" w:eastAsia="Arial" w:hAnsi="Arial"/>
          <w:sz w:val="21"/>
          <w:szCs w:val="21"/>
          <w:color w:val="auto"/>
        </w:rPr>
        <w:t>In consideration of the foregoing and of the mutual covenants set forth herein and other good and valuable consideration, the parties hereto agree as follows:</w:t>
      </w:r>
    </w:p>
    <w:p>
      <w:pPr>
        <w:spacing w:after="0" w:line="147" w:lineRule="exact"/>
        <w:rPr>
          <w:sz w:val="20"/>
          <w:szCs w:val="20"/>
          <w:color w:val="auto"/>
        </w:rPr>
      </w:pPr>
    </w:p>
    <w:p>
      <w:pPr>
        <w:ind w:right="100" w:firstLine="642"/>
        <w:spacing w:after="0" w:line="236" w:lineRule="auto"/>
        <w:tabs>
          <w:tab w:leader="none" w:pos="1272" w:val="left"/>
        </w:tabs>
        <w:numPr>
          <w:ilvl w:val="0"/>
          <w:numId w:val="24"/>
        </w:numPr>
        <w:rPr>
          <w:rFonts w:ascii="Arial" w:cs="Arial" w:eastAsia="Arial" w:hAnsi="Arial"/>
          <w:sz w:val="21"/>
          <w:szCs w:val="21"/>
          <w:color w:val="010000"/>
        </w:rPr>
      </w:pPr>
      <w:r>
        <w:rPr>
          <w:rFonts w:ascii="Arial" w:cs="Arial" w:eastAsia="Arial" w:hAnsi="Arial"/>
          <w:sz w:val="21"/>
          <w:szCs w:val="21"/>
          <w:u w:val="single" w:color="auto"/>
          <w:color w:val="auto"/>
        </w:rPr>
        <w:t>NUMBER OF OPTION SHARES AND OPTION PRICE</w:t>
      </w:r>
      <w:r>
        <w:rPr>
          <w:rFonts w:ascii="Arial" w:cs="Arial" w:eastAsia="Arial" w:hAnsi="Arial"/>
          <w:sz w:val="21"/>
          <w:szCs w:val="21"/>
          <w:color w:val="auto"/>
        </w:rPr>
        <w:t>. The Option entitles the Optionee to purchase 29,016</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shares of the Company’s Common Stock (the “Option Shares”) at a price of $57.55</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per share (the “Option Exercise Price”), which is the Fair Market Value of a share of Common Stock as of the Date of Grant.</w:t>
      </w:r>
    </w:p>
    <w:p>
      <w:pPr>
        <w:spacing w:after="0" w:line="194" w:lineRule="exact"/>
        <w:rPr>
          <w:rFonts w:ascii="Arial" w:cs="Arial" w:eastAsia="Arial" w:hAnsi="Arial"/>
          <w:sz w:val="21"/>
          <w:szCs w:val="21"/>
          <w:color w:val="010000"/>
        </w:rPr>
      </w:pPr>
    </w:p>
    <w:p>
      <w:pPr>
        <w:ind w:left="1280" w:hanging="638"/>
        <w:spacing w:after="0"/>
        <w:tabs>
          <w:tab w:leader="none" w:pos="1280" w:val="left"/>
        </w:tabs>
        <w:numPr>
          <w:ilvl w:val="0"/>
          <w:numId w:val="24"/>
        </w:numPr>
        <w:rPr>
          <w:rFonts w:ascii="Arial" w:cs="Arial" w:eastAsia="Arial" w:hAnsi="Arial"/>
          <w:sz w:val="21"/>
          <w:szCs w:val="21"/>
          <w:color w:val="010000"/>
        </w:rPr>
      </w:pPr>
      <w:r>
        <w:rPr>
          <w:rFonts w:ascii="Arial" w:cs="Arial" w:eastAsia="Arial" w:hAnsi="Arial"/>
          <w:sz w:val="21"/>
          <w:szCs w:val="21"/>
          <w:u w:val="single" w:color="auto"/>
          <w:color w:val="auto"/>
        </w:rPr>
        <w:t>PERIOD OF OPTION AND CONDITIONS OF EXERCISE</w:t>
      </w:r>
      <w:r>
        <w:rPr>
          <w:rFonts w:ascii="Arial" w:cs="Arial" w:eastAsia="Arial" w:hAnsi="Arial"/>
          <w:sz w:val="21"/>
          <w:szCs w:val="21"/>
          <w:color w:val="auto"/>
        </w:rPr>
        <w:t>.</w:t>
      </w:r>
    </w:p>
    <w:p>
      <w:pPr>
        <w:spacing w:after="0" w:line="222" w:lineRule="exact"/>
        <w:rPr>
          <w:rFonts w:ascii="Arial" w:cs="Arial" w:eastAsia="Arial" w:hAnsi="Arial"/>
          <w:sz w:val="21"/>
          <w:szCs w:val="21"/>
          <w:color w:val="010000"/>
        </w:rPr>
      </w:pPr>
    </w:p>
    <w:p>
      <w:pPr>
        <w:jc w:val="both"/>
        <w:ind w:right="460" w:firstLine="1278"/>
        <w:spacing w:after="0" w:line="259" w:lineRule="auto"/>
        <w:tabs>
          <w:tab w:leader="none" w:pos="1905" w:val="left"/>
        </w:tabs>
        <w:numPr>
          <w:ilvl w:val="1"/>
          <w:numId w:val="24"/>
        </w:numPr>
        <w:rPr>
          <w:rFonts w:ascii="Arial" w:cs="Arial" w:eastAsia="Arial" w:hAnsi="Arial"/>
          <w:sz w:val="21"/>
          <w:szCs w:val="21"/>
          <w:color w:val="010000"/>
        </w:rPr>
      </w:pPr>
      <w:r>
        <w:rPr>
          <w:rFonts w:ascii="Arial" w:cs="Arial" w:eastAsia="Arial" w:hAnsi="Arial"/>
          <w:sz w:val="21"/>
          <w:szCs w:val="21"/>
          <w:u w:val="single" w:color="auto"/>
          <w:color w:val="auto"/>
        </w:rPr>
        <w:t>Period of Option</w:t>
      </w:r>
      <w:r>
        <w:rPr>
          <w:rFonts w:ascii="Arial" w:cs="Arial" w:eastAsia="Arial" w:hAnsi="Arial"/>
          <w:sz w:val="21"/>
          <w:szCs w:val="21"/>
          <w:color w:val="auto"/>
        </w:rPr>
        <w:t>. Unless the Option is previously terminated pursuant to this Agreement, the term of the Option and this Agreement shall commence on the Date of Grant and shall terminate upon the tenth anniversary of the Date of Grant. Upon termination of the Option, all rights of the Optionee (including, without limitation, his or her guardian or legal representative) hereunder shall cease.</w:t>
      </w:r>
    </w:p>
    <w:p>
      <w:pPr>
        <w:spacing w:after="0" w:line="176" w:lineRule="exact"/>
        <w:rPr>
          <w:rFonts w:ascii="Arial" w:cs="Arial" w:eastAsia="Arial" w:hAnsi="Arial"/>
          <w:sz w:val="21"/>
          <w:szCs w:val="21"/>
          <w:color w:val="010000"/>
        </w:rPr>
      </w:pPr>
    </w:p>
    <w:p>
      <w:pPr>
        <w:ind w:right="20" w:firstLine="1278"/>
        <w:spacing w:after="0" w:line="264" w:lineRule="auto"/>
        <w:tabs>
          <w:tab w:leader="none" w:pos="1903" w:val="left"/>
        </w:tabs>
        <w:numPr>
          <w:ilvl w:val="1"/>
          <w:numId w:val="24"/>
        </w:numPr>
        <w:rPr>
          <w:rFonts w:ascii="Arial" w:cs="Arial" w:eastAsia="Arial" w:hAnsi="Arial"/>
          <w:sz w:val="21"/>
          <w:szCs w:val="21"/>
          <w:color w:val="010000"/>
        </w:rPr>
      </w:pPr>
      <w:r>
        <w:rPr>
          <w:rFonts w:ascii="Arial" w:cs="Arial" w:eastAsia="Arial" w:hAnsi="Arial"/>
          <w:sz w:val="21"/>
          <w:szCs w:val="21"/>
          <w:u w:val="single" w:color="auto"/>
          <w:color w:val="auto"/>
        </w:rPr>
        <w:t>Conditions of Exercise</w:t>
      </w:r>
      <w:r>
        <w:rPr>
          <w:rFonts w:ascii="Arial" w:cs="Arial" w:eastAsia="Arial" w:hAnsi="Arial"/>
          <w:sz w:val="21"/>
          <w:szCs w:val="21"/>
          <w:color w:val="auto"/>
        </w:rPr>
        <w:t>. Subject to the Optionee’s continued employment with or service to the Company, this Option shall vest and become exercisable as to one-third (1/3) of the shares subject to the Option on each of the first, second and third anniversaries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16827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52" w:lineRule="exact"/>
        <w:rPr>
          <w:sz w:val="20"/>
          <w:szCs w:val="20"/>
          <w:color w:val="auto"/>
        </w:rPr>
      </w:pPr>
    </w:p>
    <w:p>
      <w:pPr>
        <w:ind w:left="480" w:right="280" w:hanging="474"/>
        <w:spacing w:after="0" w:line="285" w:lineRule="auto"/>
        <w:tabs>
          <w:tab w:leader="none" w:pos="157"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NTD: To be a number of shares determined as follows: $1,000,000 divided by the Black-Scholes factor divided by the average stock price for the 20-day period immediately prior to January 4, 2021</w:t>
      </w:r>
    </w:p>
    <w:p>
      <w:pPr>
        <w:spacing w:after="0" w:line="45" w:lineRule="exact"/>
        <w:rPr>
          <w:sz w:val="20"/>
          <w:szCs w:val="20"/>
          <w:color w:val="auto"/>
        </w:rPr>
      </w:pPr>
    </w:p>
    <w:p>
      <w:pPr>
        <w:ind w:left="160" w:hanging="154"/>
        <w:spacing w:after="0"/>
        <w:tabs>
          <w:tab w:leader="none" w:pos="160"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NTD: To be the closing price on the date of grant</w:t>
      </w:r>
    </w:p>
    <w:p>
      <w:pPr>
        <w:sectPr>
          <w:pgSz w:w="11900" w:h="16838" w:orient="portrait"/>
          <w:cols w:equalWidth="0" w:num="1">
            <w:col w:w="11240"/>
          </w:cols>
          <w:pgMar w:left="320" w:top="126" w:right="339" w:bottom="1440" w:gutter="0" w:footer="0" w:header="0"/>
        </w:sectPr>
      </w:pPr>
    </w:p>
    <w:bookmarkStart w:id="47" w:name="page48"/>
    <w:bookmarkEnd w:id="47"/>
    <w:p>
      <w:pPr>
        <w:ind w:right="40"/>
        <w:spacing w:after="0" w:line="259" w:lineRule="auto"/>
        <w:rPr>
          <w:sz w:val="20"/>
          <w:szCs w:val="20"/>
          <w:color w:val="auto"/>
        </w:rPr>
      </w:pPr>
      <w:r>
        <w:rPr>
          <w:rFonts w:ascii="Arial" w:cs="Arial" w:eastAsia="Arial" w:hAnsi="Arial"/>
          <w:sz w:val="21"/>
          <w:szCs w:val="21"/>
          <w:color w:val="auto"/>
        </w:rPr>
        <w:t>Date of Grant. Notwithstanding anything in this Agreement to the contrary, the Option may be exercised only to purchase whole shares of Common Stock, and in no case may a fraction of a share of Common Stock be purchased. The right of the Optionee to purchase Option Shares with respect to which this Option has become exercisable as herein provided may only be exercised prior to the termination of the Option.</w:t>
      </w:r>
    </w:p>
    <w:p>
      <w:pPr>
        <w:spacing w:after="0" w:line="177" w:lineRule="exact"/>
        <w:rPr>
          <w:sz w:val="20"/>
          <w:szCs w:val="20"/>
          <w:color w:val="auto"/>
        </w:rPr>
      </w:pPr>
    </w:p>
    <w:p>
      <w:pPr>
        <w:ind w:right="220" w:firstLine="1278"/>
        <w:spacing w:after="0" w:line="259" w:lineRule="auto"/>
        <w:tabs>
          <w:tab w:leader="none" w:pos="1905" w:val="left"/>
        </w:tabs>
        <w:numPr>
          <w:ilvl w:val="1"/>
          <w:numId w:val="27"/>
        </w:numPr>
        <w:rPr>
          <w:rFonts w:ascii="Arial" w:cs="Arial" w:eastAsia="Arial" w:hAnsi="Arial"/>
          <w:sz w:val="21"/>
          <w:szCs w:val="21"/>
          <w:color w:val="010000"/>
        </w:rPr>
      </w:pPr>
      <w:r>
        <w:rPr>
          <w:rFonts w:ascii="Arial" w:cs="Arial" w:eastAsia="Arial" w:hAnsi="Arial"/>
          <w:sz w:val="21"/>
          <w:szCs w:val="21"/>
          <w:u w:val="single" w:color="auto"/>
          <w:color w:val="auto"/>
        </w:rPr>
        <w:t>Acceleration</w:t>
      </w:r>
      <w:r>
        <w:rPr>
          <w:rFonts w:ascii="Arial" w:cs="Arial" w:eastAsia="Arial" w:hAnsi="Arial"/>
          <w:sz w:val="21"/>
          <w:szCs w:val="21"/>
          <w:color w:val="auto"/>
        </w:rPr>
        <w:t>. Subject to the terms of the Plan, the Committee may in its discretion accelerate the exercisability of all of the Option Shares or any part thereof, upon such circumstances and subject to such terms and conditions as the Committee deems appropriate, including pursuant to the terms and conditions of any employment agreement between the Company and the Optionee.</w:t>
      </w:r>
    </w:p>
    <w:p>
      <w:pPr>
        <w:spacing w:after="0" w:line="176" w:lineRule="exact"/>
        <w:rPr>
          <w:rFonts w:ascii="Arial" w:cs="Arial" w:eastAsia="Arial" w:hAnsi="Arial"/>
          <w:sz w:val="21"/>
          <w:szCs w:val="21"/>
          <w:color w:val="010000"/>
        </w:rPr>
      </w:pPr>
    </w:p>
    <w:p>
      <w:pPr>
        <w:ind w:left="1280" w:hanging="638"/>
        <w:spacing w:after="0"/>
        <w:tabs>
          <w:tab w:leader="none" w:pos="1280" w:val="left"/>
        </w:tabs>
        <w:numPr>
          <w:ilvl w:val="0"/>
          <w:numId w:val="28"/>
        </w:numPr>
        <w:rPr>
          <w:rFonts w:ascii="Arial" w:cs="Arial" w:eastAsia="Arial" w:hAnsi="Arial"/>
          <w:sz w:val="21"/>
          <w:szCs w:val="21"/>
          <w:color w:val="010000"/>
        </w:rPr>
      </w:pPr>
      <w:r>
        <w:rPr>
          <w:rFonts w:ascii="Arial" w:cs="Arial" w:eastAsia="Arial" w:hAnsi="Arial"/>
          <w:sz w:val="21"/>
          <w:szCs w:val="21"/>
          <w:u w:val="single" w:color="auto"/>
          <w:color w:val="auto"/>
        </w:rPr>
        <w:t>RIGHTS UPON TERMINATION OF EMPLOYMENT</w:t>
      </w:r>
      <w:r>
        <w:rPr>
          <w:rFonts w:ascii="Arial" w:cs="Arial" w:eastAsia="Arial" w:hAnsi="Arial"/>
          <w:sz w:val="21"/>
          <w:szCs w:val="21"/>
          <w:color w:val="auto"/>
        </w:rPr>
        <w:t>.</w:t>
      </w:r>
    </w:p>
    <w:p>
      <w:pPr>
        <w:spacing w:after="0" w:line="222" w:lineRule="exact"/>
        <w:rPr>
          <w:rFonts w:ascii="Arial" w:cs="Arial" w:eastAsia="Arial" w:hAnsi="Arial"/>
          <w:sz w:val="21"/>
          <w:szCs w:val="21"/>
          <w:color w:val="010000"/>
        </w:rPr>
      </w:pPr>
    </w:p>
    <w:p>
      <w:pPr>
        <w:ind w:right="180" w:firstLine="1278"/>
        <w:spacing w:after="0" w:line="279" w:lineRule="auto"/>
        <w:tabs>
          <w:tab w:leader="none" w:pos="1905"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provided in this Section 3, the Option may not be exercised after the Optionee has ceased to be employed or engaged by the Company.</w:t>
      </w:r>
    </w:p>
    <w:p>
      <w:pPr>
        <w:spacing w:after="0" w:line="154" w:lineRule="exact"/>
        <w:rPr>
          <w:rFonts w:ascii="Arial" w:cs="Arial" w:eastAsia="Arial" w:hAnsi="Arial"/>
          <w:sz w:val="21"/>
          <w:szCs w:val="21"/>
          <w:color w:val="010000"/>
        </w:rPr>
      </w:pPr>
    </w:p>
    <w:p>
      <w:pPr>
        <w:jc w:val="both"/>
        <w:ind w:firstLine="1278"/>
        <w:spacing w:after="0" w:line="259" w:lineRule="auto"/>
        <w:tabs>
          <w:tab w:leader="none" w:pos="1903"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Death</w:t>
      </w:r>
      <w:r>
        <w:rPr>
          <w:rFonts w:ascii="Arial" w:cs="Arial" w:eastAsia="Arial" w:hAnsi="Arial"/>
          <w:sz w:val="21"/>
          <w:szCs w:val="21"/>
          <w:color w:val="auto"/>
        </w:rPr>
        <w:t>. If the Optionee’s employment with or service to the Company terminates by reason of his or her death, the Options shall become fully vested and exercisable and thereafter may be exercised by the legal representative of the estate or by the legatee of the Optionee under the will of the Optionee, for a period of twelve (12) months from the date of such death or until the expiration of the term of the Option, whichever period is shorter.</w:t>
      </w:r>
    </w:p>
    <w:p>
      <w:pPr>
        <w:spacing w:after="0" w:line="176" w:lineRule="exact"/>
        <w:rPr>
          <w:rFonts w:ascii="Arial" w:cs="Arial" w:eastAsia="Arial" w:hAnsi="Arial"/>
          <w:sz w:val="21"/>
          <w:szCs w:val="21"/>
          <w:color w:val="010000"/>
        </w:rPr>
      </w:pPr>
    </w:p>
    <w:p>
      <w:pPr>
        <w:ind w:right="100" w:firstLine="1278"/>
        <w:spacing w:after="0" w:line="256" w:lineRule="auto"/>
        <w:tabs>
          <w:tab w:leader="none" w:pos="1905"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If the Optionee’s employment with or service to the Company terminates by reason of Disability, the Option shall become fully vested and exercisable and thereafter may be exercised for a period of twelve (12) months from the date of such termination of employment or service or until the expiration of the term of the Option, whichever period is shorter,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Optionee dies within such twelve-month period and prior to the expiration of the term of the Option, the Option shall thereafter be exercisable for a period of twelve (12) months from the time of death or until the expiration of the term of the Option, whichever period is shorter.</w:t>
      </w:r>
    </w:p>
    <w:p>
      <w:pPr>
        <w:spacing w:after="0" w:line="177" w:lineRule="exact"/>
        <w:rPr>
          <w:rFonts w:ascii="Arial" w:cs="Arial" w:eastAsia="Arial" w:hAnsi="Arial"/>
          <w:sz w:val="21"/>
          <w:szCs w:val="21"/>
          <w:color w:val="010000"/>
        </w:rPr>
      </w:pPr>
    </w:p>
    <w:p>
      <w:pPr>
        <w:ind w:right="40" w:firstLine="1278"/>
        <w:spacing w:after="0" w:line="264" w:lineRule="auto"/>
        <w:tabs>
          <w:tab w:leader="none" w:pos="1903"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Retirement</w:t>
      </w:r>
      <w:r>
        <w:rPr>
          <w:rFonts w:ascii="Arial" w:cs="Arial" w:eastAsia="Arial" w:hAnsi="Arial"/>
          <w:sz w:val="21"/>
          <w:szCs w:val="21"/>
          <w:color w:val="auto"/>
        </w:rPr>
        <w:t>. If the Optionee’s employment with or service to the Company terminates by reason of Retirement, the Option shall become fully vested and exercisable and may thereafter be exercised for a period of five (5) years from the date of Retirement or until the expiration of the term of the Option, whichever period is shorter.</w:t>
      </w:r>
    </w:p>
    <w:p>
      <w:pPr>
        <w:spacing w:after="0" w:line="170" w:lineRule="exact"/>
        <w:rPr>
          <w:rFonts w:ascii="Arial" w:cs="Arial" w:eastAsia="Arial" w:hAnsi="Arial"/>
          <w:sz w:val="21"/>
          <w:szCs w:val="21"/>
          <w:color w:val="010000"/>
        </w:rPr>
      </w:pPr>
    </w:p>
    <w:p>
      <w:pPr>
        <w:ind w:firstLine="1278"/>
        <w:spacing w:after="0" w:line="259" w:lineRule="auto"/>
        <w:tabs>
          <w:tab w:leader="none" w:pos="1905"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Other Terminations</w:t>
      </w:r>
      <w:r>
        <w:rPr>
          <w:rFonts w:ascii="Arial" w:cs="Arial" w:eastAsia="Arial" w:hAnsi="Arial"/>
          <w:sz w:val="21"/>
          <w:szCs w:val="21"/>
          <w:color w:val="auto"/>
        </w:rPr>
        <w:t>. If an Optionee’s employment with or service to the Company terminates for any reason other than death, Disability or Retirement, the Option may be exercised, to the extent it was exercisable at the time of such termination, until the earlier to occur of (i) three (3) months from the date of such termination or (ii) the expiration of the term of the Option, whichever period is shorter.</w:t>
      </w:r>
    </w:p>
    <w:p>
      <w:pPr>
        <w:spacing w:after="0" w:line="176" w:lineRule="exact"/>
        <w:rPr>
          <w:rFonts w:ascii="Arial" w:cs="Arial" w:eastAsia="Arial" w:hAnsi="Arial"/>
          <w:sz w:val="21"/>
          <w:szCs w:val="21"/>
          <w:color w:val="010000"/>
        </w:rPr>
      </w:pPr>
    </w:p>
    <w:p>
      <w:pPr>
        <w:ind w:right="180" w:firstLine="1278"/>
        <w:spacing w:after="0" w:line="264" w:lineRule="auto"/>
        <w:tabs>
          <w:tab w:leader="none" w:pos="1908"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Upon the termination of the Optionee’s employment with or service to the Company within a period of twenty-four (24) months following a Change in Control (i) by the Company other than for Cause, (ii) as a result of his or her Disability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03" w:right="339" w:bottom="1440" w:gutter="0" w:footer="0" w:header="0"/>
        </w:sectPr>
      </w:pPr>
    </w:p>
    <w:bookmarkStart w:id="48" w:name="page49"/>
    <w:bookmarkEnd w:id="48"/>
    <w:p>
      <w:pPr>
        <w:ind w:right="140" w:firstLine="6"/>
        <w:spacing w:after="0" w:line="257" w:lineRule="auto"/>
        <w:tabs>
          <w:tab w:leader="none" w:pos="371" w:val="left"/>
        </w:tabs>
        <w:numPr>
          <w:ilvl w:val="0"/>
          <w:numId w:val="29"/>
        </w:numPr>
        <w:rPr>
          <w:rFonts w:ascii="Arial" w:cs="Arial" w:eastAsia="Arial" w:hAnsi="Arial"/>
          <w:sz w:val="21"/>
          <w:szCs w:val="21"/>
          <w:color w:val="auto"/>
        </w:rPr>
      </w:pPr>
      <w:r>
        <w:rPr>
          <w:rFonts w:ascii="Arial" w:cs="Arial" w:eastAsia="Arial" w:hAnsi="Arial"/>
          <w:sz w:val="21"/>
          <w:szCs w:val="21"/>
          <w:color w:val="auto"/>
        </w:rPr>
        <w:t>by the Optionee for Good Reason (as such terms are defined herein below or in the Plan), in lieu of shares of Common Stock issuable upon exercise of an outstanding Option, whether or not then exercisable, the Company shall pay the Optionee a lump sum amount (less any applicable taxes), in cash, equal to the product of (i) the excess of the Fair Market Value of the Option Shares on such date of termination, over the Option Exercise Price, and (ii) the number of the then unexercised Option Shares. The Option shall be canceled upon the making of such payment.</w:t>
      </w:r>
    </w:p>
    <w:p>
      <w:pPr>
        <w:spacing w:after="0" w:line="177" w:lineRule="exact"/>
        <w:rPr>
          <w:rFonts w:ascii="Arial" w:cs="Arial" w:eastAsia="Arial" w:hAnsi="Arial"/>
          <w:sz w:val="21"/>
          <w:szCs w:val="21"/>
          <w:color w:val="auto"/>
        </w:rPr>
      </w:pPr>
    </w:p>
    <w:p>
      <w:pPr>
        <w:ind w:right="380" w:firstLine="1278"/>
        <w:spacing w:after="0" w:line="279" w:lineRule="auto"/>
        <w:tabs>
          <w:tab w:leader="none" w:pos="1903" w:val="left"/>
        </w:tabs>
        <w:numPr>
          <w:ilvl w:val="2"/>
          <w:numId w:val="29"/>
        </w:numPr>
        <w:rPr>
          <w:rFonts w:ascii="Arial" w:cs="Arial" w:eastAsia="Arial" w:hAnsi="Arial"/>
          <w:sz w:val="21"/>
          <w:szCs w:val="21"/>
          <w:color w:val="010000"/>
        </w:rPr>
      </w:pPr>
      <w:r>
        <w:rPr>
          <w:rFonts w:ascii="Arial" w:cs="Arial" w:eastAsia="Arial" w:hAnsi="Arial"/>
          <w:sz w:val="21"/>
          <w:szCs w:val="21"/>
          <w:u w:val="single" w:color="auto"/>
          <w:color w:val="auto"/>
        </w:rPr>
        <w:t>Termination of Option</w:t>
      </w:r>
      <w:r>
        <w:rPr>
          <w:rFonts w:ascii="Arial" w:cs="Arial" w:eastAsia="Arial" w:hAnsi="Arial"/>
          <w:sz w:val="21"/>
          <w:szCs w:val="21"/>
          <w:color w:val="auto"/>
        </w:rPr>
        <w:t>. Notwithstanding anything in this Section 3 to the contrary, the Option may not be exercised after the termination of the Option.</w:t>
      </w:r>
    </w:p>
    <w:p>
      <w:pPr>
        <w:spacing w:after="0" w:line="154" w:lineRule="exact"/>
        <w:rPr>
          <w:rFonts w:ascii="Arial" w:cs="Arial" w:eastAsia="Arial" w:hAnsi="Arial"/>
          <w:sz w:val="21"/>
          <w:szCs w:val="21"/>
          <w:color w:val="010000"/>
        </w:rPr>
      </w:pPr>
    </w:p>
    <w:p>
      <w:pPr>
        <w:ind w:left="1280" w:hanging="638"/>
        <w:spacing w:after="0"/>
        <w:tabs>
          <w:tab w:leader="none" w:pos="1280" w:val="left"/>
        </w:tabs>
        <w:numPr>
          <w:ilvl w:val="1"/>
          <w:numId w:val="29"/>
        </w:numPr>
        <w:rPr>
          <w:rFonts w:ascii="Arial" w:cs="Arial" w:eastAsia="Arial" w:hAnsi="Arial"/>
          <w:sz w:val="21"/>
          <w:szCs w:val="21"/>
          <w:color w:val="010000"/>
        </w:rPr>
      </w:pPr>
      <w:r>
        <w:rPr>
          <w:rFonts w:ascii="Arial" w:cs="Arial" w:eastAsia="Arial" w:hAnsi="Arial"/>
          <w:sz w:val="21"/>
          <w:szCs w:val="21"/>
          <w:u w:val="single" w:color="auto"/>
          <w:color w:val="auto"/>
        </w:rPr>
        <w:t>EXERCISE OF OPTION SHARES</w:t>
      </w:r>
      <w:r>
        <w:rPr>
          <w:rFonts w:ascii="Arial" w:cs="Arial" w:eastAsia="Arial" w:hAnsi="Arial"/>
          <w:sz w:val="21"/>
          <w:szCs w:val="21"/>
          <w:color w:val="auto"/>
        </w:rPr>
        <w:t>.</w:t>
      </w:r>
    </w:p>
    <w:p>
      <w:pPr>
        <w:spacing w:after="0" w:line="222" w:lineRule="exact"/>
        <w:rPr>
          <w:rFonts w:ascii="Arial" w:cs="Arial" w:eastAsia="Arial" w:hAnsi="Arial"/>
          <w:sz w:val="21"/>
          <w:szCs w:val="21"/>
          <w:color w:val="010000"/>
        </w:rPr>
      </w:pPr>
    </w:p>
    <w:p>
      <w:pPr>
        <w:ind w:firstLine="1278"/>
        <w:spacing w:after="0" w:line="268" w:lineRule="auto"/>
        <w:tabs>
          <w:tab w:leader="none" w:pos="1905" w:val="left"/>
        </w:tabs>
        <w:numPr>
          <w:ilvl w:val="2"/>
          <w:numId w:val="30"/>
        </w:numPr>
        <w:rPr>
          <w:rFonts w:ascii="Arial" w:cs="Arial" w:eastAsia="Arial" w:hAnsi="Arial"/>
          <w:sz w:val="20"/>
          <w:szCs w:val="20"/>
          <w:color w:val="010000"/>
        </w:rPr>
      </w:pPr>
      <w:r>
        <w:rPr>
          <w:rFonts w:ascii="Arial" w:cs="Arial" w:eastAsia="Arial" w:hAnsi="Arial"/>
          <w:sz w:val="20"/>
          <w:szCs w:val="20"/>
          <w:u w:val="single" w:color="auto"/>
          <w:color w:val="auto"/>
        </w:rPr>
        <w:t>Payment for Option Shares</w:t>
      </w:r>
      <w:r>
        <w:rPr>
          <w:rFonts w:ascii="Arial" w:cs="Arial" w:eastAsia="Arial" w:hAnsi="Arial"/>
          <w:sz w:val="20"/>
          <w:szCs w:val="20"/>
          <w:color w:val="auto"/>
        </w:rPr>
        <w:t>. This Option may be exercised by (i) giving written notice of exercise to the Company, specifying the number of whole Option Shares to be purchased and accompanied by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and (ii) by executing such documents as the Company may reasonably request.</w:t>
      </w:r>
    </w:p>
    <w:p>
      <w:pPr>
        <w:spacing w:after="0" w:line="166" w:lineRule="exact"/>
        <w:rPr>
          <w:rFonts w:ascii="Arial" w:cs="Arial" w:eastAsia="Arial" w:hAnsi="Arial"/>
          <w:sz w:val="20"/>
          <w:szCs w:val="20"/>
          <w:color w:val="010000"/>
        </w:rPr>
      </w:pPr>
    </w:p>
    <w:p>
      <w:pPr>
        <w:ind w:firstLine="1278"/>
        <w:spacing w:after="0" w:line="259" w:lineRule="auto"/>
        <w:tabs>
          <w:tab w:leader="none" w:pos="1903" w:val="left"/>
        </w:tabs>
        <w:numPr>
          <w:ilvl w:val="2"/>
          <w:numId w:val="30"/>
        </w:numPr>
        <w:rPr>
          <w:rFonts w:ascii="Arial" w:cs="Arial" w:eastAsia="Arial" w:hAnsi="Arial"/>
          <w:sz w:val="21"/>
          <w:szCs w:val="21"/>
          <w:color w:val="010000"/>
        </w:rPr>
      </w:pPr>
      <w:r>
        <w:rPr>
          <w:rFonts w:ascii="Arial" w:cs="Arial" w:eastAsia="Arial" w:hAnsi="Arial"/>
          <w:sz w:val="21"/>
          <w:szCs w:val="21"/>
          <w:u w:val="single" w:color="auto"/>
          <w:color w:val="auto"/>
        </w:rPr>
        <w:t>Delivery of Option Shares</w:t>
      </w:r>
      <w:r>
        <w:rPr>
          <w:rFonts w:ascii="Arial" w:cs="Arial" w:eastAsia="Arial" w:hAnsi="Arial"/>
          <w:sz w:val="21"/>
          <w:szCs w:val="21"/>
          <w:color w:val="auto"/>
        </w:rPr>
        <w:t>. Upon exercise of the Option and payment of the Option Price pursuant to paragraph (a) of this Section 4, and subject to the requirements set forth in Section 5 and Section 12, the Company shall issue or cause to be issued, and delivered as promptly as possible to the Optionee, certificates representing the appropriate number of Option Shares, which certificates shall be registered in the name of the Optionee.</w:t>
      </w:r>
    </w:p>
    <w:p>
      <w:pPr>
        <w:spacing w:after="0" w:line="176" w:lineRule="exact"/>
        <w:rPr>
          <w:rFonts w:ascii="Arial" w:cs="Arial" w:eastAsia="Arial" w:hAnsi="Arial"/>
          <w:sz w:val="21"/>
          <w:szCs w:val="21"/>
          <w:color w:val="010000"/>
        </w:rPr>
      </w:pPr>
    </w:p>
    <w:p>
      <w:pPr>
        <w:ind w:right="140" w:firstLine="642"/>
        <w:spacing w:after="0" w:line="268" w:lineRule="auto"/>
        <w:tabs>
          <w:tab w:leader="none" w:pos="1272" w:val="left"/>
        </w:tabs>
        <w:numPr>
          <w:ilvl w:val="1"/>
          <w:numId w:val="31"/>
        </w:numPr>
        <w:rPr>
          <w:rFonts w:ascii="Arial" w:cs="Arial" w:eastAsia="Arial" w:hAnsi="Arial"/>
          <w:sz w:val="20"/>
          <w:szCs w:val="20"/>
          <w:color w:val="010000"/>
        </w:rPr>
      </w:pPr>
      <w:r>
        <w:rPr>
          <w:rFonts w:ascii="Arial" w:cs="Arial" w:eastAsia="Arial" w:hAnsi="Arial"/>
          <w:sz w:val="20"/>
          <w:szCs w:val="20"/>
          <w:u w:val="single" w:color="auto"/>
          <w:color w:val="auto"/>
        </w:rPr>
        <w:t>REQUIREMENTS OF LAW AND OF STOCK EXCHANGES</w:t>
      </w:r>
      <w:r>
        <w:rPr>
          <w:rFonts w:ascii="Arial" w:cs="Arial" w:eastAsia="Arial" w:hAnsi="Arial"/>
          <w:sz w:val="20"/>
          <w:szCs w:val="20"/>
          <w:color w:val="auto"/>
        </w:rPr>
        <w:t>. By accepting this Option, Optionee represents and agrees for himself or herself and his or her transferees by will or the laws of descent and distribution or pursuant to a qualified domestic relations order that, unless a registration statement under the Securities Act of 1933, as amended, is in effect as to the Option Shares purchased upon any exercise of this Option, (i) any and all Option Shares so purchased shall be acquired for his or her personal account and not with a view to or for sale in connection with any distribution, and (ii) each notice of the exercise of any portion of this Option shall be accompanied by a representation and warranty in writing, signed by the person entitled to exercise the same, that the Option Shares are being so acquired in good faith for his or her personal account and not with a view to or for sale in connection with any distribution.</w:t>
      </w:r>
    </w:p>
    <w:p>
      <w:pPr>
        <w:spacing w:after="0" w:line="172" w:lineRule="exact"/>
        <w:rPr>
          <w:sz w:val="20"/>
          <w:szCs w:val="20"/>
          <w:color w:val="auto"/>
        </w:rPr>
      </w:pPr>
    </w:p>
    <w:p>
      <w:pPr>
        <w:jc w:val="both"/>
        <w:ind w:right="80" w:firstLine="636"/>
        <w:spacing w:after="0" w:line="264" w:lineRule="auto"/>
        <w:rPr>
          <w:sz w:val="20"/>
          <w:szCs w:val="20"/>
          <w:color w:val="auto"/>
        </w:rPr>
      </w:pPr>
      <w:r>
        <w:rPr>
          <w:rFonts w:ascii="Arial" w:cs="Arial" w:eastAsia="Arial" w:hAnsi="Arial"/>
          <w:sz w:val="21"/>
          <w:szCs w:val="21"/>
          <w:color w:val="auto"/>
        </w:rPr>
        <w:t>If at any time the Company determines that the listing, registration or qualification of the shares of Common Stock subject to the Option upon any securities exchange or under any law, or the consent or approval of any governmental body, or the taking of any other action is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20"/>
          </w:cols>
          <w:pgMar w:left="320" w:top="1403" w:right="359" w:bottom="1440" w:gutter="0" w:footer="0" w:header="0"/>
        </w:sectPr>
      </w:pPr>
    </w:p>
    <w:bookmarkStart w:id="49" w:name="page50"/>
    <w:bookmarkEnd w:id="49"/>
    <w:p>
      <w:pPr>
        <w:spacing w:after="0" w:line="290" w:lineRule="auto"/>
        <w:rPr>
          <w:sz w:val="20"/>
          <w:szCs w:val="20"/>
          <w:color w:val="auto"/>
        </w:rPr>
      </w:pPr>
      <w:r>
        <w:rPr>
          <w:rFonts w:ascii="Arial" w:cs="Arial" w:eastAsia="Arial" w:hAnsi="Arial"/>
          <w:sz w:val="19"/>
          <w:szCs w:val="19"/>
          <w:color w:val="auto"/>
        </w:rPr>
        <w:t>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Optionee is prohibited except in compliance with the Securities Act of 1933, as amended, and the rules and regulations thereunder.</w:t>
      </w:r>
    </w:p>
    <w:p>
      <w:pPr>
        <w:spacing w:after="0" w:line="151" w:lineRule="exact"/>
        <w:rPr>
          <w:sz w:val="20"/>
          <w:szCs w:val="20"/>
          <w:color w:val="auto"/>
        </w:rPr>
      </w:pPr>
    </w:p>
    <w:p>
      <w:pPr>
        <w:ind w:right="20" w:firstLine="642"/>
        <w:spacing w:after="0" w:line="271" w:lineRule="auto"/>
        <w:tabs>
          <w:tab w:leader="none" w:pos="1272" w:val="left"/>
        </w:tabs>
        <w:numPr>
          <w:ilvl w:val="0"/>
          <w:numId w:val="32"/>
        </w:numPr>
        <w:rPr>
          <w:rFonts w:ascii="Arial" w:cs="Arial" w:eastAsia="Arial" w:hAnsi="Arial"/>
          <w:sz w:val="20"/>
          <w:szCs w:val="20"/>
          <w:color w:val="010000"/>
        </w:rPr>
      </w:pPr>
      <w:r>
        <w:rPr>
          <w:rFonts w:ascii="Arial" w:cs="Arial" w:eastAsia="Arial" w:hAnsi="Arial"/>
          <w:sz w:val="20"/>
          <w:szCs w:val="20"/>
          <w:u w:val="single" w:color="auto"/>
          <w:color w:val="auto"/>
        </w:rPr>
        <w:t>ADJUSTMENT IN COMMON STOCK</w:t>
      </w:r>
      <w:r>
        <w:rPr>
          <w:rFonts w:ascii="Arial" w:cs="Arial" w:eastAsia="Arial" w:hAnsi="Arial"/>
          <w:sz w:val="20"/>
          <w:szCs w:val="20"/>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in the number and class of unexercised Option Shares and the Option Exercise Price as may be determined by the Committee, in its sole discretion. Subject to the terms of the Plan, such other substitutions or adjustments shall be made as the Committee in its sole discretion may deem appropriate.</w:t>
      </w:r>
    </w:p>
    <w:p>
      <w:pPr>
        <w:spacing w:after="0" w:line="164" w:lineRule="exact"/>
        <w:rPr>
          <w:rFonts w:ascii="Arial" w:cs="Arial" w:eastAsia="Arial" w:hAnsi="Arial"/>
          <w:sz w:val="20"/>
          <w:szCs w:val="20"/>
          <w:color w:val="010000"/>
        </w:rPr>
      </w:pPr>
    </w:p>
    <w:p>
      <w:pPr>
        <w:ind w:right="60" w:firstLine="642"/>
        <w:spacing w:after="0" w:line="267" w:lineRule="auto"/>
        <w:tabs>
          <w:tab w:leader="none" w:pos="1272" w:val="left"/>
        </w:tabs>
        <w:numPr>
          <w:ilvl w:val="0"/>
          <w:numId w:val="32"/>
        </w:numPr>
        <w:rPr>
          <w:rFonts w:ascii="Arial" w:cs="Arial" w:eastAsia="Arial" w:hAnsi="Arial"/>
          <w:sz w:val="20"/>
          <w:szCs w:val="20"/>
          <w:color w:val="010000"/>
        </w:rPr>
      </w:pPr>
      <w:r>
        <w:rPr>
          <w:rFonts w:ascii="Arial" w:cs="Arial" w:eastAsia="Arial" w:hAnsi="Arial"/>
          <w:sz w:val="20"/>
          <w:szCs w:val="20"/>
          <w:u w:val="single" w:color="auto"/>
          <w:color w:val="auto"/>
        </w:rPr>
        <w:t>NON-TRANSFERABILITY OF OPTION</w:t>
      </w:r>
      <w:r>
        <w:rPr>
          <w:rFonts w:ascii="Arial" w:cs="Arial" w:eastAsia="Arial" w:hAnsi="Arial"/>
          <w:sz w:val="20"/>
          <w:szCs w:val="20"/>
          <w:color w:val="auto"/>
        </w:rPr>
        <w:t>. The Option and this Agreement shall not be transferable other than by will, the laws of descent and distribution, or pursuant to beneficiary designation procedures approved by the Company. Notwithstanding the foregoing, the Option and this Agreement may be transferable to the Optionee’s family members, to a trust or entity established by the Optionee for estate planning purposes, to a charitable organization designated by the Optionee or pursuant to a qualified domestic relations order. Except to the extent permitted by this Section 7, the Option may be exercised or settled during the Optionee’s lifetime only by the Optionee or the Optionee’s legal representative or similar person. Except as permitted by this Section 7,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thereunder shall immediately become null and void.</w:t>
      </w:r>
    </w:p>
    <w:p>
      <w:pPr>
        <w:spacing w:after="0" w:line="170" w:lineRule="exact"/>
        <w:rPr>
          <w:rFonts w:ascii="Arial" w:cs="Arial" w:eastAsia="Arial" w:hAnsi="Arial"/>
          <w:sz w:val="20"/>
          <w:szCs w:val="20"/>
          <w:color w:val="010000"/>
        </w:rPr>
      </w:pPr>
    </w:p>
    <w:p>
      <w:pPr>
        <w:ind w:firstLine="642"/>
        <w:spacing w:after="0" w:line="266" w:lineRule="auto"/>
        <w:tabs>
          <w:tab w:leader="none" w:pos="1272" w:val="left"/>
        </w:tabs>
        <w:numPr>
          <w:ilvl w:val="0"/>
          <w:numId w:val="32"/>
        </w:numPr>
        <w:rPr>
          <w:rFonts w:ascii="Arial" w:cs="Arial" w:eastAsia="Arial" w:hAnsi="Arial"/>
          <w:sz w:val="20"/>
          <w:szCs w:val="20"/>
          <w:color w:val="010000"/>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 The parties hereto will use their reasonable best efforts to resolve any dispute hereunder through good faith negotiations. Except as otherwise provided in an employment agreement between the Company and the Optionee, any dispute relating to the Option shall be resolved pursuant to this Section 8.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20"/>
          </w:cols>
          <w:pgMar w:left="320" w:top="1403" w:right="359" w:bottom="1440" w:gutter="0" w:footer="0" w:header="0"/>
        </w:sectPr>
      </w:pPr>
    </w:p>
    <w:bookmarkStart w:id="50" w:name="page51"/>
    <w:bookmarkEnd w:id="50"/>
    <w:p>
      <w:pPr>
        <w:ind w:right="20"/>
        <w:spacing w:after="0" w:line="255" w:lineRule="auto"/>
        <w:rPr>
          <w:sz w:val="20"/>
          <w:szCs w:val="20"/>
          <w:color w:val="auto"/>
        </w:rPr>
      </w:pPr>
      <w:r>
        <w:rPr>
          <w:rFonts w:ascii="Arial" w:cs="Arial" w:eastAsia="Arial" w:hAnsi="Arial"/>
          <w:sz w:val="21"/>
          <w:szCs w:val="21"/>
          <w:color w:val="auto"/>
        </w:rPr>
        <w:t xml:space="preserve">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78" w:lineRule="exact"/>
        <w:rPr>
          <w:sz w:val="20"/>
          <w:szCs w:val="20"/>
          <w:color w:val="auto"/>
        </w:rPr>
      </w:pPr>
    </w:p>
    <w:p>
      <w:pPr>
        <w:ind w:right="40" w:firstLine="642"/>
        <w:spacing w:after="0" w:line="264" w:lineRule="auto"/>
        <w:tabs>
          <w:tab w:leader="none" w:pos="1272" w:val="left"/>
        </w:tabs>
        <w:numPr>
          <w:ilvl w:val="0"/>
          <w:numId w:val="33"/>
        </w:numPr>
        <w:rPr>
          <w:rFonts w:ascii="Arial" w:cs="Arial" w:eastAsia="Arial" w:hAnsi="Arial"/>
          <w:sz w:val="21"/>
          <w:szCs w:val="21"/>
          <w:color w:val="010000"/>
        </w:rPr>
      </w:pPr>
      <w:r>
        <w:rPr>
          <w:rFonts w:ascii="Arial" w:cs="Arial" w:eastAsia="Arial" w:hAnsi="Arial"/>
          <w:sz w:val="21"/>
          <w:szCs w:val="21"/>
          <w:u w:val="single" w:color="auto"/>
          <w:color w:val="auto"/>
        </w:rPr>
        <w:t>RIGHTS OF OPTIONEE IN COMMON STOCK</w:t>
      </w:r>
      <w:r>
        <w:rPr>
          <w:rFonts w:ascii="Arial" w:cs="Arial" w:eastAsia="Arial" w:hAnsi="Arial"/>
          <w:sz w:val="21"/>
          <w:szCs w:val="21"/>
          <w:color w:val="auto"/>
        </w:rPr>
        <w:t xml:space="preserve"> The Optionee shall not be entitled to any rights as a stockholder of the Company with respect to any shares of Common Stock unless and until the Optionee becomes a stockholder of record with respect to such shares of Common Stock.</w:t>
      </w:r>
    </w:p>
    <w:p>
      <w:pPr>
        <w:spacing w:after="0" w:line="170" w:lineRule="exact"/>
        <w:rPr>
          <w:rFonts w:ascii="Arial" w:cs="Arial" w:eastAsia="Arial" w:hAnsi="Arial"/>
          <w:sz w:val="21"/>
          <w:szCs w:val="21"/>
          <w:color w:val="010000"/>
        </w:rPr>
      </w:pPr>
    </w:p>
    <w:p>
      <w:pPr>
        <w:ind w:right="80" w:firstLine="642"/>
        <w:spacing w:after="0" w:line="257" w:lineRule="auto"/>
        <w:tabs>
          <w:tab w:leader="none" w:pos="1272" w:val="left"/>
        </w:tabs>
        <w:numPr>
          <w:ilvl w:val="0"/>
          <w:numId w:val="33"/>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 personally, by overnight courier, or when deposited in a United States Post Office, postage prepaid, addressed as appropriate, to the Optionee either at his/her address set forth below or such other address as he or she may designate in writing to the Company, or to the Company: Attention: Vice President - Legal (or said designee), at the Company’s address or such other address as the Company may designate in writing to the Optionee.</w:t>
      </w:r>
    </w:p>
    <w:p>
      <w:pPr>
        <w:spacing w:after="0" w:line="177" w:lineRule="exact"/>
        <w:rPr>
          <w:rFonts w:ascii="Arial" w:cs="Arial" w:eastAsia="Arial" w:hAnsi="Arial"/>
          <w:sz w:val="21"/>
          <w:szCs w:val="21"/>
          <w:color w:val="010000"/>
        </w:rPr>
      </w:pPr>
    </w:p>
    <w:p>
      <w:pPr>
        <w:ind w:firstLine="642"/>
        <w:spacing w:after="0" w:line="279" w:lineRule="auto"/>
        <w:tabs>
          <w:tab w:leader="none" w:pos="1264" w:val="left"/>
        </w:tabs>
        <w:numPr>
          <w:ilvl w:val="0"/>
          <w:numId w:val="33"/>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54" w:lineRule="exact"/>
        <w:rPr>
          <w:rFonts w:ascii="Arial" w:cs="Arial" w:eastAsia="Arial" w:hAnsi="Arial"/>
          <w:sz w:val="21"/>
          <w:szCs w:val="21"/>
          <w:color w:val="010000"/>
        </w:rPr>
      </w:pPr>
    </w:p>
    <w:p>
      <w:pPr>
        <w:ind w:right="20" w:firstLine="642"/>
        <w:spacing w:after="0" w:line="266" w:lineRule="auto"/>
        <w:tabs>
          <w:tab w:leader="none" w:pos="1272" w:val="left"/>
        </w:tabs>
        <w:numPr>
          <w:ilvl w:val="0"/>
          <w:numId w:val="33"/>
        </w:numPr>
        <w:rPr>
          <w:rFonts w:ascii="Arial" w:cs="Arial" w:eastAsia="Arial" w:hAnsi="Arial"/>
          <w:sz w:val="20"/>
          <w:szCs w:val="20"/>
          <w:color w:val="010000"/>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shall have the right to require, prior to the issuance or delivery of any shares of Common Stock pursuant to the Option, payment by the Optionee of any federal, state, local or other taxes which may be required to be withheld or paid in connection with the Option. The Company shall withhold whole shares of Common Stock which would otherwise be delivered to the Optionee, having an aggregate Fair Market Value determined as of the date the obligation to withhold or pay taxes arises in connection with an award (the “Tax Date”), or withhold an amount of cash which would otherwise be payable to the Optionee, in the amount necessary to satisfy any such obligation, or the Optionee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Optionee, in either case equal to the amount necessary to satisfy any such obligation, (iv) a cash payment by a broker-dealer acceptable to the Company to whom the Optionee has submitted an irrevocable notice of exercise or (v) any combination of (i), (ii) and (iii). Shares of Common Stock to be delivered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03" w:right="339" w:bottom="1440" w:gutter="0" w:footer="0" w:header="0"/>
        </w:sectPr>
      </w:pPr>
    </w:p>
    <w:bookmarkStart w:id="51" w:name="page52"/>
    <w:bookmarkEnd w:id="51"/>
    <w:p>
      <w:pPr>
        <w:ind w:right="100"/>
        <w:spacing w:after="0" w:line="290" w:lineRule="auto"/>
        <w:rPr>
          <w:sz w:val="20"/>
          <w:szCs w:val="20"/>
          <w:color w:val="auto"/>
        </w:rPr>
      </w:pPr>
      <w:r>
        <w:rPr>
          <w:rFonts w:ascii="Arial" w:cs="Arial" w:eastAsia="Arial" w:hAnsi="Arial"/>
          <w:sz w:val="19"/>
          <w:szCs w:val="19"/>
          <w:color w:val="auto"/>
        </w:rPr>
        <w:t>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Optionee.</w:t>
      </w:r>
    </w:p>
    <w:p>
      <w:pPr>
        <w:spacing w:after="0" w:line="151" w:lineRule="exact"/>
        <w:rPr>
          <w:sz w:val="20"/>
          <w:szCs w:val="20"/>
          <w:color w:val="auto"/>
        </w:rPr>
      </w:pPr>
    </w:p>
    <w:p>
      <w:pPr>
        <w:ind w:right="20" w:firstLine="642"/>
        <w:spacing w:after="0" w:line="279" w:lineRule="auto"/>
        <w:tabs>
          <w:tab w:leader="none" w:pos="1272" w:val="left"/>
        </w:tabs>
        <w:numPr>
          <w:ilvl w:val="0"/>
          <w:numId w:val="34"/>
        </w:numPr>
        <w:rPr>
          <w:rFonts w:ascii="Arial" w:cs="Arial" w:eastAsia="Arial" w:hAnsi="Arial"/>
          <w:sz w:val="21"/>
          <w:szCs w:val="21"/>
          <w:color w:val="010000"/>
        </w:rPr>
      </w:pPr>
      <w:r>
        <w:rPr>
          <w:rFonts w:ascii="Arial" w:cs="Arial" w:eastAsia="Arial" w:hAnsi="Arial"/>
          <w:sz w:val="21"/>
          <w:szCs w:val="21"/>
          <w:u w:val="single" w:color="auto"/>
          <w:color w:val="auto"/>
        </w:rPr>
        <w:t>INCORPORATION OF PLAN</w:t>
      </w:r>
      <w:r>
        <w:rPr>
          <w:rFonts w:ascii="Arial" w:cs="Arial" w:eastAsia="Arial" w:hAnsi="Arial"/>
          <w:sz w:val="21"/>
          <w:szCs w:val="21"/>
          <w:color w:val="auto"/>
        </w:rPr>
        <w:t>. The Plan is hereby incorporated by reference and made a part hereof, and the Option and this Agreement are subject to all terms and conditions of the Plan.</w:t>
      </w:r>
    </w:p>
    <w:p>
      <w:pPr>
        <w:spacing w:after="0" w:line="154" w:lineRule="exact"/>
        <w:rPr>
          <w:rFonts w:ascii="Arial" w:cs="Arial" w:eastAsia="Arial" w:hAnsi="Arial"/>
          <w:sz w:val="21"/>
          <w:szCs w:val="21"/>
          <w:color w:val="010000"/>
        </w:rPr>
      </w:pPr>
    </w:p>
    <w:p>
      <w:pPr>
        <w:ind w:firstLine="642"/>
        <w:spacing w:after="0" w:line="290" w:lineRule="auto"/>
        <w:tabs>
          <w:tab w:leader="none" w:pos="1272" w:val="left"/>
        </w:tabs>
        <w:numPr>
          <w:ilvl w:val="0"/>
          <w:numId w:val="34"/>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Option,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with the Company shall include employment or service with any Subsidiary of the Company.</w:t>
      </w:r>
    </w:p>
    <w:p>
      <w:pPr>
        <w:spacing w:after="0" w:line="150" w:lineRule="exact"/>
        <w:rPr>
          <w:rFonts w:ascii="Arial" w:cs="Arial" w:eastAsia="Arial" w:hAnsi="Arial"/>
          <w:sz w:val="19"/>
          <w:szCs w:val="19"/>
          <w:color w:val="010000"/>
        </w:rPr>
      </w:pPr>
    </w:p>
    <w:p>
      <w:pPr>
        <w:ind w:right="120" w:firstLine="642"/>
        <w:spacing w:after="0" w:line="259" w:lineRule="auto"/>
        <w:tabs>
          <w:tab w:leader="none" w:pos="1272" w:val="left"/>
        </w:tabs>
        <w:numPr>
          <w:ilvl w:val="0"/>
          <w:numId w:val="34"/>
        </w:numPr>
        <w:rPr>
          <w:rFonts w:ascii="Arial" w:cs="Arial" w:eastAsia="Arial" w:hAnsi="Arial"/>
          <w:sz w:val="21"/>
          <w:szCs w:val="21"/>
          <w:color w:val="010000"/>
        </w:rPr>
      </w:pP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xml:space="preserve">. The Board may amend the Plan as it shall deem advisable, subject to any requirement of stockholder approval required by applicable law, rule or regulation, including any rule of the New York Stock Exchange, or any other stock exchange on which shares of Common Stock are traded;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amendment may impair the rights of the Optionee without the consent of the Optionee.</w:t>
      </w:r>
    </w:p>
    <w:p>
      <w:pPr>
        <w:spacing w:after="0" w:line="176" w:lineRule="exact"/>
        <w:rPr>
          <w:rFonts w:ascii="Arial" w:cs="Arial" w:eastAsia="Arial" w:hAnsi="Arial"/>
          <w:sz w:val="21"/>
          <w:szCs w:val="21"/>
          <w:color w:val="010000"/>
        </w:rPr>
      </w:pPr>
    </w:p>
    <w:p>
      <w:pPr>
        <w:ind w:right="240" w:firstLine="642"/>
        <w:spacing w:after="0" w:line="264" w:lineRule="auto"/>
        <w:tabs>
          <w:tab w:leader="none" w:pos="1272" w:val="left"/>
        </w:tabs>
        <w:numPr>
          <w:ilvl w:val="0"/>
          <w:numId w:val="34"/>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0" w:lineRule="exact"/>
        <w:rPr>
          <w:rFonts w:ascii="Arial" w:cs="Arial" w:eastAsia="Arial" w:hAnsi="Arial"/>
          <w:sz w:val="21"/>
          <w:szCs w:val="21"/>
          <w:color w:val="010000"/>
        </w:rPr>
      </w:pPr>
    </w:p>
    <w:p>
      <w:pPr>
        <w:ind w:right="200" w:firstLine="642"/>
        <w:spacing w:after="0" w:line="279" w:lineRule="auto"/>
        <w:tabs>
          <w:tab w:leader="none" w:pos="1272" w:val="left"/>
        </w:tabs>
        <w:numPr>
          <w:ilvl w:val="0"/>
          <w:numId w:val="34"/>
        </w:numPr>
        <w:rPr>
          <w:rFonts w:ascii="Arial" w:cs="Arial" w:eastAsia="Arial" w:hAnsi="Arial"/>
          <w:sz w:val="21"/>
          <w:szCs w:val="21"/>
          <w:color w:val="010000"/>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several counterparts, each of which shall be deemed to be an original, but all of which together shall constitute one and the same instrument.</w:t>
      </w:r>
    </w:p>
    <w:p>
      <w:pPr>
        <w:spacing w:after="0" w:line="154" w:lineRule="exact"/>
        <w:rPr>
          <w:rFonts w:ascii="Arial" w:cs="Arial" w:eastAsia="Arial" w:hAnsi="Arial"/>
          <w:sz w:val="21"/>
          <w:szCs w:val="21"/>
          <w:color w:val="010000"/>
        </w:rPr>
      </w:pPr>
    </w:p>
    <w:p>
      <w:pPr>
        <w:ind w:right="360" w:firstLine="642"/>
        <w:spacing w:after="0" w:line="257" w:lineRule="auto"/>
        <w:tabs>
          <w:tab w:leader="none" w:pos="1272" w:val="left"/>
        </w:tabs>
        <w:numPr>
          <w:ilvl w:val="0"/>
          <w:numId w:val="34"/>
        </w:numPr>
        <w:rPr>
          <w:rFonts w:ascii="Arial" w:cs="Arial" w:eastAsia="Arial" w:hAnsi="Arial"/>
          <w:sz w:val="21"/>
          <w:szCs w:val="21"/>
          <w:color w:val="010000"/>
        </w:rPr>
      </w:pPr>
      <w:r>
        <w:rPr>
          <w:rFonts w:ascii="Arial" w:cs="Arial" w:eastAsia="Arial" w:hAnsi="Arial"/>
          <w:sz w:val="21"/>
          <w:szCs w:val="21"/>
          <w:u w:val="single" w:color="auto"/>
          <w:color w:val="auto"/>
        </w:rPr>
        <w:t>OPTION SUBJECT TO CLAWBACK</w:t>
      </w:r>
      <w:r>
        <w:rPr>
          <w:rFonts w:ascii="Arial" w:cs="Arial" w:eastAsia="Arial" w:hAnsi="Arial"/>
          <w:sz w:val="21"/>
          <w:szCs w:val="21"/>
          <w:color w:val="auto"/>
        </w:rPr>
        <w:t>. The Option and any cash payment or shares of Common Stock delivered pursuant to the Option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7" w:lineRule="exact"/>
        <w:rPr>
          <w:rFonts w:ascii="Arial" w:cs="Arial" w:eastAsia="Arial" w:hAnsi="Arial"/>
          <w:sz w:val="21"/>
          <w:szCs w:val="21"/>
          <w:color w:val="010000"/>
        </w:rPr>
      </w:pPr>
    </w:p>
    <w:p>
      <w:pPr>
        <w:ind w:left="1280" w:hanging="638"/>
        <w:spacing w:after="0"/>
        <w:tabs>
          <w:tab w:leader="none" w:pos="1280" w:val="left"/>
        </w:tabs>
        <w:numPr>
          <w:ilvl w:val="0"/>
          <w:numId w:val="34"/>
        </w:numPr>
        <w:rPr>
          <w:rFonts w:ascii="Arial" w:cs="Arial" w:eastAsia="Arial" w:hAnsi="Arial"/>
          <w:sz w:val="20"/>
          <w:szCs w:val="20"/>
          <w:color w:val="010000"/>
        </w:rPr>
      </w:pP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following terms shall have the meanings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1403" w:right="359" w:bottom="1440" w:gutter="0" w:footer="0" w:header="0"/>
        </w:sectPr>
      </w:pPr>
    </w:p>
    <w:bookmarkStart w:id="52" w:name="page53"/>
    <w:bookmarkEnd w:id="52"/>
    <w:p>
      <w:pPr>
        <w:ind w:right="20" w:firstLine="1278"/>
        <w:spacing w:after="0" w:line="286" w:lineRule="auto"/>
        <w:tabs>
          <w:tab w:leader="none" w:pos="1905"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“Cause” shall have the meaning, if any, set forth in any employment agreement between the Company and the Optionee, provided that if no such agreement is in effect that contains such definition, then “Cause” shall mean, as determined by the Company, (i) the willful failure by the Optionee to substantially perform his or her duties with the Company (other than any such failure resulting from the Optionee’s incapacity due to physical or mental illness); (ii) the Optionee’s willful misconduct that is demonstrably and materially injurious to the Company, monetarily or otherwise; (iii) the Optionee’s commission of such acts of dishonesty, fraud, misrepresentation or other acts of moral turpitude as would prevent the effective performance of the Optionee’s duties; or (iv) the Optionee’s conviction or plea of no contest to a felony or a crime of moral turpitude.</w:t>
      </w:r>
    </w:p>
    <w:p>
      <w:pPr>
        <w:spacing w:after="0" w:line="151" w:lineRule="exact"/>
        <w:rPr>
          <w:rFonts w:ascii="Arial" w:cs="Arial" w:eastAsia="Arial" w:hAnsi="Arial"/>
          <w:sz w:val="19"/>
          <w:szCs w:val="19"/>
          <w:color w:val="010000"/>
        </w:rPr>
      </w:pPr>
    </w:p>
    <w:p>
      <w:pPr>
        <w:ind w:right="40" w:firstLine="1278"/>
        <w:spacing w:after="0" w:line="273" w:lineRule="auto"/>
        <w:tabs>
          <w:tab w:leader="none" w:pos="1903"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“Disability” shall have the meaning, if any, set forth in any employment agreement between the Company and the Optionee, provided that if no such agreement is in effect that contains such definition, then “Disability” shall mean that the Optionee,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62" w:lineRule="exact"/>
        <w:rPr>
          <w:rFonts w:ascii="Arial" w:cs="Arial" w:eastAsia="Arial" w:hAnsi="Arial"/>
          <w:sz w:val="20"/>
          <w:szCs w:val="20"/>
          <w:color w:val="010000"/>
        </w:rPr>
      </w:pPr>
    </w:p>
    <w:p>
      <w:pPr>
        <w:ind w:firstLine="1278"/>
        <w:spacing w:after="0" w:line="281" w:lineRule="auto"/>
        <w:tabs>
          <w:tab w:leader="none" w:pos="1905"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“Good Reason” shall have the meaning, if any, set forth in any employment agreement between the Company and the Optionee, provided that if no such agreement is in effect that contains such definition, then the Optionee shall have “Good Reason” in the event that the Company (i) breaches its obligations to pay any salary, benefit or bonus due to him or her, including its obligations under this Agreement, (ii) requires the Optionee to relocate more than 50 miles from the Optionee’s current, principal place of employment, (iii) assigns to the Optionee any duties inconsistent with the Optionee’s position with the Company or significantly and adversely alters the nature or status of the Optionee’s responsibilities or the conditions of the Optionee’s employment, or (iv) reduces the Optionee’s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Optionee has given written notice to the Committee or the Board of Directors as to the details of the basis for such Good Reason within thirty (30) days following the date on which the Optionee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3" w:lineRule="exact"/>
        <w:rPr>
          <w:sz w:val="20"/>
          <w:szCs w:val="20"/>
          <w:color w:val="auto"/>
        </w:rPr>
      </w:pPr>
    </w:p>
    <w:p>
      <w:pPr>
        <w:jc w:val="center"/>
        <w:ind w:right="40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executed this Agreement as of the date first set forth above.</w:t>
      </w:r>
    </w:p>
    <w:p>
      <w:pPr>
        <w:spacing w:after="0" w:line="228" w:lineRule="exact"/>
        <w:rPr>
          <w:sz w:val="20"/>
          <w:szCs w:val="20"/>
          <w:color w:val="auto"/>
        </w:rPr>
      </w:pPr>
    </w:p>
    <w:p>
      <w:pPr>
        <w:jc w:val="center"/>
        <w:ind w:right="720"/>
        <w:spacing w:after="0"/>
        <w:rPr>
          <w:sz w:val="20"/>
          <w:szCs w:val="20"/>
          <w:color w:val="auto"/>
        </w:rPr>
      </w:pPr>
      <w:r>
        <w:rPr>
          <w:rFonts w:ascii="Arial" w:cs="Arial" w:eastAsia="Arial" w:hAnsi="Arial"/>
          <w:sz w:val="21"/>
          <w:szCs w:val="21"/>
          <w:color w:val="auto"/>
        </w:rPr>
        <w:t>DINE BRANDS GLOBAL, INC.</w:t>
      </w:r>
    </w:p>
    <w:p>
      <w:pPr>
        <w:spacing w:after="0" w:line="200" w:lineRule="exact"/>
        <w:rPr>
          <w:sz w:val="20"/>
          <w:szCs w:val="20"/>
          <w:color w:val="auto"/>
        </w:rPr>
      </w:pPr>
    </w:p>
    <w:p>
      <w:pPr>
        <w:spacing w:after="0" w:line="234" w:lineRule="exact"/>
        <w:rPr>
          <w:sz w:val="20"/>
          <w:szCs w:val="20"/>
          <w:color w:val="auto"/>
        </w:rPr>
      </w:pPr>
    </w:p>
    <w:p>
      <w:pPr>
        <w:ind w:left="3820"/>
        <w:spacing w:after="0"/>
        <w:tabs>
          <w:tab w:leader="none" w:pos="45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John W. Peyton,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-12700</wp:posOffset>
            </wp:positionV>
            <wp:extent cx="16103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20"/>
          </w:cols>
          <w:pgMar w:left="320" w:top="1403" w:right="359" w:bottom="1440" w:gutter="0" w:footer="0" w:header="0"/>
        </w:sectPr>
      </w:pPr>
    </w:p>
    <w:bookmarkStart w:id="53" w:name="page54"/>
    <w:bookmarkEnd w:id="53"/>
    <w:p>
      <w:pPr>
        <w:ind w:firstLine="636"/>
        <w:spacing w:after="0" w:line="284" w:lineRule="auto"/>
        <w:rPr>
          <w:sz w:val="20"/>
          <w:szCs w:val="20"/>
          <w:color w:val="auto"/>
        </w:rPr>
      </w:pPr>
      <w:r>
        <w:rPr>
          <w:rFonts w:ascii="Arial" w:cs="Arial" w:eastAsia="Arial" w:hAnsi="Arial"/>
          <w:sz w:val="20"/>
          <w:szCs w:val="20"/>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151"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-12700</wp:posOffset>
            </wp:positionV>
            <wp:extent cx="12738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Optionee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403860</wp:posOffset>
            </wp:positionV>
            <wp:extent cx="403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3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415290</wp:posOffset>
            </wp:positionV>
            <wp:extent cx="403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3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20"/>
          </w:cols>
          <w:pgMar w:left="320" w:top="1403" w:right="45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DINE BRANDS GLOBAL,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2019 STOCK INCENTIVE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AWARD AGREEMENT</w:t>
      </w:r>
    </w:p>
    <w:p>
      <w:pPr>
        <w:spacing w:after="0" w:line="225"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THIS RESTRICTED STOCK UNIT AWARD AGREEMENT (“Agreement”) is entered into as of January 4, 2021 by and between DINE BRANDS GLOBAL, INC., a Delaware corporation (the “Company”), and John W. Peyton, an employee of the Company (the “Participant”).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r>
        <w:rPr>
          <w:rFonts w:ascii="Arial" w:cs="Arial" w:eastAsia="Arial" w:hAnsi="Arial"/>
          <w:sz w:val="19"/>
          <w:szCs w:val="19"/>
          <w:color w:val="auto"/>
        </w:rPr>
        <w:t>:</w:t>
      </w:r>
    </w:p>
    <w:p>
      <w:pPr>
        <w:spacing w:after="0" w:line="225"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19"/>
          <w:szCs w:val="19"/>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shares of the Company's common stock, on the terms and conditions set forth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w:t>
      </w:r>
    </w:p>
    <w:p>
      <w:pPr>
        <w:spacing w:after="0" w:line="225"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In consideration of the foregoing and of the mutual covenants set forth herein and other good and valuable consideration, the parties hereto agree as follows:</w:t>
      </w:r>
    </w:p>
    <w:p>
      <w:pPr>
        <w:spacing w:after="0" w:line="156" w:lineRule="exact"/>
        <w:rPr>
          <w:sz w:val="20"/>
          <w:szCs w:val="20"/>
          <w:color w:val="auto"/>
        </w:rPr>
      </w:pPr>
    </w:p>
    <w:p>
      <w:pPr>
        <w:jc w:val="both"/>
        <w:ind w:firstLine="642"/>
        <w:spacing w:after="0" w:line="231" w:lineRule="auto"/>
        <w:tabs>
          <w:tab w:leader="none" w:pos="1272" w:val="left"/>
        </w:tabs>
        <w:numPr>
          <w:ilvl w:val="0"/>
          <w:numId w:val="36"/>
        </w:numPr>
        <w:rPr>
          <w:rFonts w:ascii="Arial" w:cs="Arial" w:eastAsia="Arial" w:hAnsi="Arial"/>
          <w:sz w:val="19"/>
          <w:szCs w:val="19"/>
          <w:color w:val="010000"/>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The Company hereby grants to the Participant an award of 53,805</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restricted stock units (the “Restricted Stock Units”). Each Restricted Stock Unit represents the right to receive one share of common stock, $.01 par value, of the Company (the “Common Stock”), subject to the terms and conditions set forth herein.</w:t>
      </w:r>
    </w:p>
    <w:p>
      <w:pPr>
        <w:spacing w:after="0" w:line="190" w:lineRule="exact"/>
        <w:rPr>
          <w:rFonts w:ascii="Arial" w:cs="Arial" w:eastAsia="Arial" w:hAnsi="Arial"/>
          <w:sz w:val="19"/>
          <w:szCs w:val="19"/>
          <w:color w:val="010000"/>
        </w:rPr>
      </w:pPr>
    </w:p>
    <w:p>
      <w:pPr>
        <w:ind w:left="1280" w:hanging="638"/>
        <w:spacing w:after="0"/>
        <w:tabs>
          <w:tab w:leader="none" w:pos="1280" w:val="left"/>
        </w:tabs>
        <w:numPr>
          <w:ilvl w:val="0"/>
          <w:numId w:val="36"/>
        </w:numPr>
        <w:rPr>
          <w:rFonts w:ascii="Arial" w:cs="Arial" w:eastAsia="Arial" w:hAnsi="Arial"/>
          <w:sz w:val="19"/>
          <w:szCs w:val="19"/>
          <w:color w:val="010000"/>
        </w:rPr>
      </w:pPr>
      <w:r>
        <w:rPr>
          <w:rFonts w:ascii="Arial" w:cs="Arial" w:eastAsia="Arial" w:hAnsi="Arial"/>
          <w:sz w:val="19"/>
          <w:szCs w:val="19"/>
          <w:u w:val="single" w:color="auto"/>
          <w:color w:val="auto"/>
        </w:rPr>
        <w:t>VESTING AND SETTLEMENT</w:t>
      </w:r>
      <w:r>
        <w:rPr>
          <w:rFonts w:ascii="Arial" w:cs="Arial" w:eastAsia="Arial" w:hAnsi="Arial"/>
          <w:sz w:val="19"/>
          <w:szCs w:val="19"/>
          <w:color w:val="auto"/>
        </w:rPr>
        <w:t>.</w:t>
      </w:r>
    </w:p>
    <w:p>
      <w:pPr>
        <w:spacing w:after="0" w:line="218" w:lineRule="exact"/>
        <w:rPr>
          <w:rFonts w:ascii="Arial" w:cs="Arial" w:eastAsia="Arial" w:hAnsi="Arial"/>
          <w:sz w:val="19"/>
          <w:szCs w:val="19"/>
          <w:color w:val="010000"/>
        </w:rPr>
      </w:pPr>
    </w:p>
    <w:p>
      <w:pPr>
        <w:jc w:val="both"/>
        <w:ind w:firstLine="1278"/>
        <w:spacing w:after="0" w:line="257" w:lineRule="auto"/>
        <w:tabs>
          <w:tab w:leader="none" w:pos="1898" w:val="left"/>
        </w:tabs>
        <w:numPr>
          <w:ilvl w:val="1"/>
          <w:numId w:val="36"/>
        </w:numPr>
        <w:rPr>
          <w:rFonts w:ascii="Arial" w:cs="Arial" w:eastAsia="Arial" w:hAnsi="Arial"/>
          <w:sz w:val="19"/>
          <w:szCs w:val="19"/>
          <w:color w:val="010000"/>
        </w:rPr>
      </w:pPr>
      <w:r>
        <w:rPr>
          <w:rFonts w:ascii="Arial" w:cs="Arial" w:eastAsia="Arial" w:hAnsi="Arial"/>
          <w:sz w:val="19"/>
          <w:szCs w:val="19"/>
          <w:u w:val="single" w:color="auto"/>
          <w:color w:val="auto"/>
        </w:rPr>
        <w:t>Service Vesting</w:t>
      </w:r>
      <w:r>
        <w:rPr>
          <w:rFonts w:ascii="Arial" w:cs="Arial" w:eastAsia="Arial" w:hAnsi="Arial"/>
          <w:sz w:val="19"/>
          <w:szCs w:val="19"/>
          <w:color w:val="auto"/>
        </w:rPr>
        <w:t>. Subject to the Participant's continuous employment with the Company, the Restricted Stock Units shall vest in accordance with the specific vesting schedule set forth on Exhibit A hereto. Restricted Stock Units that have vested in accordance with the vesting schedule set forth on Exhibit A are referred to herein as “Vested Units.” Restricted Stock Units that are not vested are referred to herein as “Unvested Units.”</w:t>
      </w:r>
    </w:p>
    <w:p>
      <w:pPr>
        <w:spacing w:after="0" w:line="177" w:lineRule="exact"/>
        <w:rPr>
          <w:rFonts w:ascii="Arial" w:cs="Arial" w:eastAsia="Arial" w:hAnsi="Arial"/>
          <w:sz w:val="19"/>
          <w:szCs w:val="19"/>
          <w:color w:val="010000"/>
        </w:rPr>
      </w:pPr>
    </w:p>
    <w:p>
      <w:pPr>
        <w:ind w:right="20" w:firstLine="1278"/>
        <w:spacing w:after="0" w:line="278" w:lineRule="auto"/>
        <w:tabs>
          <w:tab w:leader="none" w:pos="1896" w:val="left"/>
        </w:tabs>
        <w:numPr>
          <w:ilvl w:val="1"/>
          <w:numId w:val="36"/>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Restricted Stock Units shall become immediately and fully vested and thereafter be considered Vested Units.</w:t>
      </w:r>
    </w:p>
    <w:p>
      <w:pPr>
        <w:spacing w:after="0" w:line="156" w:lineRule="exact"/>
        <w:rPr>
          <w:rFonts w:ascii="Arial" w:cs="Arial" w:eastAsia="Arial" w:hAnsi="Arial"/>
          <w:sz w:val="19"/>
          <w:szCs w:val="19"/>
          <w:color w:val="010000"/>
        </w:rPr>
      </w:pPr>
    </w:p>
    <w:p>
      <w:pPr>
        <w:jc w:val="both"/>
        <w:ind w:firstLine="1278"/>
        <w:spacing w:after="0" w:line="257" w:lineRule="auto"/>
        <w:tabs>
          <w:tab w:leader="none" w:pos="1898" w:val="left"/>
        </w:tabs>
        <w:numPr>
          <w:ilvl w:val="1"/>
          <w:numId w:val="36"/>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Restricted Stock Units shall become immediately and fully vested and thereafter be considered Vested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16827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61" w:lineRule="exact"/>
        <w:rPr>
          <w:sz w:val="20"/>
          <w:szCs w:val="20"/>
          <w:color w:val="auto"/>
        </w:rPr>
      </w:pPr>
    </w:p>
    <w:p>
      <w:pPr>
        <w:ind w:left="160" w:hanging="154"/>
        <w:spacing w:after="0"/>
        <w:tabs>
          <w:tab w:leader="none" w:pos="160" w:val="left"/>
        </w:tabs>
        <w:numPr>
          <w:ilvl w:val="0"/>
          <w:numId w:val="37"/>
        </w:numPr>
        <w:rPr>
          <w:rFonts w:ascii="Arial" w:cs="Arial" w:eastAsia="Arial" w:hAnsi="Arial"/>
          <w:sz w:val="20"/>
          <w:szCs w:val="20"/>
          <w:color w:val="auto"/>
          <w:vertAlign w:val="superscript"/>
        </w:rPr>
      </w:pPr>
      <w:r>
        <w:rPr>
          <w:rFonts w:ascii="Arial" w:cs="Arial" w:eastAsia="Arial" w:hAnsi="Arial"/>
          <w:sz w:val="15"/>
          <w:szCs w:val="15"/>
          <w:color w:val="auto"/>
        </w:rPr>
        <w:t>To be a number of shares equal to $3,500,000 divided by the average stock price for the 20-day period immediately prior to January 4, 2021</w:t>
      </w:r>
    </w:p>
    <w:p>
      <w:pPr>
        <w:sectPr>
          <w:pgSz w:w="11900" w:h="16838" w:orient="portrait"/>
          <w:cols w:equalWidth="0" w:num="1">
            <w:col w:w="11240"/>
          </w:cols>
          <w:pgMar w:left="320" w:top="126" w:right="339" w:bottom="1440" w:gutter="0" w:footer="0" w:header="0"/>
        </w:sectPr>
      </w:pPr>
    </w:p>
    <w:bookmarkStart w:id="55" w:name="page56"/>
    <w:bookmarkEnd w:id="55"/>
    <w:p>
      <w:pPr>
        <w:jc w:val="both"/>
        <w:ind w:left="-220" w:firstLine="1278"/>
        <w:spacing w:after="0" w:line="263" w:lineRule="auto"/>
        <w:tabs>
          <w:tab w:leader="none" w:pos="1676" w:val="left"/>
        </w:tabs>
        <w:numPr>
          <w:ilvl w:val="1"/>
          <w:numId w:val="38"/>
        </w:numPr>
        <w:rPr>
          <w:rFonts w:ascii="Arial" w:cs="Arial" w:eastAsia="Arial" w:hAnsi="Arial"/>
          <w:sz w:val="19"/>
          <w:szCs w:val="19"/>
          <w:color w:val="010000"/>
        </w:rPr>
      </w:pPr>
      <w:r>
        <w:rPr>
          <w:rFonts w:ascii="Arial" w:cs="Arial" w:eastAsia="Arial" w:hAnsi="Arial"/>
          <w:sz w:val="19"/>
          <w:szCs w:val="19"/>
          <w:u w:val="single" w:color="auto"/>
          <w:color w:val="auto"/>
        </w:rPr>
        <w:t>Termination of Unvested Units</w:t>
      </w:r>
      <w:r>
        <w:rPr>
          <w:rFonts w:ascii="Arial" w:cs="Arial" w:eastAsia="Arial" w:hAnsi="Arial"/>
          <w:sz w:val="19"/>
          <w:szCs w:val="19"/>
          <w:color w:val="auto"/>
        </w:rPr>
        <w:t>. Except as set forth in Sections 2(b) and 2(c) or the terms and conditions of any employment agreement between the Company and the Participant, upon the termination of the Participant's employment, any then Unvested Units held by the Participant shall be forfeited and canceled as of the date of such termination.</w:t>
      </w:r>
    </w:p>
    <w:p>
      <w:pPr>
        <w:spacing w:after="0" w:line="169" w:lineRule="exact"/>
        <w:rPr>
          <w:rFonts w:ascii="Arial" w:cs="Arial" w:eastAsia="Arial" w:hAnsi="Arial"/>
          <w:sz w:val="19"/>
          <w:szCs w:val="19"/>
          <w:color w:val="010000"/>
        </w:rPr>
      </w:pPr>
    </w:p>
    <w:p>
      <w:pPr>
        <w:jc w:val="both"/>
        <w:ind w:left="-220" w:firstLine="1278"/>
        <w:spacing w:after="0" w:line="284" w:lineRule="auto"/>
        <w:tabs>
          <w:tab w:leader="none" w:pos="1678" w:val="left"/>
        </w:tabs>
        <w:numPr>
          <w:ilvl w:val="1"/>
          <w:numId w:val="38"/>
        </w:numPr>
        <w:rPr>
          <w:rFonts w:ascii="Arial" w:cs="Arial" w:eastAsia="Arial" w:hAnsi="Arial"/>
          <w:sz w:val="18"/>
          <w:szCs w:val="18"/>
          <w:color w:val="010000"/>
        </w:rPr>
      </w:pPr>
      <w:r>
        <w:rPr>
          <w:rFonts w:ascii="Arial" w:cs="Arial" w:eastAsia="Arial" w:hAnsi="Arial"/>
          <w:sz w:val="18"/>
          <w:szCs w:val="18"/>
          <w:u w:val="single" w:color="auto"/>
          <w:color w:val="auto"/>
        </w:rPr>
        <w:t>Settlement of Vested Units</w:t>
      </w:r>
      <w:r>
        <w:rPr>
          <w:rFonts w:ascii="Arial" w:cs="Arial" w:eastAsia="Arial" w:hAnsi="Arial"/>
          <w:sz w:val="18"/>
          <w:szCs w:val="18"/>
          <w:color w:val="auto"/>
        </w:rPr>
        <w:t>. The Vested Units shall be settled by the delivery to the Participant or a designated brokerage firm of one share of Common Stock per Vested Unit within thirty (30) days after the vesting of such Restricted Stock Units as set forth on Exhibit A, or upon accelerated vesting as set forth in this Section 2. No fractional shares will be issued under this Agreement.</w:t>
      </w:r>
    </w:p>
    <w:p>
      <w:pPr>
        <w:spacing w:after="0" w:line="152" w:lineRule="exact"/>
        <w:rPr>
          <w:rFonts w:ascii="Arial" w:cs="Arial" w:eastAsia="Arial" w:hAnsi="Arial"/>
          <w:sz w:val="18"/>
          <w:szCs w:val="18"/>
          <w:color w:val="010000"/>
        </w:rPr>
      </w:pPr>
    </w:p>
    <w:p>
      <w:pPr>
        <w:jc w:val="both"/>
        <w:ind w:left="-220" w:firstLine="642"/>
        <w:spacing w:after="0" w:line="253" w:lineRule="auto"/>
        <w:tabs>
          <w:tab w:leader="none" w:pos="1052" w:val="left"/>
        </w:tabs>
        <w:numPr>
          <w:ilvl w:val="0"/>
          <w:numId w:val="39"/>
        </w:numPr>
        <w:rPr>
          <w:rFonts w:ascii="Arial" w:cs="Arial" w:eastAsia="Arial" w:hAnsi="Arial"/>
          <w:sz w:val="19"/>
          <w:szCs w:val="19"/>
          <w:color w:val="010000"/>
        </w:rPr>
      </w:pPr>
      <w:r>
        <w:rPr>
          <w:rFonts w:ascii="Arial" w:cs="Arial" w:eastAsia="Arial" w:hAnsi="Arial"/>
          <w:sz w:val="19"/>
          <w:szCs w:val="19"/>
          <w:u w:val="single" w:color="auto"/>
          <w:color w:val="auto"/>
        </w:rPr>
        <w:t>ADJUSTMENT IN COMMON STOCK</w:t>
      </w:r>
      <w:r>
        <w:rPr>
          <w:rFonts w:ascii="Arial" w:cs="Arial" w:eastAsia="Arial" w:hAnsi="Arial"/>
          <w:sz w:val="19"/>
          <w:szCs w:val="19"/>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81" w:lineRule="exact"/>
        <w:rPr>
          <w:rFonts w:ascii="Arial" w:cs="Arial" w:eastAsia="Arial" w:hAnsi="Arial"/>
          <w:sz w:val="19"/>
          <w:szCs w:val="19"/>
          <w:color w:val="010000"/>
        </w:rPr>
      </w:pPr>
    </w:p>
    <w:p>
      <w:pPr>
        <w:jc w:val="both"/>
        <w:ind w:left="-220" w:firstLine="642"/>
        <w:spacing w:after="0" w:line="266" w:lineRule="auto"/>
        <w:tabs>
          <w:tab w:leader="none" w:pos="1052" w:val="left"/>
        </w:tabs>
        <w:numPr>
          <w:ilvl w:val="0"/>
          <w:numId w:val="39"/>
        </w:numPr>
        <w:rPr>
          <w:rFonts w:ascii="Arial" w:cs="Arial" w:eastAsia="Arial" w:hAnsi="Arial"/>
          <w:sz w:val="18"/>
          <w:szCs w:val="18"/>
          <w:color w:val="010000"/>
        </w:rPr>
      </w:pPr>
      <w:r>
        <w:rPr>
          <w:rFonts w:ascii="Arial" w:cs="Arial" w:eastAsia="Arial" w:hAnsi="Arial"/>
          <w:sz w:val="18"/>
          <w:szCs w:val="18"/>
          <w:u w:val="single" w:color="auto"/>
          <w:color w:val="auto"/>
        </w:rPr>
        <w:t>NON-TRANSFERABILITY OF AWARD</w:t>
      </w:r>
      <w:r>
        <w:rPr>
          <w:rFonts w:ascii="Arial" w:cs="Arial" w:eastAsia="Arial" w:hAnsi="Arial"/>
          <w:sz w:val="18"/>
          <w:szCs w:val="18"/>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4" w:lineRule="exact"/>
        <w:rPr>
          <w:rFonts w:ascii="Arial" w:cs="Arial" w:eastAsia="Arial" w:hAnsi="Arial"/>
          <w:sz w:val="18"/>
          <w:szCs w:val="18"/>
          <w:color w:val="010000"/>
        </w:rPr>
      </w:pPr>
    </w:p>
    <w:p>
      <w:pPr>
        <w:jc w:val="both"/>
        <w:ind w:left="-220" w:firstLine="642"/>
        <w:spacing w:after="0" w:line="265" w:lineRule="auto"/>
        <w:tabs>
          <w:tab w:leader="none" w:pos="1052" w:val="left"/>
        </w:tabs>
        <w:numPr>
          <w:ilvl w:val="0"/>
          <w:numId w:val="39"/>
        </w:numPr>
        <w:rPr>
          <w:rFonts w:ascii="Arial" w:cs="Arial" w:eastAsia="Arial" w:hAnsi="Arial"/>
          <w:sz w:val="18"/>
          <w:szCs w:val="18"/>
          <w:color w:val="010000"/>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hereto will use their reasonable best efforts to resolve any dispute hereunder through good faith negotiations. Except as otherwise provided in an employment agreement between the Company and the Participant, any dispute relating to the Award shall be resolved pursuant to this Section 5.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20"/>
          </w:cols>
          <w:pgMar w:left="540" w:top="1395" w:right="3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9"/>
          <w:szCs w:val="19"/>
          <w:color w:val="auto"/>
        </w:rPr>
        <w:t>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77" w:lineRule="exact"/>
        <w:rPr>
          <w:sz w:val="20"/>
          <w:szCs w:val="20"/>
          <w:color w:val="auto"/>
        </w:rPr>
      </w:pPr>
    </w:p>
    <w:p>
      <w:pPr>
        <w:jc w:val="both"/>
        <w:ind w:firstLine="642"/>
        <w:spacing w:after="0" w:line="297" w:lineRule="auto"/>
        <w:tabs>
          <w:tab w:leader="none" w:pos="1272" w:val="left"/>
        </w:tabs>
        <w:numPr>
          <w:ilvl w:val="0"/>
          <w:numId w:val="40"/>
        </w:numPr>
        <w:rPr>
          <w:rFonts w:ascii="Arial" w:cs="Arial" w:eastAsia="Arial" w:hAnsi="Arial"/>
          <w:sz w:val="17"/>
          <w:szCs w:val="17"/>
          <w:color w:val="010000"/>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145" w:lineRule="exact"/>
        <w:rPr>
          <w:rFonts w:ascii="Arial" w:cs="Arial" w:eastAsia="Arial" w:hAnsi="Arial"/>
          <w:sz w:val="17"/>
          <w:szCs w:val="17"/>
          <w:color w:val="010000"/>
        </w:rPr>
      </w:pPr>
    </w:p>
    <w:p>
      <w:pPr>
        <w:jc w:val="both"/>
        <w:ind w:firstLine="642"/>
        <w:spacing w:after="0" w:line="249" w:lineRule="auto"/>
        <w:tabs>
          <w:tab w:leader="none" w:pos="1272"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191" w:lineRule="exact"/>
        <w:rPr>
          <w:rFonts w:ascii="Arial" w:cs="Arial" w:eastAsia="Arial" w:hAnsi="Arial"/>
          <w:sz w:val="19"/>
          <w:szCs w:val="19"/>
          <w:color w:val="010000"/>
        </w:rPr>
      </w:pPr>
    </w:p>
    <w:p>
      <w:pPr>
        <w:ind w:firstLine="642"/>
        <w:spacing w:after="0" w:line="278" w:lineRule="auto"/>
        <w:tabs>
          <w:tab w:leader="none" w:pos="1272"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auto"/>
        </w:rPr>
        <w:t>FAILURE TO ENFORCE NOT A WAIVER</w:t>
      </w:r>
      <w:r>
        <w:rPr>
          <w:rFonts w:ascii="Arial" w:cs="Arial" w:eastAsia="Arial" w:hAnsi="Arial"/>
          <w:sz w:val="19"/>
          <w:szCs w:val="19"/>
          <w:color w:val="auto"/>
        </w:rPr>
        <w:t>. The failure of the Company to enforce at any time any provision of this Agreement shall in no way be construed to be a waiver of such provision or of any other provision hereof.</w:t>
      </w:r>
    </w:p>
    <w:p>
      <w:pPr>
        <w:spacing w:after="0" w:line="156" w:lineRule="exact"/>
        <w:rPr>
          <w:rFonts w:ascii="Arial" w:cs="Arial" w:eastAsia="Arial" w:hAnsi="Arial"/>
          <w:sz w:val="19"/>
          <w:szCs w:val="19"/>
          <w:color w:val="010000"/>
        </w:rPr>
      </w:pPr>
    </w:p>
    <w:p>
      <w:pPr>
        <w:jc w:val="both"/>
        <w:ind w:firstLine="642"/>
        <w:spacing w:after="0" w:line="266" w:lineRule="auto"/>
        <w:tabs>
          <w:tab w:leader="none" w:pos="1272"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or the Common Stock.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subject to the Committee’s discretion: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95" w:right="339" w:bottom="1440" w:gutter="0" w:footer="0" w:header="0"/>
        </w:sectPr>
      </w:pPr>
    </w:p>
    <w:bookmarkStart w:id="57" w:name="page58"/>
    <w:bookmarkEnd w:id="57"/>
    <w:p>
      <w:pPr>
        <w:jc w:val="both"/>
        <w:spacing w:after="0" w:line="280" w:lineRule="auto"/>
        <w:rPr>
          <w:sz w:val="20"/>
          <w:szCs w:val="20"/>
          <w:color w:val="auto"/>
        </w:rPr>
      </w:pPr>
      <w:r>
        <w:rPr>
          <w:rFonts w:ascii="Arial" w:cs="Arial" w:eastAsia="Arial" w:hAnsi="Arial"/>
          <w:sz w:val="17"/>
          <w:szCs w:val="17"/>
          <w:color w:val="auto"/>
        </w:rPr>
        <w:t>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Participant. Regardless of any action the Company or any Subsidiary or affiliate takes with respect to any or all applicable Tax-Related Items, the Participant acknowledges and agrees that the ultimate liability for all Tax-Related Items is and remains the Participant’s responsibility and may exceed any amount actually withheld by the Company or any Subsidiary or affiliate. The Participant further acknowledges and agrees that the Participant is solely responsible for filing all relevant documentation that may be required of Participant in relation to this Award or any Tax-Related Items other than filings or documentation, such as but not limited to personal income tax returns or reporting statements in relation to the grant or vesting of the Award, the issuance or ownership of Common Stock or any bank or brokerage account, the subsequent sale of Common Stock, and the receipt of any dividends. The Participant further acknowledges that the Company makes no representations or undertakings regarding the treatment of any Tax-Related Items and does not commit to and is under no obligation to structure the terms or any aspect of the Award to reduce or eliminate the Participant’s liability for Tax-Related Items or achieve any particular tax result. Further, if the Participant has become subject to tax in more than one jurisdiction, the Participant acknowledges that the Company or any Subsidiary or affiliate may be required to withhold or account for Tax-Related Items in more than one jurisdiction.</w:t>
      </w:r>
    </w:p>
    <w:p>
      <w:pPr>
        <w:spacing w:after="0" w:line="390" w:lineRule="exact"/>
        <w:rPr>
          <w:sz w:val="20"/>
          <w:szCs w:val="20"/>
          <w:color w:val="auto"/>
        </w:rPr>
      </w:pPr>
    </w:p>
    <w:p>
      <w:pPr>
        <w:ind w:firstLine="642"/>
        <w:spacing w:after="0" w:line="278" w:lineRule="auto"/>
        <w:tabs>
          <w:tab w:leader="none" w:pos="1263" w:val="left"/>
        </w:tabs>
        <w:numPr>
          <w:ilvl w:val="0"/>
          <w:numId w:val="41"/>
        </w:numPr>
        <w:rPr>
          <w:rFonts w:ascii="Arial" w:cs="Arial" w:eastAsia="Arial" w:hAnsi="Arial"/>
          <w:sz w:val="19"/>
          <w:szCs w:val="19"/>
          <w:color w:val="010000"/>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The Plan is hereby incorporated by reference and made a part hereof, and the Award and this Agreement are subject to all terms and conditions of the Plan.</w:t>
      </w:r>
    </w:p>
    <w:p>
      <w:pPr>
        <w:spacing w:after="0" w:line="156" w:lineRule="exact"/>
        <w:rPr>
          <w:rFonts w:ascii="Arial" w:cs="Arial" w:eastAsia="Arial" w:hAnsi="Arial"/>
          <w:sz w:val="19"/>
          <w:szCs w:val="19"/>
          <w:color w:val="010000"/>
        </w:rPr>
      </w:pPr>
    </w:p>
    <w:p>
      <w:pPr>
        <w:jc w:val="both"/>
        <w:ind w:firstLine="642"/>
        <w:spacing w:after="0" w:line="255" w:lineRule="auto"/>
        <w:tabs>
          <w:tab w:leader="none" w:pos="1256" w:val="left"/>
        </w:tabs>
        <w:numPr>
          <w:ilvl w:val="0"/>
          <w:numId w:val="41"/>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shall include employment or service with any Subsidiary of the Company.</w:t>
      </w:r>
    </w:p>
    <w:p>
      <w:pPr>
        <w:spacing w:after="0" w:line="177" w:lineRule="exact"/>
        <w:rPr>
          <w:rFonts w:ascii="Arial" w:cs="Arial" w:eastAsia="Arial" w:hAnsi="Arial"/>
          <w:sz w:val="19"/>
          <w:szCs w:val="19"/>
          <w:color w:val="010000"/>
        </w:rPr>
      </w:pPr>
    </w:p>
    <w:p>
      <w:pPr>
        <w:jc w:val="both"/>
        <w:ind w:firstLine="642"/>
        <w:spacing w:after="0" w:line="257" w:lineRule="auto"/>
        <w:tabs>
          <w:tab w:leader="none" w:pos="1263" w:val="left"/>
        </w:tabs>
        <w:numPr>
          <w:ilvl w:val="0"/>
          <w:numId w:val="41"/>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 requirement of stockholder approval required by applicable law, rule or regulation, including any rule of the New York Stock Exchange, or any other stock exchange on which shares of Common Stock are traded; provided, however, that no amendment may impair the rights of the Participant without the consent of the Participant, subject to Section 19 below.</w:t>
      </w:r>
    </w:p>
    <w:p>
      <w:pPr>
        <w:spacing w:after="0" w:line="177" w:lineRule="exact"/>
        <w:rPr>
          <w:rFonts w:ascii="Arial" w:cs="Arial" w:eastAsia="Arial" w:hAnsi="Arial"/>
          <w:sz w:val="19"/>
          <w:szCs w:val="19"/>
          <w:color w:val="010000"/>
        </w:rPr>
      </w:pPr>
    </w:p>
    <w:p>
      <w:pPr>
        <w:jc w:val="both"/>
        <w:ind w:firstLine="642"/>
        <w:spacing w:after="0" w:line="276" w:lineRule="auto"/>
        <w:tabs>
          <w:tab w:leader="none" w:pos="1263" w:val="left"/>
        </w:tabs>
        <w:numPr>
          <w:ilvl w:val="0"/>
          <w:numId w:val="41"/>
        </w:numPr>
        <w:rPr>
          <w:rFonts w:ascii="Arial" w:cs="Arial" w:eastAsia="Arial" w:hAnsi="Arial"/>
          <w:sz w:val="18"/>
          <w:szCs w:val="18"/>
          <w:color w:val="010000"/>
        </w:rPr>
      </w:pPr>
      <w:r>
        <w:rPr>
          <w:rFonts w:ascii="Arial" w:cs="Arial" w:eastAsia="Arial" w:hAnsi="Arial"/>
          <w:sz w:val="18"/>
          <w:szCs w:val="18"/>
          <w:u w:val="single" w:color="auto"/>
          <w:color w:val="auto"/>
        </w:rPr>
        <w:t>GOVERNING LAW AND SEVERABILITY</w:t>
      </w:r>
      <w:r>
        <w:rPr>
          <w:rFonts w:ascii="Arial" w:cs="Arial" w:eastAsia="Arial" w:hAnsi="Arial"/>
          <w:sz w:val="18"/>
          <w:szCs w:val="18"/>
          <w:color w:val="auto"/>
        </w:rPr>
        <w:t>. This Agreement shall be governed by and construed according to the laws of the State of Delaware without regard to its principles of conflict of laws. For purposes of litigating any dispute that cannot be resolved pursuant to Section 5 above,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95" w:right="339" w:bottom="1440" w:gutter="0" w:footer="0" w:header="0"/>
        </w:sectPr>
      </w:pPr>
    </w:p>
    <w:bookmarkStart w:id="58" w:name="page59"/>
    <w:bookmarkEnd w:id="58"/>
    <w:p>
      <w:pPr>
        <w:jc w:val="both"/>
        <w:ind w:firstLine="636"/>
        <w:spacing w:after="0" w:line="276" w:lineRule="auto"/>
        <w:rPr>
          <w:sz w:val="20"/>
          <w:szCs w:val="20"/>
          <w:color w:val="auto"/>
        </w:rPr>
      </w:pPr>
      <w:r>
        <w:rPr>
          <w:rFonts w:ascii="Arial" w:cs="Arial" w:eastAsia="Arial" w:hAnsi="Arial"/>
          <w:sz w:val="18"/>
          <w:szCs w:val="18"/>
          <w:color w:val="auto"/>
        </w:rPr>
        <w:t>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61" w:lineRule="exact"/>
        <w:rPr>
          <w:sz w:val="20"/>
          <w:szCs w:val="20"/>
          <w:color w:val="auto"/>
        </w:rPr>
      </w:pPr>
    </w:p>
    <w:p>
      <w:pPr>
        <w:jc w:val="both"/>
        <w:ind w:firstLine="642"/>
        <w:spacing w:after="0" w:line="267" w:lineRule="auto"/>
        <w:tabs>
          <w:tab w:leader="none" w:pos="1263" w:val="left"/>
        </w:tabs>
        <w:numPr>
          <w:ilvl w:val="0"/>
          <w:numId w:val="42"/>
        </w:numPr>
        <w:rPr>
          <w:rFonts w:ascii="Arial" w:cs="Arial" w:eastAsia="Arial" w:hAnsi="Arial"/>
          <w:sz w:val="18"/>
          <w:szCs w:val="18"/>
          <w:color w:val="010000"/>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be exempt from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w:t>
      </w:r>
    </w:p>
    <w:p>
      <w:pPr>
        <w:jc w:val="both"/>
        <w:spacing w:after="0" w:line="263" w:lineRule="auto"/>
        <w:rPr>
          <w:rFonts w:ascii="Arial" w:cs="Arial" w:eastAsia="Arial" w:hAnsi="Arial"/>
          <w:sz w:val="18"/>
          <w:szCs w:val="18"/>
          <w:color w:val="010000"/>
        </w:rPr>
      </w:pPr>
      <w:r>
        <w:rPr>
          <w:rFonts w:ascii="Arial" w:cs="Arial" w:eastAsia="Arial" w:hAnsi="Arial"/>
          <w:sz w:val="18"/>
          <w:szCs w:val="18"/>
          <w:color w:val="auto"/>
        </w:rPr>
        <w:t>(4).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78" w:lineRule="exact"/>
        <w:rPr>
          <w:rFonts w:ascii="Arial" w:cs="Arial" w:eastAsia="Arial" w:hAnsi="Arial"/>
          <w:sz w:val="18"/>
          <w:szCs w:val="18"/>
          <w:color w:val="010000"/>
        </w:rPr>
      </w:pPr>
    </w:p>
    <w:p>
      <w:pPr>
        <w:ind w:firstLine="642"/>
        <w:spacing w:after="0" w:line="278" w:lineRule="auto"/>
        <w:tabs>
          <w:tab w:leader="none" w:pos="1263" w:val="left"/>
        </w:tabs>
        <w:numPr>
          <w:ilvl w:val="0"/>
          <w:numId w:val="42"/>
        </w:numPr>
        <w:rPr>
          <w:rFonts w:ascii="Arial" w:cs="Arial" w:eastAsia="Arial" w:hAnsi="Arial"/>
          <w:sz w:val="19"/>
          <w:szCs w:val="19"/>
          <w:color w:val="010000"/>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several counterparts, each of which shall be deemed to be an original, but all of which together shall constitute one and the same instrument.</w:t>
      </w:r>
    </w:p>
    <w:p>
      <w:pPr>
        <w:spacing w:after="0" w:line="156" w:lineRule="exact"/>
        <w:rPr>
          <w:rFonts w:ascii="Arial" w:cs="Arial" w:eastAsia="Arial" w:hAnsi="Arial"/>
          <w:sz w:val="19"/>
          <w:szCs w:val="19"/>
          <w:color w:val="010000"/>
        </w:rPr>
      </w:pPr>
    </w:p>
    <w:p>
      <w:pPr>
        <w:jc w:val="both"/>
        <w:ind w:firstLine="642"/>
        <w:spacing w:after="0" w:line="255" w:lineRule="auto"/>
        <w:tabs>
          <w:tab w:leader="none" w:pos="1263" w:val="left"/>
        </w:tabs>
        <w:numPr>
          <w:ilvl w:val="0"/>
          <w:numId w:val="42"/>
        </w:numPr>
        <w:rPr>
          <w:rFonts w:ascii="Arial" w:cs="Arial" w:eastAsia="Arial" w:hAnsi="Arial"/>
          <w:sz w:val="19"/>
          <w:szCs w:val="19"/>
          <w:color w:val="010000"/>
        </w:rPr>
      </w:pPr>
      <w:r>
        <w:rPr>
          <w:rFonts w:ascii="Arial" w:cs="Arial" w:eastAsia="Arial" w:hAnsi="Arial"/>
          <w:sz w:val="19"/>
          <w:szCs w:val="19"/>
          <w:u w:val="single" w:color="auto"/>
          <w:color w:val="auto"/>
        </w:rPr>
        <w:t>AWARDS SUBJECT TO CLAWBACK</w:t>
      </w:r>
      <w:r>
        <w:rPr>
          <w:rFonts w:ascii="Arial" w:cs="Arial" w:eastAsia="Arial" w:hAnsi="Arial"/>
          <w:sz w:val="19"/>
          <w:szCs w:val="19"/>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7" w:lineRule="exact"/>
        <w:rPr>
          <w:rFonts w:ascii="Arial" w:cs="Arial" w:eastAsia="Arial" w:hAnsi="Arial"/>
          <w:sz w:val="19"/>
          <w:szCs w:val="19"/>
          <w:color w:val="010000"/>
        </w:rPr>
      </w:pPr>
    </w:p>
    <w:p>
      <w:pPr>
        <w:ind w:left="1260" w:hanging="618"/>
        <w:spacing w:after="0"/>
        <w:tabs>
          <w:tab w:leader="none" w:pos="1260" w:val="left"/>
        </w:tabs>
        <w:numPr>
          <w:ilvl w:val="0"/>
          <w:numId w:val="42"/>
        </w:numPr>
        <w:rPr>
          <w:rFonts w:ascii="Arial" w:cs="Arial" w:eastAsia="Arial" w:hAnsi="Arial"/>
          <w:sz w:val="19"/>
          <w:szCs w:val="19"/>
          <w:color w:val="010000"/>
        </w:rPr>
      </w:pP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meanings set forth below:</w:t>
      </w:r>
    </w:p>
    <w:p>
      <w:pPr>
        <w:spacing w:after="0" w:line="218" w:lineRule="exact"/>
        <w:rPr>
          <w:rFonts w:ascii="Arial" w:cs="Arial" w:eastAsia="Arial" w:hAnsi="Arial"/>
          <w:sz w:val="19"/>
          <w:szCs w:val="19"/>
          <w:color w:val="010000"/>
        </w:rPr>
      </w:pPr>
    </w:p>
    <w:p>
      <w:pPr>
        <w:jc w:val="both"/>
        <w:ind w:firstLine="1278"/>
        <w:spacing w:after="0" w:line="253" w:lineRule="auto"/>
        <w:tabs>
          <w:tab w:leader="none" w:pos="1898" w:val="left"/>
        </w:tabs>
        <w:numPr>
          <w:ilvl w:val="1"/>
          <w:numId w:val="42"/>
        </w:numPr>
        <w:rPr>
          <w:rFonts w:ascii="Arial" w:cs="Arial" w:eastAsia="Arial" w:hAnsi="Arial"/>
          <w:sz w:val="19"/>
          <w:szCs w:val="19"/>
          <w:color w:val="010000"/>
        </w:rPr>
      </w:pPr>
      <w:r>
        <w:rPr>
          <w:rFonts w:ascii="Arial" w:cs="Arial" w:eastAsia="Arial" w:hAnsi="Arial"/>
          <w:sz w:val="19"/>
          <w:szCs w:val="19"/>
          <w:color w:val="auto"/>
        </w:rPr>
        <w:t>“Cause” shall have the meaning, if any, set forth in any employment agreement between the Company and the Participant, provided that if no such agreement is in effect that contains such definition, then “Cause”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95" w:right="339" w:bottom="1440" w:gutter="0" w:footer="0" w:header="0"/>
        </w:sectPr>
      </w:pPr>
    </w:p>
    <w:bookmarkStart w:id="59" w:name="page60"/>
    <w:bookmarkEnd w:id="59"/>
    <w:p>
      <w:pPr>
        <w:spacing w:after="0" w:line="278" w:lineRule="auto"/>
        <w:rPr>
          <w:sz w:val="20"/>
          <w:szCs w:val="20"/>
          <w:color w:val="auto"/>
        </w:rPr>
      </w:pPr>
      <w:r>
        <w:rPr>
          <w:rFonts w:ascii="Arial" w:cs="Arial" w:eastAsia="Arial" w:hAnsi="Arial"/>
          <w:sz w:val="19"/>
          <w:szCs w:val="19"/>
          <w:color w:val="auto"/>
        </w:rPr>
        <w:t>turpitude as would prevent the effective performance of the Participant's duties; or (iv) the Participant's conviction or plea of no contest to a felony or a crime of moral turpitude.</w:t>
      </w:r>
    </w:p>
    <w:p>
      <w:pPr>
        <w:spacing w:after="0" w:line="156" w:lineRule="exact"/>
        <w:rPr>
          <w:sz w:val="20"/>
          <w:szCs w:val="20"/>
          <w:color w:val="auto"/>
        </w:rPr>
      </w:pPr>
    </w:p>
    <w:p>
      <w:pPr>
        <w:jc w:val="both"/>
        <w:ind w:firstLine="1278"/>
        <w:spacing w:after="0" w:line="255" w:lineRule="auto"/>
        <w:tabs>
          <w:tab w:leader="none" w:pos="1896" w:val="left"/>
        </w:tabs>
        <w:numPr>
          <w:ilvl w:val="1"/>
          <w:numId w:val="43"/>
        </w:numPr>
        <w:rPr>
          <w:rFonts w:ascii="Arial" w:cs="Arial" w:eastAsia="Arial" w:hAnsi="Arial"/>
          <w:sz w:val="19"/>
          <w:szCs w:val="19"/>
          <w:color w:val="010000"/>
        </w:rPr>
      </w:pPr>
      <w:r>
        <w:rPr>
          <w:rFonts w:ascii="Arial" w:cs="Arial" w:eastAsia="Arial" w:hAnsi="Arial"/>
          <w:sz w:val="19"/>
          <w:szCs w:val="19"/>
          <w:color w:val="auto"/>
        </w:rPr>
        <w:t>“Disability” shall have the meaning, if any, set forth in any employment agreement between the Company and the Participant, provided that if no such agreement is in effect that contains such definition, then “Disability”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77" w:lineRule="exact"/>
        <w:rPr>
          <w:rFonts w:ascii="Arial" w:cs="Arial" w:eastAsia="Arial" w:hAnsi="Arial"/>
          <w:sz w:val="19"/>
          <w:szCs w:val="19"/>
          <w:color w:val="010000"/>
        </w:rPr>
      </w:pPr>
    </w:p>
    <w:p>
      <w:pPr>
        <w:jc w:val="both"/>
        <w:ind w:firstLine="1278"/>
        <w:spacing w:after="0" w:line="278" w:lineRule="auto"/>
        <w:tabs>
          <w:tab w:leader="none" w:pos="1898"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“Good Reason” shall have the meaning, if any, set forth in any employment agreement between the Company and the Participant, provided that if no such agreement is in effect that contains such definition, then the Participant shall have “Good Reason”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w:t>
      </w:r>
    </w:p>
    <w:p>
      <w:pPr>
        <w:spacing w:after="0" w:line="5" w:lineRule="exact"/>
        <w:rPr>
          <w:rFonts w:ascii="Arial" w:cs="Arial" w:eastAsia="Arial" w:hAnsi="Arial"/>
          <w:sz w:val="17"/>
          <w:szCs w:val="17"/>
          <w:color w:val="010000"/>
        </w:rPr>
      </w:pPr>
    </w:p>
    <w:p>
      <w:pPr>
        <w:jc w:val="both"/>
        <w:ind w:firstLine="6"/>
        <w:spacing w:after="0" w:line="254" w:lineRule="auto"/>
        <w:tabs>
          <w:tab w:leader="none" w:pos="386" w:val="left"/>
        </w:tabs>
        <w:numPr>
          <w:ilvl w:val="0"/>
          <w:numId w:val="44"/>
        </w:numPr>
        <w:rPr>
          <w:rFonts w:ascii="Arial" w:cs="Arial" w:eastAsia="Arial" w:hAnsi="Arial"/>
          <w:sz w:val="19"/>
          <w:szCs w:val="19"/>
          <w:color w:val="auto"/>
        </w:rPr>
      </w:pPr>
      <w:r>
        <w:rPr>
          <w:rFonts w:ascii="Arial" w:cs="Arial" w:eastAsia="Arial" w:hAnsi="Arial"/>
          <w:sz w:val="19"/>
          <w:szCs w:val="19"/>
          <w:color w:val="auto"/>
        </w:rPr>
        <w:t>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parties have executed this Restricted Stock Unit Award Agreement on the day and year first above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written.</w:t>
      </w:r>
    </w:p>
    <w:p>
      <w:pPr>
        <w:spacing w:after="0" w:line="197"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COMPANY</w:t>
      </w:r>
      <w:r>
        <w:rPr>
          <w:rFonts w:ascii="Arial" w:cs="Arial" w:eastAsia="Arial" w:hAnsi="Arial"/>
          <w:sz w:val="19"/>
          <w:szCs w:val="19"/>
          <w:color w:val="auto"/>
        </w:rPr>
        <w:t>:</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DINE BRANDS GLOBAL, INC.</w:t>
      </w:r>
    </w:p>
    <w:p>
      <w:pPr>
        <w:spacing w:after="0" w:line="200" w:lineRule="exact"/>
        <w:rPr>
          <w:sz w:val="20"/>
          <w:szCs w:val="20"/>
          <w:color w:val="auto"/>
        </w:rPr>
      </w:pPr>
    </w:p>
    <w:p>
      <w:pPr>
        <w:spacing w:after="0" w:line="231" w:lineRule="exact"/>
        <w:rPr>
          <w:sz w:val="20"/>
          <w:szCs w:val="20"/>
          <w:color w:val="auto"/>
        </w:rPr>
      </w:pPr>
    </w:p>
    <w:p>
      <w:pPr>
        <w:ind w:left="3820"/>
        <w:spacing w:after="0"/>
        <w:tabs>
          <w:tab w:leader="none" w:pos="42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John W. Peyton,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-9525</wp:posOffset>
            </wp:positionV>
            <wp:extent cx="15989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98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95" w:right="339" w:bottom="1440" w:gutter="0" w:footer="0" w:header="0"/>
        </w:sectPr>
      </w:pPr>
    </w:p>
    <w:bookmarkStart w:id="60" w:name="page61"/>
    <w:bookmarkEnd w:id="60"/>
    <w:p>
      <w:pPr>
        <w:spacing w:after="0" w:line="400" w:lineRule="exact"/>
        <w:rPr>
          <w:sz w:val="20"/>
          <w:szCs w:val="20"/>
          <w:color w:val="auto"/>
        </w:rPr>
      </w:pPr>
    </w:p>
    <w:p>
      <w:pPr>
        <w:ind w:left="3600"/>
        <w:spacing w:after="0"/>
        <w:rPr>
          <w:sz w:val="20"/>
          <w:szCs w:val="20"/>
          <w:color w:val="auto"/>
        </w:rPr>
      </w:pPr>
      <w:r>
        <w:rPr>
          <w:rFonts w:ascii="Arial" w:cs="Arial" w:eastAsia="Arial" w:hAnsi="Arial"/>
          <w:sz w:val="19"/>
          <w:szCs w:val="19"/>
          <w:b w:val="1"/>
          <w:bCs w:val="1"/>
          <w:color w:val="auto"/>
        </w:rPr>
        <w:t>PARTICIPANT</w:t>
      </w:r>
      <w:r>
        <w:rPr>
          <w:rFonts w:ascii="Arial" w:cs="Arial" w:eastAsia="Arial" w:hAnsi="Arial"/>
          <w:sz w:val="19"/>
          <w:szCs w:val="19"/>
          <w:color w:val="auto"/>
        </w:rPr>
        <w:t>:</w:t>
      </w:r>
    </w:p>
    <w:p>
      <w:pPr>
        <w:spacing w:after="0" w:line="225" w:lineRule="exact"/>
        <w:rPr>
          <w:sz w:val="20"/>
          <w:szCs w:val="20"/>
          <w:color w:val="auto"/>
        </w:rPr>
      </w:pPr>
    </w:p>
    <w:p>
      <w:pPr>
        <w:ind w:left="3600"/>
        <w:spacing w:after="0"/>
        <w:tabs>
          <w:tab w:leader="none" w:pos="5180" w:val="left"/>
        </w:tabs>
        <w:rPr>
          <w:sz w:val="20"/>
          <w:szCs w:val="20"/>
          <w:color w:val="auto"/>
        </w:rPr>
      </w:pPr>
      <w:r>
        <w:rPr>
          <w:rFonts w:ascii="Arial" w:cs="Arial" w:eastAsia="Arial" w:hAnsi="Arial"/>
          <w:sz w:val="19"/>
          <w:szCs w:val="19"/>
          <w:color w:val="auto"/>
        </w:rPr>
        <w:t>John W. Peyton</w:t>
      </w:r>
      <w:r>
        <w:rPr>
          <w:sz w:val="20"/>
          <w:szCs w:val="20"/>
          <w:color w:val="auto"/>
        </w:rPr>
        <w:tab/>
      </w:r>
      <w:r>
        <w:rPr>
          <w:rFonts w:ascii="Arial" w:cs="Arial" w:eastAsia="Arial" w:hAnsi="Arial"/>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-9525</wp:posOffset>
            </wp:positionV>
            <wp:extent cx="14135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199"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-9525</wp:posOffset>
            </wp:positionV>
            <wp:extent cx="2463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6380" cy="8255"/>
                    </a:xfrm>
                    <a:prstGeom prst="rect">
                      <a:avLst/>
                    </a:prstGeom>
                    <a:noFill/>
                  </pic:spPr>
                </pic:pic>
              </a:graphicData>
            </a:graphic>
          </wp:anchor>
        </w:drawing>
      </w:r>
    </w:p>
    <w:p>
      <w:pPr>
        <w:spacing w:after="0" w:line="199"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-9525</wp:posOffset>
            </wp:positionV>
            <wp:extent cx="2463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6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9919"/>
          </w:cols>
          <w:pgMar w:left="540" w:top="1440" w:right="1440"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53"/>
        </w:trPr>
        <w:tc>
          <w:tcPr>
            <w:tcW w:w="2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760" w:type="dxa"/>
            <w:vAlign w:val="bottom"/>
          </w:tcPr>
          <w:p>
            <w:pPr>
              <w:ind w:left="2720"/>
              <w:spacing w:after="0"/>
              <w:rPr>
                <w:sz w:val="20"/>
                <w:szCs w:val="20"/>
                <w:color w:val="auto"/>
              </w:rPr>
            </w:pPr>
            <w:r>
              <w:rPr>
                <w:rFonts w:ascii="Arial" w:cs="Arial" w:eastAsia="Arial" w:hAnsi="Arial"/>
                <w:sz w:val="19"/>
                <w:szCs w:val="19"/>
                <w:b w:val="1"/>
                <w:bCs w:val="1"/>
                <w:color w:val="auto"/>
              </w:rPr>
              <w:t>EXHIBIT A</w:t>
            </w:r>
          </w:p>
        </w:tc>
      </w:tr>
      <w:tr>
        <w:trPr>
          <w:trHeight w:val="437"/>
        </w:trPr>
        <w:tc>
          <w:tcPr>
            <w:tcW w:w="2120" w:type="dxa"/>
            <w:vAlign w:val="bottom"/>
          </w:tcPr>
          <w:p>
            <w:pPr>
              <w:spacing w:after="0"/>
              <w:rPr>
                <w:sz w:val="24"/>
                <w:szCs w:val="24"/>
                <w:color w:val="auto"/>
              </w:rPr>
            </w:pPr>
          </w:p>
        </w:tc>
        <w:tc>
          <w:tcPr>
            <w:tcW w:w="9140" w:type="dxa"/>
            <w:vAlign w:val="bottom"/>
            <w:gridSpan w:val="3"/>
          </w:tcPr>
          <w:p>
            <w:pPr>
              <w:jc w:val="center"/>
              <w:ind w:right="2043"/>
              <w:spacing w:after="0"/>
              <w:rPr>
                <w:sz w:val="20"/>
                <w:szCs w:val="20"/>
                <w:color w:val="auto"/>
              </w:rPr>
            </w:pPr>
            <w:r>
              <w:rPr>
                <w:rFonts w:ascii="Arial" w:cs="Arial" w:eastAsia="Arial" w:hAnsi="Arial"/>
                <w:sz w:val="19"/>
                <w:szCs w:val="19"/>
                <w:b w:val="1"/>
                <w:bCs w:val="1"/>
                <w:color w:val="auto"/>
              </w:rPr>
              <w:t>RESTRICTED STOCK UNIT AWARD AGREEMENT</w:t>
            </w:r>
          </w:p>
        </w:tc>
      </w:tr>
      <w:tr>
        <w:trPr>
          <w:trHeight w:val="437"/>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9"/>
                <w:szCs w:val="19"/>
                <w:b w:val="1"/>
                <w:bCs w:val="1"/>
                <w:color w:val="auto"/>
              </w:rPr>
              <w:t>VESTING SCHEDULE</w:t>
            </w:r>
          </w:p>
        </w:tc>
        <w:tc>
          <w:tcPr>
            <w:tcW w:w="3760" w:type="dxa"/>
            <w:vAlign w:val="bottom"/>
          </w:tcPr>
          <w:p>
            <w:pPr>
              <w:spacing w:after="0"/>
              <w:rPr>
                <w:sz w:val="24"/>
                <w:szCs w:val="24"/>
                <w:color w:val="auto"/>
              </w:rPr>
            </w:pPr>
          </w:p>
        </w:tc>
      </w:tr>
      <w:tr>
        <w:trPr>
          <w:trHeight w:val="437"/>
        </w:trPr>
        <w:tc>
          <w:tcPr>
            <w:tcW w:w="7500" w:type="dxa"/>
            <w:vAlign w:val="bottom"/>
            <w:gridSpan w:val="3"/>
          </w:tcPr>
          <w:p>
            <w:pPr>
              <w:spacing w:after="0"/>
              <w:rPr>
                <w:sz w:val="20"/>
                <w:szCs w:val="20"/>
                <w:color w:val="auto"/>
              </w:rPr>
            </w:pPr>
            <w:r>
              <w:rPr>
                <w:rFonts w:ascii="Arial" w:cs="Arial" w:eastAsia="Arial" w:hAnsi="Arial"/>
                <w:sz w:val="19"/>
                <w:szCs w:val="19"/>
                <w:color w:val="auto"/>
              </w:rPr>
              <w:t>The Restricted Stock Units (RSUs) shall vest as set forth in the table below:</w:t>
            </w:r>
          </w:p>
        </w:tc>
        <w:tc>
          <w:tcPr>
            <w:tcW w:w="3760" w:type="dxa"/>
            <w:vAlign w:val="bottom"/>
          </w:tcPr>
          <w:p>
            <w:pPr>
              <w:spacing w:after="0"/>
              <w:rPr>
                <w:sz w:val="24"/>
                <w:szCs w:val="24"/>
                <w:color w:val="auto"/>
              </w:rPr>
            </w:pPr>
          </w:p>
        </w:tc>
      </w:tr>
      <w:tr>
        <w:trPr>
          <w:trHeight w:val="233"/>
        </w:trPr>
        <w:tc>
          <w:tcPr>
            <w:tcW w:w="2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r>
      <w:tr>
        <w:trPr>
          <w:trHeight w:val="250"/>
        </w:trPr>
        <w:tc>
          <w:tcPr>
            <w:tcW w:w="2120" w:type="dxa"/>
            <w:vAlign w:val="bottom"/>
            <w:tcBorders>
              <w:left w:val="single" w:sz="8" w:color="auto"/>
            </w:tcBorders>
          </w:tcPr>
          <w:p>
            <w:pPr>
              <w:ind w:left="40"/>
              <w:spacing w:after="0"/>
              <w:rPr>
                <w:sz w:val="20"/>
                <w:szCs w:val="20"/>
                <w:color w:val="auto"/>
              </w:rPr>
            </w:pPr>
            <w:r>
              <w:rPr>
                <w:rFonts w:ascii="Arial" w:cs="Arial" w:eastAsia="Arial" w:hAnsi="Arial"/>
                <w:sz w:val="19"/>
                <w:szCs w:val="19"/>
                <w:color w:val="auto"/>
              </w:rPr>
              <w:t>Grant Date</w:t>
            </w:r>
          </w:p>
        </w:tc>
        <w:tc>
          <w:tcPr>
            <w:tcW w:w="162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Shares Granted</w:t>
            </w:r>
          </w:p>
        </w:tc>
        <w:tc>
          <w:tcPr>
            <w:tcW w:w="37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Vesting Dates</w:t>
            </w:r>
          </w:p>
        </w:tc>
      </w:tr>
      <w:tr>
        <w:trPr>
          <w:trHeight w:val="22"/>
        </w:trPr>
        <w:tc>
          <w:tcPr>
            <w:tcW w:w="2120" w:type="dxa"/>
            <w:vAlign w:val="bottom"/>
            <w:tcBorders>
              <w:left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20" w:type="dxa"/>
            <w:vAlign w:val="bottom"/>
            <w:tcBorders>
              <w:left w:val="single" w:sz="8" w:color="auto"/>
            </w:tcBorders>
          </w:tcPr>
          <w:p>
            <w:pPr>
              <w:ind w:left="40"/>
              <w:spacing w:after="0"/>
              <w:rPr>
                <w:sz w:val="20"/>
                <w:szCs w:val="20"/>
                <w:color w:val="auto"/>
              </w:rPr>
            </w:pPr>
            <w:r>
              <w:rPr>
                <w:rFonts w:ascii="Arial" w:cs="Arial" w:eastAsia="Arial" w:hAnsi="Arial"/>
                <w:sz w:val="19"/>
                <w:szCs w:val="19"/>
                <w:color w:val="auto"/>
              </w:rPr>
              <w:t>01/04/2021</w:t>
            </w:r>
          </w:p>
        </w:tc>
        <w:tc>
          <w:tcPr>
            <w:tcW w:w="162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53,805</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1"/>
              </w:rPr>
              <w:t>The RSUs shall vest in equal and ratable</w:t>
            </w:r>
          </w:p>
        </w:tc>
      </w:tr>
      <w:tr>
        <w:trPr>
          <w:trHeight w:val="225"/>
        </w:trPr>
        <w:tc>
          <w:tcPr>
            <w:tcW w:w="2120" w:type="dxa"/>
            <w:vAlign w:val="bottom"/>
            <w:tcBorders>
              <w:lef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1"/>
              </w:rPr>
              <w:t>installments upon each of January 4, 2022 and</w:t>
            </w:r>
          </w:p>
        </w:tc>
      </w:tr>
      <w:tr>
        <w:trPr>
          <w:trHeight w:val="247"/>
        </w:trPr>
        <w:tc>
          <w:tcPr>
            <w:tcW w:w="2120" w:type="dxa"/>
            <w:vAlign w:val="bottom"/>
            <w:tcBorders>
              <w:lef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January 4, 2023</w:t>
            </w:r>
          </w:p>
        </w:tc>
      </w:tr>
      <w:tr>
        <w:trPr>
          <w:trHeight w:val="21"/>
        </w:trPr>
        <w:tc>
          <w:tcPr>
            <w:tcW w:w="2120" w:type="dxa"/>
            <w:vAlign w:val="bottom"/>
            <w:tcBorders>
              <w:left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389" w:right="31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19"/>
          </w:cols>
          <w:pgMar w:left="540" w:top="1440"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John W. Peyton, certify that:</w:t>
      </w:r>
    </w:p>
    <w:p>
      <w:pPr>
        <w:spacing w:after="0" w:line="217" w:lineRule="exact"/>
        <w:rPr>
          <w:sz w:val="20"/>
          <w:szCs w:val="20"/>
          <w:color w:val="auto"/>
        </w:rPr>
      </w:pPr>
    </w:p>
    <w:p>
      <w:pPr>
        <w:ind w:left="660" w:hanging="654"/>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17" w:lineRule="exact"/>
        <w:rPr>
          <w:rFonts w:ascii="Arial" w:cs="Arial" w:eastAsia="Arial" w:hAnsi="Arial"/>
          <w:sz w:val="18"/>
          <w:szCs w:val="18"/>
          <w:color w:val="auto"/>
        </w:rPr>
      </w:pPr>
    </w:p>
    <w:p>
      <w:pPr>
        <w:ind w:right="300" w:firstLine="6"/>
        <w:spacing w:after="0" w:line="365" w:lineRule="auto"/>
        <w:tabs>
          <w:tab w:leader="none" w:pos="653"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280" w:firstLine="6"/>
        <w:spacing w:after="0" w:line="294" w:lineRule="auto"/>
        <w:tabs>
          <w:tab w:leader="none" w:pos="6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right="40" w:firstLine="6"/>
        <w:spacing w:after="0" w:line="255" w:lineRule="auto"/>
        <w:tabs>
          <w:tab w:leader="none" w:pos="6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right="100" w:firstLine="642"/>
        <w:spacing w:after="0" w:line="255" w:lineRule="auto"/>
        <w:tabs>
          <w:tab w:leader="none" w:pos="128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right="60" w:firstLine="642"/>
        <w:spacing w:after="0" w:line="255"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right="420" w:firstLine="642"/>
        <w:spacing w:after="0" w:line="365" w:lineRule="auto"/>
        <w:tabs>
          <w:tab w:leader="none" w:pos="130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right="380" w:firstLine="642"/>
        <w:spacing w:after="0" w:line="255"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right="200" w:firstLine="6"/>
        <w:spacing w:after="0" w:line="294" w:lineRule="auto"/>
        <w:tabs>
          <w:tab w:leader="none" w:pos="6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right="640" w:firstLine="642"/>
        <w:spacing w:after="0" w:line="294" w:lineRule="auto"/>
        <w:tabs>
          <w:tab w:leader="none" w:pos="128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right="320" w:firstLine="642"/>
        <w:spacing w:after="0" w:line="264"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820"/>
        <w:spacing w:after="0"/>
        <w:tabs>
          <w:tab w:leader="none" w:pos="8380" w:val="left"/>
        </w:tabs>
        <w:rPr>
          <w:sz w:val="20"/>
          <w:szCs w:val="20"/>
          <w:color w:val="auto"/>
        </w:rPr>
      </w:pPr>
      <w:r>
        <w:rPr>
          <w:rFonts w:ascii="Arial" w:cs="Arial" w:eastAsia="Arial" w:hAnsi="Arial"/>
          <w:sz w:val="18"/>
          <w:szCs w:val="18"/>
          <w:color w:val="auto"/>
        </w:rPr>
        <w:t>Dated: 5th day of May, 2021</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10795</wp:posOffset>
            </wp:positionV>
            <wp:extent cx="23304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3045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8"/>
          <w:szCs w:val="18"/>
          <w:color w:val="auto"/>
        </w:rPr>
        <w:t>John W. Peyton</w:t>
      </w:r>
    </w:p>
    <w:p>
      <w:pPr>
        <w:jc w:val="center"/>
        <w:ind w:left="6840"/>
        <w:spacing w:after="0" w:line="19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7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Allison Hall, certify that:</w:t>
      </w:r>
    </w:p>
    <w:p>
      <w:pPr>
        <w:spacing w:after="0" w:line="217" w:lineRule="exact"/>
        <w:rPr>
          <w:sz w:val="20"/>
          <w:szCs w:val="20"/>
          <w:color w:val="auto"/>
        </w:rPr>
      </w:pPr>
    </w:p>
    <w:p>
      <w:pPr>
        <w:ind w:left="660" w:hanging="654"/>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17" w:lineRule="exact"/>
        <w:rPr>
          <w:rFonts w:ascii="Arial" w:cs="Arial" w:eastAsia="Arial" w:hAnsi="Arial"/>
          <w:sz w:val="18"/>
          <w:szCs w:val="18"/>
          <w:color w:val="auto"/>
        </w:rPr>
      </w:pPr>
    </w:p>
    <w:p>
      <w:pPr>
        <w:ind w:right="300" w:firstLine="6"/>
        <w:spacing w:after="0" w:line="365" w:lineRule="auto"/>
        <w:tabs>
          <w:tab w:leader="none" w:pos="653"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280" w:firstLine="6"/>
        <w:spacing w:after="0" w:line="294" w:lineRule="auto"/>
        <w:tabs>
          <w:tab w:leader="none" w:pos="6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right="40" w:firstLine="6"/>
        <w:spacing w:after="0" w:line="255" w:lineRule="auto"/>
        <w:tabs>
          <w:tab w:leader="none" w:pos="6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right="100" w:firstLine="642"/>
        <w:spacing w:after="0" w:line="255" w:lineRule="auto"/>
        <w:tabs>
          <w:tab w:leader="none" w:pos="128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right="60" w:firstLine="642"/>
        <w:spacing w:after="0" w:line="255"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right="420" w:firstLine="642"/>
        <w:spacing w:after="0" w:line="365" w:lineRule="auto"/>
        <w:tabs>
          <w:tab w:leader="none" w:pos="130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right="380" w:firstLine="642"/>
        <w:spacing w:after="0" w:line="255"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right="200" w:firstLine="6"/>
        <w:spacing w:after="0" w:line="294" w:lineRule="auto"/>
        <w:tabs>
          <w:tab w:leader="none" w:pos="6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right="640" w:firstLine="642"/>
        <w:spacing w:after="0" w:line="294" w:lineRule="auto"/>
        <w:tabs>
          <w:tab w:leader="none" w:pos="1287"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right="320" w:firstLine="642"/>
        <w:spacing w:after="0" w:line="264"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820"/>
        <w:spacing w:after="0"/>
        <w:tabs>
          <w:tab w:leader="none" w:pos="8480" w:val="left"/>
        </w:tabs>
        <w:rPr>
          <w:sz w:val="20"/>
          <w:szCs w:val="20"/>
          <w:color w:val="auto"/>
        </w:rPr>
      </w:pPr>
      <w:r>
        <w:rPr>
          <w:rFonts w:ascii="Arial" w:cs="Arial" w:eastAsia="Arial" w:hAnsi="Arial"/>
          <w:sz w:val="18"/>
          <w:szCs w:val="18"/>
          <w:color w:val="auto"/>
        </w:rPr>
        <w:t>Dated: 5th day of May, 2021</w:t>
      </w:r>
      <w:r>
        <w:rPr>
          <w:sz w:val="20"/>
          <w:szCs w:val="20"/>
          <w:color w:val="auto"/>
        </w:rPr>
        <w:tab/>
      </w:r>
      <w:r>
        <w:rPr>
          <w:rFonts w:ascii="Arial" w:cs="Arial" w:eastAsia="Arial" w:hAnsi="Arial"/>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10795</wp:posOffset>
            </wp:positionV>
            <wp:extent cx="22967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96795" cy="8255"/>
                    </a:xfrm>
                    <a:prstGeom prst="rect">
                      <a:avLst/>
                    </a:prstGeom>
                    <a:noFill/>
                  </pic:spPr>
                </pic:pic>
              </a:graphicData>
            </a:graphic>
          </wp:anchor>
        </w:drawing>
      </w:r>
    </w:p>
    <w:p>
      <w:pPr>
        <w:jc w:val="center"/>
        <w:ind w:left="6800"/>
        <w:spacing w:after="0"/>
        <w:rPr>
          <w:sz w:val="20"/>
          <w:szCs w:val="20"/>
          <w:color w:val="auto"/>
        </w:rPr>
      </w:pPr>
      <w:r>
        <w:rPr>
          <w:rFonts w:ascii="Arial" w:cs="Arial" w:eastAsia="Arial" w:hAnsi="Arial"/>
          <w:sz w:val="18"/>
          <w:szCs w:val="18"/>
          <w:color w:val="auto"/>
        </w:rPr>
        <w:t>Allison Hall</w:t>
      </w:r>
    </w:p>
    <w:p>
      <w:pPr>
        <w:jc w:val="center"/>
        <w:ind w:left="6800"/>
        <w:spacing w:after="0" w:line="199" w:lineRule="auto"/>
        <w:rPr>
          <w:sz w:val="20"/>
          <w:szCs w:val="20"/>
          <w:color w:val="auto"/>
        </w:rPr>
      </w:pPr>
      <w:r>
        <w:rPr>
          <w:rFonts w:ascii="Arial" w:cs="Arial" w:eastAsia="Arial" w:hAnsi="Arial"/>
          <w:sz w:val="18"/>
          <w:szCs w:val="18"/>
          <w:i w:val="1"/>
          <w:iCs w:val="1"/>
          <w:color w:val="auto"/>
        </w:rPr>
        <w:t>Interim Chief Financial Officer</w:t>
      </w:r>
    </w:p>
    <w:p>
      <w:pPr>
        <w:jc w:val="center"/>
        <w:ind w:left="6800"/>
        <w:spacing w:after="0" w:line="200" w:lineRule="auto"/>
        <w:rPr>
          <w:sz w:val="20"/>
          <w:szCs w:val="20"/>
          <w:color w:val="auto"/>
        </w:rPr>
      </w:pPr>
      <w:r>
        <w:rPr>
          <w:rFonts w:ascii="Arial" w:cs="Arial" w:eastAsia="Arial" w:hAnsi="Arial"/>
          <w:sz w:val="18"/>
          <w:szCs w:val="18"/>
          <w:i w:val="1"/>
          <w:iCs w:val="1"/>
          <w:color w:val="auto"/>
        </w:rPr>
        <w:t>(Principal Financial Officer and Principal</w:t>
      </w:r>
    </w:p>
    <w:p>
      <w:pPr>
        <w:jc w:val="center"/>
        <w:ind w:left="6800"/>
        <w:spacing w:after="0"/>
        <w:rPr>
          <w:sz w:val="20"/>
          <w:szCs w:val="20"/>
          <w:color w:val="auto"/>
        </w:rPr>
      </w:pPr>
      <w:r>
        <w:rPr>
          <w:rFonts w:ascii="Arial" w:cs="Arial" w:eastAsia="Arial" w:hAnsi="Arial"/>
          <w:sz w:val="18"/>
          <w:szCs w:val="18"/>
          <w:i w:val="1"/>
          <w:iCs w:val="1"/>
          <w:color w:val="auto"/>
        </w:rPr>
        <w:t>Accounting Officer)</w:t>
      </w:r>
    </w:p>
    <w:p>
      <w:pPr>
        <w:sectPr>
          <w:pgSz w:w="11900" w:h="16838" w:orient="portrait"/>
          <w:cols w:equalWidth="0" w:num="1">
            <w:col w:w="11240"/>
          </w:cols>
          <w:pgMar w:left="320" w:top="87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firstLine="636"/>
        <w:spacing w:after="0" w:line="330" w:lineRule="auto"/>
        <w:rPr>
          <w:sz w:val="20"/>
          <w:szCs w:val="20"/>
          <w:color w:val="auto"/>
        </w:rPr>
      </w:pPr>
      <w:r>
        <w:rPr>
          <w:rFonts w:ascii="Arial" w:cs="Arial" w:eastAsia="Arial" w:hAnsi="Arial"/>
          <w:sz w:val="15"/>
          <w:szCs w:val="15"/>
          <w:color w:val="auto"/>
        </w:rPr>
        <w:t>In connection with the Quarterly Report on Form 10-Q of Dine Brands Global, Inc. (the “Company”) for the quarter ended March 31, 2021, as filed with the Securities and Exchange Commission on the 5th day of May, 2021 (the “Report”), John W. Peyton, as Chief Executive Officer of the Company, hereby certifies, pursuant to 18 U.S.C. Section 1350, as adopted pursuant to Section 906 of the Sarbanes-Oxley Act of 2002, to the best of his knowledge, that:</w:t>
      </w:r>
    </w:p>
    <w:p>
      <w:pPr>
        <w:spacing w:after="0" w:line="137" w:lineRule="exact"/>
        <w:rPr>
          <w:sz w:val="20"/>
          <w:szCs w:val="20"/>
          <w:color w:val="auto"/>
        </w:rPr>
      </w:pPr>
    </w:p>
    <w:p>
      <w:pPr>
        <w:ind w:left="1640" w:hanging="521"/>
        <w:spacing w:after="0"/>
        <w:tabs>
          <w:tab w:leader="none" w:pos="16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51" w:lineRule="exact"/>
        <w:rPr>
          <w:rFonts w:ascii="Arial" w:cs="Arial" w:eastAsia="Arial" w:hAnsi="Arial"/>
          <w:sz w:val="15"/>
          <w:szCs w:val="15"/>
          <w:color w:val="auto"/>
        </w:rPr>
      </w:pPr>
    </w:p>
    <w:p>
      <w:pPr>
        <w:ind w:left="1640" w:hanging="521"/>
        <w:spacing w:after="0"/>
        <w:tabs>
          <w:tab w:leader="none" w:pos="16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45" w:lineRule="exact"/>
        <w:rPr>
          <w:sz w:val="20"/>
          <w:szCs w:val="20"/>
          <w:color w:val="auto"/>
        </w:rPr>
      </w:pPr>
    </w:p>
    <w:p>
      <w:pPr>
        <w:ind w:left="20"/>
        <w:spacing w:after="0"/>
        <w:tabs>
          <w:tab w:leader="none" w:pos="780" w:val="left"/>
          <w:tab w:leader="none" w:pos="8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5th day of May, 2021</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10795</wp:posOffset>
            </wp:positionV>
            <wp:extent cx="22466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46630" cy="8255"/>
                    </a:xfrm>
                    <a:prstGeom prst="rect">
                      <a:avLst/>
                    </a:prstGeom>
                    <a:noFill/>
                  </pic:spPr>
                </pic:pic>
              </a:graphicData>
            </a:graphic>
          </wp:anchor>
        </w:drawing>
      </w:r>
    </w:p>
    <w:p>
      <w:pPr>
        <w:jc w:val="center"/>
        <w:ind w:left="7160"/>
        <w:spacing w:after="0"/>
        <w:rPr>
          <w:sz w:val="20"/>
          <w:szCs w:val="20"/>
          <w:color w:val="auto"/>
        </w:rPr>
      </w:pPr>
      <w:r>
        <w:rPr>
          <w:rFonts w:ascii="Arial" w:cs="Arial" w:eastAsia="Arial" w:hAnsi="Arial"/>
          <w:sz w:val="18"/>
          <w:szCs w:val="18"/>
          <w:color w:val="auto"/>
        </w:rPr>
        <w:t>John W. Peyton</w:t>
      </w:r>
    </w:p>
    <w:p>
      <w:pPr>
        <w:jc w:val="center"/>
        <w:ind w:left="7160"/>
        <w:spacing w:after="0" w:line="19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8"/>
          <w:szCs w:val="18"/>
          <w:i w:val="1"/>
          <w:iCs w:val="1"/>
          <w:color w:val="auto"/>
        </w:rPr>
        <w:t>(Principal Executive Officer)</w:t>
      </w:r>
    </w:p>
    <w:p>
      <w:pPr>
        <w:spacing w:after="0" w:line="309" w:lineRule="exact"/>
        <w:rPr>
          <w:sz w:val="20"/>
          <w:szCs w:val="20"/>
          <w:color w:val="auto"/>
        </w:rPr>
      </w:pPr>
    </w:p>
    <w:p>
      <w:pPr>
        <w:ind w:right="120" w:firstLine="636"/>
        <w:spacing w:after="0" w:line="271"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7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right="160" w:firstLine="636"/>
        <w:spacing w:after="0" w:line="252"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March 31, 2021, as filed with the Securities and Exchange Commission on the 5th day of May, 2021 (the “Report”), Allison Hall, as Interim Chief Financial Officer of the Company, hereby certifies, pursuant to 18 U.S.C. Section 1350, as adopted pursuant to Section 906 of the Sarbanes-Oxley Act of 2002, to the best of her knowledge, that:</w:t>
      </w:r>
    </w:p>
    <w:p>
      <w:pPr>
        <w:spacing w:after="0" w:line="191" w:lineRule="exact"/>
        <w:rPr>
          <w:sz w:val="20"/>
          <w:szCs w:val="20"/>
          <w:color w:val="auto"/>
        </w:rPr>
      </w:pPr>
    </w:p>
    <w:p>
      <w:pPr>
        <w:ind w:left="1640" w:hanging="521"/>
        <w:spacing w:after="0"/>
        <w:tabs>
          <w:tab w:leader="none" w:pos="1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51" w:lineRule="exact"/>
        <w:rPr>
          <w:rFonts w:ascii="Arial" w:cs="Arial" w:eastAsia="Arial" w:hAnsi="Arial"/>
          <w:sz w:val="15"/>
          <w:szCs w:val="15"/>
          <w:color w:val="auto"/>
        </w:rPr>
      </w:pPr>
    </w:p>
    <w:p>
      <w:pPr>
        <w:ind w:left="1640" w:hanging="521"/>
        <w:spacing w:after="0"/>
        <w:tabs>
          <w:tab w:leader="none" w:pos="1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45" w:lineRule="exact"/>
        <w:rPr>
          <w:sz w:val="20"/>
          <w:szCs w:val="20"/>
          <w:color w:val="auto"/>
        </w:rPr>
      </w:pPr>
    </w:p>
    <w:p>
      <w:pPr>
        <w:ind w:left="20"/>
        <w:spacing w:after="0"/>
        <w:tabs>
          <w:tab w:leader="none" w:pos="780" w:val="left"/>
          <w:tab w:leader="none" w:pos="8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5th day of May, 2021</w:t>
      </w:r>
      <w:r>
        <w:rPr>
          <w:sz w:val="20"/>
          <w:szCs w:val="20"/>
          <w:color w:val="auto"/>
        </w:rPr>
        <w:tab/>
      </w:r>
      <w:r>
        <w:rPr>
          <w:rFonts w:ascii="Arial" w:cs="Arial" w:eastAsia="Arial" w:hAnsi="Arial"/>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10795</wp:posOffset>
            </wp:positionV>
            <wp:extent cx="22212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8"/>
          <w:szCs w:val="18"/>
          <w:color w:val="auto"/>
        </w:rPr>
        <w:t>Allison Hall</w:t>
      </w:r>
    </w:p>
    <w:p>
      <w:pPr>
        <w:jc w:val="center"/>
        <w:ind w:left="7220"/>
        <w:spacing w:after="0" w:line="199" w:lineRule="auto"/>
        <w:rPr>
          <w:sz w:val="20"/>
          <w:szCs w:val="20"/>
          <w:color w:val="auto"/>
        </w:rPr>
      </w:pPr>
      <w:r>
        <w:rPr>
          <w:rFonts w:ascii="Arial" w:cs="Arial" w:eastAsia="Arial" w:hAnsi="Arial"/>
          <w:sz w:val="18"/>
          <w:szCs w:val="18"/>
          <w:i w:val="1"/>
          <w:iCs w:val="1"/>
          <w:color w:val="auto"/>
        </w:rPr>
        <w:t>Interim Chief Financial Officer</w:t>
      </w:r>
    </w:p>
    <w:p>
      <w:pPr>
        <w:jc w:val="center"/>
        <w:ind w:left="7220"/>
        <w:spacing w:after="0" w:line="200" w:lineRule="auto"/>
        <w:rPr>
          <w:sz w:val="20"/>
          <w:szCs w:val="20"/>
          <w:color w:val="auto"/>
        </w:rPr>
      </w:pPr>
      <w:r>
        <w:rPr>
          <w:rFonts w:ascii="Arial" w:cs="Arial" w:eastAsia="Arial" w:hAnsi="Arial"/>
          <w:sz w:val="18"/>
          <w:szCs w:val="18"/>
          <w:i w:val="1"/>
          <w:iCs w:val="1"/>
          <w:color w:val="auto"/>
        </w:rPr>
        <w:t>(Principal Financial Officer and Principal</w:t>
      </w:r>
    </w:p>
    <w:p>
      <w:pPr>
        <w:jc w:val="center"/>
        <w:ind w:left="7220"/>
        <w:spacing w:after="0"/>
        <w:rPr>
          <w:sz w:val="20"/>
          <w:szCs w:val="20"/>
          <w:color w:val="auto"/>
        </w:rPr>
      </w:pPr>
      <w:r>
        <w:rPr>
          <w:rFonts w:ascii="Arial" w:cs="Arial" w:eastAsia="Arial" w:hAnsi="Arial"/>
          <w:sz w:val="18"/>
          <w:szCs w:val="18"/>
          <w:i w:val="1"/>
          <w:iCs w:val="1"/>
          <w:color w:val="auto"/>
        </w:rPr>
        <w:t>Accounting Officer)</w:t>
      </w:r>
    </w:p>
    <w:p>
      <w:pPr>
        <w:spacing w:after="0" w:line="309" w:lineRule="exact"/>
        <w:rPr>
          <w:sz w:val="20"/>
          <w:szCs w:val="20"/>
          <w:color w:val="auto"/>
        </w:rPr>
      </w:pPr>
    </w:p>
    <w:p>
      <w:pPr>
        <w:ind w:right="120" w:firstLine="636"/>
        <w:spacing w:after="0" w:line="271"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7"/>
    </w:lvl>
    <w:lvl w:ilvl="1">
      <w:lvlJc w:val="left"/>
      <w:lvlText w:val="•"/>
      <w:numFmt w:val="bullet"/>
      <w:start w:val="1"/>
    </w:lvl>
  </w:abstractNum>
  <w:abstractNum w:abstractNumId="7">
    <w:nsid w:val="2CA88611"/>
    <w:multiLevelType w:val="hybridMultilevel"/>
    <w:lvl w:ilvl="0">
      <w:lvlJc w:val="left"/>
      <w:lvlText w:val="%1."/>
      <w:numFmt w:val="decimal"/>
      <w:start w:val="16"/>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lowerLetter"/>
      <w:start w:val="1"/>
    </w:lvl>
    <w:lvl w:ilvl="1">
      <w:lvlJc w:val="left"/>
      <w:lvlText w:val="(%2)"/>
      <w:numFmt w:val="lowerLetter"/>
      <w:start w:val="1"/>
    </w:lvl>
  </w:abstractNum>
  <w:abstractNum w:abstractNumId="12">
    <w:nsid w:val="1E7FF521"/>
    <w:multiLevelType w:val="hybridMultilevel"/>
    <w:lvl w:ilvl="0">
      <w:lvlJc w:val="left"/>
      <w:lvlText w:val="(%1)"/>
      <w:numFmt w:val="lowerLetter"/>
      <w:start w:val="2"/>
    </w:lvl>
    <w:lvl w:ilvl="1">
      <w:lvlJc w:val="left"/>
      <w:lvlText w:val="%2"/>
      <w:numFmt w:val="lowerLetter"/>
      <w:start w:val="1"/>
    </w:lvl>
  </w:abstractNum>
  <w:abstractNum w:abstractNumId="13">
    <w:nsid w:val="7C3DBD3D"/>
    <w:multiLevelType w:val="hybridMultilevel"/>
    <w:lvl w:ilvl="0">
      <w:lvlJc w:val="left"/>
      <w:lvlText w:val="(%1)"/>
      <w:numFmt w:val="lowerLetter"/>
      <w:start w:val="3"/>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
      <w:numFmt w:val="bullet"/>
      <w:start w:val="1"/>
    </w:lvl>
    <w:lvl w:ilvl="1">
      <w:lvlJc w:val="left"/>
      <w:lvlText w:val="%2"/>
      <w:numFmt w:val="decimal"/>
      <w:start w:val="104"/>
    </w:lvl>
  </w:abstractNum>
  <w:abstractNum w:abstractNumId="20">
    <w:nsid w:val="419AC241"/>
    <w:multiLevelType w:val="hybridMultilevel"/>
    <w:lvl w:ilvl="0">
      <w:lvlJc w:val="left"/>
      <w:lvlText w:val="**"/>
      <w:numFmt w:val="bullet"/>
      <w:start w:val="1"/>
    </w:lvl>
    <w:lvl w:ilvl="1">
      <w:lvlJc w:val="left"/>
      <w:lvlText w:val="%2"/>
      <w:numFmt w:val="decimal"/>
      <w:start w:val="1"/>
    </w:lvl>
  </w:abstractNum>
  <w:abstractNum w:abstractNumId="21">
    <w:nsid w:val="5577F8E1"/>
    <w:multiLevelType w:val="hybridMultilevel"/>
    <w:lvl w:ilvl="0">
      <w:lvlJc w:val="left"/>
      <w:lvlText w:val="***"/>
      <w:numFmt w:val="bullet"/>
      <w:start w:val="1"/>
    </w:lvl>
    <w:lvl w:ilvl="1">
      <w:lvlJc w:val="left"/>
      <w:lvlText w:val="%2"/>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lvl w:ilvl="1">
      <w:lvlJc w:val="left"/>
      <w:lvlText w:val="(%2)"/>
      <w:numFmt w:val="lowerLetter"/>
      <w:start w:val="1"/>
    </w:lvl>
  </w:abstractNum>
  <w:abstractNum w:abstractNumId="24">
    <w:nsid w:val="3804823E"/>
    <w:multiLevelType w:val="hybridMultilevel"/>
    <w:lvl w:ilvl="0">
      <w:lvlJc w:val="left"/>
      <w:lvlText w:val="%1"/>
      <w:numFmt w:val="decimal"/>
      <w:start w:val="11"/>
    </w:lvl>
  </w:abstractNum>
  <w:abstractNum w:abstractNumId="25">
    <w:nsid w:val="77465F01"/>
    <w:multiLevelType w:val="hybridMultilevel"/>
    <w:lvl w:ilvl="0">
      <w:lvlJc w:val="left"/>
      <w:lvlText w:val="%1"/>
      <w:numFmt w:val="decimal"/>
      <w:start w:val="22"/>
    </w:lvl>
  </w:abstractNum>
  <w:abstractNum w:abstractNumId="26">
    <w:nsid w:val="7724C67E"/>
    <w:multiLevelType w:val="hybridMultilevel"/>
    <w:lvl w:ilvl="0">
      <w:lvlJc w:val="left"/>
      <w:lvlText w:val="%1"/>
      <w:numFmt w:val="decimal"/>
      <w:start w:val="1"/>
    </w:lvl>
    <w:lvl w:ilvl="1">
      <w:lvlJc w:val="left"/>
      <w:lvlText w:val="(%2)"/>
      <w:numFmt w:val="lowerLetter"/>
      <w:start w:val="3"/>
    </w:lvl>
  </w:abstractNum>
  <w:abstractNum w:abstractNumId="27">
    <w:nsid w:val="5C482A97"/>
    <w:multiLevelType w:val="hybridMultilevel"/>
    <w:lvl w:ilvl="0">
      <w:lvlJc w:val="left"/>
      <w:lvlText w:val="%1."/>
      <w:numFmt w:val="decimal"/>
      <w:start w:val="3"/>
    </w:lvl>
    <w:lvl w:ilvl="1">
      <w:lvlJc w:val="left"/>
      <w:lvlText w:val="(%2)"/>
      <w:numFmt w:val="lowerLetter"/>
      <w:start w:val="1"/>
    </w:lvl>
  </w:abstractNum>
  <w:abstractNum w:abstractNumId="28">
    <w:nsid w:val="2463B9EA"/>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7"/>
    </w:lvl>
  </w:abstractNum>
  <w:abstractNum w:abstractNumId="29">
    <w:nsid w:val="5E884A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
    <w:nsid w:val="51EAD36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1">
    <w:nsid w:val="2D517796"/>
    <w:multiLevelType w:val="hybridMultilevel"/>
    <w:lvl w:ilvl="0">
      <w:lvlJc w:val="left"/>
      <w:lvlText w:val="%1."/>
      <w:numFmt w:val="decimal"/>
      <w:start w:val="6"/>
    </w:lvl>
  </w:abstractNum>
  <w:abstractNum w:abstractNumId="32">
    <w:nsid w:val="580BD78F"/>
    <w:multiLevelType w:val="hybridMultilevel"/>
    <w:lvl w:ilvl="0">
      <w:lvlJc w:val="left"/>
      <w:lvlText w:val="%1."/>
      <w:numFmt w:val="decimal"/>
      <w:start w:val="9"/>
    </w:lvl>
  </w:abstractNum>
  <w:abstractNum w:abstractNumId="33">
    <w:nsid w:val="153EA438"/>
    <w:multiLevelType w:val="hybridMultilevel"/>
    <w:lvl w:ilvl="0">
      <w:lvlJc w:val="left"/>
      <w:lvlText w:val="%1."/>
      <w:numFmt w:val="decimal"/>
      <w:start w:val="13"/>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decimal"/>
      <w:start w:val="1"/>
    </w:lvl>
    <w:lvl w:ilvl="1">
      <w:lvlJc w:val="left"/>
      <w:lvlText w:val="(%2)"/>
      <w:numFmt w:val="lowerLetter"/>
      <w:start w:val="1"/>
    </w:lvl>
  </w:abstractNum>
  <w:abstractNum w:abstractNumId="36">
    <w:nsid w:val="6A2342EC"/>
    <w:multiLevelType w:val="hybridMultilevel"/>
    <w:lvl w:ilvl="0">
      <w:lvlJc w:val="left"/>
      <w:lvlText w:val="%1"/>
      <w:numFmt w:val="decimal"/>
      <w:start w:val="11"/>
    </w:lvl>
  </w:abstractNum>
  <w:abstractNum w:abstractNumId="37">
    <w:nsid w:val="2A487CB0"/>
    <w:multiLevelType w:val="hybridMultilevel"/>
    <w:lvl w:ilvl="0">
      <w:lvlJc w:val="left"/>
      <w:lvlText w:val="%1"/>
      <w:numFmt w:val="decimal"/>
      <w:start w:val="1"/>
    </w:lvl>
    <w:lvl w:ilvl="1">
      <w:lvlJc w:val="left"/>
      <w:lvlText w:val="(%2)"/>
      <w:numFmt w:val="lowerLetter"/>
      <w:start w:val="4"/>
    </w:lvl>
  </w:abstractNum>
  <w:abstractNum w:abstractNumId="38">
    <w:nsid w:val="1D4ED43B"/>
    <w:multiLevelType w:val="hybridMultilevel"/>
    <w:lvl w:ilvl="0">
      <w:lvlJc w:val="left"/>
      <w:lvlText w:val="%1."/>
      <w:numFmt w:val="decimal"/>
      <w:start w:val="3"/>
    </w:lvl>
    <w:lvl w:ilvl="1">
      <w:lvlJc w:val="left"/>
      <w:lvlText w:val="%2"/>
      <w:numFmt w:val="lowerLetter"/>
      <w:start w:val="1"/>
    </w:lvl>
  </w:abstractNum>
  <w:abstractNum w:abstractNumId="39">
    <w:nsid w:val="725A06FB"/>
    <w:multiLevelType w:val="hybridMultilevel"/>
    <w:lvl w:ilvl="0">
      <w:lvlJc w:val="left"/>
      <w:lvlText w:val="%1."/>
      <w:numFmt w:val="decimal"/>
      <w:start w:val="6"/>
    </w:lvl>
  </w:abstractNum>
  <w:abstractNum w:abstractNumId="40">
    <w:nsid w:val="2CD89A32"/>
    <w:multiLevelType w:val="hybridMultilevel"/>
    <w:lvl w:ilvl="0">
      <w:lvlJc w:val="left"/>
      <w:lvlText w:val="%1."/>
      <w:numFmt w:val="decimal"/>
      <w:start w:val="10"/>
    </w:lvl>
  </w:abstractNum>
  <w:abstractNum w:abstractNumId="41">
    <w:nsid w:val="57E4CCAF"/>
    <w:multiLevelType w:val="hybridMultilevel"/>
    <w:lvl w:ilvl="0">
      <w:lvlJc w:val="left"/>
      <w:lvlText w:val="%1."/>
      <w:numFmt w:val="decimal"/>
      <w:start w:val="14"/>
    </w:lvl>
    <w:lvl w:ilvl="1">
      <w:lvlJc w:val="left"/>
      <w:lvlText w:val="(%2)"/>
      <w:numFmt w:val="lowerLetter"/>
      <w:start w:val="1"/>
    </w:lvl>
  </w:abstractNum>
  <w:abstractNum w:abstractNumId="42">
    <w:nsid w:val="7A6D8D3C"/>
    <w:multiLevelType w:val="hybridMultilevel"/>
    <w:lvl w:ilvl="0">
      <w:lvlJc w:val="left"/>
      <w:lvlText w:val="%1"/>
      <w:numFmt w:val="decimal"/>
      <w:start w:val="1"/>
    </w:lvl>
    <w:lvl w:ilvl="1">
      <w:lvlJc w:val="left"/>
      <w:lvlText w:val="(%2)"/>
      <w:numFmt w:val="lowerLetter"/>
      <w:start w:val="2"/>
    </w:lvl>
  </w:abstractNum>
  <w:abstractNum w:abstractNumId="43">
    <w:nsid w:val="4B588F54"/>
    <w:multiLevelType w:val="hybridMultilevel"/>
    <w:lvl w:ilvl="0">
      <w:lvlJc w:val="left"/>
      <w:lvlText w:val="(%1)"/>
      <w:numFmt w:val="decimal"/>
      <w:start w:val="30"/>
    </w:lvl>
    <w:lvl w:ilvl="1">
      <w:lvlJc w:val="left"/>
      <w:lvlText w:val="%2"/>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2021-05-05T07:29:50Z</dcterms:created>
  <dcterms:modified xsi:type="dcterms:W3CDTF">2021-05-05T07:29:50Z</dcterms:modified>
</cp:coreProperties>
</file>