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right="640" w:firstLine="8"/>
        <w:spacing w:after="0" w:line="250" w:lineRule="auto"/>
        <w:tabs>
          <w:tab w:leader="none" w:pos="43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right="320" w:firstLine="8"/>
        <w:spacing w:after="0" w:line="258" w:lineRule="auto"/>
        <w:tabs>
          <w:tab w:leader="none" w:pos="391"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982345</wp:posOffset>
            </wp:positionH>
            <wp:positionV relativeFrom="paragraph">
              <wp:posOffset>19685</wp:posOffset>
            </wp:positionV>
            <wp:extent cx="14573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728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19685</wp:posOffset>
            </wp:positionV>
            <wp:extent cx="1457325"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32"/>
          <w:szCs w:val="32"/>
          <w:b w:val="1"/>
          <w:bCs w:val="1"/>
          <w:color w:val="auto"/>
        </w:rPr>
        <w:t>Dine Brands Global,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95-3038279</w:t>
            </w: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10 West Walnut Street, 5th Floor</w:t>
            </w:r>
          </w:p>
        </w:tc>
        <w:tc>
          <w:tcPr>
            <w:tcW w:w="27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91103</w:t>
            </w:r>
          </w:p>
        </w:tc>
      </w:tr>
      <w:tr>
        <w:trPr>
          <w:trHeight w:val="216"/>
        </w:trPr>
        <w:tc>
          <w:tcPr>
            <w:tcW w:w="4700" w:type="dxa"/>
            <w:vAlign w:val="bottom"/>
          </w:tcPr>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Pasadena CA</w:t>
            </w:r>
          </w:p>
        </w:tc>
        <w:tc>
          <w:tcPr>
            <w:tcW w:w="2760" w:type="dxa"/>
            <w:vAlign w:val="bottom"/>
          </w:tcPr>
          <w:p>
            <w:pPr>
              <w:spacing w:after="0"/>
              <w:rPr>
                <w:sz w:val="18"/>
                <w:szCs w:val="18"/>
                <w:color w:val="auto"/>
              </w:rPr>
            </w:pP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(Zip Code)</w:t>
            </w:r>
          </w:p>
        </w:tc>
      </w:tr>
      <w:tr>
        <w:trPr>
          <w:trHeight w:val="324"/>
        </w:trPr>
        <w:tc>
          <w:tcPr>
            <w:tcW w:w="47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2760" w:type="dxa"/>
            <w:vAlign w:val="bottom"/>
          </w:tcPr>
          <w:p>
            <w:pPr>
              <w:spacing w:after="0"/>
              <w:rPr>
                <w:sz w:val="24"/>
                <w:szCs w:val="24"/>
                <w:color w:val="auto"/>
              </w:rPr>
            </w:pPr>
          </w:p>
        </w:tc>
      </w:tr>
    </w:tbl>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6"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4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04"/>
        </w:trPr>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DIN</w:t>
            </w:r>
          </w:p>
        </w:tc>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98" w:lineRule="exact"/>
        <w:rPr>
          <w:sz w:val="24"/>
          <w:szCs w:val="24"/>
          <w:color w:val="auto"/>
        </w:rPr>
      </w:pPr>
    </w:p>
    <w:p>
      <w:pPr>
        <w:ind w:right="28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300" w:firstLine="45"/>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firstLine="4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40" w:type="dxa"/>
        <w:tblCellMar>
          <w:top w:w="0" w:type="dxa"/>
          <w:left w:w="0" w:type="dxa"/>
          <w:bottom w:w="0" w:type="dxa"/>
          <w:right w:w="0" w:type="dxa"/>
        </w:tblCellMar>
      </w:tblPr>
      <w:tr>
        <w:trPr>
          <w:trHeight w:val="21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5" w:lineRule="exact"/>
        <w:rPr>
          <w:sz w:val="24"/>
          <w:szCs w:val="24"/>
          <w:color w:val="auto"/>
        </w:rPr>
      </w:pPr>
    </w:p>
    <w:p>
      <w:pPr>
        <w:ind w:right="14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100" w:right="2540" w:hanging="8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26, 2024, the Registrant had 15,404,569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28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FINANCIAL INFORMATION</w:t>
            </w:r>
          </w:p>
        </w:tc>
        <w:tc>
          <w:tcPr>
            <w:tcW w:w="800" w:type="dxa"/>
            <w:vAlign w:val="bottom"/>
            <w:gridSpan w:val="4"/>
          </w:tcPr>
          <w:p>
            <w:pPr>
              <w:jc w:val="right"/>
              <w:ind w:right="4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020" w:type="dxa"/>
            <w:vAlign w:val="bottom"/>
            <w:gridSpan w:val="11"/>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 March 31, 2024 (unaudited) and December 31, 2023</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(unaudited) - Three Months Ended March 31, 2024 and 2023</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 (unaudited) - Three Months Ended March 31, 2024 and 2023</w:t>
            </w:r>
          </w:p>
        </w:tc>
        <w:tc>
          <w:tcPr>
            <w:tcW w:w="94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(unaudited) - Three Months Ended March 31, 2024 and 2023</w:t>
            </w:r>
          </w:p>
        </w:tc>
        <w:tc>
          <w:tcPr>
            <w:tcW w:w="6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800" w:type="dxa"/>
            <w:vAlign w:val="bottom"/>
            <w:gridSpan w:val="3"/>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2—Management’s Discussion and Analysis of Financial Condition and Results of Operations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3—Quantitative and Qualitative Disclosures about Market Risk</w:t>
            </w:r>
          </w:p>
        </w:tc>
        <w:tc>
          <w:tcPr>
            <w:tcW w:w="2140" w:type="dxa"/>
            <w:vAlign w:val="bottom"/>
            <w:tcBorders>
              <w:top w:val="single" w:sz="8" w:color="0000FF"/>
            </w:tcBorders>
            <w:gridSpan w:val="3"/>
          </w:tcPr>
          <w:p>
            <w:pPr>
              <w:spacing w:after="0"/>
              <w:rPr>
                <w:sz w:val="18"/>
                <w:szCs w:val="18"/>
                <w:color w:val="auto"/>
              </w:rPr>
            </w:pPr>
          </w:p>
        </w:tc>
        <w:tc>
          <w:tcPr>
            <w:tcW w:w="21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300" w:type="dxa"/>
            <w:vAlign w:val="bottom"/>
            <w:vMerge w:val="restart"/>
          </w:tcPr>
          <w:p>
            <w:pPr>
              <w:spacing w:after="0"/>
              <w:rPr>
                <w:sz w:val="18"/>
                <w:szCs w:val="18"/>
                <w:color w:val="auto"/>
              </w:rPr>
            </w:pP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68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1—Legal Proceedings</w:t>
            </w:r>
          </w:p>
        </w:tc>
        <w:tc>
          <w:tcPr>
            <w:tcW w:w="730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1A—Risk Factors</w:t>
            </w:r>
          </w:p>
        </w:tc>
        <w:tc>
          <w:tcPr>
            <w:tcW w:w="760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2—Unregistered Sales of Equity Securities and Use of Proceeds</w:t>
            </w:r>
          </w:p>
        </w:tc>
        <w:tc>
          <w:tcPr>
            <w:tcW w:w="428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3—Defaults Upon Senior Securities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4—Mine Safety Disclosures</w:t>
            </w:r>
          </w:p>
        </w:tc>
        <w:tc>
          <w:tcPr>
            <w:tcW w:w="540" w:type="dxa"/>
            <w:vAlign w:val="bottom"/>
            <w:tcBorders>
              <w:top w:val="single" w:sz="8" w:color="0000FF"/>
            </w:tcBorders>
          </w:tcPr>
          <w:p>
            <w:pPr>
              <w:spacing w:after="0"/>
              <w:rPr>
                <w:sz w:val="18"/>
                <w:szCs w:val="18"/>
                <w:color w:val="auto"/>
              </w:rPr>
            </w:pPr>
          </w:p>
        </w:tc>
        <w:tc>
          <w:tcPr>
            <w:tcW w:w="632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5—Other Information</w:t>
            </w:r>
          </w:p>
        </w:tc>
        <w:tc>
          <w:tcPr>
            <w:tcW w:w="732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80" w:type="dxa"/>
            <w:vAlign w:val="bottom"/>
            <w:tcBorders>
              <w:top w:val="single" w:sz="8" w:color="0000FF"/>
            </w:tcBorders>
          </w:tcPr>
          <w:p>
            <w:pPr>
              <w:spacing w:after="0"/>
              <w:rPr>
                <w:sz w:val="18"/>
                <w:szCs w:val="18"/>
                <w:color w:val="auto"/>
              </w:rPr>
            </w:pPr>
          </w:p>
        </w:tc>
        <w:tc>
          <w:tcPr>
            <w:tcW w:w="8040" w:type="dxa"/>
            <w:vAlign w:val="bottom"/>
            <w:gridSpan w:val="17"/>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particularly as it may impact our franchisees directly, particularly as it may impact our franchisees directly;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pandemics, epidemics, or other serious incidents; our success with development initiatives outside of our core business; the adequacy of our internal controls over financial reporting and future changes in accounting standards; and other factors discussed from time to time in the "Risk Factors" section of the Corporation's Annual Report on Form 10-K for the fiscal year ended December 31, 2023 and in the Corporation's other filings with the Securities and Exchange Commission, many of which are beyond our control.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2024 began on January 1, 2024 and ended on March 31, 2024. The first fiscal quarter of 2023 began on January 2, 2023 and ended on April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24"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7320" w:type="dxa"/>
            <w:vAlign w:val="bottom"/>
            <w:gridSpan w:val="2"/>
          </w:tcPr>
          <w:p>
            <w:pPr>
              <w:jc w:val="center"/>
              <w:ind w:left="36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320" w:type="dxa"/>
            <w:vAlign w:val="bottom"/>
            <w:gridSpan w:val="2"/>
          </w:tcPr>
          <w:p>
            <w:pPr>
              <w:jc w:val="center"/>
              <w:ind w:left="36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320" w:type="dxa"/>
            <w:vAlign w:val="bottom"/>
            <w:gridSpan w:val="2"/>
          </w:tcPr>
          <w:p>
            <w:pPr>
              <w:jc w:val="center"/>
              <w:ind w:left="363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7"/>
        </w:trPr>
        <w:tc>
          <w:tcPr>
            <w:tcW w:w="7320" w:type="dxa"/>
            <w:vAlign w:val="bottom"/>
            <w:gridSpan w:val="2"/>
          </w:tcPr>
          <w:p>
            <w:pPr>
              <w:ind w:left="3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7"/>
                <w:szCs w:val="17"/>
                <w:color w:val="auto"/>
              </w:rPr>
            </w:pPr>
          </w:p>
        </w:tc>
        <w:tc>
          <w:tcPr>
            <w:tcW w:w="15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144,994</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146,034</w:t>
            </w:r>
          </w:p>
        </w:tc>
        <w:tc>
          <w:tcPr>
            <w:tcW w:w="0" w:type="dxa"/>
            <w:vAlign w:val="bottom"/>
          </w:tcPr>
          <w:p>
            <w:pPr>
              <w:spacing w:after="0"/>
              <w:rPr>
                <w:sz w:val="1"/>
                <w:szCs w:val="1"/>
                <w:color w:val="auto"/>
              </w:rPr>
            </w:pPr>
          </w:p>
        </w:tc>
      </w:tr>
      <w:tr>
        <w:trPr>
          <w:trHeight w:val="210"/>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$4,635 (2024) and $4,462 (2023)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127,937</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47,631</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35,058</w:t>
            </w:r>
          </w:p>
        </w:tc>
        <w:tc>
          <w:tcPr>
            <w:tcW w:w="0" w:type="dxa"/>
            <w:vAlign w:val="bottom"/>
          </w:tcPr>
          <w:p>
            <w:pPr>
              <w:spacing w:after="0"/>
              <w:rPr>
                <w:sz w:val="1"/>
                <w:szCs w:val="1"/>
                <w:color w:val="auto"/>
              </w:rPr>
            </w:pPr>
          </w:p>
        </w:tc>
      </w:tr>
      <w:tr>
        <w:trPr>
          <w:trHeight w:val="210"/>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gift card costs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29,545</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income taxes</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15,759</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tcBorders>
              <w:right w:val="single" w:sz="8" w:color="CCEEFF"/>
            </w:tcBorders>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317,199</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357,778</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159,706</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161,891</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275,214</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33,326</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$4,758 (2024) and $5,002 (2023)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35,602</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254,062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254,062</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586,033</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60" w:type="dxa"/>
            <w:vAlign w:val="bottom"/>
            <w:tcBorders>
              <w:right w:val="single" w:sz="8" w:color="CCEEFF"/>
            </w:tcBorders>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16,734</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16,881</w:t>
            </w:r>
          </w:p>
        </w:tc>
        <w:tc>
          <w:tcPr>
            <w:tcW w:w="0" w:type="dxa"/>
            <w:vAlign w:val="bottom"/>
          </w:tcPr>
          <w:p>
            <w:pPr>
              <w:spacing w:after="0"/>
              <w:rPr>
                <w:sz w:val="1"/>
                <w:szCs w:val="1"/>
                <w:color w:val="auto"/>
              </w:rPr>
            </w:pPr>
          </w:p>
        </w:tc>
      </w:tr>
      <w:tr>
        <w:trPr>
          <w:trHeight w:val="212"/>
        </w:trPr>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1,695,209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1,740,287</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60" w:type="dxa"/>
            <w:vAlign w:val="bottom"/>
            <w:tcBorders>
              <w:right w:val="single" w:sz="8" w:color="CCEEFF"/>
            </w:tcBorders>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0"/>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36,193</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Gift card liability</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146,714</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175,640</w:t>
            </w:r>
          </w:p>
        </w:tc>
        <w:tc>
          <w:tcPr>
            <w:tcW w:w="0" w:type="dxa"/>
            <w:vAlign w:val="bottom"/>
          </w:tcPr>
          <w:p>
            <w:pPr>
              <w:spacing w:after="0"/>
              <w:rPr>
                <w:sz w:val="1"/>
                <w:szCs w:val="1"/>
                <w:color w:val="auto"/>
              </w:rPr>
            </w:pPr>
          </w:p>
        </w:tc>
      </w:tr>
      <w:tr>
        <w:trPr>
          <w:trHeight w:val="210"/>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63,498</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6,886</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7,243</w:t>
            </w:r>
          </w:p>
        </w:tc>
        <w:tc>
          <w:tcPr>
            <w:tcW w:w="0" w:type="dxa"/>
            <w:vAlign w:val="bottom"/>
          </w:tcPr>
          <w:p>
            <w:pPr>
              <w:spacing w:after="0"/>
              <w:rPr>
                <w:sz w:val="1"/>
                <w:szCs w:val="1"/>
                <w:color w:val="auto"/>
              </w:rPr>
            </w:pPr>
          </w:p>
        </w:tc>
      </w:tr>
      <w:tr>
        <w:trPr>
          <w:trHeight w:val="210"/>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23,211</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9,446</w:t>
            </w:r>
          </w:p>
        </w:tc>
        <w:tc>
          <w:tcPr>
            <w:tcW w:w="0" w:type="dxa"/>
            <w:vAlign w:val="bottom"/>
          </w:tcPr>
          <w:p>
            <w:pPr>
              <w:spacing w:after="0"/>
              <w:rPr>
                <w:sz w:val="1"/>
                <w:szCs w:val="1"/>
                <w:color w:val="auto"/>
              </w:rPr>
            </w:pPr>
          </w:p>
        </w:tc>
      </w:tr>
      <w:tr>
        <w:trPr>
          <w:trHeight w:val="210"/>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360" w:type="dxa"/>
            <w:vAlign w:val="bottom"/>
            <w:tcBorders>
              <w:right w:val="single" w:sz="8" w:color="CCEEFF"/>
            </w:tcBorders>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28,514</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37,394</w:t>
            </w:r>
          </w:p>
        </w:tc>
        <w:tc>
          <w:tcPr>
            <w:tcW w:w="0" w:type="dxa"/>
            <w:vAlign w:val="bottom"/>
          </w:tcPr>
          <w:p>
            <w:pPr>
              <w:spacing w:after="0"/>
              <w:rPr>
                <w:sz w:val="1"/>
                <w:szCs w:val="1"/>
                <w:color w:val="auto"/>
              </w:rPr>
            </w:pPr>
          </w:p>
        </w:tc>
      </w:tr>
      <w:tr>
        <w:trPr>
          <w:trHeight w:val="204"/>
        </w:trPr>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460,452</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less current maturities</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1,085,002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1,084,502</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269,097</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36,489</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34,389</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26,984</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58,808</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60,829</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38,658</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60" w:type="dxa"/>
            <w:vAlign w:val="bottom"/>
            <w:tcBorders>
              <w:right w:val="single" w:sz="8" w:color="CCEEFF"/>
            </w:tcBorders>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16,887</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16,350</w:t>
            </w:r>
          </w:p>
        </w:tc>
        <w:tc>
          <w:tcPr>
            <w:tcW w:w="0" w:type="dxa"/>
            <w:vAlign w:val="bottom"/>
          </w:tcPr>
          <w:p>
            <w:pPr>
              <w:spacing w:after="0"/>
              <w:rPr>
                <w:sz w:val="1"/>
                <w:szCs w:val="1"/>
                <w:color w:val="auto"/>
              </w:rPr>
            </w:pPr>
          </w:p>
        </w:tc>
      </w:tr>
      <w:tr>
        <w:trPr>
          <w:trHeight w:val="204"/>
        </w:trPr>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1,991,261</w:t>
            </w:r>
          </w:p>
        </w:tc>
        <w:tc>
          <w:tcPr>
            <w:tcW w:w="0" w:type="dxa"/>
            <w:vAlign w:val="bottom"/>
          </w:tcPr>
          <w:p>
            <w:pPr>
              <w:spacing w:after="0"/>
              <w:rPr>
                <w:sz w:val="1"/>
                <w:szCs w:val="1"/>
                <w:color w:val="auto"/>
              </w:rPr>
            </w:pPr>
          </w:p>
        </w:tc>
      </w:tr>
      <w:tr>
        <w:trPr>
          <w:trHeight w:val="202"/>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60" w:type="dxa"/>
            <w:vAlign w:val="bottom"/>
            <w:tcBorders>
              <w:right w:val="single" w:sz="8" w:color="CCEEFF"/>
            </w:tcBorders>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and outstanding</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9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Common stock, $0.01 par value; shares: 40,000,000 authorized; March 31, 2024 - 24,830,124 issued,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0"/>
        </w:trPr>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15,453,001 outstanding; December 31, 2023 - 24,870,529 issued, 15,344,768 outstanding</w:t>
            </w:r>
          </w:p>
        </w:tc>
        <w:tc>
          <w:tcPr>
            <w:tcW w:w="2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245,680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256,542</w:t>
            </w:r>
          </w:p>
        </w:tc>
        <w:tc>
          <w:tcPr>
            <w:tcW w:w="0" w:type="dxa"/>
            <w:vAlign w:val="bottom"/>
          </w:tcPr>
          <w:p>
            <w:pPr>
              <w:spacing w:after="0"/>
              <w:rPr>
                <w:sz w:val="1"/>
                <w:szCs w:val="1"/>
                <w:color w:val="auto"/>
              </w:rPr>
            </w:pPr>
          </w:p>
        </w:tc>
      </w:tr>
      <w:tr>
        <w:trPr>
          <w:trHeight w:val="210"/>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150,008</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60" w:type="dxa"/>
            <w:vAlign w:val="bottom"/>
            <w:tcBorders>
              <w:right w:val="single" w:sz="8" w:color="CCEEFF"/>
            </w:tcBorders>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Treasury stock, at cost; shares: March 31, 2024 - 9,377,123; December 31, 2023 - 9,525,761</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(650,264)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(657,709)</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360" w:type="dxa"/>
            <w:vAlign w:val="bottom"/>
            <w:tcBorders>
              <w:right w:val="single" w:sz="8" w:color="CCEEFF"/>
            </w:tcBorders>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(244,805)</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(250,974)</w:t>
            </w:r>
          </w:p>
        </w:tc>
        <w:tc>
          <w:tcPr>
            <w:tcW w:w="0" w:type="dxa"/>
            <w:vAlign w:val="bottom"/>
          </w:tcPr>
          <w:p>
            <w:pPr>
              <w:spacing w:after="0"/>
              <w:rPr>
                <w:sz w:val="1"/>
                <w:szCs w:val="1"/>
                <w:color w:val="auto"/>
              </w:rPr>
            </w:pPr>
          </w:p>
        </w:tc>
      </w:tr>
      <w:tr>
        <w:trPr>
          <w:trHeight w:val="212"/>
        </w:trPr>
        <w:tc>
          <w:tcPr>
            <w:tcW w:w="7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1,695,209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1,740,287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140"/>
          </w:cols>
          <w:pgMar w:left="320" w:top="225" w:right="4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340" w:type="dxa"/>
            <w:vAlign w:val="bottom"/>
          </w:tcPr>
          <w:p>
            <w:pPr>
              <w:jc w:val="center"/>
              <w:ind w:left="28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tcPr>
          <w:p>
            <w:pPr>
              <w:jc w:val="center"/>
              <w:ind w:left="28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tcPr>
          <w:p>
            <w:pPr>
              <w:jc w:val="center"/>
              <w:ind w:left="28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340" w:type="dxa"/>
            <w:vAlign w:val="bottom"/>
          </w:tcPr>
          <w:p>
            <w:pPr>
              <w:jc w:val="center"/>
              <w:ind w:left="28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revenues: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revenues</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75,261</w:t>
            </w:r>
          </w:p>
        </w:tc>
        <w:tc>
          <w:tcPr>
            <w:tcW w:w="12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175,877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sales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revenues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revenues</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206,235</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213,767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0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expenses: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expenses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75,261</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Bad debt expense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franchise expenses</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11,029</w:t>
            </w:r>
          </w:p>
        </w:tc>
        <w:tc>
          <w:tcPr>
            <w:tcW w:w="12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expenses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86,473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expenses: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from finance leases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rental expenses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rental expenses</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21,955</w:t>
            </w:r>
          </w:p>
        </w:tc>
        <w:tc>
          <w:tcPr>
            <w:tcW w:w="1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cost of revenues</w:t>
            </w: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108,811</w:t>
            </w:r>
          </w:p>
        </w:tc>
        <w:tc>
          <w:tcPr>
            <w:tcW w:w="120" w:type="dxa"/>
            <w:vAlign w:val="bottom"/>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110,151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97,424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52,187</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Closure and impairment charges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24,046</w:t>
            </w:r>
          </w:p>
        </w:tc>
        <w:tc>
          <w:tcPr>
            <w:tcW w:w="1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1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8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10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Net income allocated to unvested participating restricted stock</w:t>
            </w: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12"/>
        </w:trPr>
        <w:tc>
          <w:tcPr>
            <w:tcW w:w="8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83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 per share: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0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14,980</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14,980</w:t>
            </w:r>
          </w:p>
        </w:tc>
        <w:tc>
          <w:tcPr>
            <w:tcW w:w="12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20"/>
          </w:cols>
          <w:pgMar w:left="300" w:top="2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00" w:top="225"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10"/>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12"/>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4"/>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9"/>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8"/>
                <w:szCs w:val="18"/>
                <w:color w:val="auto"/>
              </w:rPr>
            </w:pPr>
          </w:p>
        </w:tc>
        <w:tc>
          <w:tcPr>
            <w:tcW w:w="172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0" w:type="dxa"/>
            <w:vAlign w:val="bottom"/>
          </w:tcPr>
          <w:p>
            <w:pPr>
              <w:spacing w:after="0"/>
              <w:rPr>
                <w:sz w:val="14"/>
                <w:szCs w:val="14"/>
                <w:color w:val="auto"/>
              </w:rPr>
            </w:pPr>
          </w:p>
        </w:tc>
        <w:tc>
          <w:tcPr>
            <w:tcW w:w="8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8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15,344,768</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left w:val="single" w:sz="8" w:color="CCEEFF"/>
            </w:tcBorders>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256,542</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150,008</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left w:val="single" w:sz="8" w:color="CCEEFF"/>
            </w:tcBorders>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9,525,761</w:t>
            </w:r>
          </w:p>
        </w:tc>
        <w:tc>
          <w:tcPr>
            <w:tcW w:w="120" w:type="dxa"/>
            <w:vAlign w:val="bottom"/>
            <w:tcBorders>
              <w:left w:val="single" w:sz="8" w:color="CCEEFF"/>
              <w:right w:val="single" w:sz="8" w:color="CCEEFF"/>
            </w:tcBorders>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(657,709)</w:t>
            </w:r>
          </w:p>
        </w:tc>
        <w:tc>
          <w:tcPr>
            <w:tcW w:w="80" w:type="dxa"/>
            <w:vAlign w:val="bottom"/>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(250,974)</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0" w:type="dxa"/>
            <w:vAlign w:val="bottom"/>
          </w:tcPr>
          <w:p>
            <w:pPr>
              <w:spacing w:after="0"/>
              <w:rPr>
                <w:sz w:val="1"/>
                <w:szCs w:val="1"/>
                <w:color w:val="auto"/>
              </w:rPr>
            </w:pPr>
          </w:p>
        </w:tc>
      </w:tr>
      <w:tr>
        <w:trPr>
          <w:trHeight w:val="22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left w:val="single" w:sz="8" w:color="CCEEFF"/>
            </w:tcBorders>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right w:val="single" w:sz="8" w:color="CCEEFF"/>
            </w:tcBorders>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128,479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2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277,117</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(13,445)</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(277,117)</w:t>
            </w:r>
          </w:p>
        </w:tc>
        <w:tc>
          <w:tcPr>
            <w:tcW w:w="120" w:type="dxa"/>
            <w:vAlign w:val="bottom"/>
            <w:tcBorders>
              <w:left w:val="single" w:sz="8" w:color="CCEEFF"/>
              <w:right w:val="single" w:sz="8" w:color="CCEEFF"/>
            </w:tcBorders>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13,445</w:t>
            </w:r>
          </w:p>
        </w:tc>
        <w:tc>
          <w:tcPr>
            <w:tcW w:w="80" w:type="dxa"/>
            <w:vAlign w:val="bottom"/>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(48,673)</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right w:val="single" w:sz="8" w:color="CCEEFF"/>
            </w:tcBorders>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0" w:type="dxa"/>
            <w:vAlign w:val="bottom"/>
          </w:tcPr>
          <w:p>
            <w:pPr>
              <w:spacing w:after="0"/>
              <w:rPr>
                <w:sz w:val="1"/>
                <w:szCs w:val="1"/>
                <w:color w:val="auto"/>
              </w:rPr>
            </w:pPr>
          </w:p>
        </w:tc>
      </w:tr>
      <w:tr>
        <w:trPr>
          <w:trHeight w:val="22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(7,884)</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right w:val="single" w:sz="8" w:color="CCEEFF"/>
            </w:tcBorders>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(7,848)</w:t>
            </w:r>
          </w:p>
        </w:tc>
        <w:tc>
          <w:tcPr>
            <w:tcW w:w="0" w:type="dxa"/>
            <w:vAlign w:val="bottom"/>
          </w:tcPr>
          <w:p>
            <w:pPr>
              <w:spacing w:after="0"/>
              <w:rPr>
                <w:sz w:val="1"/>
                <w:szCs w:val="1"/>
                <w:color w:val="auto"/>
              </w:rPr>
            </w:pPr>
          </w:p>
        </w:tc>
      </w:tr>
      <w:tr>
        <w:trPr>
          <w:trHeight w:val="162"/>
        </w:trPr>
        <w:tc>
          <w:tcPr>
            <w:tcW w:w="33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80" w:type="dxa"/>
            <w:vAlign w:val="bottom"/>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15,453,001</w:t>
            </w:r>
          </w:p>
        </w:tc>
        <w:tc>
          <w:tcPr>
            <w:tcW w:w="100" w:type="dxa"/>
            <w:vAlign w:val="bottom"/>
            <w:tcBorders>
              <w:lef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lef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245,680</w:t>
            </w:r>
          </w:p>
        </w:tc>
        <w:tc>
          <w:tcPr>
            <w:tcW w:w="100" w:type="dxa"/>
            <w:vAlign w:val="bottom"/>
            <w:tcBorders>
              <w:lef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159,597</w:t>
            </w:r>
          </w:p>
        </w:tc>
        <w:tc>
          <w:tcPr>
            <w:tcW w:w="100" w:type="dxa"/>
            <w:vAlign w:val="bottom"/>
            <w:tcBorders>
              <w:lef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left w:val="single" w:sz="8" w:color="CCEEFF"/>
            </w:tcBorders>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9,377,123</w:t>
            </w:r>
          </w:p>
        </w:tc>
        <w:tc>
          <w:tcPr>
            <w:tcW w:w="120" w:type="dxa"/>
            <w:vAlign w:val="bottom"/>
            <w:tcBorders>
              <w:left w:val="single" w:sz="8" w:color="CCEEFF"/>
              <w:right w:val="single" w:sz="8" w:color="CCEEFF"/>
            </w:tcBorders>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(650,264)</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(244,805)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9"/>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8"/>
                <w:szCs w:val="18"/>
                <w:color w:val="auto"/>
              </w:rPr>
            </w:pPr>
          </w:p>
        </w:tc>
        <w:tc>
          <w:tcPr>
            <w:tcW w:w="17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0" w:type="dxa"/>
            <w:vAlign w:val="bottom"/>
          </w:tcPr>
          <w:p>
            <w:pPr>
              <w:spacing w:after="0"/>
              <w:rPr>
                <w:sz w:val="14"/>
                <w:szCs w:val="14"/>
                <w:color w:val="auto"/>
              </w:rPr>
            </w:pP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8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2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15,599,239</w:t>
            </w:r>
          </w:p>
        </w:tc>
        <w:tc>
          <w:tcPr>
            <w:tcW w:w="10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righ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259,339</w:t>
            </w:r>
          </w:p>
        </w:tc>
        <w:tc>
          <w:tcPr>
            <w:tcW w:w="10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84,538</w:t>
            </w:r>
          </w:p>
        </w:tc>
        <w:tc>
          <w:tcPr>
            <w:tcW w:w="10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right w:val="single" w:sz="8" w:color="CCEEFF"/>
            </w:tcBorders>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9,360,733</w:t>
            </w:r>
          </w:p>
        </w:tc>
        <w:tc>
          <w:tcPr>
            <w:tcW w:w="1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(645,146)</w:t>
            </w:r>
          </w:p>
        </w:tc>
        <w:tc>
          <w:tcPr>
            <w:tcW w:w="80" w:type="dxa"/>
            <w:vAlign w:val="bottom"/>
            <w:tcBorders>
              <w:left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(301,084)</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CCEEFF"/>
            </w:tcBorders>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gridSpan w:val="2"/>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74,860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194,960</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(194,960)</w:t>
            </w:r>
          </w:p>
        </w:tc>
        <w:tc>
          <w:tcPr>
            <w:tcW w:w="120" w:type="dxa"/>
            <w:vAlign w:val="bottom"/>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9,160</w:t>
            </w:r>
          </w:p>
        </w:tc>
        <w:tc>
          <w:tcPr>
            <w:tcW w:w="100" w:type="dxa"/>
            <w:vAlign w:val="bottom"/>
            <w:tcBorders>
              <w:left w:val="single" w:sz="8" w:color="CCEEFF"/>
            </w:tcBorders>
            <w:gridSpan w:val="2"/>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(46,630)</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gridSpan w:val="2"/>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(8,017)</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gridSpan w:val="2"/>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13"/>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20" w:type="dxa"/>
            <w:vAlign w:val="bottom"/>
          </w:tcPr>
          <w:p>
            <w:pPr>
              <w:spacing w:after="0"/>
              <w:rPr>
                <w:sz w:val="20"/>
                <w:szCs w:val="20"/>
                <w:color w:val="auto"/>
              </w:rPr>
            </w:pPr>
          </w:p>
        </w:tc>
        <w:tc>
          <w:tcPr>
            <w:tcW w:w="80" w:type="dxa"/>
            <w:vAlign w:val="bottom"/>
            <w:tcBorders>
              <w:right w:val="single" w:sz="8" w:color="CCEEFF"/>
            </w:tcBorders>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15,674,739</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righ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248,187</w:t>
            </w:r>
          </w:p>
        </w:tc>
        <w:tc>
          <w:tcPr>
            <w:tcW w:w="100" w:type="dxa"/>
            <w:vAlign w:val="bottom"/>
            <w:tcBorders>
              <w:righ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103,931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right w:val="single" w:sz="8" w:color="CCEEFF"/>
            </w:tcBorders>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9,240,633</w:t>
            </w: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(640,986)</w:t>
            </w:r>
          </w:p>
        </w:tc>
        <w:tc>
          <w:tcPr>
            <w:tcW w:w="80" w:type="dxa"/>
            <w:vAlign w:val="bottom"/>
            <w:tcBorders>
              <w:left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(288,683)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8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0" w:type="dxa"/>
            <w:vAlign w:val="bottom"/>
          </w:tcPr>
          <w:p>
            <w:pPr>
              <w:spacing w:after="0"/>
              <w:rPr>
                <w:sz w:val="1"/>
                <w:szCs w:val="1"/>
                <w:color w:val="auto"/>
              </w:rPr>
            </w:pPr>
          </w:p>
        </w:tc>
      </w:tr>
      <w:tr>
        <w:trPr>
          <w:trHeight w:val="213"/>
        </w:trPr>
        <w:tc>
          <w:tcPr>
            <w:tcW w:w="8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cash flows provided by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9,222</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closure and impairment charges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Receivables, net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rent receivable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Current income tax receivables and payables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Gift card receivables and payables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(11,801)</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advertising</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0" w:type="dxa"/>
            <w:vAlign w:val="bottom"/>
          </w:tcPr>
          <w:p>
            <w:pPr>
              <w:spacing w:after="0"/>
              <w:rPr>
                <w:sz w:val="1"/>
                <w:szCs w:val="1"/>
                <w:color w:val="auto"/>
              </w:rPr>
            </w:pPr>
          </w:p>
        </w:tc>
      </w:tr>
      <w:tr>
        <w:trPr>
          <w:trHeight w:val="213"/>
        </w:trPr>
        <w:tc>
          <w:tcPr>
            <w:tcW w:w="8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30,553</w:t>
            </w:r>
          </w:p>
        </w:tc>
        <w:tc>
          <w:tcPr>
            <w:tcW w:w="100" w:type="dxa"/>
            <w:vAlign w:val="bottom"/>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16,076</w:t>
            </w:r>
          </w:p>
        </w:tc>
        <w:tc>
          <w:tcPr>
            <w:tcW w:w="0" w:type="dxa"/>
            <w:vAlign w:val="bottom"/>
          </w:tcPr>
          <w:p>
            <w:pPr>
              <w:spacing w:after="0"/>
              <w:rPr>
                <w:sz w:val="1"/>
                <w:szCs w:val="1"/>
                <w:color w:val="auto"/>
              </w:rPr>
            </w:pPr>
          </w:p>
        </w:tc>
      </w:tr>
      <w:tr>
        <w:trPr>
          <w:trHeight w:val="20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Principal receipts from notes, equipment contracts and other long-term receivables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(16,030)</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Additions to long-term receivables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7"/>
        </w:trPr>
        <w:tc>
          <w:tcPr>
            <w:tcW w:w="86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(12,739)</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(66,574)</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(15,971)</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Principal payments on finance lease and financing obligations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Repurchase of restricted stock for tax payments upon vesting</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Tax payments for share settlement of restricted stock units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6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(93,217)</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11,533</w:t>
            </w: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(89,880)</w:t>
            </w:r>
          </w:p>
        </w:tc>
        <w:tc>
          <w:tcPr>
            <w:tcW w:w="0" w:type="dxa"/>
            <w:vAlign w:val="bottom"/>
          </w:tcPr>
          <w:p>
            <w:pPr>
              <w:spacing w:after="0"/>
              <w:rPr>
                <w:sz w:val="1"/>
                <w:szCs w:val="1"/>
                <w:color w:val="auto"/>
              </w:rPr>
            </w:pPr>
          </w:p>
        </w:tc>
      </w:tr>
      <w:tr>
        <w:trPr>
          <w:trHeight w:val="213"/>
        </w:trPr>
        <w:tc>
          <w:tcPr>
            <w:tcW w:w="86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200,592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324,984</w:t>
            </w: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212,125</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235,104</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Interest paid in cash</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19,846</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16,702</w:t>
            </w:r>
          </w:p>
        </w:tc>
        <w:tc>
          <w:tcPr>
            <w:tcW w:w="0" w:type="dxa"/>
            <w:vAlign w:val="bottom"/>
          </w:tcPr>
          <w:p>
            <w:pPr>
              <w:spacing w:after="0"/>
              <w:rPr>
                <w:sz w:val="1"/>
                <w:szCs w:val="1"/>
                <w:color w:val="auto"/>
              </w:rPr>
            </w:pPr>
          </w:p>
        </w:tc>
      </w:tr>
      <w:tr>
        <w:trPr>
          <w:trHeight w:val="210"/>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 paid in cash</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three months ended March 31, 2024 are not necessarily indicative of the results that may be expected for the twelve months ending December 31, 2024.</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2023 has been derived from the audited consolidated financial statements at that date but does not include all of information and footnotes required by U.S. GAAP for complete financial statements.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footnotes thereto included in the Company’s Annual Report on Form 10-K for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2024 began on January 1, 2024 and ended on March 31, 2024. The first fiscal quarter of 2023 began on January 2, 2023 and ended on April 2, 2023.</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tangible and intangible assets and goodwill;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 in the Current Fiscal Year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new accounting guidance became effective for the Company as of the beginning of fiscal 2024 that the Company reviewed and concluded was either not applicable to its operations or had no material effect on its consolidated financial statements in the current or future fiscal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 which updates reportable segment disclosure requirements. The ASU primarily requires enhanced disclosures about significant segment expenses that are regularly provided to the chief operating decision maker (“CODM”) and the title and position of the CODM with an explanation of how the CODM uses</w:t>
      </w:r>
    </w:p>
    <w:p>
      <w:pPr>
        <w:spacing w:after="0" w:line="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reported measure(s) of segment profit or loss used to assess segment performance. All annual disclosures of a reportable segment’s profit or loss and assets required by Accounting Standards Codification (“ASC”) 280, “Segment Reporting”, will be required to be disclosed in interim periods. The ASU is effective for fiscal years beginning after December 15, 2023 and interim periods within fiscal years beginning after December 15, 2024 with early adoption permitted. The Company is currently evaluating the impact of adopting this ASU in our disclosures.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standard requires disaggregated information about a reporting entity’s effective tax rate reconciliation as well as information on income taxes paid. The guidance is effective for fiscal years beginning after December 15, 2024, with early adoption permitted, and should be applied on a prospective basis with the option to apply the standard retrospectively. The Company is currently evaluating the impact of adopting this ASU on our disclosures.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 Revenues</w:t>
      </w:r>
    </w:p>
    <w:p>
      <w:pPr>
        <w:spacing w:after="0" w:line="11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franchises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restaurant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family dining mid-scale full-service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food segment within the fast-casual dining category of the restaurant industry. The franchise arrangement for the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the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117" w:lineRule="exact"/>
        <w:rPr>
          <w:sz w:val="20"/>
          <w:szCs w:val="20"/>
          <w:color w:val="auto"/>
        </w:rPr>
      </w:pPr>
    </w:p>
    <w:p>
      <w:pPr>
        <w:jc w:val="both"/>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jc w:val="both"/>
        <w:ind w:left="1300" w:hanging="320"/>
        <w:spacing w:after="0" w:line="258"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on the balance sheet;</w:t>
      </w:r>
    </w:p>
    <w:p>
      <w:pPr>
        <w:jc w:val="both"/>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proprietary pancake and waffle dry mix and other proprietary products is recognized in the period in which distributors ship the franchisee's order; recognition of revenue results in an accounts receivable included in “receivables, net” on the balance sheet.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the amount and timing of revenue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incur a significant amount of contract acquisition costs in conducting franchising activities. The Company believes its franchising arrangements do not contain a significant financing component.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Restaurant Revenues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restaurant revenues comprise retail sales at company-operated restaurants. Sales by company-operated restaurants are recognized when food and beverage items are sold. Company restaurant sales are reported net of sales taxes collected from guests that are remitted to the appropriate taxing authorities, with no significant judgements required.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Revenue (Continued)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franchise revenue by major type for the three months ended March 31, 2024 and 2023:</w:t>
      </w:r>
    </w:p>
    <w:p>
      <w:pPr>
        <w:spacing w:after="0" w:line="160" w:lineRule="exact"/>
        <w:rPr>
          <w:sz w:val="20"/>
          <w:szCs w:val="20"/>
          <w:color w:val="auto"/>
        </w:rPr>
      </w:pPr>
    </w:p>
    <w:tbl>
      <w:tblPr>
        <w:tblLayout w:type="fixed"/>
        <w:tblInd w:w="158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24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80,212</w:t>
            </w:r>
          </w:p>
        </w:tc>
        <w:tc>
          <w:tcPr>
            <w:tcW w:w="100" w:type="dxa"/>
            <w:vAlign w:val="bottom"/>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83,438</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fees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77,037</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Proprietary product sales and other</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10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w:t>
            </w:r>
          </w:p>
        </w:tc>
      </w:tr>
      <w:tr>
        <w:trPr>
          <w:trHeight w:val="229"/>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48"/>
        </w:trPr>
        <w:tc>
          <w:tcPr>
            <w:tcW w:w="5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franchise revenue</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175,877</w:t>
            </w:r>
          </w:p>
        </w:tc>
        <w:tc>
          <w:tcPr>
            <w:tcW w:w="100" w:type="dxa"/>
            <w:vAlign w:val="bottom"/>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179,962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Accounts and other receivables from franchisees as of March 31, 2024 and December 31, 2023 were $70.1 million (net of allowance of $3.0 million) and $68.7 million (net of allowance of $2.7 million), respectively, and were included in receivables, net in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contract liability for deferred franchise and development fees during the three months ended March 31, 2024 were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-127635</wp:posOffset>
            </wp:positionV>
            <wp:extent cx="497205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2050" cy="14541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Recognized as revenue during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14605</wp:posOffset>
            </wp:positionV>
            <wp:extent cx="497205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0" cy="14541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Fees deferred during the three months ended March 31, 2024</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Balance at March 31,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balance of deferred revenue as of March 31, 2024 is expected to be recognized as follows: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81"/>
        <w:spacing w:after="0"/>
        <w:rPr>
          <w:sz w:val="20"/>
          <w:szCs w:val="20"/>
          <w:color w:val="auto"/>
        </w:rPr>
      </w:pPr>
      <w:r>
        <w:rPr>
          <w:rFonts w:ascii="Times New Roman" w:cs="Times New Roman" w:eastAsia="Times New Roman" w:hAnsi="Times New Roman"/>
          <w:sz w:val="14"/>
          <w:szCs w:val="14"/>
          <w:b w:val="1"/>
          <w:bCs w:val="1"/>
          <w:color w:val="auto"/>
        </w:rPr>
        <w:t>Deferred Franchise Revenue</w:t>
      </w:r>
    </w:p>
    <w:p>
      <w:pPr>
        <w:spacing w:after="0" w:line="6" w:lineRule="exact"/>
        <w:rPr>
          <w:sz w:val="20"/>
          <w:szCs w:val="20"/>
          <w:color w:val="auto"/>
        </w:rPr>
      </w:pPr>
    </w:p>
    <w:p>
      <w:pPr>
        <w:ind w:left="281"/>
        <w:spacing w:after="0"/>
        <w:rPr>
          <w:sz w:val="20"/>
          <w:szCs w:val="20"/>
          <w:color w:val="auto"/>
        </w:rPr>
      </w:pPr>
      <w:r>
        <w:rPr>
          <w:rFonts w:ascii="Times New Roman" w:cs="Times New Roman" w:eastAsia="Times New Roman" w:hAnsi="Times New Roman"/>
          <w:sz w:val="14"/>
          <w:szCs w:val="14"/>
          <w:b w:val="1"/>
          <w:bCs w:val="1"/>
          <w:color w:val="auto"/>
        </w:rPr>
        <w:t>(short-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12598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4"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1401" w:hanging="1401"/>
        <w:spacing w:after="0"/>
        <w:tabs>
          <w:tab w:leader="none" w:pos="14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45,269</w:t>
      </w:r>
    </w:p>
    <w:p>
      <w:pPr>
        <w:spacing w:after="0" w:line="27" w:lineRule="exact"/>
        <w:rPr>
          <w:rFonts w:ascii="Times New Roman" w:cs="Times New Roman" w:eastAsia="Times New Roman" w:hAnsi="Times New Roman"/>
          <w:sz w:val="18"/>
          <w:szCs w:val="18"/>
          <w:color w:val="auto"/>
        </w:rPr>
      </w:pPr>
    </w:p>
    <w:p>
      <w:pPr>
        <w:ind w:left="14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(2,306)</w:t>
      </w:r>
    </w:p>
    <w:p>
      <w:pPr>
        <w:spacing w:after="0" w:line="34" w:lineRule="exact"/>
        <w:rPr>
          <w:rFonts w:ascii="Times New Roman" w:cs="Times New Roman" w:eastAsia="Times New Roman" w:hAnsi="Times New Roman"/>
          <w:sz w:val="18"/>
          <w:szCs w:val="18"/>
          <w:color w:val="auto"/>
        </w:rPr>
      </w:pPr>
    </w:p>
    <w:p>
      <w:pPr>
        <w:ind w:left="16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-422275</wp:posOffset>
            </wp:positionV>
            <wp:extent cx="125984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9840" cy="1454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-130810</wp:posOffset>
            </wp:positionV>
            <wp:extent cx="125984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9840" cy="154305"/>
                    </a:xfrm>
                    <a:prstGeom prst="rect">
                      <a:avLst/>
                    </a:prstGeom>
                    <a:noFill/>
                  </pic:spPr>
                </pic:pic>
              </a:graphicData>
            </a:graphic>
          </wp:anchor>
        </w:drawing>
      </w:r>
    </w:p>
    <w:p>
      <w:pPr>
        <w:spacing w:after="0" w:line="11" w:lineRule="exact"/>
        <w:rPr>
          <w:sz w:val="20"/>
          <w:szCs w:val="20"/>
          <w:color w:val="auto"/>
        </w:rPr>
      </w:pPr>
    </w:p>
    <w:p>
      <w:pPr>
        <w:ind w:left="1401" w:hanging="1401"/>
        <w:spacing w:after="0"/>
        <w:tabs>
          <w:tab w:leader="none" w:pos="14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1259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98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43180</wp:posOffset>
            </wp:positionV>
            <wp:extent cx="1259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3" w:lineRule="exact"/>
        <w:rPr>
          <w:sz w:val="20"/>
          <w:szCs w:val="20"/>
          <w:color w:val="auto"/>
        </w:rPr>
      </w:pPr>
    </w:p>
    <w:p>
      <w:pPr>
        <w:sectPr>
          <w:pgSz w:w="11900" w:h="16838" w:orient="portrait"/>
          <w:cols w:equalWidth="0" w:num="2">
            <w:col w:w="7899" w:space="720"/>
            <w:col w:w="2621"/>
          </w:cols>
          <w:pgMar w:left="320" w:top="225" w:right="339" w:bottom="1440" w:gutter="0" w:footer="0" w:header="0"/>
          <w:type w:val="continuous"/>
        </w:sectPr>
      </w:pPr>
    </w:p>
    <w:tbl>
      <w:tblPr>
        <w:tblLayout w:type="fixed"/>
        <w:tblInd w:w="660" w:type="dxa"/>
        <w:tblCellMar>
          <w:top w:w="0" w:type="dxa"/>
          <w:left w:w="0" w:type="dxa"/>
          <w:bottom w:w="0" w:type="dxa"/>
          <w:right w:w="0" w:type="dxa"/>
        </w:tblCellMar>
      </w:tblP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100" w:type="dxa"/>
            <w:vAlign w:val="bottom"/>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Current Expected Credit Losses (“CECL”)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(Franchise-Related)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Current Expected Credit Losses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Gift Card Receivables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Gift card receivables consist primarily of amounts due from third-party vendors. Receivables related to gift card sales are subject to seasonality and usually peak around year-end as a result of the December holiday season.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past due Applebee's franchisee accounts receivable to notes receivable, cash loans to franchisees for working capital purposes, a note receivable in connection with the sale of IHOP company restaurants, and IHOP franchise fee and other notes. The notes are typically collateralized by the franchise. A significant portion of these notes have specific reserves recorded against them amounting to $6.0 million as of March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Leases Receivable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Equipment leases receivable primarily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3.1 years as of March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Leases Receivable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leases receivable primarily relate to IHOP franchise development activity prior to 2003 when IHOP provided the financing for leasing or subleasing the site. Real estate leases at March 31, 2024 comprised of 25 leases with a weighted average remaining life of 10.9 years, and relate to locations that IHOP is leasing from third parties and subleasing to franchisees.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Distributor Receivables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Receivables due from distributors are related to the sale of proprietary products to franchisees through the Company’s network of suppliers and distributors and are included as part of Other receivables.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r>
      <w:tr>
        <w:trPr>
          <w:trHeight w:val="184"/>
        </w:trPr>
        <w:tc>
          <w:tcPr>
            <w:tcW w:w="6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0" w:type="dxa"/>
            <w:vAlign w:val="bottom"/>
            <w:gridSpan w:val="4"/>
          </w:tcPr>
          <w:p>
            <w:pPr>
              <w:jc w:val="right"/>
              <w:ind w:right="13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6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and notes receivable</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6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
        </w:trPr>
        <w:tc>
          <w:tcPr>
            <w:tcW w:w="6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during the three months ended March 31, 2024 were as follows:</w:t>
      </w:r>
    </w:p>
    <w:p>
      <w:pPr>
        <w:spacing w:after="0" w:line="13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2"/>
              </w:rPr>
              <w:t>(In millions)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7"/>
              </w:rPr>
              <w:t>9.5</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Bad debt (credit) 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Write-offs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7"/>
              </w:rPr>
              <w:t>9.4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320" w:hanging="150"/>
        <w:spacing w:after="0"/>
        <w:tabs>
          <w:tab w:leader="none" w:pos="3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distributor receivables, gift card receivables and credit card receivables.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Current Expected Credit Losses (Continued)</w:t>
      </w: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Generally, the notes receivables, leases receivables, equipment receivables, and other receivables (primarily consists of credit card receivables) are not delinquent.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financing receivables at March 31, 2024 is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-127635</wp:posOffset>
            </wp:positionV>
            <wp:extent cx="385762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57625" cy="14541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57625" cy="14541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2022</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57625" cy="14541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2020</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57625"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place its financing receivables in non-accrual status.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short and long-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8"/>
        </w:trPr>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8" w:lineRule="exact"/>
        <w:rPr>
          <w:sz w:val="20"/>
          <w:szCs w:val="20"/>
          <w:color w:val="auto"/>
        </w:rPr>
      </w:pPr>
    </w:p>
    <w:p>
      <w:pPr>
        <w:sectPr>
          <w:pgSz w:w="11900" w:h="16838" w:orient="portrait"/>
          <w:cols w:equalWidth="0" w:num="2">
            <w:col w:w="5560" w:space="720"/>
            <w:col w:w="4960"/>
          </w:cols>
          <w:pgMar w:left="320" w:top="225"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Company currently leases from third parties the real property on which approximately 516 IHOP franchisee-operated restaurants and one Applebee's franchisee-operated restaurant are located; the Company (as lessor) subleases the property to the franchisees that operate those restaurants. The Company also leases property it owns to the franchisees that operate approximately 50 IHOP restaurants and one Applebee's restaurant. The Company leases from a third party the real property on which one Fuzzy's company-operated restaurant is located. The Company also leases office space for its principal corporate office in Pasadena, California and restaurant support centers in Leawood, Kansas, and Irving, Texas. The Company does not have a significant amount of non-real estate leases.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280 of the Company's leases met the sales levels that required variable rent payments to the Company (as lessor), based on a percentage of restaurant sales during the three months ended March 31, 2024. Approximately 45 of the leases met the sales levels that required variable rent payments by the Company (as lessee), based on a percentage of restaurant sales during the three months ended March 31,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(income) cost for the three months ended March 31, 2024 and 2023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15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540" w:type="dxa"/>
            <w:vAlign w:val="bottom"/>
          </w:tcPr>
          <w:p>
            <w:pPr>
              <w:spacing w:after="0"/>
              <w:rPr>
                <w:sz w:val="21"/>
                <w:szCs w:val="21"/>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3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3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540" w:type="dxa"/>
            <w:vAlign w:val="bottom"/>
          </w:tcPr>
          <w:p>
            <w:pPr>
              <w:spacing w:after="0"/>
              <w:rPr>
                <w:sz w:val="22"/>
                <w:szCs w:val="22"/>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8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80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540" w:type="dxa"/>
            <w:vAlign w:val="bottom"/>
          </w:tcPr>
          <w:p>
            <w:pPr>
              <w:spacing w:after="0"/>
              <w:rPr>
                <w:sz w:val="21"/>
                <w:szCs w:val="21"/>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1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9A9A9A"/>
            </w:tcBorders>
          </w:tcPr>
          <w:p>
            <w:pPr>
              <w:spacing w:after="0"/>
              <w:rPr>
                <w:sz w:val="19"/>
                <w:szCs w:val="19"/>
                <w:color w:val="auto"/>
              </w:rPr>
            </w:pPr>
          </w:p>
        </w:tc>
        <w:tc>
          <w:tcPr>
            <w:tcW w:w="3380" w:type="dxa"/>
            <w:vAlign w:val="bottom"/>
            <w:tcBorders>
              <w:bottom w:val="single" w:sz="8" w:color="9A9A9A"/>
            </w:tcBorders>
          </w:tcPr>
          <w:p>
            <w:pPr>
              <w:spacing w:after="0"/>
              <w:rPr>
                <w:sz w:val="19"/>
                <w:szCs w:val="19"/>
                <w:color w:val="auto"/>
              </w:rPr>
            </w:pPr>
          </w:p>
        </w:tc>
        <w:tc>
          <w:tcPr>
            <w:tcW w:w="18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lessee as of March 31, 2024 were as follows:</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w w:val="99"/>
              </w:rPr>
              <w:t>Operating</w:t>
            </w:r>
          </w:p>
        </w:tc>
      </w:tr>
      <w:tr>
        <w:trPr>
          <w:trHeight w:val="214"/>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186"/>
        </w:trPr>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6"/>
                <w:szCs w:val="16"/>
                <w:color w:val="auto"/>
              </w:rPr>
            </w:pPr>
          </w:p>
        </w:tc>
      </w:tr>
      <w:tr>
        <w:trPr>
          <w:trHeight w:val="24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12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2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obligations</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48"/>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2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as of March 31, 2024 was 5.9 years for finance leases and 5.9 years for operating leases. The weighted average discount rate as of March 31, 2024 was 9.2% for finance leases and 5.7% for operating leases.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made the following cash payments for leases:</w:t>
      </w:r>
    </w:p>
    <w:p>
      <w:pPr>
        <w:spacing w:after="0" w:line="160" w:lineRule="exact"/>
        <w:rPr>
          <w:sz w:val="20"/>
          <w:szCs w:val="20"/>
          <w:color w:val="auto"/>
        </w:rPr>
      </w:pPr>
    </w:p>
    <w:tbl>
      <w:tblPr>
        <w:tblLayout w:type="fixed"/>
        <w:tblInd w:w="150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100" w:type="dxa"/>
            <w:vAlign w:val="bottom"/>
          </w:tcPr>
          <w:p>
            <w:pPr>
              <w:spacing w:after="0"/>
              <w:rPr>
                <w:sz w:val="21"/>
                <w:szCs w:val="21"/>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10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months ended March 31, 2024 and 2023 was as follows:</w:t>
      </w:r>
    </w:p>
    <w:p>
      <w:pPr>
        <w:spacing w:after="0" w:line="160" w:lineRule="exact"/>
        <w:rPr>
          <w:sz w:val="20"/>
          <w:szCs w:val="20"/>
          <w:color w:val="auto"/>
        </w:rPr>
      </w:pPr>
    </w:p>
    <w:tbl>
      <w:tblPr>
        <w:tblLayout w:type="fixed"/>
        <w:tblInd w:w="150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Borders>
              <w:bottom w:val="single" w:sz="8" w:color="auto"/>
            </w:tcBorders>
            <w:gridSpan w:val="5"/>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r>
      <w:tr>
        <w:trPr>
          <w:trHeight w:val="24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lease payments</w:t>
            </w:r>
          </w:p>
        </w:tc>
        <w:tc>
          <w:tcPr>
            <w:tcW w:w="80" w:type="dxa"/>
            <w:vAlign w:val="bottom"/>
          </w:tcPr>
          <w:p>
            <w:pPr>
              <w:spacing w:after="0"/>
              <w:rPr>
                <w:sz w:val="21"/>
                <w:szCs w:val="21"/>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lease income</w:t>
            </w:r>
          </w:p>
        </w:tc>
        <w:tc>
          <w:tcPr>
            <w:tcW w:w="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80" w:type="dxa"/>
            <w:vAlign w:val="bottom"/>
          </w:tcPr>
          <w:p>
            <w:pPr>
              <w:spacing w:after="0"/>
              <w:rPr>
                <w:sz w:val="21"/>
                <w:szCs w:val="21"/>
                <w:color w:val="auto"/>
              </w:rPr>
            </w:pP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operating leases as of March 31, 2024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5360" w:type="dxa"/>
            <w:vAlign w:val="bottom"/>
            <w:shd w:val="clear" w:color="auto" w:fill="CCEEFF"/>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3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3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36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536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jc w:val="right"/>
              <w:ind w:right="367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9A9A9A"/>
            </w:tcBorders>
          </w:tcPr>
          <w:p>
            <w:pPr>
              <w:spacing w:after="0"/>
              <w:rPr>
                <w:sz w:val="19"/>
                <w:szCs w:val="19"/>
                <w:color w:val="auto"/>
              </w:rPr>
            </w:pPr>
          </w:p>
        </w:tc>
        <w:tc>
          <w:tcPr>
            <w:tcW w:w="3820" w:type="dxa"/>
            <w:vAlign w:val="bottom"/>
            <w:tcBorders>
              <w:bottom w:val="single" w:sz="8" w:color="9A9A9A"/>
            </w:tcBorders>
          </w:tcPr>
          <w:p>
            <w:pPr>
              <w:spacing w:after="0"/>
              <w:rPr>
                <w:sz w:val="19"/>
                <w:szCs w:val="19"/>
                <w:color w:val="auto"/>
              </w:rPr>
            </w:pPr>
          </w:p>
        </w:tc>
        <w:tc>
          <w:tcPr>
            <w:tcW w:w="53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real estate leases for the three months ended March 31, 2024 and 2023 was as follows:</w:t>
      </w:r>
    </w:p>
    <w:p>
      <w:pPr>
        <w:spacing w:after="0" w:line="160" w:lineRule="exact"/>
        <w:rPr>
          <w:sz w:val="20"/>
          <w:szCs w:val="20"/>
          <w:color w:val="auto"/>
        </w:rPr>
      </w:pPr>
    </w:p>
    <w:tbl>
      <w:tblPr>
        <w:tblLayout w:type="fixed"/>
        <w:tblInd w:w="150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Borders>
              <w:bottom w:val="single" w:sz="8" w:color="auto"/>
            </w:tcBorders>
          </w:tcPr>
          <w:p>
            <w:pPr>
              <w:spacing w:after="0"/>
              <w:rPr>
                <w:sz w:val="18"/>
                <w:szCs w:val="18"/>
                <w:color w:val="auto"/>
              </w:rPr>
            </w:pPr>
          </w:p>
        </w:tc>
      </w:tr>
      <w:tr>
        <w:trPr>
          <w:trHeight w:val="211"/>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1"/>
                <w:szCs w:val="21"/>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profit</w:t>
            </w:r>
          </w:p>
        </w:tc>
        <w:tc>
          <w:tcPr>
            <w:tcW w:w="100" w:type="dxa"/>
            <w:vAlign w:val="bottom"/>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real estate lease income</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real estate leases as of March 31, 2024 were as follows:</w:t>
      </w:r>
    </w:p>
    <w:p>
      <w:pPr>
        <w:spacing w:after="0" w:line="151"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1240"/>
          </w:cols>
          <w:pgMar w:left="320" w:top="225" w:right="339" w:bottom="1440" w:gutter="0" w:footer="0" w:header="0"/>
        </w:sectPr>
      </w:pP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2024 (remaining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-127635</wp:posOffset>
            </wp:positionV>
            <wp:extent cx="588073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0735" cy="14541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88073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80735"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88073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0735"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88073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80735" cy="154305"/>
                    </a:xfrm>
                    <a:prstGeom prst="rect">
                      <a:avLst/>
                    </a:prstGeom>
                    <a:noFill/>
                  </pic:spPr>
                </pic:pic>
              </a:graphicData>
            </a:graphic>
          </wp:anchor>
        </w:drawing>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minimum rents receivable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Less: unearned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88073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80735" cy="154305"/>
                    </a:xfrm>
                    <a:prstGeom prst="rect">
                      <a:avLst/>
                    </a:prstGeom>
                    <a:noFill/>
                  </pic:spPr>
                </pic:pic>
              </a:graphicData>
            </a:graphic>
          </wp:anchor>
        </w:drawing>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real estate leases receivable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88073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80735" cy="17145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real estate leases receivable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long-term debt consisted of the following components: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1600" w:type="dxa"/>
        <w:tblCellMar>
          <w:top w:w="0" w:type="dxa"/>
          <w:left w:w="0" w:type="dxa"/>
          <w:bottom w:w="0" w:type="dxa"/>
          <w:right w:w="0" w:type="dxa"/>
        </w:tblCellMar>
      </w:tblPr>
      <w:tr>
        <w:trPr>
          <w:trHeight w:val="229"/>
        </w:trPr>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6"/>
          <w:szCs w:val="16"/>
          <w:b w:val="1"/>
          <w:bCs w:val="1"/>
          <w:color w:val="auto"/>
        </w:rPr>
        <w:t>March 31, 2024</w:t>
      </w:r>
      <w:r>
        <w:rPr>
          <w:sz w:val="20"/>
          <w:szCs w:val="20"/>
          <w:color w:val="auto"/>
        </w:rPr>
        <w:tab/>
      </w: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21590</wp:posOffset>
            </wp:positionV>
            <wp:extent cx="2237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37740" cy="8890"/>
                    </a:xfrm>
                    <a:prstGeom prst="rect">
                      <a:avLst/>
                    </a:prstGeom>
                    <a:noFill/>
                  </pic:spPr>
                </pic:pic>
              </a:graphicData>
            </a:graphic>
          </wp:anchor>
        </w:drawing>
      </w:r>
    </w:p>
    <w:p>
      <w:pPr>
        <w:spacing w:after="0" w:line="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8" w:lineRule="exact"/>
        <w:rPr>
          <w:sz w:val="20"/>
          <w:szCs w:val="20"/>
          <w:color w:val="auto"/>
        </w:rPr>
      </w:pPr>
    </w:p>
    <w:p>
      <w:pPr>
        <w:sectPr>
          <w:pgSz w:w="11900" w:h="16838" w:orient="portrait"/>
          <w:cols w:equalWidth="0" w:num="2">
            <w:col w:w="7280" w:space="720"/>
            <w:col w:w="3240"/>
          </w:cols>
          <w:pgMar w:left="320" w:top="22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Series 2019-1 4.723% Fixed Rate Senior Secured Notes, Class A-2-II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-127635</wp:posOffset>
            </wp:positionV>
            <wp:extent cx="479171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91710" cy="146050"/>
                    </a:xfrm>
                    <a:prstGeom prst="rect">
                      <a:avLst/>
                    </a:prstGeom>
                    <a:noFill/>
                  </pic:spPr>
                </pic:pic>
              </a:graphicData>
            </a:graphic>
          </wp:anchor>
        </w:drawing>
      </w:r>
    </w:p>
    <w:p>
      <w:pPr>
        <w:spacing w:after="0" w:line="7" w:lineRule="exact"/>
        <w:rPr>
          <w:sz w:val="20"/>
          <w:szCs w:val="20"/>
          <w:color w:val="auto"/>
        </w:rPr>
      </w:pPr>
    </w:p>
    <w:p>
      <w:pPr>
        <w:ind w:left="220" w:hanging="161"/>
        <w:spacing w:after="0" w:line="234" w:lineRule="auto"/>
        <w:rPr>
          <w:sz w:val="20"/>
          <w:szCs w:val="20"/>
          <w:color w:val="auto"/>
        </w:rPr>
      </w:pPr>
      <w:r>
        <w:rPr>
          <w:rFonts w:ascii="Times New Roman" w:cs="Times New Roman" w:eastAsia="Times New Roman" w:hAnsi="Times New Roman"/>
          <w:sz w:val="18"/>
          <w:szCs w:val="18"/>
          <w:color w:val="auto"/>
        </w:rPr>
        <w:t>Series 2022-1 Variable Funding Senior Secured Notes, Class A-1, variable interest rate of 7.94% and 7.95% at March 31, 2024 and December 31, 2023, respectively</w:t>
      </w:r>
    </w:p>
    <w:p>
      <w:pPr>
        <w:spacing w:after="0" w:line="10" w:lineRule="exact"/>
        <w:rPr>
          <w:sz w:val="20"/>
          <w:szCs w:val="20"/>
          <w:color w:val="auto"/>
        </w:rPr>
      </w:pPr>
    </w:p>
    <w:p>
      <w:pPr>
        <w:ind w:left="60" w:right="2420"/>
        <w:spacing w:after="0" w:line="273" w:lineRule="auto"/>
        <w:rPr>
          <w:sz w:val="20"/>
          <w:szCs w:val="20"/>
          <w:color w:val="auto"/>
        </w:rPr>
      </w:pPr>
      <w:r>
        <w:rPr>
          <w:rFonts w:ascii="Times New Roman" w:cs="Times New Roman" w:eastAsia="Times New Roman" w:hAnsi="Times New Roman"/>
          <w:sz w:val="18"/>
          <w:szCs w:val="18"/>
          <w:color w:val="auto"/>
        </w:rPr>
        <w:t>Series 2023-1 7.824% Fixed Rate Senior Secured Notes, Class A-2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-295275</wp:posOffset>
            </wp:positionV>
            <wp:extent cx="479171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91710" cy="14605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-3810</wp:posOffset>
            </wp:positionV>
            <wp:extent cx="479171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91710" cy="15430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Long-term debt, net of debt issuance costs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479171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91710" cy="171450"/>
                    </a:xfrm>
                    <a:prstGeom prst="rect">
                      <a:avLst/>
                    </a:prstGeom>
                    <a:noFill/>
                  </pic:spPr>
                </pic:pic>
              </a:graphicData>
            </a:graphic>
          </wp:anchor>
        </w:drawing>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Long-term debt</w:t>
      </w:r>
    </w:p>
    <w:p>
      <w:pPr>
        <w:spacing w:after="0" w:line="20" w:lineRule="exact"/>
        <w:rPr>
          <w:sz w:val="20"/>
          <w:szCs w:val="20"/>
          <w:color w:val="auto"/>
        </w:rPr>
      </w:pPr>
      <w:r>
        <w:rPr>
          <w:sz w:val="20"/>
          <w:szCs w:val="20"/>
          <w:color w:val="auto"/>
        </w:rPr>
        <w:br w:type="column"/>
      </w:r>
    </w:p>
    <w:p>
      <w:pPr>
        <w:ind w:left="1220" w:hanging="1219"/>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594.0</w:t>
      </w:r>
    </w:p>
    <w:p>
      <w:pPr>
        <w:spacing w:after="0" w:line="211"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27"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w:t>
      </w:r>
    </w:p>
    <w:p>
      <w:pPr>
        <w:spacing w:after="0" w:line="22"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-687705</wp:posOffset>
            </wp:positionV>
            <wp:extent cx="108902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8902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-276225</wp:posOffset>
            </wp:positionV>
            <wp:extent cx="108902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902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14605</wp:posOffset>
            </wp:positionV>
            <wp:extent cx="108902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9025" cy="154305"/>
                    </a:xfrm>
                    <a:prstGeom prst="rect">
                      <a:avLst/>
                    </a:prstGeom>
                    <a:noFill/>
                  </pic:spPr>
                </pic:pic>
              </a:graphicData>
            </a:graphic>
          </wp:anchor>
        </w:drawing>
      </w:r>
    </w:p>
    <w:p>
      <w:pPr>
        <w:spacing w:after="0" w:line="1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1,185.0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08902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89025" cy="171450"/>
                    </a:xfrm>
                    <a:prstGeom prst="rect">
                      <a:avLst/>
                    </a:prstGeom>
                    <a:noFill/>
                  </pic:spPr>
                </pic:pic>
              </a:graphicData>
            </a:graphic>
          </wp:anchor>
        </w:drawing>
      </w:r>
    </w:p>
    <w:p>
      <w:pPr>
        <w:spacing w:after="0" w:line="11" w:lineRule="exact"/>
        <w:rPr>
          <w:sz w:val="20"/>
          <w:szCs w:val="20"/>
          <w:color w:val="auto"/>
        </w:rPr>
      </w:pPr>
    </w:p>
    <w:p>
      <w:pPr>
        <w:ind w:left="1080" w:hanging="1079"/>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10890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20" w:hanging="1210"/>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594.0</w:t>
      </w:r>
    </w:p>
    <w:p>
      <w:pPr>
        <w:spacing w:after="0" w:line="211"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27"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w:t>
      </w:r>
    </w:p>
    <w:p>
      <w:pPr>
        <w:spacing w:after="0" w:line="22"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-680720</wp:posOffset>
            </wp:positionV>
            <wp:extent cx="108902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902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-269240</wp:posOffset>
            </wp:positionV>
            <wp:extent cx="108902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902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21590</wp:posOffset>
            </wp:positionV>
            <wp:extent cx="108902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9025" cy="154305"/>
                    </a:xfrm>
                    <a:prstGeom prst="rect">
                      <a:avLst/>
                    </a:prstGeom>
                    <a:noFill/>
                  </pic:spPr>
                </pic:pic>
              </a:graphicData>
            </a:graphic>
          </wp:anchor>
        </w:drawing>
      </w:r>
    </w:p>
    <w:p>
      <w:pPr>
        <w:spacing w:after="0" w:line="2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1,184.5</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08902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9025" cy="171450"/>
                    </a:xfrm>
                    <a:prstGeom prst="rect">
                      <a:avLst/>
                    </a:prstGeom>
                    <a:noFill/>
                  </pic:spPr>
                </pic:pic>
              </a:graphicData>
            </a:graphic>
          </wp:anchor>
        </w:drawing>
      </w:r>
    </w:p>
    <w:p>
      <w:pPr>
        <w:spacing w:after="0" w:line="11" w:lineRule="exact"/>
        <w:rPr>
          <w:sz w:val="20"/>
          <w:szCs w:val="20"/>
          <w:color w:val="auto"/>
        </w:rPr>
      </w:pPr>
    </w:p>
    <w:p>
      <w:pPr>
        <w:ind w:left="1100" w:hanging="1090"/>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10890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3">
            <w:col w:w="7320" w:space="380"/>
            <w:col w:w="1680" w:space="120"/>
            <w:col w:w="1740"/>
          </w:cols>
          <w:pgMar w:left="320" w:top="225" w:right="339" w:bottom="1440" w:gutter="0" w:footer="0" w:header="0"/>
          <w:type w:val="continuous"/>
        </w:sectPr>
      </w:pP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(“2019 Class A-2-I Notes”) in an initial aggregate principal amount of $700 million and the Series 2019-1 4.723% Fixed Rate Senior Secured Notes, Class A-2-II in an initial aggregate principal amount of $600 million (the “2019 Class A-2-II Notes” and, together with the 2019 Class A-2-I Notes, the “2019 Class A-2 Notes”). The 2019 Class A-2 Notes were issued pursuant to an offering exempt from registration under the Securities Act of 1933, as amended.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12, 2022, the Co-Issuers established a new revolving financing facility, the 2022-1 Variable Funding Senior Secured Notes, Class A-1 (the “Credit Facility”), that allows for drawings up to $325 million of variable funding notes on a revolving basis and the issuance of letters of credit. In connection with this transaction, the Co-Issuers terminated their $225 million revolving financing facility, the 2019-1 Variable Funding Senior Secured Notes, Class A-1.</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17, 2023, the Co-Issuers completed a refinancing transaction and issued $500 million of Series 2023-1 7.824% Fixed Rate Senior Secured Notes, Class A-2 (the “2023 Class A-2 Notes”). The 2023 Class A-2 Notes were issued pursuant to</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Long-Term Debt (Continued)</w:t>
      </w: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offering exempt from registration under the Securities Act of 1933, as amended. The Company used the net proceeds of the 2023 Class A-2 Notes to repay the entire outstanding balance of approximately $585.1 million of the 2019 Class A-2-I Notes and to pay fees and expenses incurred in connection with the issuance of the 2023 Class A-2 Notes. The remaining 2019 Class A-2-II Notes and the Credit Facility, together with the 2023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were issued under a Base Indenture, dated as of September 30, 2014, amended and restated as of June 5, 2019 and further amended and restated as of April 17, 2023 (the “Base Indenture”). In addition, the 2019 Class A-2-II Notes were issued under the related Series 2019-1 Supplement to the Base Indenture, dated June 5, 2019 (the “Series 2019-1 Supplement”), among the Co-Issuers and Citibank, N.A., as the trustee (in such capacity, the “Trustee”) and securities intermediary, the Credit Facility was issued under the related Series 2022-1 Supplement to the Base Indenture, dated August 12, 2022 (“Series 2022-1 Supplement”), among the Co-Issuers and Citibank, N.A., as Trustee and securities intermediary, and the 2023 Class A-2 Notes were issued under the related Series 2023-1 Supplement to the Base Indenture, dated April 17, 2023 (the “Series 2023-1 Supplement”), among the Co-Issuers and Citibank, N.A., as Trustee and securities intermediary. The Base Indenture, Series 2019-1 Supplement, Series 2022-1 Supplement, and Series 2023-1 Supplement (collectively, the “Indenture”) will allow the Co-Issuers to issue additional series of notes in the future subject to certain conditions set forth therein.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2019 Class A-2-I Notes were voluntarily repaid in full on April 17, 2023, while the 2019 Class A-2-II Notes remain outstanding as of March 31, 2024. For a description of the 2019 Class A-2-I Notes, refer to Note 8 of the Notes to Consolidated Financial Statements included in the Company’s Annual Report on Form 10-K for the year ended December 31, 2022. The legal final maturity of the 2019 Class A-2-II Notes is June 2049, but rapid amortization will apply if the 2019 Class A-2-II Notes are not repaid by June 2026 (the “2019 Class A-2-II Anticipated Repayment Date”). If the Co-Issuers have not repaid or refinanced the 2019 Class A-2-II Notes by the 2019 Class A-2-II Anticipated Repayment Date, then additional interest will accrue on the 2019 Class A-2-II Notes, as applicable, at the greater of: (A) 5.0% and (B) the amount, if any, by which the sum of the following exceeds the applicable 2019 Class A-2-II Note interest rate: (x) the yield to maturity (adjusted to a quarterly bond-equivalent basis) on the 2019 Class A-2-II Anticipated Repayment Date of the United States Treasury Security having a term closest to 10 years plus (y) 7.64% for the 2019 Class A-2-II Notes.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2019 Class A-2-II Notes are outstanding, payment of principal and interest is required to be made on the 2019 Class A-2-II Notes on a quarterly basis. The quarterly principal payment of $1.5 million on the 2019 Class A-2-II Notes may be suspended when the leverage ratio for the Company and its subsidiaries is less than or equal to 5.25x. Exceeding the leverage ratio of 5.25x does not violate any covenant related to the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Company's leverage ratio was approximately 4.3x. As a result, quarterly principal payments on the 2019 Class A-2-II Notes of $1.5 million currently are not required.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voluntarily repay the 2019 Class A-2-II Notes at any time without any associated make-whole premium.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Class A-1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Term SOFR for a one-month tenor in effect at such time plus 0.50% plus (b) 2.00%.</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legal final maturity of the Credit Facility is June 2052, but rapid amortization will apply if there are outstanding amounts under the Credit Facility after June 2027 (the “Class A-1 Renewal Date”). The Class A-1 Renewal Date may be extended at the Co-Issuers’ election for up to two successive one-year periods if certain conditions are met. If the Co-Issuers have not repaid or refinanced the Credit Facility by the Class A-1 Renewal Date (after giving effect to any extensions), then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Long-Term Debt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will accrue on the Credit Facility at a rate equal to 5.00% in addition to the regular interest rate applicable to the Credit Facility.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the outstanding balance of the Credit Facility was $100 million. The amount of $3.4 million was pledged against the Credit Facility for outstanding letters of credit, leaving $221.6 million of the Credit Facility available for borrowing at March 31, 2024.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for the period outstanding during the three months ended March 31, 2024 was 7.95%.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Class A-2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final maturity of the 2023 Class A-2 Notes is in March 2053, but it is anticipated that, unless repaid earlier to the extent permitted under the Indenture, the 2023 Class A-2 Notes will be repaid in June 2029 (the “2023 Class A-2 Anticipated Repayment Date”). If the Co-Issuers have not repaid or refinanced the 2023 Class A-2 Notes by the 2023 Class A-2 Anticipated Repayment Date, then additional interest will accrue on the 2023 Class A-2 Notes, as applicable, at the greater of: (A) 5.0% and (B) the amount, if any, by which the sum of the following exceeds the Series 2023-1 Class A-2 Note interest rate: (x) the yield to maturity (adjusted to a quarterly bond-equivalent basis) on the 2023 Class A-2 Anticipated Repayment Date of the United States Treasury Security having a term closest to 10 years plus (y) 9.24% for the 2023 Class A-2 Notes.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2023 Class A-2 Notes are outstanding, payment of principal and interest is required to be made on the 2023 Class A-2 Notes on a quarterly basis. The quarterly principal payment of $1.25 million on the 2023 Class A-2 Notes may be suspended when the leverage ratio for the Company and its subsidiaries is less than or equal to 5.25x.</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 Company's leverage ratio was approximately 4.3x. As a result, quarterly principal payments on the 2023 Class A-2 Notes of $1.25 million currently are not required.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voluntarily repay the 2023 Class A-2 Notes at any time; however, if the 2023 Class A-2 Notes are repaid prior to certain dates, the Company would be required to pay make-whole premiums. As of March 31, 2024, the make-whole premium associated with voluntary prepayment of the 2023 Class A-2 Notes was approximately $35.5 million.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 these derivatives to be immaterial as of March 31, 2024, based on the probability-weighted discounted cash flows associated with either event.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our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Long-Term Debt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within certain time frames, certain bankruptcy events, breaches of specified representations and warranties and certain judgments.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(each as defined in the Indenture)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84"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DSCR for the reporting period ended March 31, 2024 was approximately 3.5x.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Class A-2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costs of approximately $8.0 million in connection with the issuance of the 2023 Class A-2 Notes. These debt issuance costs are being amortized using the effective interest method over the estimated life of the 2023 Class A-2 Notes. Amortization costs of $0.3 million were included in interest expense for the three months ended March 31, 2024. As of March 31, 2024, unamortized debt issuance costs of $7.0 million are reported as a direct reduction of the 2023 Series Class A-2 Notes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Class A-1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Company incurred costs of approximately $6.3 million in connection with the issuance of the Credit Facility. These debt issuance costs are being amortized over the estimated life of the Credit Facility. Amortization costs of $0.3 million and $0.3 million of these costs were included in interest expense for the three months ended March 31, 2024 and 2023, respectively. As of March 31, 2024, unamortized debt issuance costs of $4.4 million related to the Credit Facility are classified as other non-current assets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Class A-2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costs of $0.2 million and $0.9 million were included in interest expense for the three months ended March 31, 2024 and 2023, respectively. The Company repaid the entire outstanding balance of approximately $585.1 million of its 2019 Class A-2-I Notes during the second quarter of fiscal year 2023 and wrote off the related remaining issuance costs of $1.7 million. As of March 31, 2024, unamortized debt issuance costs of $2.0 million are reported as a direct reduction of the 2019 Class A-2-II Notes in the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Extinguishment of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purchased $67.9 million of its 2019 Class A-2-I Notes under par and recognized a $1.7 million gain on extinguishment of debt during the three months ended March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Long-term Debt</w:t>
      </w:r>
    </w:p>
    <w:p>
      <w:pPr>
        <w:spacing w:after="0" w:line="121"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2019 Class A-2-II Notes is in June 2049, but it is anticipated that, unless repaid earlier, the 2019 Class A-2-II Notes will be repaid in June 2026.</w:t>
      </w:r>
    </w:p>
    <w:p>
      <w:pPr>
        <w:spacing w:after="0" w:line="22"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4"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Debt (Continued)</w:t>
      </w:r>
    </w:p>
    <w:p>
      <w:pPr>
        <w:spacing w:after="0" w:line="200" w:lineRule="exact"/>
        <w:rPr>
          <w:rFonts w:ascii="Times New Roman" w:cs="Times New Roman" w:eastAsia="Times New Roman" w:hAnsi="Times New Roman"/>
          <w:sz w:val="16"/>
          <w:szCs w:val="16"/>
          <w:b w:val="1"/>
          <w:bCs w:val="1"/>
          <w:color w:val="auto"/>
        </w:rPr>
      </w:pPr>
    </w:p>
    <w:p>
      <w:pPr>
        <w:spacing w:after="0" w:line="234" w:lineRule="exact"/>
        <w:rPr>
          <w:rFonts w:ascii="Times New Roman" w:cs="Times New Roman" w:eastAsia="Times New Roman" w:hAnsi="Times New Roman"/>
          <w:sz w:val="16"/>
          <w:szCs w:val="16"/>
          <w:b w:val="1"/>
          <w:bCs w:val="1"/>
          <w:color w:val="auto"/>
        </w:rPr>
      </w:pPr>
    </w:p>
    <w:p>
      <w:pPr>
        <w:ind w:left="660" w:hanging="328"/>
        <w:spacing w:after="0" w:line="261"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ind w:left="660" w:right="20" w:hanging="328"/>
        <w:spacing w:after="0" w:line="250"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2019 Class A-2-II Notes totaling $1.5 million ($6.0 million per annum) are required if the Company's leverage ratio is greater than 5.25x.</w:t>
      </w:r>
    </w:p>
    <w:p>
      <w:pPr>
        <w:ind w:left="660" w:hanging="328"/>
        <w:spacing w:after="0" w:line="260"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2023 Class A-2 Notes totaling $1.25 million ($5.0 million per annum) are required if the Company's leverage ratio is greater than 5.25x.</w:t>
      </w:r>
    </w:p>
    <w:p>
      <w:pPr>
        <w:spacing w:after="0" w:line="6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per share for the three and three months ended March 31, 2024 and 2023 were as follows:</w:t>
      </w:r>
    </w:p>
    <w:p>
      <w:pPr>
        <w:spacing w:after="0" w:line="160" w:lineRule="exact"/>
        <w:rPr>
          <w:sz w:val="20"/>
          <w:szCs w:val="20"/>
          <w:color w:val="auto"/>
        </w:rPr>
      </w:pPr>
    </w:p>
    <w:tbl>
      <w:tblPr>
        <w:tblLayout w:type="fixed"/>
        <w:tblInd w:w="144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Borders>
              <w:bottom w:val="single" w:sz="8" w:color="auto"/>
            </w:tcBorders>
            <w:gridSpan w:val="5"/>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538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00" w:type="dxa"/>
            <w:vAlign w:val="bottom"/>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00" w:type="dxa"/>
            <w:vAlign w:val="bottom"/>
          </w:tcPr>
          <w:p>
            <w:pPr>
              <w:spacing w:after="0"/>
              <w:rPr>
                <w:sz w:val="20"/>
                <w:szCs w:val="20"/>
                <w:color w:val="auto"/>
              </w:rPr>
            </w:pP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paid dividends of $7.8 million and $16.0 million,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26, 2024, the Board of Directors declared a first quarter 2024 cash dividend of $0.51 per share of common stock, paid on April 5, 2024 to the stockholders of record as of the close of business on March 20, 2024.</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2, 2022, the Board of Directors declared a fourth quarter 2022 cash dividend of $0.51 per share of common stock, paid on January 6, 2023 to the stockholders of record as of the close of business on December 20, 2022.</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21, 2023, the Board of Directors declared a first quarter 2023 cash dividend of $0.51 per share of common stock, paid on March 31, 2023 to the stockholders of record as of the close of business on March 20,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2022, the Company’s Board of Directors approved a stock repurchase program, effective April 1, 2022, authorizing the Company to repurchase up to $250 million of the Company’s common stock (the “2022 Repurchase Program”) on an opportunistic basis from time to time in the open market or in privately negotiated transactions based on business, market, applicable legal requirements and other considerations. The 2022 Repurchase Program, as approved by the Board of Directors, does not require the repurchase of a specific number of shares and can be terminated at any time.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128,479 shares of common stock at a cost of $6.0 million. Cumulatively, the Company repurchased 1,724,257 shares at a cost of $110.7 million. As of March 31, 2024, a remaining amount of $139.3 million in the value of shares may be repurchased under the 2022 Repurchase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three months ended March 31, 2024, the Company re-issued 277,117 shares of treasury stock at a total FIFO cost of $13.4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27.3% for the three months ended March 31, 2024, as compared to 24.2% for the three months ended March 31, 2023. The effective tax rate for the three months ended March 31, 2024 was higher than the rate of the prior comparable period primarily due to a lower tax deduction related to stock-based compensation.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gross unrecognized tax benefit as of March 31, 2024 and December 31, 2023 was $3.9 million and $3.5 million, respectively, excluding interest, penalties and related income tax benefits. The Company estimates the unrecognized tax benefit as of March 31, 2024 may decrease over the upcoming 12 months by $0.2 million related to settlements with taxing authorities and statute of limitations expirations. For the remaining liability, due to the uncertainties related to these tax matters, the Company is unable to make a reasonable estimate as to when cash settlement with a taxing authority will occur.</w:t>
      </w:r>
    </w:p>
    <w:p>
      <w:pPr>
        <w:sectPr>
          <w:pgSz w:w="11900" w:h="16838" w:orient="portrait"/>
          <w:cols w:equalWidth="0" w:num="1">
            <w:col w:w="11240"/>
          </w:cols>
          <w:pgMar w:left="320" w:top="22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Income Taxes (Continued)</w:t>
      </w:r>
    </w:p>
    <w:p>
      <w:pPr>
        <w:spacing w:after="0" w:line="200" w:lineRule="exact"/>
        <w:rPr>
          <w:sz w:val="20"/>
          <w:szCs w:val="20"/>
          <w:color w:val="auto"/>
        </w:rPr>
      </w:pPr>
    </w:p>
    <w:p>
      <w:pPr>
        <w:spacing w:after="0" w:line="22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of March 31, 2024, the accrued interest was $0.9 million and accrued penalties were less than $0.1 million, excluding any related income tax benefits. As of December 31, 2023, the accrued interest was $0.9 million and accrued penalties were less than $0.1 million, excluding any related income tax benefits. The Company recognizes interest accrued related to unrecognized tax benefits and penalties as a component of the income tax provision recognized in the Consolidated Statements of Comprehensive Income.</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2020 and state or non-United States tax examinations by tax authorities for years before 2019. The Company believes that adequate reserves have been recorded relating to all matters contained in the tax periods open to examination.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included in general and administrative expenses in the Consolidated Statements of Comprehensive Income:</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Borders>
              <w:bottom w:val="single" w:sz="8" w:color="auto"/>
            </w:tcBorders>
          </w:tcPr>
          <w:p>
            <w:pPr>
              <w:spacing w:after="0"/>
              <w:rPr>
                <w:sz w:val="18"/>
                <w:szCs w:val="18"/>
                <w:color w:val="auto"/>
              </w:rPr>
            </w:pPr>
          </w:p>
        </w:tc>
      </w:tr>
      <w:tr>
        <w:trPr>
          <w:trHeight w:val="211"/>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r>
      <w:tr>
        <w:trPr>
          <w:trHeight w:val="186"/>
        </w:trPr>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gridSpan w:val="3"/>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r>
      <w:tr>
        <w:trPr>
          <w:trHeight w:val="242"/>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100" w:type="dxa"/>
            <w:vAlign w:val="bottom"/>
          </w:tcPr>
          <w:p>
            <w:pPr>
              <w:spacing w:after="0"/>
              <w:rPr>
                <w:sz w:val="21"/>
                <w:szCs w:val="21"/>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of $27.6 million related to restricted stock and restricted stock units and $4.7 million related to stock options is expected to be recognized over a weighted average period of 1.7 years for restricted stock and restricted stock units and 1.8 years for stock options.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model for stock options granted during the three months ended March 31, 2024: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80" w:type="dxa"/>
            <w:vAlign w:val="bottom"/>
          </w:tcPr>
          <w:p>
            <w:pPr>
              <w:spacing w:after="0"/>
              <w:rPr>
                <w:sz w:val="19"/>
                <w:szCs w:val="19"/>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volatility</w:t>
            </w:r>
          </w:p>
        </w:tc>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080" w:type="dxa"/>
            <w:vAlign w:val="bottom"/>
          </w:tcPr>
          <w:p>
            <w:pPr>
              <w:spacing w:after="0"/>
              <w:rPr>
                <w:sz w:val="19"/>
                <w:szCs w:val="19"/>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80" w:type="dxa"/>
            <w:vAlign w:val="bottom"/>
          </w:tcPr>
          <w:p>
            <w:pPr>
              <w:spacing w:after="0"/>
              <w:rPr>
                <w:sz w:val="19"/>
                <w:szCs w:val="19"/>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80" w:type="dxa"/>
            <w:vAlign w:val="bottom"/>
          </w:tcPr>
          <w:p>
            <w:pPr>
              <w:spacing w:after="0"/>
              <w:rPr>
                <w:sz w:val="19"/>
                <w:szCs w:val="19"/>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4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80" w:type="dxa"/>
            <w:vAlign w:val="bottom"/>
          </w:tcPr>
          <w:p>
            <w:pPr>
              <w:spacing w:after="0"/>
              <w:rPr>
                <w:sz w:val="19"/>
                <w:szCs w:val="19"/>
                <w:color w:val="auto"/>
              </w:rPr>
            </w:pPr>
          </w:p>
        </w:tc>
      </w:tr>
      <w:tr>
        <w:trPr>
          <w:trHeight w:val="905"/>
        </w:trPr>
        <w:tc>
          <w:tcPr>
            <w:tcW w:w="3840" w:type="dxa"/>
            <w:vAlign w:val="bottom"/>
          </w:tcPr>
          <w:p>
            <w:pPr>
              <w:spacing w:after="0"/>
              <w:rPr>
                <w:sz w:val="24"/>
                <w:szCs w:val="24"/>
                <w:color w:val="auto"/>
              </w:rPr>
            </w:pPr>
          </w:p>
        </w:tc>
        <w:tc>
          <w:tcPr>
            <w:tcW w:w="478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3"/>
        </w:trPr>
        <w:tc>
          <w:tcPr>
            <w:tcW w:w="3840" w:type="dxa"/>
            <w:vAlign w:val="bottom"/>
            <w:tcBorders>
              <w:bottom w:val="single" w:sz="8" w:color="9A9A9A"/>
            </w:tcBorders>
          </w:tcPr>
          <w:p>
            <w:pPr>
              <w:spacing w:after="0"/>
              <w:rPr>
                <w:sz w:val="19"/>
                <w:szCs w:val="19"/>
                <w:color w:val="auto"/>
              </w:rPr>
            </w:pPr>
          </w:p>
        </w:tc>
        <w:tc>
          <w:tcPr>
            <w:tcW w:w="47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4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balances at March 31, 2024, and activity for the three months ended March 31, 2024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Value (in</w:t>
            </w:r>
          </w:p>
        </w:tc>
        <w:tc>
          <w:tcPr>
            <w:tcW w:w="0" w:type="dxa"/>
            <w:vAlign w:val="bottom"/>
          </w:tcPr>
          <w:p>
            <w:pPr>
              <w:spacing w:after="0"/>
              <w:rPr>
                <w:sz w:val="1"/>
                <w:szCs w:val="1"/>
                <w:color w:val="auto"/>
              </w:rPr>
            </w:pPr>
          </w:p>
        </w:tc>
      </w:tr>
      <w:tr>
        <w:trPr>
          <w:trHeight w:val="214"/>
        </w:trPr>
        <w:tc>
          <w:tcPr>
            <w:tcW w:w="49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Under Option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0" w:type="dxa"/>
            <w:vAlign w:val="bottom"/>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462,506</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00" w:type="dxa"/>
            <w:vAlign w:val="bottom"/>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552,055</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0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March 31, 2024</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377,446</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77.78</w:t>
            </w:r>
          </w:p>
        </w:tc>
        <w:tc>
          <w:tcPr>
            <w:tcW w:w="1420" w:type="dxa"/>
            <w:vAlign w:val="bottom"/>
            <w:gridSpan w:val="2"/>
          </w:tcPr>
          <w:p>
            <w:pPr>
              <w:jc w:val="center"/>
              <w:ind w:left="10"/>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2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the Company’s common stock on the last trading day of the first quarter of 2024 and the exercise price, multiplied by the number of in-the-money options) that would have been received by the option holders had all option holders exercised their options on March 31, 2024. The aggregate intrinsic value will change based on the fair market value of the Company’s common stock and the number of in-the-money options.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balances as of March 31, 2024, and activity related to restricted stock and restricted stock units for the three months ended March 31, 2024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Stock-Settled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8"/>
        </w:trPr>
        <w:tc>
          <w:tcPr>
            <w:tcW w:w="5340" w:type="dxa"/>
            <w:vAlign w:val="bottom"/>
            <w:tcBorders>
              <w:bottom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338,622</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(130,347)</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(16,789)</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00" w:type="dxa"/>
            <w:vAlign w:val="bottom"/>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477,475</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71,159</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granted cash long-term incentive awards (“LTIP awards”) to certain employees. Annual LTIP awards vest over a three-year period and are determined using multipliers from 0% to 200% of the target award based on the total stockholder return of Dine Brands Global common stock compared to the total stockholder returns of a peer group of companies. The awards are considered stock-based compensation and are classified as liabilities measured at fair value as of the respective period end. For the three months ended March 31, 2024 and 2023, an expense of $0.6 million and $0.7 million, respectively, was included in total stock-based compensation expense related to LTIP awards. At March 31, 2024 and December 31, 2023, liabilities of $1.4 million and $0.7 million, respectively, related to LTIP awards were included as part of accrued employee compensation and benefits in the Consolidated Balance Sheets.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160" w:lineRule="exact"/>
        <w:rPr>
          <w:sz w:val="20"/>
          <w:szCs w:val="20"/>
          <w:color w:val="auto"/>
        </w:rPr>
      </w:pPr>
    </w:p>
    <w:tbl>
      <w:tblPr>
        <w:tblLayout w:type="fixed"/>
        <w:tblInd w:w="60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79"/>
        </w:trPr>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5"/>
              </w:rPr>
              <w:t>(In thousands, except</w:t>
            </w:r>
          </w:p>
        </w:tc>
        <w:tc>
          <w:tcPr>
            <w:tcW w:w="1440" w:type="dxa"/>
            <w:vAlign w:val="bottom"/>
            <w:gridSpan w:val="2"/>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0" w:type="dxa"/>
            <w:vAlign w:val="bottom"/>
          </w:tcPr>
          <w:p>
            <w:pPr>
              <w:spacing w:after="0"/>
              <w:rPr>
                <w:sz w:val="1"/>
                <w:szCs w:val="1"/>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income per common share: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27,410</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unvested participating restricted stock in two-class calculation</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diluted</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currently has six operating segments: Applebee's franchise operations, IHOP franchise operations, Fuzzy's franchise operations, rental operations, financing operations, and company-operated restaurant operations. The Company has four reporting segments: franchise operations (an aggregation of each restaurant concept's franchise operations), company-operated restaurant operations, rental operations and financing operations.</w:t>
      </w:r>
    </w:p>
    <w:p>
      <w:pPr>
        <w:spacing w:after="0" w:line="72" w:lineRule="exact"/>
        <w:rPr>
          <w:sz w:val="20"/>
          <w:szCs w:val="20"/>
          <w:color w:val="auto"/>
        </w:rPr>
      </w:pPr>
    </w:p>
    <w:p>
      <w:pPr>
        <w:jc w:val="both"/>
        <w:ind w:firstLine="43"/>
        <w:spacing w:after="0" w:line="256" w:lineRule="auto"/>
        <w:rPr>
          <w:sz w:val="20"/>
          <w:szCs w:val="20"/>
          <w:color w:val="auto"/>
        </w:rPr>
      </w:pPr>
      <w:r>
        <w:rPr>
          <w:rFonts w:ascii="Times New Roman" w:cs="Times New Roman" w:eastAsia="Times New Roman" w:hAnsi="Times New Roman"/>
          <w:sz w:val="18"/>
          <w:szCs w:val="18"/>
          <w:color w:val="auto"/>
        </w:rPr>
        <w:t>As of March 31, 2024, the franchise operations segment consisted of 1,636 restaurants operated by Applebee’s franchisees in the United States, two U.S. territories and 12 countries outside the United States; 1,809 restaurants operated by IHOP franchisees and area licensees in the United States, two U.S. territories and 13 countries outside the United States; and 127 restaurants operated by Fuzzy's franchisees in the United States. Franchise operations revenue consists primarily of franchise royalty revenues, franchise advertising revenue, sales of proprietary products to franchisees, and other franchise fees. Franchise operations expenses include advertising expense, the cost of proprietary products, pre-opening training expenses and other franchise-related costs.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from finance leases on which the Company is the lessee.</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Financing operations revenue primarily consists of interest income from the financing of IHOP equipment leases and franchise fees and interest income on notes receivable due from franchisees. Financing operations expenses primarily are the cost of taxes related to IHOP equipment leases.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three company-operated Fuzzy's restaurants were acquired, of which two were subsequently refranchised in the second quarter of 2023. As of March 31, 2024, the company restaurants segment consisted of one company-operated Fuzzy's restaurant. All company-operated restaurants are located in the United States. Company-operated restaurant operation revenue consists of retail sales at company operated restaurants. Company-operated restaurant operation expenses are operating expenses such as food, beverage, labor, benefits, utilities, rent and other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segments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Borders>
              <w:bottom w:val="single" w:sz="8" w:color="auto"/>
            </w:tcBorders>
            <w:gridSpan w:val="7"/>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175"/>
        </w:trPr>
        <w:tc>
          <w:tcPr>
            <w:tcW w:w="6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external customers: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 from external customers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interest expense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by segment: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expenses, net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2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Closure and impairment charges for the three months ended March 31, 2024 and 2023 were as follows: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80" w:type="dxa"/>
            <w:vAlign w:val="bottom"/>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closure and impairment charges</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closure charges of $0.6 million for the three months ended March 31, 2024 were related to the establishment of or revisions to existing closure reserves, including accretion, primarily for 21 IHOP restaurants closed prior to December 31, 2023.</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closure charges of $0.4 million for the three months ended March 31, 2023 were primarily related to revisions to existing closure reserves, including accretion, primarily for 28 IHOP restaurants closed prior to December 31, 2022.</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 (Continued)</w:t>
      </w:r>
    </w:p>
    <w:p>
      <w:pPr>
        <w:spacing w:after="0" w:line="200" w:lineRule="exact"/>
        <w:rPr>
          <w:sz w:val="20"/>
          <w:szCs w:val="20"/>
          <w:color w:val="auto"/>
        </w:rPr>
      </w:pPr>
    </w:p>
    <w:p>
      <w:pPr>
        <w:spacing w:after="0" w:line="2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long-lived asset impairment of $0.1 million for the three months ended March 31, 2023 related to certain Fuzzy's company restaurant equipment for which the carrying value exceeded its fair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the fair values of cash equivalents, accounts receivable and accounts payable approximate their carrying amounts due to their short duration.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long-term debt, excluding the Credit Facility, at March 31, 2024 and December 31, 2023 were as follows:</w:t>
      </w:r>
    </w:p>
    <w:p>
      <w:pPr>
        <w:spacing w:after="0" w:line="200" w:lineRule="exact"/>
        <w:rPr>
          <w:sz w:val="20"/>
          <w:szCs w:val="20"/>
          <w:color w:val="auto"/>
        </w:rPr>
      </w:pPr>
    </w:p>
    <w:p>
      <w:pPr>
        <w:spacing w:after="0" w:line="311" w:lineRule="exact"/>
        <w:rPr>
          <w:sz w:val="20"/>
          <w:szCs w:val="20"/>
          <w:color w:val="auto"/>
        </w:rPr>
      </w:pPr>
    </w:p>
    <w:tbl>
      <w:tblPr>
        <w:tblLayout w:type="fixed"/>
        <w:tblInd w:w="68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7"/>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4"/>
          </w:tcPr>
          <w:p>
            <w:pPr>
              <w:jc w:val="right"/>
              <w:ind w:right="14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67"/>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w:t>
            </w:r>
          </w:p>
        </w:tc>
        <w:tc>
          <w:tcPr>
            <w:tcW w:w="100" w:type="dxa"/>
            <w:vAlign w:val="bottom"/>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1,084.3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1,085.8</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values were determined based on Level 2 inputs, including information gathered from brokers who trade in the Company’s long-term debt, as well as information on notes that are similar to those of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refranchising of Applebee’s restaurants to franchisees, the Company has, in certain cases, guaranteed or has potential continuing liability for lease payments totaling $393.1 million as of March 31, 2024. This amount represents the maximum potential liability for future payments under these leases. These leases have been assigned to the buyers and expire at the end of the respective lease terms, which range from 2024 through 2058. Excluding unexercised option periods, the Company's potential liability for future payments under these leases is $103.7 million. In the event of default, the indemnity and default clauses in the sale or assignment agreements govern the Company's ability to pursue and recover damages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Cash Equivalents and Restricted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Cash Equivalents and Restricted Cash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cash and cash equivalents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7"/>
        </w:trPr>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gridSpan w:val="4"/>
          </w:tcPr>
          <w:p>
            <w:pPr>
              <w:jc w:val="right"/>
              <w:ind w:right="14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8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8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0"/>
        </w:trPr>
        <w:tc>
          <w:tcPr>
            <w:tcW w:w="6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Restricted Cash</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current restricted cash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7"/>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4"/>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Restricted Cash</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Non-current restricted cash was $19.5 million at March 31, 2024 and December 31, 2023 and represents interest reserves required to be set aside for the duration of the Company's securitized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and the MD&amp;A contained in the Company’s Annual Report on Form 10-K for the fiscal year ended December 31, 2023.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Through various subsidiaries, we own and franchise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restaurants are to these three restaurant concepts, whether operated by franchisees, area licensees and their sub-licensees (collectively, “area licensees”) or by us. With close to 3,600 restaurants, we believe we are one of the largest full-service restaurant companies in the world.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identify our business segments based on the organizational units used by management to monitor performance and make operating decisions. We currently have six operating segments: Applebee's franchise operations, IHOP franchise operations, Fuzzy's franchise operations, rental operations, financing operations, and company-operated restaurant operations. We have four reportable segments: franchise operations (an aggregation of each restaurant concept's franchise operations), rental operations, financing operations, and company-operated restaurant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tables appearing in this MD&amp;A present amounts in millions of dollars that are rounded from our consolidated financial statements presented in thousands of dollars. As a result, the tables may not foot or crossfoot due to rounding.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8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(Unfavorable) Variance</w:t>
            </w: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960" w:type="dxa"/>
            <w:vAlign w:val="bottom"/>
            <w:gridSpan w:val="7"/>
          </w:tcPr>
          <w:p>
            <w:pPr>
              <w:jc w:val="right"/>
              <w:ind w:right="1376"/>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vMerge w:val="continue"/>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vMerge w:val="continue"/>
          </w:tcPr>
          <w:p>
            <w:pPr>
              <w:spacing w:after="0"/>
              <w:rPr>
                <w:sz w:val="19"/>
                <w:szCs w:val="19"/>
                <w:color w:val="auto"/>
              </w:rPr>
            </w:pP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vMerge w:val="continue"/>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1"/>
                <w:szCs w:val="21"/>
                <w:color w:val="auto"/>
              </w:rPr>
            </w:pP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27.3 %</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24.2 %</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100" w:type="dxa"/>
            <w:vAlign w:val="bottom"/>
            <w:vMerge w:val="continue"/>
          </w:tcPr>
          <w:p>
            <w:pPr>
              <w:spacing w:after="0"/>
              <w:rPr>
                <w:sz w:val="21"/>
                <w:szCs w:val="21"/>
                <w:color w:val="auto"/>
              </w:rPr>
            </w:pP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vMerge w:val="continue"/>
          </w:tcPr>
          <w:p>
            <w:pPr>
              <w:spacing w:after="0"/>
              <w:rPr>
                <w:sz w:val="21"/>
                <w:szCs w:val="21"/>
                <w:color w:val="auto"/>
              </w:rPr>
            </w:pP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vMerge w:val="continue"/>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4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 decrease</w:t>
            </w:r>
          </w:p>
        </w:tc>
        <w:tc>
          <w:tcPr>
            <w:tcW w:w="0" w:type="dxa"/>
            <w:vAlign w:val="bottom"/>
          </w:tcPr>
          <w:p>
            <w:pPr>
              <w:spacing w:after="0"/>
              <w:rPr>
                <w:sz w:val="1"/>
                <w:szCs w:val="1"/>
                <w:color w:val="auto"/>
              </w:rPr>
            </w:pPr>
          </w:p>
        </w:tc>
      </w:tr>
      <w:tr>
        <w:trPr>
          <w:trHeight w:val="254"/>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00" w:type="dxa"/>
            <w:vAlign w:val="bottom"/>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2024 was higher than the rate of the prior comparable period primarily due to a lower tax deduction related to stock-based compensation.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primary components of the decrease in our income before income taxes for the three months ended March 31, 2024, compared to our income before income taxes for the comparable prior period (in millions):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17145</wp:posOffset>
            </wp:positionV>
            <wp:extent cx="480060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00600" cy="146050"/>
                    </a:xfrm>
                    <a:prstGeom prst="rect">
                      <a:avLst/>
                    </a:prstGeom>
                    <a:noFill/>
                  </pic:spPr>
                </pic:pic>
              </a:graphicData>
            </a:graphic>
          </wp:anchor>
        </w:drawing>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Applebee's franchise operations</w:t>
      </w:r>
    </w:p>
    <w:p>
      <w:pPr>
        <w:spacing w:after="0" w:line="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IHOP franchise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wp:posOffset>
            </wp:positionV>
            <wp:extent cx="480060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00600" cy="146050"/>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Fuzzy's franchise operations</w:t>
      </w:r>
    </w:p>
    <w:p>
      <w:pPr>
        <w:spacing w:after="0" w:line="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Company restaurant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wp:posOffset>
            </wp:positionV>
            <wp:extent cx="480060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00600" cy="145415"/>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Rental and financing operations</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Total 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17145</wp:posOffset>
            </wp:positionV>
            <wp:extent cx="480060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00600" cy="145415"/>
                    </a:xfrm>
                    <a:prstGeom prst="rect">
                      <a:avLst/>
                    </a:prstGeom>
                    <a:noFill/>
                  </pic:spPr>
                </pic:pic>
              </a:graphicData>
            </a:graphic>
          </wp:anchor>
        </w:drawing>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Increase in general and administrative ("G&amp;A") expenses</w:t>
      </w:r>
    </w:p>
    <w:p>
      <w:pPr>
        <w:spacing w:after="0" w:line="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Increase in 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wp:posOffset>
            </wp:positionV>
            <wp:extent cx="480060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00600" cy="145415"/>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Change in gain on disposition of assets</w:t>
      </w:r>
    </w:p>
    <w:p>
      <w:pPr>
        <w:spacing w:after="0" w:line="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Change in gain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wp:posOffset>
            </wp:positionV>
            <wp:extent cx="480060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0060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Increase in closure and impairment charges</w:t>
      </w:r>
    </w:p>
    <w:p>
      <w:pPr>
        <w:spacing w:after="0" w:line="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Decrease in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wp:posOffset>
            </wp:positionV>
            <wp:extent cx="480060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00600" cy="171450"/>
                    </a:xfrm>
                    <a:prstGeom prst="rect">
                      <a:avLst/>
                    </a:prstGeom>
                    <a:noFill/>
                  </pic:spPr>
                </pic:pic>
              </a:graphicData>
            </a:graphic>
          </wp:anchor>
        </w:drawing>
      </w:r>
    </w:p>
    <w:p>
      <w:pPr>
        <w:spacing w:after="0" w:line="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Decrease in income before income taxes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Favorable/ (Unfavorable)</w:t>
      </w: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1174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w:t>
      </w:r>
    </w:p>
    <w:p>
      <w:pPr>
        <w:spacing w:after="0" w:line="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174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ind w:left="1540"/>
        <w:spacing w:after="0"/>
        <w:rPr>
          <w:sz w:val="20"/>
          <w:szCs w:val="20"/>
          <w:color w:val="auto"/>
        </w:rPr>
      </w:pPr>
      <w:r>
        <w:rPr>
          <w:rFonts w:ascii="Times New Roman" w:cs="Times New Roman" w:eastAsia="Times New Roman" w:hAnsi="Times New Roman"/>
          <w:sz w:val="18"/>
          <w:szCs w:val="18"/>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74115"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74115" cy="145415"/>
                    </a:xfrm>
                    <a:prstGeom prst="rect">
                      <a:avLst/>
                    </a:prstGeom>
                    <a:noFill/>
                  </pic:spPr>
                </pic:pic>
              </a:graphicData>
            </a:graphic>
          </wp:anchor>
        </w:drawing>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14605</wp:posOffset>
            </wp:positionV>
            <wp:extent cx="12426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11"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174115"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74115" cy="145415"/>
                    </a:xfrm>
                    <a:prstGeom prst="rect">
                      <a:avLst/>
                    </a:prstGeom>
                    <a:noFill/>
                  </pic:spPr>
                </pic:pic>
              </a:graphicData>
            </a:graphic>
          </wp:anchor>
        </w:drawing>
      </w:r>
    </w:p>
    <w:p>
      <w:pPr>
        <w:spacing w:after="0" w:line="7"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7411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74115" cy="145415"/>
                    </a:xfrm>
                    <a:prstGeom prst="rect">
                      <a:avLst/>
                    </a:prstGeom>
                    <a:noFill/>
                  </pic:spPr>
                </pic:pic>
              </a:graphicData>
            </a:graphic>
          </wp:anchor>
        </w:drawing>
      </w:r>
    </w:p>
    <w:p>
      <w:pPr>
        <w:spacing w:after="0" w:line="3"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8"/>
          <w:szCs w:val="18"/>
          <w:color w:val="auto"/>
        </w:rPr>
        <w:t>0.3</w:t>
      </w:r>
    </w:p>
    <w:p>
      <w:pPr>
        <w:spacing w:after="0" w:line="23"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7411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74115" cy="146050"/>
                    </a:xfrm>
                    <a:prstGeom prst="rect">
                      <a:avLst/>
                    </a:prstGeom>
                    <a:noFill/>
                  </pic:spPr>
                </pic:pic>
              </a:graphicData>
            </a:graphic>
          </wp:anchor>
        </w:drawing>
      </w:r>
    </w:p>
    <w:p>
      <w:pPr>
        <w:spacing w:after="0" w:line="3"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(0.1)</w:t>
      </w:r>
    </w:p>
    <w:p>
      <w:pPr>
        <w:spacing w:after="0" w:line="23"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7411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74115" cy="171450"/>
                    </a:xfrm>
                    <a:prstGeom prst="rect">
                      <a:avLst/>
                    </a:prstGeom>
                    <a:noFill/>
                  </pic:spPr>
                </pic:pic>
              </a:graphicData>
            </a:graphic>
          </wp:anchor>
        </w:drawing>
      </w:r>
    </w:p>
    <w:p>
      <w:pPr>
        <w:spacing w:after="0" w:line="11" w:lineRule="exact"/>
        <w:rPr>
          <w:sz w:val="20"/>
          <w:szCs w:val="20"/>
          <w:color w:val="auto"/>
        </w:rPr>
      </w:pPr>
    </w:p>
    <w:p>
      <w:pPr>
        <w:ind w:left="1380" w:hanging="1369"/>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1741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820" w:space="720"/>
            <w:col w:w="2700"/>
          </w:cols>
          <w:pgMar w:left="320" w:top="225" w:right="339" w:bottom="1440" w:gutter="0" w:footer="0" w:header="0"/>
          <w:type w:val="continuous"/>
        </w:sectPr>
      </w:pPr>
    </w:p>
    <w:p>
      <w:pPr>
        <w:spacing w:after="0" w:line="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gross profit for the three months ended March 31, 2024 decreased compared with the same period of the prior year, due to decreased revenue from franchise and rental operations and increased franchisor advertising contribution. In addition, income before income taxes for the three months ended March 31, 2024 decreased compared to the prior year period due to a gain on extinguishment of debt in the same period in the prior year, increased interest expense and increased G&amp;A expenses. The increase in interest expense primarily related to higher-rate securitized notes and borrowings from our revolving line of credit. The increase in G&amp;A expenses was primarily attributable to an increase in compensation-related expenses (predominantly stock-based compensation) and an increase in consumer research expenses, partially offset by a decrease in professional services.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At company operated restaurants, when applicable, increases in commodity, labor and other restaurant operating costs impact us directly.</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“Consolidated Results of Operations - Comparison of the Three Months Ended March 31, 2024 and 2023”</w:t>
      </w:r>
      <w:r>
        <w:rPr>
          <w:rFonts w:ascii="Times New Roman" w:cs="Times New Roman" w:eastAsia="Times New Roman" w:hAnsi="Times New Roman"/>
          <w:sz w:val="18"/>
          <w:szCs w:val="18"/>
          <w:color w:val="auto"/>
        </w:rPr>
        <w:t xml:space="preserve"> for additional discussion of the changes shown above.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IHOP and Fuzzy's restaurants will impact our system-wide retail sales that drive franchise royalty revenues. Restaurant development also impacts franchise revenues in the form of initial franchise fees and, in the case of IHOP and Fuzzy's restaurants, sales of proprietary products.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performance indicators for the three months ended March 31, 2024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20" w:type="dxa"/>
            <w:vAlign w:val="bottom"/>
          </w:tcPr>
          <w:p>
            <w:pPr>
              <w:spacing w:after="0"/>
              <w:rPr>
                <w:sz w:val="18"/>
                <w:szCs w:val="18"/>
                <w:color w:val="auto"/>
              </w:rPr>
            </w:pPr>
          </w:p>
        </w:tc>
      </w:tr>
      <w:tr>
        <w:trPr>
          <w:trHeight w:val="219"/>
        </w:trPr>
        <w:tc>
          <w:tcPr>
            <w:tcW w:w="6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20" w:type="dxa"/>
            <w:vAlign w:val="bottom"/>
            <w:tcBorders>
              <w:bottom w:val="single" w:sz="8" w:color="auto"/>
            </w:tcBorders>
          </w:tcPr>
          <w:p>
            <w:pPr>
              <w:spacing w:after="0"/>
              <w:rPr>
                <w:sz w:val="19"/>
                <w:szCs w:val="19"/>
                <w:color w:val="auto"/>
              </w:rPr>
            </w:pPr>
          </w:p>
        </w:tc>
      </w:tr>
      <w:tr>
        <w:trPr>
          <w:trHeight w:val="211"/>
        </w:trPr>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IHOP</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Fuzzy's</w:t>
            </w:r>
          </w:p>
        </w:tc>
      </w:tr>
      <w:tr>
        <w:trPr>
          <w:trHeight w:val="225"/>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percentage (decrease) increase in reported retail sales - 2024 vs. 2023</w:t>
            </w:r>
          </w:p>
        </w:tc>
        <w:tc>
          <w:tcPr>
            <w:tcW w:w="80" w:type="dxa"/>
            <w:vAlign w:val="bottom"/>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Decrease in domestic system-wide same-restaurant sales</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franchise restaurant reduction </w:t>
            </w:r>
            <w:r>
              <w:rPr>
                <w:rFonts w:ascii="Times New Roman" w:cs="Times New Roman" w:eastAsia="Times New Roman" w:hAnsi="Times New Roman"/>
                <w:sz w:val="10"/>
                <w:szCs w:val="10"/>
                <w:color w:val="auto"/>
              </w:rPr>
              <w:t>(1)</w:t>
            </w:r>
          </w:p>
        </w:tc>
        <w:tc>
          <w:tcPr>
            <w:tcW w:w="80" w:type="dxa"/>
            <w:vAlign w:val="bottom"/>
          </w:tcPr>
          <w:p>
            <w:pPr>
              <w:spacing w:after="0"/>
              <w:rPr>
                <w:sz w:val="19"/>
                <w:szCs w:val="19"/>
                <w:color w:val="auto"/>
              </w:rPr>
            </w:pPr>
          </w:p>
        </w:tc>
        <w:tc>
          <w:tcPr>
            <w:tcW w:w="1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(decrease) increase in total effective restaurants </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4"/>
                <w:szCs w:val="24"/>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82" w:lineRule="exact"/>
        <w:rPr>
          <w:sz w:val="20"/>
          <w:szCs w:val="20"/>
          <w:color w:val="auto"/>
        </w:rPr>
      </w:pPr>
    </w:p>
    <w:p>
      <w:pPr>
        <w:ind w:left="480" w:hanging="148"/>
        <w:spacing w:after="0"/>
        <w:tabs>
          <w:tab w:leader="none" w:pos="48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Franchise and area license restaurant closings, net of openings, during the three months ended March 31, 2024.</w:t>
      </w:r>
    </w:p>
    <w:p>
      <w:pPr>
        <w:spacing w:after="0" w:line="81" w:lineRule="exact"/>
        <w:rPr>
          <w:rFonts w:ascii="Times New Roman" w:cs="Times New Roman" w:eastAsia="Times New Roman" w:hAnsi="Times New Roman"/>
          <w:sz w:val="19"/>
          <w:szCs w:val="19"/>
          <w:color w:val="auto"/>
          <w:vertAlign w:val="superscript"/>
        </w:rPr>
      </w:pPr>
    </w:p>
    <w:p>
      <w:pPr>
        <w:ind w:left="340" w:hanging="8"/>
        <w:spacing w:after="0" w:line="302" w:lineRule="auto"/>
        <w:tabs>
          <w:tab w:leader="none" w:pos="498"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Change in the weighted average number of franchise, area license and company-operated restaurants open during the three months ended March 31, 2024, compared to the weighted average number of those open during the same period of 2023.</w:t>
      </w:r>
    </w:p>
    <w:p>
      <w:pPr>
        <w:spacing w:after="0" w:line="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change in total effective restaurants for each brand reflects both permanent closures, net of openings, over the past 12 months as well as the weighted effect of restaurants temporarily closed during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45720</wp:posOffset>
            </wp:positionV>
            <wp:extent cx="5357495" cy="23571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5749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Applebee’s system-wide domestic same-restaurant sales decreased 4.6% for the three months ended March 31, 2024 as compared to the same period of 2023. The decrease in same-restaurant sales was primarily due to a decrease in traffic, partially offset by an increase in menu pricing offset by product mix.</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same-restaurant sales for the three months ended March 31, 2024 underperformed the casual dining segment of the restaurant industry (excluding Applebee's) during the same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Off-Premise Sales Data</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8"/>
        </w:trPr>
        <w:tc>
          <w:tcPr>
            <w:tcW w:w="790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9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263.4</w:t>
            </w: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r>
    </w:tbl>
    <w:p>
      <w:pPr>
        <w:spacing w:after="0" w:line="161" w:lineRule="exact"/>
        <w:rPr>
          <w:sz w:val="20"/>
          <w:szCs w:val="20"/>
          <w:color w:val="auto"/>
        </w:rPr>
      </w:pPr>
    </w:p>
    <w:p>
      <w:pPr>
        <w:ind w:left="140" w:hanging="132"/>
        <w:spacing w:after="0"/>
        <w:tabs>
          <w:tab w:leader="none" w:pos="14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 for comparable 2024 and 2023 restaurants.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495300</wp:posOffset>
            </wp:positionV>
            <wp:extent cx="5357495" cy="2357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5749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IHOP's system-wide domestic same-restaurant sales decreased 1.7% for the three months ended March 31, 2024 as compared to the same period of 2023. The decrease in same-restaurant sales was primarily due to a decrease in traffic, partially offset by an increase in average check. The increase in average check was primarily due to menu pricing increase.</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data from Black Box, IHOP's decrease in same-restaurant sales for the three months ended March 31, 2024 underperformed the family dining segment of the restaurant industry (excluding IHOP) during the same period.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Off-Premise Sales Data</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8"/>
        </w:trPr>
        <w:tc>
          <w:tcPr>
            <w:tcW w:w="790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9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155.7</w:t>
            </w:r>
          </w:p>
        </w:tc>
        <w:tc>
          <w:tcPr>
            <w:tcW w:w="80" w:type="dxa"/>
            <w:vAlign w:val="bottom"/>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161.2</w:t>
            </w: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r>
    </w:tbl>
    <w:p>
      <w:pPr>
        <w:spacing w:after="0" w:line="145"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to-go, delivery and catering sales for comparable 2024 and 2023 restaurants.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52525"/>
        </w:rPr>
        <w:t>Quarterly Domestic Same-Restaurant Sales - Fuzzy's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Fuzzy's system-wide domestic same-restaurant sales decreased 9.8% for the three months ended March 31, 2024 as compared to the same period of 2023.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same-restaurant sales was primarily due to a decrease in traffic.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Fuzzy's Off-Premise Sales Data</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8"/>
        </w:trPr>
        <w:tc>
          <w:tcPr>
            <w:tcW w:w="79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9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19.7</w:t>
            </w:r>
          </w:p>
        </w:tc>
      </w:tr>
      <w:tr>
        <w:trPr>
          <w:trHeight w:val="234"/>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39.5 %</w:t>
            </w:r>
          </w:p>
        </w:tc>
      </w:tr>
    </w:tbl>
    <w:p>
      <w:pPr>
        <w:spacing w:after="0" w:line="161"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 for comparable 2024 and 2023 restaurants.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number of “Effective Restaurants” in the Applebee’s, IHOP and Fuzzy's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Restaurant Data</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7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1,635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1,673</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29"/>
        </w:trPr>
        <w:tc>
          <w:tcPr>
            <w:tcW w:w="79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Restaurant Data</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Area license</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1,800</w:t>
            </w:r>
          </w:p>
        </w:tc>
        <w:tc>
          <w:tcPr>
            <w:tcW w:w="10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1,773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 including area license restaurants</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Fuzzy's Restaurant Data</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137</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System-wide</w:t>
            </w:r>
            <w:r>
              <w:rPr>
                <w:rFonts w:ascii="Times New Roman" w:cs="Times New Roman" w:eastAsia="Times New Roman" w:hAnsi="Times New Roman"/>
                <w:sz w:val="22"/>
                <w:szCs w:val="22"/>
                <w:b w:val="1"/>
                <w:bCs w:val="1"/>
                <w:color w:val="auto"/>
                <w:vertAlign w:val="superscript"/>
              </w:rPr>
              <w:t>(b)</w:t>
            </w: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71" w:lineRule="auto"/>
        <w:tabs>
          <w:tab w:leader="none" w:pos="30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Restaurants” are the weighted average number of restaurants open in each fiscal period, adjusted to account for restaurants open for only a portion of the period. Information is presented for all Effective Restaurants in the Applebee’s, IHOP and Fuzzy's systems, which consist of restaurants owned by franchisees and area licensees as well as those owned by the Company. Effective Restaurants do not include units operated as ghost kitchens (small kitchens with no store-front presence, used to fill off-premise orders).</w:t>
      </w:r>
    </w:p>
    <w:p>
      <w:pPr>
        <w:spacing w:after="0" w:line="21" w:lineRule="exact"/>
        <w:rPr>
          <w:rFonts w:ascii="Times New Roman" w:cs="Times New Roman" w:eastAsia="Times New Roman" w:hAnsi="Times New Roman"/>
          <w:sz w:val="14"/>
          <w:szCs w:val="14"/>
          <w:color w:val="auto"/>
        </w:rPr>
      </w:pPr>
    </w:p>
    <w:p>
      <w:pPr>
        <w:jc w:val="both"/>
        <w:ind w:left="340" w:hanging="332"/>
        <w:spacing w:after="0" w:line="281" w:lineRule="auto"/>
        <w:tabs>
          <w:tab w:leader="none" w:pos="34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“System-wide sales” are retail sales at Applebee’s and Fuzzy's restaurants operated by franchisees and IHOP restaurants operated by franchisees and area licensees, as reported to the Company, in addition to retail sales at company-operated Fuzzy's restaurants. System-wide sales do not include retail sales of ghost kitchens. Sales at restaurants that are owned by franchisees and area licensees are not attributable to the Company. An increase in franchisees'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340"/>
        <w:spacing w:after="0" w:line="295" w:lineRule="auto"/>
        <w:rPr>
          <w:sz w:val="20"/>
          <w:szCs w:val="20"/>
          <w:color w:val="auto"/>
        </w:rPr>
      </w:pPr>
      <w:r>
        <w:rPr>
          <w:rFonts w:ascii="Times New Roman" w:cs="Times New Roman" w:eastAsia="Times New Roman" w:hAnsi="Times New Roman"/>
          <w:sz w:val="14"/>
          <w:szCs w:val="14"/>
          <w:color w:val="auto"/>
        </w:rPr>
        <w:t>reported sales will result in a corresponding increase in our royalty revenue, while a decrease in franchisees' reported sales will result in a corresponding decrease in our royalty revenue. Unaudited reported sales for Applebee's and Fuzzy's franchise restaurants, Fuzzy's company-operated restaurants, IHOP franchise restaurants and IHOP area license restaurants were as follows:</w:t>
      </w:r>
    </w:p>
    <w:p>
      <w:pPr>
        <w:spacing w:after="0" w:line="264"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6"/>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Reported sales (in millions)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9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Applebee's franchise restaurant sales</w:t>
            </w:r>
          </w:p>
        </w:tc>
        <w:tc>
          <w:tcPr>
            <w:tcW w:w="100" w:type="dxa"/>
            <w:vAlign w:val="bottom"/>
            <w:vMerge w:val="continue"/>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1,120.9</w:t>
            </w:r>
          </w:p>
        </w:tc>
        <w:tc>
          <w:tcPr>
            <w:tcW w:w="80" w:type="dxa"/>
            <w:vAlign w:val="bottom"/>
            <w:vMerge w:val="continue"/>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1,190.3</w:t>
            </w:r>
          </w:p>
        </w:tc>
        <w:tc>
          <w:tcPr>
            <w:tcW w:w="0" w:type="dxa"/>
            <w:vAlign w:val="bottom"/>
          </w:tcPr>
          <w:p>
            <w:pPr>
              <w:spacing w:after="0"/>
              <w:rPr>
                <w:sz w:val="1"/>
                <w:szCs w:val="1"/>
                <w:color w:val="auto"/>
              </w:rPr>
            </w:pPr>
          </w:p>
        </w:tc>
      </w:tr>
      <w:tr>
        <w:trPr>
          <w:trHeight w:val="195"/>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IHOP franchise restaurant sales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803.8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802.2</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IHOP area license restaurant sales</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95"/>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Fuzzy's franchise restaurant sales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Fuzzy's company-operated restaurants</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6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2,050.1</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2,125.0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line="301" w:lineRule="auto"/>
        <w:tabs>
          <w:tab w:leader="none" w:pos="31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percentage change” reflects, for each category of restaurants, the percentage change in sales in any given fiscal period compared to the prior fiscal period for all restaurants in that category.</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1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same-restaurant sales percentage change” reflects the percentage change in sales in any given fiscal period, compared to the same weeks in the prior fiscal period, for domestic restaurants that have been operated during both fiscal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200" w:lineRule="exact"/>
        <w:rPr>
          <w:sz w:val="20"/>
          <w:szCs w:val="20"/>
          <w:color w:val="auto"/>
        </w:rPr>
      </w:pPr>
    </w:p>
    <w:p>
      <w:pPr>
        <w:spacing w:after="0" w:line="272"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6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Restaurant Development Activity</w:t>
            </w:r>
          </w:p>
        </w:tc>
        <w:tc>
          <w:tcPr>
            <w:tcW w:w="100" w:type="dxa"/>
            <w:vAlign w:val="bottom"/>
          </w:tcPr>
          <w:p>
            <w:pPr>
              <w:spacing w:after="0"/>
              <w:rPr>
                <w:sz w:val="18"/>
                <w:szCs w:val="18"/>
                <w:color w:val="auto"/>
              </w:rPr>
            </w:pPr>
          </w:p>
        </w:tc>
        <w:tc>
          <w:tcPr>
            <w:tcW w:w="280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auto"/>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4360" w:type="dxa"/>
            <w:vAlign w:val="bottom"/>
            <w:tcBorders>
              <w:bottom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1,642</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6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franchise restaurants opened</w:t>
            </w:r>
          </w:p>
        </w:tc>
        <w:tc>
          <w:tcPr>
            <w:tcW w:w="100" w:type="dxa"/>
            <w:vAlign w:val="bottom"/>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6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6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franchise restaurants permanently closed</w:t>
            </w:r>
          </w:p>
        </w:tc>
        <w:tc>
          <w:tcPr>
            <w:tcW w:w="100" w:type="dxa"/>
            <w:vAlign w:val="bottom"/>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franchise restaurant reduction</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00" w:type="dxa"/>
            <w:vAlign w:val="bottom"/>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6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Applebee's restaurants, end of period</w:t>
            </w:r>
          </w:p>
        </w:tc>
        <w:tc>
          <w:tcPr>
            <w:tcW w:w="100" w:type="dxa"/>
            <w:vAlign w:val="bottom"/>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1,636</w:t>
            </w:r>
          </w:p>
        </w:tc>
        <w:tc>
          <w:tcPr>
            <w:tcW w:w="100" w:type="dxa"/>
            <w:vAlign w:val="bottom"/>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6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6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4360" w:type="dxa"/>
            <w:vAlign w:val="bottom"/>
            <w:tcBorders>
              <w:bottom w:val="single" w:sz="8" w:color="CCEEFF"/>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60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IHOP</w:t>
            </w:r>
          </w:p>
        </w:tc>
        <w:tc>
          <w:tcPr>
            <w:tcW w:w="10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Area license</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6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IHOP restaurants, beginning of period</w:t>
            </w:r>
          </w:p>
        </w:tc>
        <w:tc>
          <w:tcPr>
            <w:tcW w:w="100" w:type="dxa"/>
            <w:vAlign w:val="bottom"/>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1,814</w:t>
            </w:r>
          </w:p>
        </w:tc>
        <w:tc>
          <w:tcPr>
            <w:tcW w:w="100" w:type="dxa"/>
            <w:vAlign w:val="bottom"/>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Restaurant Development Activity</w:t>
            </w:r>
          </w:p>
        </w:tc>
        <w:tc>
          <w:tcPr>
            <w:tcW w:w="100" w:type="dxa"/>
            <w:vAlign w:val="bottom"/>
          </w:tcPr>
          <w:p>
            <w:pPr>
              <w:spacing w:after="0"/>
              <w:rPr>
                <w:sz w:val="18"/>
                <w:szCs w:val="18"/>
                <w:color w:val="auto"/>
              </w:rPr>
            </w:pPr>
          </w:p>
        </w:tc>
        <w:tc>
          <w:tcPr>
            <w:tcW w:w="280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Franchise/area license restaurants opened:</w:t>
            </w:r>
          </w:p>
        </w:tc>
        <w:tc>
          <w:tcPr>
            <w:tcW w:w="100" w:type="dxa"/>
            <w:vAlign w:val="bottom"/>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Domestic franchise</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 area license</w:t>
            </w:r>
          </w:p>
        </w:tc>
        <w:tc>
          <w:tcPr>
            <w:tcW w:w="100" w:type="dxa"/>
            <w:vAlign w:val="bottom"/>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International franchise</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franchise/area license restaurants opened</w:t>
            </w:r>
          </w:p>
        </w:tc>
        <w:tc>
          <w:tcPr>
            <w:tcW w:w="100" w:type="dxa"/>
            <w:vAlign w:val="bottom"/>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Franchise/area license restaurants permanently closed:</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 franchise</w:t>
            </w:r>
          </w:p>
        </w:tc>
        <w:tc>
          <w:tcPr>
            <w:tcW w:w="100" w:type="dxa"/>
            <w:vAlign w:val="bottom"/>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Domestic area license</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franchise</w:t>
            </w:r>
          </w:p>
        </w:tc>
        <w:tc>
          <w:tcPr>
            <w:tcW w:w="100" w:type="dxa"/>
            <w:vAlign w:val="bottom"/>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60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Total franchise/area license restaurants permanently closed</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franchise/area license restaurants</w:t>
            </w:r>
          </w:p>
        </w:tc>
        <w:tc>
          <w:tcPr>
            <w:tcW w:w="100" w:type="dxa"/>
            <w:vAlign w:val="bottom"/>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Area license</w:t>
            </w:r>
          </w:p>
        </w:tc>
        <w:tc>
          <w:tcPr>
            <w:tcW w:w="100" w:type="dxa"/>
            <w:vAlign w:val="bottom"/>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IHOP restaurants, end of period</w:t>
            </w:r>
          </w:p>
        </w:tc>
        <w:tc>
          <w:tcPr>
            <w:tcW w:w="100" w:type="dxa"/>
            <w:vAlign w:val="bottom"/>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1,809</w:t>
            </w:r>
          </w:p>
        </w:tc>
        <w:tc>
          <w:tcPr>
            <w:tcW w:w="100" w:type="dxa"/>
            <w:vAlign w:val="bottom"/>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6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60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Fuzzy's</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6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vMerge w:val="continue"/>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vMerge w:val="continue"/>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100" w:type="dxa"/>
            <w:vAlign w:val="bottom"/>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10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10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7"/>
                <w:szCs w:val="17"/>
                <w:color w:val="auto"/>
              </w:rPr>
            </w:pPr>
          </w:p>
        </w:tc>
        <w:tc>
          <w:tcPr>
            <w:tcW w:w="6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franchise restaurant reduction</w:t>
            </w:r>
          </w:p>
        </w:tc>
        <w:tc>
          <w:tcPr>
            <w:tcW w:w="100" w:type="dxa"/>
            <w:vAlign w:val="bottom"/>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Fuzzy's restaurants, end of period</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restaurant counts and activity presented above do not include one domestic Applebee's ghost kitchen (small kitchens with no store-front presence, used to fill off-premise orders), 11 international Applebee's ghost kitchens and 41 international IHOP ghost kitchens.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Closures of restaurants adversely impact our system-wide retail sales that drive our franchise royalty revenues as well as, in the case of IHOP and Fuzzy's restaurants, sales of proprietary products.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54"/>
        </w:trPr>
        <w:tc>
          <w:tcPr>
            <w:tcW w:w="6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vMerge w:val="restart"/>
          </w:tcPr>
          <w:p>
            <w:pPr>
              <w:jc w:val="center"/>
              <w:ind w:right="55"/>
              <w:spacing w:after="0" w:line="122"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48"/>
        </w:trPr>
        <w:tc>
          <w:tcPr>
            <w:tcW w:w="6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vMerge w:val="restart"/>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vMerge w:val="continue"/>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206.2</w:t>
            </w:r>
          </w:p>
        </w:tc>
        <w:tc>
          <w:tcPr>
            <w:tcW w:w="8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vs. prior period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for the three months ended March 31, 2024 decreased compared with the same period of the prior year, primarily due to the decrease in franchise operations revenue and the decrease in rental operations revenue. The decrease in franchise operations revenue was primarily attributable to the decreases in domestic same-restaurant sales and the decrease in the number of Applebee's effective restaurants, partially offset by increases in the number of effective restaurants and proprietary product sales at IHOP. Rental operations revenue decreased primarily due to the lease buyouts during the three months ended March 31,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4"/>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54"/>
        </w:trPr>
        <w:tc>
          <w:tcPr>
            <w:tcW w:w="6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restart"/>
          </w:tcPr>
          <w:p>
            <w:pPr>
              <w:jc w:val="center"/>
              <w:ind w:right="78"/>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4"/>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vMerge w:val="restart"/>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678"/>
              <w:spacing w:after="0"/>
              <w:rPr>
                <w:sz w:val="20"/>
                <w:szCs w:val="20"/>
                <w:color w:val="auto"/>
              </w:rPr>
            </w:pPr>
            <w:r>
              <w:rPr>
                <w:rFonts w:ascii="Times New Roman" w:cs="Times New Roman" w:eastAsia="Times New Roman" w:hAnsi="Times New Roman"/>
                <w:sz w:val="18"/>
                <w:szCs w:val="18"/>
                <w:color w:val="auto"/>
                <w:w w:val="98"/>
              </w:rPr>
              <w:t>(3.2)</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678"/>
              <w:spacing w:after="0"/>
              <w:rPr>
                <w:sz w:val="20"/>
                <w:szCs w:val="20"/>
                <w:color w:val="auto"/>
              </w:rPr>
            </w:pPr>
            <w:r>
              <w:rPr>
                <w:rFonts w:ascii="Times New Roman" w:cs="Times New Roman" w:eastAsia="Times New Roman" w:hAnsi="Times New Roman"/>
                <w:sz w:val="18"/>
                <w:szCs w:val="18"/>
                <w:color w:val="auto"/>
                <w:w w:val="98"/>
              </w:rPr>
              <w:t>(2.8)</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98"/>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78"/>
              <w:spacing w:after="0"/>
              <w:rPr>
                <w:sz w:val="20"/>
                <w:szCs w:val="20"/>
                <w:color w:val="auto"/>
              </w:rPr>
            </w:pPr>
            <w:r>
              <w:rPr>
                <w:rFonts w:ascii="Times New Roman" w:cs="Times New Roman" w:eastAsia="Times New Roman" w:hAnsi="Times New Roman"/>
                <w:sz w:val="18"/>
                <w:szCs w:val="18"/>
                <w:color w:val="auto"/>
                <w:w w:val="98"/>
              </w:rPr>
              <w:t>(0.3)</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678"/>
              <w:spacing w:after="0"/>
              <w:rPr>
                <w:sz w:val="20"/>
                <w:szCs w:val="20"/>
                <w:color w:val="auto"/>
              </w:rPr>
            </w:pPr>
            <w:r>
              <w:rPr>
                <w:rFonts w:ascii="Times New Roman" w:cs="Times New Roman" w:eastAsia="Times New Roman" w:hAnsi="Times New Roman"/>
                <w:sz w:val="18"/>
                <w:szCs w:val="18"/>
                <w:color w:val="auto"/>
                <w:w w:val="98"/>
              </w:rPr>
              <w:t>(6.3)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vs. prior period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gross profit for the three months ended March 31, 2024 decreased compared with the same period of the prior year, primarily due to decreased gross profit from franchise operations and rental operations. The franchise operations gross profit decreased primarily due to Applebee's and Fuzzy's decreased franchise revenue and increases in franchisor advertising contributions. The rental operations gross profit was primarily due to decreased rental revenue.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Franchise Operations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ind w:right="60"/>
              <w:spacing w:after="0" w:line="122"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48"/>
        </w:trPr>
        <w:tc>
          <w:tcPr>
            <w:tcW w:w="6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7"/>
                <w:szCs w:val="17"/>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except number of restaurants)</w:t>
            </w:r>
          </w:p>
        </w:tc>
        <w:tc>
          <w:tcPr>
            <w:tcW w:w="0" w:type="dxa"/>
            <w:vAlign w:val="bottom"/>
          </w:tcPr>
          <w:p>
            <w:pPr>
              <w:spacing w:after="0"/>
              <w:rPr>
                <w:sz w:val="1"/>
                <w:szCs w:val="1"/>
                <w:color w:val="auto"/>
              </w:rPr>
            </w:pPr>
          </w:p>
        </w:tc>
      </w:tr>
      <w:tr>
        <w:trPr>
          <w:trHeight w:val="222"/>
        </w:trPr>
        <w:tc>
          <w:tcPr>
            <w:tcW w:w="65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Effective Franchise Restaurants:</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Applebee’s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IHOP</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1,800</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1,773</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Fuzzy's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 franchise fees</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 franchise fees</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Fuzzy's franchise fees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Advertising fees</w:t>
            </w:r>
          </w:p>
        </w:tc>
        <w:tc>
          <w:tcPr>
            <w:tcW w:w="8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75.3</w:t>
            </w:r>
          </w:p>
        </w:tc>
        <w:tc>
          <w:tcPr>
            <w:tcW w:w="8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77.0</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175.9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Expenses:</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Advertising expenses</w:t>
            </w:r>
          </w:p>
        </w:tc>
        <w:tc>
          <w:tcPr>
            <w:tcW w:w="8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75.3</w:t>
            </w:r>
          </w:p>
        </w:tc>
        <w:tc>
          <w:tcPr>
            <w:tcW w:w="8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77.0</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expenses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Gross Profit:</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gross profit</w:t>
            </w:r>
          </w:p>
        </w:tc>
        <w:tc>
          <w:tcPr>
            <w:tcW w:w="8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89.3</w:t>
            </w:r>
          </w:p>
        </w:tc>
        <w:tc>
          <w:tcPr>
            <w:tcW w:w="80" w:type="dxa"/>
            <w:vAlign w:val="bottom"/>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20" w:type="dxa"/>
            <w:vAlign w:val="bottom"/>
          </w:tcPr>
          <w:p>
            <w:pPr>
              <w:ind w:left="20"/>
              <w:spacing w:after="0" w:line="190" w:lineRule="exact"/>
              <w:rPr>
                <w:sz w:val="20"/>
                <w:szCs w:val="20"/>
                <w:color w:val="auto"/>
              </w:rPr>
            </w:pPr>
            <w:r>
              <w:rPr>
                <w:rFonts w:ascii="Times New Roman" w:cs="Times New Roman" w:eastAsia="Times New Roman" w:hAnsi="Times New Roman"/>
                <w:sz w:val="16"/>
                <w:szCs w:val="16"/>
                <w:color w:val="auto"/>
              </w:rPr>
              <w:t xml:space="preserve">Gross profit as % of franchise revenue </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2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Gross profit as % of franchise fees </w:t>
            </w:r>
            <w:r>
              <w:rPr>
                <w:rFonts w:ascii="Times New Roman" w:cs="Times New Roman" w:eastAsia="Times New Roman" w:hAnsi="Times New Roman"/>
                <w:sz w:val="21"/>
                <w:szCs w:val="21"/>
                <w:color w:val="auto"/>
                <w:vertAlign w:val="superscript"/>
              </w:rPr>
              <w:t>(2)(3)</w:t>
            </w:r>
          </w:p>
        </w:tc>
        <w:tc>
          <w:tcPr>
            <w:tcW w:w="8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88.9 %</w:t>
            </w:r>
          </w:p>
        </w:tc>
        <w:tc>
          <w:tcPr>
            <w:tcW w:w="80" w:type="dxa"/>
            <w:vAlign w:val="bottom"/>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90.0 %</w:t>
            </w:r>
          </w:p>
        </w:tc>
        <w:tc>
          <w:tcPr>
            <w:tcW w:w="8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113" w:lineRule="exact"/>
        <w:rPr>
          <w:sz w:val="20"/>
          <w:szCs w:val="20"/>
          <w:color w:val="auto"/>
        </w:rPr>
      </w:pPr>
    </w:p>
    <w:p>
      <w:pPr>
        <w:ind w:left="180" w:hanging="172"/>
        <w:spacing w:after="0" w:line="228" w:lineRule="auto"/>
        <w:tabs>
          <w:tab w:leader="none" w:pos="15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60" w:hanging="152"/>
        <w:spacing w:after="0"/>
        <w:tabs>
          <w:tab w:leader="none" w:pos="16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14" w:lineRule="exact"/>
        <w:rPr>
          <w:rFonts w:ascii="Times New Roman" w:cs="Times New Roman" w:eastAsia="Times New Roman" w:hAnsi="Times New Roman"/>
          <w:sz w:val="9"/>
          <w:szCs w:val="9"/>
          <w:color w:val="auto"/>
        </w:rPr>
      </w:pPr>
    </w:p>
    <w:p>
      <w:pPr>
        <w:ind w:left="180" w:hanging="172"/>
        <w:spacing w:after="0"/>
        <w:tabs>
          <w:tab w:leader="none" w:pos="165"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232"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Applebee's franchise fee revenue for the three months ended March 31, 2024 decreased 4.8% as compared with the same period of the prior year, primarily due to the unfavorable impact on royalties of a 4.6% decrease in domestic same-restaurant sales and the decrease in the number of effective franchise restaurants.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Applebee's franchise expenses for the three months ended March 31, 2024 decreased $1.0 million as compared with the same period of the prior year, primarily due to a decrease in bad debt expense.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IHOP's franchise fee revenue for the three months ended March 31, 2024 increased 1.1% as compared with the same period of the prior year, primarily due to an increase in the number of effective franchise restaurants and an increase in proprietary product sales, partially offset by a 1.7% decrease in same-restaurant sales.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IHOP's franchise expenses for the three months ended March 31, 2024 increased $0.7 million as compared with same period of the prior year, primarily due to an increase in franchisor advertising contribution.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Fuzzy's franchise fee revenue for the three months ended March 31, 2024 decreased $0.7 million compared with the same period of the prior year, primarily due to a 9.8% decrease in domestic same-restaurant sales and decrease in the number of effective franchise restaurants.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Fuzzy's franchise expenses for the three months ended March 31, 2024 increased $1.1 million compared with the same period of the prior year, primarily due to an increase in franchisor advertising contribution.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Advertising Revenues and Expenses</w:t>
            </w:r>
          </w:p>
        </w:tc>
        <w:tc>
          <w:tcPr>
            <w:tcW w:w="100" w:type="dxa"/>
            <w:vAlign w:val="bottom"/>
          </w:tcPr>
          <w:p>
            <w:pPr>
              <w:spacing w:after="0"/>
              <w:rPr>
                <w:sz w:val="21"/>
                <w:szCs w:val="21"/>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0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100" w:type="dxa"/>
            <w:vAlign w:val="bottom"/>
            <w:vMerge w:val="continue"/>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vMerge w:val="continue"/>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vMerge w:val="continue"/>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8"/>
              </w:rPr>
              <w:t>(1.9)</w:t>
            </w:r>
          </w:p>
        </w:tc>
        <w:tc>
          <w:tcPr>
            <w:tcW w:w="0" w:type="dxa"/>
            <w:vAlign w:val="bottom"/>
          </w:tcPr>
          <w:p>
            <w:pPr>
              <w:spacing w:after="0"/>
              <w:rPr>
                <w:sz w:val="1"/>
                <w:szCs w:val="1"/>
                <w:color w:val="auto"/>
              </w:rPr>
            </w:pPr>
          </w:p>
        </w:tc>
      </w:tr>
      <w:tr>
        <w:trPr>
          <w:trHeight w:val="230"/>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center"/>
              <w:ind w:left="51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Fuzzy's</w:t>
            </w:r>
          </w:p>
        </w:tc>
        <w:tc>
          <w:tcPr>
            <w:tcW w:w="100" w:type="dxa"/>
            <w:vAlign w:val="bottom"/>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advertising revenues and expenses</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8"/>
                <w:szCs w:val="18"/>
                <w:color w:val="auto"/>
                <w:w w:val="98"/>
              </w:rPr>
              <w:t>(1.7)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Applebee's and Fuzzy's advertising revenue and expense for the three months ended March 31, 2024 decreased 4.1% and 1.6%, respectively, compared to the same period of the prior year primarily due to the decrease in their respective domestic franchise same-restaurant sales and decrease in effective restaurants. IHOP advertising revenue and expense for the three months ended March 31, 2024 increased 0.6% compared to the same period of the prior year, primarily due to the increase in the number of effective franchise restaurants, partially offset by a 1.7% decrease in same-restaurant sales.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ectPr>
          <w:pgSz w:w="11900" w:h="16838" w:orient="portrait"/>
          <w:cols w:equalWidth="0" w:num="1">
            <w:col w:w="11240"/>
          </w:cols>
          <w:pgMar w:left="320" w:top="225" w:right="339" w:bottom="1440" w:gutter="0" w:footer="0" w:header="0"/>
        </w:sectPr>
      </w:pP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Rental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260215"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6021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Rental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6021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6021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Rental operations gross profit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Gross profit as % of rental revenue </w:t>
      </w:r>
      <w:r>
        <w:rPr>
          <w:rFonts w:ascii="Times New Roman" w:cs="Times New Roman" w:eastAsia="Times New Roman" w:hAnsi="Times New Roman"/>
          <w:sz w:val="23"/>
          <w:szCs w:val="23"/>
          <w:color w:val="auto"/>
          <w:vertAlign w:val="superscript"/>
        </w:rPr>
        <w:t>(1)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113" w:lineRule="exact"/>
        <w:rPr>
          <w:sz w:val="20"/>
          <w:szCs w:val="20"/>
          <w:color w:val="auto"/>
        </w:rPr>
      </w:pPr>
    </w:p>
    <w:p>
      <w:pPr>
        <w:ind w:left="160" w:hanging="152"/>
        <w:spacing w:after="0"/>
        <w:tabs>
          <w:tab w:leader="none" w:pos="16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12"/>
        </w:trPr>
        <w:tc>
          <w:tcPr>
            <w:tcW w:w="2520" w:type="dxa"/>
            <w:vAlign w:val="bottom"/>
            <w:gridSpan w:val="4"/>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restart"/>
          </w:tcPr>
          <w:p>
            <w:pPr>
              <w:jc w:val="center"/>
              <w:ind w:right="60"/>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9"/>
        </w:trPr>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25.7 %</w:t>
            </w: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32.4 %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8" w:lineRule="exact"/>
        <w:rPr>
          <w:sz w:val="20"/>
          <w:szCs w:val="20"/>
          <w:color w:val="auto"/>
        </w:rPr>
      </w:pPr>
    </w:p>
    <w:p>
      <w:pPr>
        <w:sectPr>
          <w:pgSz w:w="11900" w:h="16838" w:orient="portrait"/>
          <w:cols w:equalWidth="0" w:num="2">
            <w:col w:w="6100" w:space="720"/>
            <w:col w:w="4420"/>
          </w:cols>
          <w:pgMar w:left="320" w:top="225" w:right="339" w:bottom="1440" w:gutter="0" w:footer="0" w:header="0"/>
          <w:type w:val="continuous"/>
        </w:sect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Rental operations relate primarily to IHOP franchise restaurants. Rental income includes sublease revenue from operating leases and interest income from real estate leases. Rental expenses are costs of prime operating leases and interest expense on prime finance leases.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Rental operations gross profit for the three months ended March 31, 2024 decreased as compared to the same period of the prior year, primarily due to lease buyouts in the prior year.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Company Restaurant and Financing Operations</w:t>
            </w:r>
          </w:p>
        </w:tc>
        <w:tc>
          <w:tcPr>
            <w:tcW w:w="10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Favorable</w:t>
            </w:r>
          </w:p>
        </w:tc>
      </w:tr>
      <w:tr>
        <w:trPr>
          <w:trHeight w:val="191"/>
        </w:trPr>
        <w:tc>
          <w:tcPr>
            <w:tcW w:w="6060" w:type="dxa"/>
            <w:vAlign w:val="bottom"/>
          </w:tcPr>
          <w:p>
            <w:pPr>
              <w:spacing w:after="0"/>
              <w:rPr>
                <w:sz w:val="16"/>
                <w:szCs w:val="16"/>
                <w:color w:val="auto"/>
              </w:rPr>
            </w:pPr>
          </w:p>
        </w:tc>
        <w:tc>
          <w:tcPr>
            <w:tcW w:w="118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300" w:type="dxa"/>
            <w:vAlign w:val="bottom"/>
            <w:gridSpan w:val="2"/>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(Unfavorable) Variance</w:t>
            </w:r>
          </w:p>
        </w:tc>
      </w:tr>
      <w:tr>
        <w:trPr>
          <w:trHeight w:val="195"/>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restaurant sales</w:t>
            </w:r>
          </w:p>
        </w:tc>
        <w:tc>
          <w:tcPr>
            <w:tcW w:w="100" w:type="dxa"/>
            <w:vAlign w:val="bottom"/>
          </w:tcPr>
          <w:p>
            <w:pPr>
              <w:spacing w:after="0"/>
              <w:rPr>
                <w:sz w:val="19"/>
                <w:szCs w:val="19"/>
                <w:color w:val="auto"/>
              </w:rPr>
            </w:pP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center"/>
              <w:ind w:left="793"/>
              <w:spacing w:after="0"/>
              <w:rPr>
                <w:sz w:val="20"/>
                <w:szCs w:val="20"/>
                <w:color w:val="auto"/>
              </w:rPr>
            </w:pPr>
            <w:r>
              <w:rPr>
                <w:rFonts w:ascii="Times New Roman" w:cs="Times New Roman" w:eastAsia="Times New Roman" w:hAnsi="Times New Roman"/>
                <w:sz w:val="18"/>
                <w:szCs w:val="18"/>
                <w:color w:val="auto"/>
                <w:w w:val="98"/>
              </w:rPr>
              <w:t>(0.8)</w:t>
            </w: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100" w:type="dxa"/>
            <w:vAlign w:val="bottom"/>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13"/>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company restaurants operations</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813"/>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6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revenues</w:t>
            </w:r>
          </w:p>
        </w:tc>
        <w:tc>
          <w:tcPr>
            <w:tcW w:w="100" w:type="dxa"/>
            <w:vAlign w:val="bottom"/>
          </w:tcPr>
          <w:p>
            <w:pPr>
              <w:spacing w:after="0"/>
              <w:rPr>
                <w:sz w:val="19"/>
                <w:szCs w:val="19"/>
                <w:color w:val="auto"/>
              </w:rPr>
            </w:pP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0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center"/>
              <w:ind w:left="793"/>
              <w:spacing w:after="0"/>
              <w:rPr>
                <w:sz w:val="20"/>
                <w:szCs w:val="20"/>
                <w:color w:val="auto"/>
              </w:rPr>
            </w:pPr>
            <w:r>
              <w:rPr>
                <w:rFonts w:ascii="Times New Roman" w:cs="Times New Roman" w:eastAsia="Times New Roman" w:hAnsi="Times New Roman"/>
                <w:sz w:val="18"/>
                <w:szCs w:val="18"/>
                <w:color w:val="auto"/>
                <w:w w:val="98"/>
              </w:rPr>
              <w:t>(0.3)</w:t>
            </w: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expenses</w:t>
            </w:r>
          </w:p>
        </w:tc>
        <w:tc>
          <w:tcPr>
            <w:tcW w:w="100" w:type="dxa"/>
            <w:vAlign w:val="bottom"/>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13"/>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financing operations</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793"/>
              <w:spacing w:after="0"/>
              <w:rPr>
                <w:sz w:val="20"/>
                <w:szCs w:val="20"/>
                <w:color w:val="auto"/>
              </w:rPr>
            </w:pPr>
            <w:r>
              <w:rPr>
                <w:rFonts w:ascii="Times New Roman" w:cs="Times New Roman" w:eastAsia="Times New Roman" w:hAnsi="Times New Roman"/>
                <w:sz w:val="18"/>
                <w:szCs w:val="18"/>
                <w:color w:val="auto"/>
                <w:w w:val="98"/>
              </w:rPr>
              <w:t>(0.3)</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company restaurant operations included one Fuzzy's restaurant, compared to three Fuzzy's restaurants in the prior comparable period. Company segment restaurant expenses may include costs associated with reacquired restaurants in the process of being refranchised. There were no reacquired restaurants expenses during the three months ended March 31, 2024 and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as well as interest income on notes receivable due from franchisees. Financing expenses are sales and use taxes related to IHOP equipment leases. Financing revenue and gross profit for the three months ended March 31, 2024 declined compared to the same period of the prior year, primarily due to progressive decline in interest income as note balances are repaid.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G&amp;A Expenses</w:t>
            </w:r>
          </w:p>
        </w:tc>
        <w:tc>
          <w:tcPr>
            <w:tcW w:w="80" w:type="dxa"/>
            <w:vAlign w:val="bottom"/>
          </w:tcPr>
          <w:p>
            <w:pPr>
              <w:spacing w:after="0"/>
              <w:rPr>
                <w:sz w:val="19"/>
                <w:szCs w:val="19"/>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Favorable</w:t>
            </w:r>
          </w:p>
        </w:tc>
      </w:tr>
      <w:tr>
        <w:trPr>
          <w:trHeight w:val="68"/>
        </w:trPr>
        <w:tc>
          <w:tcPr>
            <w:tcW w:w="70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jc w:val="center"/>
              <w:ind w:right="53"/>
              <w:spacing w:after="0" w:line="61" w:lineRule="exact"/>
              <w:rPr>
                <w:sz w:val="20"/>
                <w:szCs w:val="20"/>
                <w:color w:val="auto"/>
              </w:rPr>
            </w:pPr>
            <w:r>
              <w:rPr>
                <w:rFonts w:ascii="Times New Roman" w:cs="Times New Roman" w:eastAsia="Times New Roman" w:hAnsi="Times New Roman"/>
                <w:sz w:val="7"/>
                <w:szCs w:val="7"/>
                <w:b w:val="1"/>
                <w:bCs w:val="1"/>
                <w:color w:val="auto"/>
              </w:rPr>
              <w:t>(Unfavorable)</w:t>
            </w:r>
          </w:p>
        </w:tc>
      </w:tr>
      <w:tr>
        <w:trPr>
          <w:trHeight w:val="190"/>
        </w:trPr>
        <w:tc>
          <w:tcPr>
            <w:tcW w:w="70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Variance</w:t>
            </w:r>
          </w:p>
        </w:tc>
      </w:tr>
      <w:tr>
        <w:trPr>
          <w:trHeight w:val="189"/>
        </w:trPr>
        <w:tc>
          <w:tcPr>
            <w:tcW w:w="7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5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G&amp;A expenses</w:t>
            </w:r>
          </w:p>
        </w:tc>
        <w:tc>
          <w:tcPr>
            <w:tcW w:w="80" w:type="dxa"/>
            <w:vAlign w:val="bottom"/>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G&amp;A expenses for the three months ended March 31, 2024 increased 2.2% compared to the same period of the prior year, primarily due to an increase in compensation-related expenses (predominantly stock-based compensation) and an increase in consumer research expenses, partially offset by a decrease in professional services.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Items</w:t>
            </w:r>
          </w:p>
        </w:tc>
        <w:tc>
          <w:tcPr>
            <w:tcW w:w="8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Favorable</w:t>
            </w:r>
          </w:p>
        </w:tc>
      </w:tr>
      <w:tr>
        <w:trPr>
          <w:trHeight w:val="68"/>
        </w:trPr>
        <w:tc>
          <w:tcPr>
            <w:tcW w:w="70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jc w:val="center"/>
              <w:ind w:right="40"/>
              <w:spacing w:after="0" w:line="61" w:lineRule="exact"/>
              <w:rPr>
                <w:sz w:val="20"/>
                <w:szCs w:val="20"/>
                <w:color w:val="auto"/>
              </w:rPr>
            </w:pPr>
            <w:r>
              <w:rPr>
                <w:rFonts w:ascii="Times New Roman" w:cs="Times New Roman" w:eastAsia="Times New Roman" w:hAnsi="Times New Roman"/>
                <w:sz w:val="7"/>
                <w:szCs w:val="7"/>
                <w:b w:val="1"/>
                <w:bCs w:val="1"/>
                <w:color w:val="auto"/>
              </w:rPr>
              <w:t>(Unfavorable)</w:t>
            </w:r>
          </w:p>
        </w:tc>
      </w:tr>
      <w:tr>
        <w:trPr>
          <w:trHeight w:val="186"/>
        </w:trPr>
        <w:tc>
          <w:tcPr>
            <w:tcW w:w="70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Variance</w:t>
            </w:r>
          </w:p>
        </w:tc>
      </w:tr>
      <w:tr>
        <w:trPr>
          <w:trHeight w:val="23"/>
        </w:trPr>
        <w:tc>
          <w:tcPr>
            <w:tcW w:w="7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7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8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left="58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8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8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left="600"/>
              <w:spacing w:after="0"/>
              <w:rPr>
                <w:sz w:val="20"/>
                <w:szCs w:val="20"/>
                <w:color w:val="auto"/>
              </w:rPr>
            </w:pPr>
            <w:r>
              <w:rPr>
                <w:rFonts w:ascii="Times New Roman" w:cs="Times New Roman" w:eastAsia="Times New Roman" w:hAnsi="Times New Roman"/>
                <w:sz w:val="18"/>
                <w:szCs w:val="18"/>
                <w:color w:val="auto"/>
                <w:w w:val="97"/>
              </w:rPr>
              <w:t>0.1</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80" w:type="dxa"/>
            <w:vAlign w:val="bottom"/>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00"/>
              <w:spacing w:after="0"/>
              <w:rPr>
                <w:sz w:val="20"/>
                <w:szCs w:val="20"/>
                <w:color w:val="auto"/>
              </w:rPr>
            </w:pPr>
            <w:r>
              <w:rPr>
                <w:rFonts w:ascii="Times New Roman" w:cs="Times New Roman" w:eastAsia="Times New Roman" w:hAnsi="Times New Roman"/>
                <w:sz w:val="18"/>
                <w:szCs w:val="18"/>
                <w:color w:val="auto"/>
                <w:w w:val="97"/>
              </w:rPr>
              <w:t>0.3</w:t>
            </w:r>
          </w:p>
        </w:tc>
      </w:tr>
      <w:tr>
        <w:trPr>
          <w:trHeight w:val="22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58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7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 and gain on extinguishment of debt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for the three months ended March 31, 2024 increased compared to the same period of the prior year, primarily due to the higher interest rate on our refinanced securitized notes as well as borrowings from and the increase in interest rate on our Credit Facility.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the Company purchased $67.9 million of its 2019 Class A-2 Notes under par and recognized a $1.7 million gain on extinguishment of debt. For additional details, refer to Note 7, Long-Term Debt, in the Notes to Consolidated Financial Statements.</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Favorable</w:t>
            </w:r>
          </w:p>
        </w:tc>
      </w:tr>
      <w:tr>
        <w:trPr>
          <w:trHeight w:val="68"/>
        </w:trPr>
        <w:tc>
          <w:tcPr>
            <w:tcW w:w="6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jc w:val="center"/>
              <w:ind w:right="105"/>
              <w:spacing w:after="0" w:line="68" w:lineRule="exact"/>
              <w:rPr>
                <w:sz w:val="20"/>
                <w:szCs w:val="20"/>
                <w:color w:val="auto"/>
              </w:rPr>
            </w:pPr>
            <w:r>
              <w:rPr>
                <w:rFonts w:ascii="Times New Roman" w:cs="Times New Roman" w:eastAsia="Times New Roman" w:hAnsi="Times New Roman"/>
                <w:sz w:val="7"/>
                <w:szCs w:val="7"/>
                <w:b w:val="1"/>
                <w:bCs w:val="1"/>
                <w:color w:val="auto"/>
              </w:rPr>
              <w:t>(Unfavorable)</w:t>
            </w:r>
          </w:p>
        </w:tc>
      </w:tr>
      <w:tr>
        <w:trPr>
          <w:trHeight w:val="205"/>
        </w:trPr>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Variance</w:t>
            </w:r>
          </w:p>
        </w:tc>
      </w:tr>
      <w:tr>
        <w:trPr>
          <w:trHeight w:val="188"/>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income tax provision or benefit will vary from period to period in our normal course of business for two reasons: a change in income before income taxes and a change in the effective tax rate. Changes in our income before income taxes were addressed in the preceding sections of </w:t>
      </w:r>
      <w:r>
        <w:rPr>
          <w:rFonts w:ascii="Times New Roman" w:cs="Times New Roman" w:eastAsia="Times New Roman" w:hAnsi="Times New Roman"/>
          <w:sz w:val="18"/>
          <w:szCs w:val="18"/>
          <w:i w:val="1"/>
          <w:iCs w:val="1"/>
          <w:color w:val="auto"/>
        </w:rPr>
        <w:t>“Consolidated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 - Comparison of the Three Months Ended March 31, 2024 and 2023."</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2024 was higher than the rate of the prior comparable period primarily due to a lower tax deduction related to stock-based compensation.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Key provisions of our long-term debt potentially impacting liquidity are summarized below. See </w:t>
      </w:r>
      <w:r>
        <w:rPr>
          <w:rFonts w:ascii="Times New Roman" w:cs="Times New Roman" w:eastAsia="Times New Roman" w:hAnsi="Times New Roman"/>
          <w:sz w:val="18"/>
          <w:szCs w:val="18"/>
          <w:i w:val="1"/>
          <w:iCs w:val="1"/>
          <w:color w:val="auto"/>
        </w:rPr>
        <w:t>Note 7 — Long-Term Debt</w:t>
      </w:r>
      <w:r>
        <w:rPr>
          <w:rFonts w:ascii="Times New Roman" w:cs="Times New Roman" w:eastAsia="Times New Roman" w:hAnsi="Times New Roman"/>
          <w:sz w:val="18"/>
          <w:szCs w:val="18"/>
          <w:color w:val="auto"/>
        </w:rPr>
        <w:t>, of the Notes to the Consolidated Financial Statements, for additional detail on long-term debt, including the balances outstanding at March 31, 2024 and 2023.</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Instruments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long-term debt includes two series of fixed rate senior secured notes, the Series 2019-1 4.723% Fixed Rate Senior Secured Notes in an initial aggregate principal amount of $600 million (the “2019 Class A-2-II Notes”) and the Series 2023-1 7.824% Fixed Rate Senior Secured Notes, Class A-2 in an initial aggregate principal amount of $500 million (the “2023 Class A-2 Notes” and, together with the 2019 Class A-2-II Notes, the “Class A-2 Notes”). The Series 2019-1 4.194% Fixed Rate Senior Secured Notes, Class A-2-I (the “Class A-2-I Notes”) were voluntarily repaid in full on April 17, 2023. For a description of the 2019 Class A-2-I Notes,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included in the Company’s Annual Report on Form 10-K for the year ended December 31, 2022.</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long-term debt also includes a revolving financing facility, the 2022-1 Variable Funding Senior Notes, Class A-1 (the “Credit Facility”) that allows for drawings up to $325 million of variable funding notes on a revolving basis and the issuance of letters of credit.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2019 Class A-2-II Notes is in June 2049, but it is anticipated that, unless repaid earlier, the 2019 Class A-2-II Notes will be repaid in June 2026.</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Payment of Principal and Interest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Class A-2 Notes are outstanding, payment of principal and interest is required to be made on the Class A-2 Notes on a quarterly basis. The payment of principal on the Class A-2 Notes may be suspended when the leverage ratio for the Company and its subsidiaries is less than or equal to 5.25x. As of March 31, 2024, our leverage ratio was approximately 4.3x. Therefore, quarterly principal payments are not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Exceeding the leverage ratio of 5.25x does not violate any covenant related to the Class A-2 Notes.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our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Make-whole Premiums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voluntarily repay the Class A-2 Notes at any time; however, if repaid prior to certain dates we would be required to pay make-whole premiums. As of March 31, 2024, there was no make-whole premium associated with voluntary prepayment of the 2019 Class A-2-II Notes. As of March 31, 2024, the make-whole premium associated with voluntary prepayment of the 2023 Class A-2 Notes was approximately $35.5 million. We also would be subject to a make-whole premium in the event of a mandatory prepayment required following certain rapid amortization events or certain asset dispositions. The mandatory make-whole premium requirements are considered derivatives embedded that must be bifurcated for separate valuation. We estimated the fair value of these derivatives to be immaterial as of March 31, 2024, based on the probability-weighted discounted cash flows associated with either event.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Covenants and Restrictions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debt is subject to a series of covenants and restrictions customary for transactions of this type, including maintenance of a debt service coverage ratio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maintain a prescribed DSCR can trigger the following events:</w:t>
      </w:r>
    </w:p>
    <w:p>
      <w:pPr>
        <w:spacing w:after="0" w:line="117"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DSCR for the reporting period ended March 31, 2024 was approximately 3.5x.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Secured Overnight Financing Rate (“SOFR”),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SOFR for a one-month tenor in effect at such time plus 0.50% plus (b) 2.00%.</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the outstanding balance of the Credit Facility was $100 million. The amount of $3.4 million was pledged against the Credit Facility for outstanding letters of credit, leaving $221.6 million of the Credit Facility available for borrowing at March 31, 2024.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on Credit Facility borrowings for the period outstanding during the three months ended March 31, 2024 was 7.95%.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per share for the three months ended March 31, 2024 and 2023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Borders>
              <w:bottom w:val="single" w:sz="8" w:color="auto"/>
            </w:tcBorders>
            <w:gridSpan w:val="5"/>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60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80" w:type="dxa"/>
            <w:vAlign w:val="bottom"/>
          </w:tcPr>
          <w:p>
            <w:pPr>
              <w:spacing w:after="0"/>
              <w:rPr>
                <w:sz w:val="19"/>
                <w:szCs w:val="19"/>
                <w:color w:val="auto"/>
              </w:rPr>
            </w:pP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80" w:type="dxa"/>
            <w:vAlign w:val="bottom"/>
          </w:tcPr>
          <w:p>
            <w:pPr>
              <w:spacing w:after="0"/>
              <w:rPr>
                <w:sz w:val="20"/>
                <w:szCs w:val="20"/>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paid dividends of $7.8 million and $16.0 million,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26, 2024, the Board of Directors declared a first quarter 2024 cash dividend of $0.51 per share of common stock, paid on April 5, 2024 to the stockholders of record as of the close of business on March 20,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128,479 shares of common stock at a cost of $6.0 million. Cumulatively, the Company has repurchased 1,724,257 shares at a cost of $110.7 million under the 2022 Repurchase Program.</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three months ended March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summary, our cash flows for the three months ended March 31, 2024 and March 31, 2023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8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60" w:type="dxa"/>
            <w:vAlign w:val="bottom"/>
            <w:gridSpan w:val="2"/>
          </w:tcPr>
          <w:p>
            <w:pPr>
              <w:spacing w:after="0"/>
              <w:rPr>
                <w:sz w:val="19"/>
                <w:szCs w:val="19"/>
                <w:color w:val="auto"/>
              </w:rPr>
            </w:pPr>
          </w:p>
        </w:tc>
        <w:tc>
          <w:tcPr>
            <w:tcW w:w="8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3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9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Cash provided by operating activities is primarily driven by revenues earned and collected from our franchisees, and profit from our rental operations, financing operations and our company-owned restaurant. Cash provided by operating activities increased $14.5 million during the three months ended March 31, 2024 compared to the same period of the prior year. This increase was primarily attributable to a favorable increase in working capital from a shift in timing of income tax payments and the collection of an income tax settlement and accounts receivable, partially offset by a decrease in gross segment profit as discussed in the preceding sections of this MD&amp;A.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used net cash of $1.2 million for the three months ended March 31, 2024 compared to investing activities provided net cash of $12.7 million for the three months ended March 31, 2023. The decrease was primarily attributable to a decrease in capital expenditures compared to the same period of the prior year. The Company increased spending in information technology and other projects in fiscal year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Financing activities used net cash of $17.8 million for the three months ended March 31, 2024. The decrease in cash used by financing activities of $75.4 million was primarily due to the repayment of long-term debt of $66.6 million and two dividend distributions during the three months ended March 31, 2023. There was no repayment of long-term debt and one dividend distribution during the three months ended March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-127635</wp:posOffset>
            </wp:positionV>
            <wp:extent cx="408051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080510" cy="14605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receipts from notes and equipment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408051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8051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additions to property and equipment</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Adjusted free cash flow</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6"/>
        </w:trPr>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5900" w:space="720"/>
            <w:col w:w="4620"/>
          </w:cols>
          <w:pgMar w:left="320" w:top="225" w:right="339" w:bottom="1440" w:gutter="0" w:footer="0" w:header="0"/>
          <w:type w:val="continuous"/>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free cash flow for the three months ended March 31, 2024 improved compared to the same period of the prior year due to the increase in cash flows provided by operating activities, decrease in capital expenditures and an increase in receipts from notes and equipment contracts receivable.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contractual obligations as disclosed in our Annual Report on Form 10-K for the year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2"/>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our critical accounting estimates is included in Management’s Discussion and Analysis of Financial Condition and Results of Operations contained in our Annual Report on Form 10-K for the year ended December 31, 2023. During the three months ended March 31, 2024, there were no significant changes in our critical accounting policies or in our critical accounting estimates.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from the information contained in the Company’s Annual Report on Form 10-K for the year ended December 31,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20" w:firstLine="42"/>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Item 1A of Part I of the Company’s Annual Report on Form 10-K for the fiscal year ended December 31,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3580" w:type="dxa"/>
            <w:vAlign w:val="bottom"/>
          </w:tcPr>
          <w:p>
            <w:pPr>
              <w:jc w:val="center"/>
              <w:ind w:left="164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40" w:type="dxa"/>
            <w:vAlign w:val="bottom"/>
          </w:tcPr>
          <w:p>
            <w:pPr>
              <w:spacing w:after="0"/>
              <w:rPr>
                <w:sz w:val="13"/>
                <w:szCs w:val="13"/>
                <w:color w:val="auto"/>
              </w:rPr>
            </w:pPr>
          </w:p>
        </w:tc>
        <w:tc>
          <w:tcPr>
            <w:tcW w:w="15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6"/>
        </w:trPr>
        <w:tc>
          <w:tcPr>
            <w:tcW w:w="2340" w:type="dxa"/>
            <w:vAlign w:val="bottom"/>
          </w:tcPr>
          <w:p>
            <w:pPr>
              <w:spacing w:after="0"/>
              <w:rPr>
                <w:sz w:val="12"/>
                <w:szCs w:val="12"/>
                <w:color w:val="auto"/>
              </w:rPr>
            </w:pPr>
          </w:p>
        </w:tc>
        <w:tc>
          <w:tcPr>
            <w:tcW w:w="3580" w:type="dxa"/>
            <w:vAlign w:val="bottom"/>
          </w:tcPr>
          <w:p>
            <w:pPr>
              <w:jc w:val="center"/>
              <w:ind w:left="1648"/>
              <w:spacing w:after="0" w:line="146"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0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7"/>
        </w:trPr>
        <w:tc>
          <w:tcPr>
            <w:tcW w:w="2340" w:type="dxa"/>
            <w:vAlign w:val="bottom"/>
          </w:tcPr>
          <w:p>
            <w:pPr>
              <w:spacing w:after="0"/>
              <w:rPr>
                <w:sz w:val="11"/>
                <w:szCs w:val="11"/>
                <w:color w:val="auto"/>
              </w:rPr>
            </w:pPr>
          </w:p>
        </w:tc>
        <w:tc>
          <w:tcPr>
            <w:tcW w:w="3580" w:type="dxa"/>
            <w:vAlign w:val="bottom"/>
          </w:tcPr>
          <w:p>
            <w:pPr>
              <w:jc w:val="center"/>
              <w:ind w:left="1648"/>
              <w:spacing w:after="0" w:line="137" w:lineRule="exact"/>
              <w:rPr>
                <w:sz w:val="20"/>
                <w:szCs w:val="20"/>
                <w:color w:val="auto"/>
              </w:rPr>
            </w:pPr>
            <w:r>
              <w:rPr>
                <w:rFonts w:ascii="Times New Roman" w:cs="Times New Roman" w:eastAsia="Times New Roman" w:hAnsi="Times New Roman"/>
                <w:sz w:val="14"/>
                <w:szCs w:val="14"/>
                <w:b w:val="1"/>
                <w:bCs w:val="1"/>
                <w:color w:val="auto"/>
              </w:rPr>
              <w:t>purchased to satisfy tax</w:t>
            </w:r>
          </w:p>
        </w:tc>
        <w:tc>
          <w:tcPr>
            <w:tcW w:w="1340" w:type="dxa"/>
            <w:vAlign w:val="bottom"/>
            <w:vMerge w:val="continue"/>
          </w:tcPr>
          <w:p>
            <w:pPr>
              <w:spacing w:after="0"/>
              <w:rPr>
                <w:sz w:val="11"/>
                <w:szCs w:val="11"/>
                <w:color w:val="auto"/>
              </w:rPr>
            </w:pPr>
          </w:p>
        </w:tc>
        <w:tc>
          <w:tcPr>
            <w:tcW w:w="150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0" w:type="dxa"/>
            <w:vAlign w:val="bottom"/>
          </w:tcPr>
          <w:p>
            <w:pPr>
              <w:spacing w:after="0"/>
              <w:rPr>
                <w:sz w:val="1"/>
                <w:szCs w:val="1"/>
                <w:color w:val="auto"/>
              </w:rPr>
            </w:pPr>
          </w:p>
        </w:tc>
      </w:tr>
      <w:tr>
        <w:trPr>
          <w:trHeight w:val="14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580" w:type="dxa"/>
            <w:vAlign w:val="bottom"/>
          </w:tcPr>
          <w:p>
            <w:pPr>
              <w:jc w:val="center"/>
              <w:ind w:left="1648"/>
              <w:spacing w:after="0" w:line="146" w:lineRule="exact"/>
              <w:rPr>
                <w:sz w:val="20"/>
                <w:szCs w:val="20"/>
                <w:color w:val="auto"/>
              </w:rPr>
            </w:pPr>
            <w:r>
              <w:rPr>
                <w:rFonts w:ascii="Times New Roman" w:cs="Times New Roman" w:eastAsia="Times New Roman" w:hAnsi="Times New Roman"/>
                <w:sz w:val="14"/>
                <w:szCs w:val="14"/>
                <w:b w:val="1"/>
                <w:bCs w:val="1"/>
                <w:color w:val="auto"/>
              </w:rPr>
              <w:t>withholding obligations</w:t>
            </w: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50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93"/>
        </w:trPr>
        <w:tc>
          <w:tcPr>
            <w:tcW w:w="2340" w:type="dxa"/>
            <w:vAlign w:val="bottom"/>
            <w:vMerge w:val="continue"/>
          </w:tcPr>
          <w:p>
            <w:pPr>
              <w:spacing w:after="0"/>
              <w:rPr>
                <w:sz w:val="16"/>
                <w:szCs w:val="16"/>
                <w:color w:val="auto"/>
              </w:rPr>
            </w:pPr>
          </w:p>
        </w:tc>
        <w:tc>
          <w:tcPr>
            <w:tcW w:w="3580" w:type="dxa"/>
            <w:vAlign w:val="bottom"/>
          </w:tcPr>
          <w:p>
            <w:pPr>
              <w:jc w:val="center"/>
              <w:ind w:left="1648"/>
              <w:spacing w:after="0"/>
              <w:rPr>
                <w:sz w:val="20"/>
                <w:szCs w:val="20"/>
                <w:color w:val="auto"/>
              </w:rPr>
            </w:pPr>
            <w:r>
              <w:rPr>
                <w:rFonts w:ascii="Times New Roman" w:cs="Times New Roman" w:eastAsia="Times New Roman" w:hAnsi="Times New Roman"/>
                <w:sz w:val="14"/>
                <w:szCs w:val="14"/>
                <w:b w:val="1"/>
                <w:bCs w:val="1"/>
                <w:color w:val="auto"/>
              </w:rPr>
              <w:t>(a)</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spacing w:after="0" w:line="6" w:lineRule="exact"/>
        <w:rPr>
          <w:sz w:val="20"/>
          <w:szCs w:val="20"/>
          <w:color w:val="auto"/>
        </w:rPr>
      </w:pPr>
    </w:p>
    <w:p>
      <w:pPr>
        <w:ind w:left="240" w:right="480" w:hanging="52"/>
        <w:spacing w:after="0" w:line="211" w:lineRule="auto"/>
        <w:rPr>
          <w:sz w:val="20"/>
          <w:szCs w:val="20"/>
          <w:color w:val="auto"/>
        </w:rPr>
      </w:pPr>
      <w:r>
        <w:rPr>
          <w:rFonts w:ascii="Times New Roman" w:cs="Times New Roman" w:eastAsia="Times New Roman" w:hAnsi="Times New Roman"/>
          <w:sz w:val="14"/>
          <w:szCs w:val="14"/>
          <w:b w:val="1"/>
          <w:bCs w:val="1"/>
          <w:color w:val="auto"/>
        </w:rPr>
        <w:t>shares that may yet be purchased under the</w:t>
      </w:r>
    </w:p>
    <w:p>
      <w:pPr>
        <w:ind w:left="200"/>
        <w:spacing w:after="0"/>
        <w:rPr>
          <w:sz w:val="20"/>
          <w:szCs w:val="20"/>
          <w:color w:val="auto"/>
        </w:rPr>
      </w:pPr>
      <w:r>
        <w:rPr>
          <w:rFonts w:ascii="Times New Roman" w:cs="Times New Roman" w:eastAsia="Times New Roman" w:hAnsi="Times New Roman"/>
          <w:sz w:val="14"/>
          <w:szCs w:val="14"/>
          <w:b w:val="1"/>
          <w:bCs w:val="1"/>
          <w:color w:val="auto"/>
        </w:rPr>
        <w:t>plans or programs (b)</w:t>
      </w:r>
    </w:p>
    <w:p>
      <w:pPr>
        <w:spacing w:after="0" w:line="25" w:lineRule="exact"/>
        <w:rPr>
          <w:sz w:val="20"/>
          <w:szCs w:val="20"/>
          <w:color w:val="auto"/>
        </w:rPr>
      </w:pPr>
    </w:p>
    <w:p>
      <w:pPr>
        <w:sectPr>
          <w:pgSz w:w="11900" w:h="16838" w:orient="portrait"/>
          <w:cols w:equalWidth="0" w:num="2">
            <w:col w:w="8780" w:space="420"/>
            <w:col w:w="204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 January 28, 2024</w:t>
            </w:r>
          </w:p>
        </w:tc>
        <w:tc>
          <w:tcPr>
            <w:tcW w:w="120" w:type="dxa"/>
            <w:vAlign w:val="bottom"/>
          </w:tcPr>
          <w:p>
            <w:pPr>
              <w:spacing w:after="0"/>
              <w:rPr>
                <w:sz w:val="20"/>
                <w:szCs w:val="20"/>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120" w:type="dxa"/>
            <w:vAlign w:val="bottom"/>
          </w:tcPr>
          <w:p>
            <w:pPr>
              <w:spacing w:after="0"/>
              <w:rPr>
                <w:sz w:val="20"/>
                <w:szCs w:val="20"/>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44,834</w:t>
            </w:r>
          </w:p>
        </w:tc>
        <w:tc>
          <w:tcPr>
            <w:tcW w:w="100" w:type="dxa"/>
            <w:vAlign w:val="bottom"/>
          </w:tcPr>
          <w:p>
            <w:pPr>
              <w:spacing w:after="0"/>
              <w:rPr>
                <w:sz w:val="20"/>
                <w:szCs w:val="20"/>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143,266,000</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29, 2024 - February 25, 2024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43,276</w:t>
            </w:r>
          </w:p>
        </w:tc>
        <w:tc>
          <w:tcPr>
            <w:tcW w:w="6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141,266,000</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26, 2024 - March 31, 2024</w:t>
            </w:r>
          </w:p>
        </w:tc>
        <w:tc>
          <w:tcPr>
            <w:tcW w:w="120" w:type="dxa"/>
            <w:vAlign w:val="bottom"/>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48,673</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w:t>
            </w:r>
          </w:p>
        </w:tc>
        <w:tc>
          <w:tcPr>
            <w:tcW w:w="12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40,369</w:t>
            </w:r>
          </w:p>
        </w:tc>
        <w:tc>
          <w:tcPr>
            <w:tcW w:w="100" w:type="dxa"/>
            <w:vAlign w:val="bottom"/>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139,266,000</w:t>
            </w:r>
          </w:p>
        </w:tc>
      </w:tr>
      <w:tr>
        <w:trPr>
          <w:trHeight w:val="210"/>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48,673</w:t>
            </w:r>
          </w:p>
        </w:tc>
        <w:tc>
          <w:tcPr>
            <w:tcW w:w="6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128,479</w:t>
            </w:r>
          </w:p>
        </w:tc>
        <w:tc>
          <w:tcPr>
            <w:tcW w:w="6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139,266,000</w:t>
            </w: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80" w:lineRule="exact"/>
        <w:rPr>
          <w:sz w:val="20"/>
          <w:szCs w:val="20"/>
          <w:color w:val="auto"/>
        </w:rPr>
      </w:pPr>
    </w:p>
    <w:p>
      <w:pPr>
        <w:ind w:left="260" w:right="240" w:hanging="252"/>
        <w:spacing w:after="0" w:line="233" w:lineRule="auto"/>
        <w:tabs>
          <w:tab w:leader="none" w:pos="157"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include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spacing w:after="0" w:line="96" w:lineRule="exact"/>
        <w:rPr>
          <w:rFonts w:ascii="Times New Roman" w:cs="Times New Roman" w:eastAsia="Times New Roman" w:hAnsi="Times New Roman"/>
          <w:sz w:val="19"/>
          <w:szCs w:val="19"/>
          <w:color w:val="auto"/>
          <w:vertAlign w:val="superscript"/>
        </w:rPr>
      </w:pPr>
    </w:p>
    <w:p>
      <w:pPr>
        <w:ind w:left="260" w:right="240" w:hanging="252"/>
        <w:spacing w:after="0" w:line="230" w:lineRule="auto"/>
        <w:tabs>
          <w:tab w:leader="none" w:pos="257"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February 17, 2022, the Company's Board of Directors authorized a share repurchase program, effective April 1, 2022, of up to $250 million (the “2022 Repurchase Program”). The 2022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fiscal quarter ended March 31, 2024, none of our directors or officers (as defined in Rule 16a-1(f) under the Exchange Act) adopted,</w:t>
      </w:r>
    </w:p>
    <w:p>
      <w:pPr>
        <w:spacing w:after="0" w:line="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modified, or terminated a Rule 10b5-1 trading plan or a non-Rule 10b5-1 trading arrangement for our securities (as defined in Item 408(c) of Regulation S-K).</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*31.1</w:t>
            </w:r>
          </w:p>
        </w:tc>
        <w:tc>
          <w:tcPr>
            <w:tcW w:w="8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of the Securities Exchange Act of 1934, as amended.</w:t>
            </w:r>
          </w:p>
        </w:tc>
        <w:tc>
          <w:tcPr>
            <w:tcW w:w="980" w:type="dxa"/>
            <w:vAlign w:val="bottom"/>
            <w:gridSpan w:val="3"/>
          </w:tcPr>
          <w:p>
            <w:pPr>
              <w:spacing w:after="0"/>
              <w:rPr>
                <w:sz w:val="24"/>
                <w:szCs w:val="24"/>
                <w:color w:val="auto"/>
              </w:rPr>
            </w:pPr>
          </w:p>
        </w:tc>
      </w:tr>
      <w:tr>
        <w:trPr>
          <w:trHeight w:val="20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 Securities Exchange Act of 1934, as amended.</w:t>
            </w:r>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*32.1</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38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7720" w:type="dxa"/>
            <w:vAlign w:val="bottom"/>
            <w:tcBorders>
              <w:top w:val="single" w:sz="8" w:color="0000FF"/>
            </w:tcBorders>
            <w:gridSpan w:val="3"/>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p>
        </w:tc>
      </w:tr>
      <w:tr>
        <w:trPr>
          <w:trHeight w:val="155"/>
        </w:trPr>
        <w:tc>
          <w:tcPr>
            <w:tcW w:w="138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5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380" w:type="dxa"/>
            <w:vAlign w:val="bottom"/>
          </w:tcPr>
          <w:p>
            <w:pPr>
              <w:spacing w:after="0"/>
              <w:rPr>
                <w:sz w:val="20"/>
                <w:szCs w:val="20"/>
                <w:color w:val="auto"/>
              </w:rPr>
            </w:pPr>
          </w:p>
        </w:tc>
        <w:tc>
          <w:tcPr>
            <w:tcW w:w="97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3"/>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3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3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ind w:left="1380" w:hanging="620"/>
        <w:spacing w:after="0"/>
        <w:tabs>
          <w:tab w:leader="none" w:pos="13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500" w:hanging="492"/>
        <w:spacing w:after="0" w:line="266" w:lineRule="auto"/>
        <w:tabs>
          <w:tab w:leader="none" w:pos="3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1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Dine Brands Global,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5" w:lineRule="exact"/>
        <w:rPr>
          <w:sz w:val="20"/>
          <w:szCs w:val="20"/>
          <w:color w:val="auto"/>
        </w:rPr>
      </w:pPr>
    </w:p>
    <w:p>
      <w:pPr>
        <w:ind w:left="82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8th day of May,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9" w:lineRule="exact"/>
        <w:rPr>
          <w:sz w:val="20"/>
          <w:szCs w:val="20"/>
          <w:color w:val="auto"/>
        </w:rPr>
      </w:pPr>
    </w:p>
    <w:p>
      <w:pPr>
        <w:ind w:left="820"/>
        <w:spacing w:after="0"/>
        <w:tabs>
          <w:tab w:leader="none" w:pos="5800" w:val="left"/>
          <w:tab w:leader="none" w:pos="7420" w:val="left"/>
        </w:tabs>
        <w:rPr>
          <w:sz w:val="20"/>
          <w:szCs w:val="20"/>
          <w:color w:val="auto"/>
        </w:rPr>
      </w:pPr>
      <w:r>
        <w:rPr>
          <w:rFonts w:ascii="Times New Roman" w:cs="Times New Roman" w:eastAsia="Times New Roman" w:hAnsi="Times New Roman"/>
          <w:sz w:val="18"/>
          <w:szCs w:val="18"/>
          <w:color w:val="auto"/>
        </w:rPr>
        <w:t>Dated: 8th day of May,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2" w:lineRule="exact"/>
        <w:rPr>
          <w:sz w:val="20"/>
          <w:szCs w:val="20"/>
          <w:color w:val="auto"/>
        </w:rPr>
      </w:pPr>
    </w:p>
    <w:p>
      <w:pPr>
        <w:ind w:left="820"/>
        <w:spacing w:after="0"/>
        <w:tabs>
          <w:tab w:leader="none" w:pos="5800" w:val="left"/>
          <w:tab w:leader="none" w:pos="7560" w:val="left"/>
        </w:tabs>
        <w:rPr>
          <w:sz w:val="20"/>
          <w:szCs w:val="20"/>
          <w:color w:val="auto"/>
        </w:rPr>
      </w:pPr>
      <w:r>
        <w:rPr>
          <w:rFonts w:ascii="Times New Roman" w:cs="Times New Roman" w:eastAsia="Times New Roman" w:hAnsi="Times New Roman"/>
          <w:sz w:val="18"/>
          <w:szCs w:val="18"/>
          <w:color w:val="auto"/>
        </w:rPr>
        <w:t>Dated: 8th day of May,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Allison Hall</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ind w:left="70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ectPr>
          <w:pgSz w:w="11900" w:h="16838" w:orient="portrait"/>
          <w:cols w:equalWidth="0" w:num="1">
            <w:col w:w="11200"/>
          </w:cols>
          <w:pgMar w:left="320" w:top="225" w:right="379" w:bottom="1440" w:gutter="0" w:footer="0" w:header="0"/>
        </w:sectPr>
      </w:pPr>
    </w:p>
    <w:bookmarkStart w:id="43" w:name="page44"/>
    <w:bookmarkEnd w:id="4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131" w:lineRule="exact"/>
        <w:rPr>
          <w:sz w:val="20"/>
          <w:szCs w:val="20"/>
          <w:color w:val="auto"/>
        </w:rPr>
      </w:pPr>
    </w:p>
    <w:p>
      <w:pPr>
        <w:ind w:left="680" w:hanging="672"/>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6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6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98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656"/>
        <w:spacing w:after="0" w:line="282" w:lineRule="auto"/>
        <w:tabs>
          <w:tab w:leader="none" w:pos="121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5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0" w:firstLine="656"/>
        <w:spacing w:after="0" w:line="282" w:lineRule="auto"/>
        <w:tabs>
          <w:tab w:leader="none" w:pos="120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656"/>
        <w:spacing w:after="0" w:line="282" w:lineRule="auto"/>
        <w:tabs>
          <w:tab w:leader="none" w:pos="11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840"/>
        <w:spacing w:after="0"/>
        <w:tabs>
          <w:tab w:leader="none" w:pos="8580" w:val="left"/>
        </w:tabs>
        <w:rPr>
          <w:sz w:val="20"/>
          <w:szCs w:val="20"/>
          <w:color w:val="auto"/>
        </w:rPr>
      </w:pPr>
      <w:r>
        <w:rPr>
          <w:rFonts w:ascii="Times New Roman" w:cs="Times New Roman" w:eastAsia="Times New Roman" w:hAnsi="Times New Roman"/>
          <w:sz w:val="18"/>
          <w:szCs w:val="18"/>
          <w:color w:val="auto"/>
        </w:rPr>
        <w:t>Dated: 8th day of May, 2024</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831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9"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28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0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117" w:lineRule="exact"/>
        <w:rPr>
          <w:sz w:val="20"/>
          <w:szCs w:val="20"/>
          <w:color w:val="auto"/>
        </w:rPr>
      </w:pPr>
    </w:p>
    <w:p>
      <w:pPr>
        <w:ind w:left="680" w:hanging="672"/>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7"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840"/>
        <w:spacing w:after="0"/>
        <w:tabs>
          <w:tab w:leader="none" w:pos="8540" w:val="left"/>
        </w:tabs>
        <w:rPr>
          <w:sz w:val="20"/>
          <w:szCs w:val="20"/>
          <w:color w:val="auto"/>
        </w:rPr>
      </w:pPr>
      <w:r>
        <w:rPr>
          <w:rFonts w:ascii="Times New Roman" w:cs="Times New Roman" w:eastAsia="Times New Roman" w:hAnsi="Times New Roman"/>
          <w:sz w:val="18"/>
          <w:szCs w:val="18"/>
          <w:color w:val="auto"/>
        </w:rPr>
        <w:t>Dated: 8th day of May, 2024</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488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5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Vance Y. Chang</w:t>
      </w:r>
    </w:p>
    <w:p>
      <w:pPr>
        <w:ind w:left="8400"/>
        <w:spacing w:after="0" w:line="20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0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March 31, 2024, as filed with the Securities and Exchange Commission on the 8th day of May, 2024 (the “Report”), John W. Peyton, as Chief Executive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8th day of May, 2024</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r>
      <w:tr>
        <w:trPr>
          <w:trHeight w:val="216"/>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r>
      <w:tr>
        <w:trPr>
          <w:trHeight w:val="182"/>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March 31, 2024, as filed with the Securities and Exchange Commission on the 8th day of May, 2024 (the “Report”), Vance Y. Chang, as Chief Financial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8th day of May, 2024</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Vance Y. Chang</w:t>
            </w:r>
          </w:p>
        </w:tc>
      </w:tr>
      <w:tr>
        <w:trPr>
          <w:trHeight w:val="216"/>
        </w:trPr>
        <w:tc>
          <w:tcPr>
            <w:tcW w:w="6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r>
      <w:tr>
        <w:trPr>
          <w:trHeight w:val="182"/>
        </w:trPr>
        <w:tc>
          <w:tcPr>
            <w:tcW w:w="6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5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6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7"/>
    </w:lvl>
    <w:lvl w:ilvl="1">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3"/>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
      <w:numFmt w:val="bullet"/>
      <w:start w:val="1"/>
    </w:lvl>
    <w:lvl w:ilvl="1">
      <w:lvlJc w:val="left"/>
      <w:lvlText w:val="%2"/>
      <w:numFmt w:val="decimal"/>
      <w:start w:val="104"/>
    </w:lvl>
  </w:abstractNum>
  <w:abstractNum w:abstractNumId="25">
    <w:nsid w:val="836C40E"/>
    <w:multiLevelType w:val="hybridMultilevel"/>
    <w:lvl w:ilvl="0">
      <w:lvlJc w:val="left"/>
      <w:lvlText w:val="**"/>
      <w:numFmt w:val="bullet"/>
      <w:start w:val="1"/>
    </w:lvl>
    <w:lvl w:ilvl="1">
      <w:lvlJc w:val="left"/>
      <w:lvlText w:val="%2"/>
      <w:numFmt w:val="decimal"/>
      <w:start w:val="1"/>
    </w:lvl>
  </w:abstractNum>
  <w:abstractNum w:abstractNumId="26">
    <w:nsid w:val="2901D82"/>
    <w:multiLevelType w:val="hybridMultilevel"/>
    <w:lvl w:ilvl="0">
      <w:lvlJc w:val="left"/>
      <w:lvlText w:val="***"/>
      <w:numFmt w:val="bullet"/>
      <w:start w:val="1"/>
    </w:lvl>
    <w:lvl w:ilvl="1">
      <w:lvlJc w:val="left"/>
      <w:lvlText w:val="%2"/>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2024-05-08T06:41:55Z</dcterms:created>
  <dcterms:modified xsi:type="dcterms:W3CDTF">2024-05-08T06:41:55Z</dcterms:modified>
</cp:coreProperties>
</file>