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9.jpeg" ContentType="image/jpeg"/>
  <Override PartName="/word/media/image81.jpeg" ContentType="image/jpeg"/>
  <Override PartName="/word/media/image68.jpeg" ContentType="image/jpeg"/>
  <Override PartName="/word/media/image80.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72.jpeg" ContentType="image/jpeg"/>
  <Override PartName="/word/media/image59.jpeg" ContentType="image/jpeg"/>
  <Override PartName="/word/media/image16.jpeg" ContentType="image/jpeg"/>
  <Override PartName="/word/media/image46.jpeg" ContentType="image/jpeg"/>
  <Override PartName="/word/media/image71.jpeg" ContentType="image/jpeg"/>
  <Override PartName="/word/media/image58.jpeg" ContentType="image/jpeg"/>
  <Override PartName="/word/media/image15.jpeg" ContentType="image/jpeg"/>
  <Override PartName="/word/media/image45.jpeg" ContentType="image/jpeg"/>
  <Override PartName="/word/media/image70.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79.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78.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73.jpeg" ContentType="image/jpeg"/>
  <Override PartName="/word/media/image17.jpeg" ContentType="image/jpeg"/>
  <Override PartName="/word/media/image30.jpeg" ContentType="image/jpeg"/>
  <Override PartName="/word/media/image74.jpeg" ContentType="image/jpeg"/>
  <Override PartName="/word/media/image18.jpeg" ContentType="image/jpeg"/>
  <Override PartName="/word/media/image31.jpeg" ContentType="image/jpeg"/>
  <Override PartName="/word/media/image75.jpeg" ContentType="image/jpeg"/>
  <Override PartName="/word/media/image19.jpeg" ContentType="image/jpeg"/>
  <Override PartName="/word/media/image32.jpeg" ContentType="image/jpeg"/>
  <Override PartName="/word/media/image76.jpeg" ContentType="image/jpeg"/>
  <Override PartName="/word/media/image1.jpeg" ContentType="image/jpeg"/>
  <Override PartName="/word/media/image33.jpeg" ContentType="image/jpeg"/>
  <Override PartName="/word/media/image77.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16694ddef14a.htm"/>
        <w:bookmarkStart w:id="1" w:name="ksd116694ddef14a"/>
        <w:bookmarkEnd w:id="0"/>
        <w:bookmarkEnd w:id="1"/>
        <w:r>
          <w:rPr>
            <w:rStyle w:val="InternetLink"/>
          </w:rPr>
          <w:t>Table of Contents</w:t>
        </w:r>
      </w:hyperlink>
    </w:p>
    <w:p>
      <w:pPr>
        <w:pStyle w:val="TextBody"/>
        <w:spacing w:before="0" w:after="0"/>
        <w:jc w:val="center"/>
        <w:rPr>
          <w:rFonts w:ascii="arial" w:hAnsi="arial"/>
          <w:b/>
          <w:sz w:val="20"/>
        </w:rPr>
      </w:pPr>
      <w:r>
        <w:rPr>
          <w:rFonts w:ascii="arial" w:hAnsi="arial"/>
          <w:b/>
          <w:sz w:val="20"/>
        </w:rPr>
        <w:t xml:space="preserve">UNITED STATES </w:t>
      </w:r>
    </w:p>
    <w:p>
      <w:pPr>
        <w:pStyle w:val="TextBody"/>
        <w:spacing w:before="0" w:after="0"/>
        <w:jc w:val="center"/>
        <w:rPr>
          <w:rFonts w:ascii="arial" w:hAnsi="arial"/>
          <w:b/>
          <w:sz w:val="20"/>
        </w:rPr>
      </w:pPr>
      <w:r>
        <w:rPr>
          <w:rFonts w:ascii="arial" w:hAnsi="arial"/>
          <w:b/>
          <w:sz w:val="20"/>
        </w:rPr>
        <w:t xml:space="preserve">SECURITIES AND EXCHANGE COMMISSION </w:t>
      </w:r>
    </w:p>
    <w:p>
      <w:pPr>
        <w:pStyle w:val="TextBody"/>
        <w:spacing w:before="0" w:after="0"/>
        <w:jc w:val="center"/>
        <w:rPr>
          <w:rFonts w:ascii="arial" w:hAnsi="arial"/>
          <w:b/>
          <w:sz w:val="20"/>
        </w:rPr>
      </w:pPr>
      <w:r>
        <w:rPr>
          <w:rFonts w:ascii="arial" w:hAnsi="arial"/>
          <w:b/>
          <w:sz w:val="20"/>
        </w:rPr>
        <w:t xml:space="preserve">Washington, D.C. 20549 </w:t>
      </w:r>
    </w:p>
    <w:p>
      <w:pPr>
        <w:pStyle w:val="TextBody"/>
        <w:spacing w:before="0" w:after="0"/>
        <w:jc w:val="left"/>
        <w:rPr/>
      </w:pPr>
      <w:r>
        <w:rPr/>
        <w:t> </w:t>
      </w:r>
    </w:p>
    <w:p>
      <w:pPr>
        <w:pStyle w:val="TextBody"/>
        <w:spacing w:before="200" w:after="0"/>
        <w:jc w:val="center"/>
        <w:rPr>
          <w:rFonts w:ascii="arial" w:hAnsi="arial"/>
          <w:b/>
          <w:sz w:val="28"/>
        </w:rPr>
      </w:pPr>
      <w:r>
        <w:rPr>
          <w:rFonts w:ascii="arial" w:hAnsi="arial"/>
          <w:b/>
          <w:sz w:val="28"/>
        </w:rPr>
        <w:t xml:space="preserve">SCHEDULE 14A </w:t>
      </w:r>
    </w:p>
    <w:p>
      <w:pPr>
        <w:pStyle w:val="TextBody"/>
        <w:spacing w:before="0" w:after="0"/>
        <w:jc w:val="left"/>
        <w:rPr/>
      </w:pPr>
      <w:r>
        <w:rPr/>
        <w:t> </w:t>
      </w:r>
    </w:p>
    <w:p>
      <w:pPr>
        <w:pStyle w:val="TextBody"/>
        <w:spacing w:before="200" w:after="0"/>
        <w:jc w:val="center"/>
        <w:rPr>
          <w:rFonts w:ascii="arial" w:hAnsi="arial"/>
          <w:sz w:val="20"/>
        </w:rPr>
      </w:pPr>
      <w:r>
        <w:rPr>
          <w:rFonts w:ascii="arial" w:hAnsi="arial"/>
          <w:sz w:val="20"/>
        </w:rPr>
        <w:t xml:space="preserve">Proxy Statement Pursuant to Section 14(a) of </w:t>
      </w:r>
    </w:p>
    <w:p>
      <w:pPr>
        <w:pStyle w:val="TextBody"/>
        <w:spacing w:before="0" w:after="0"/>
        <w:jc w:val="center"/>
        <w:rPr>
          <w:rFonts w:ascii="arial" w:hAnsi="arial"/>
          <w:sz w:val="20"/>
        </w:rPr>
      </w:pPr>
      <w:r>
        <w:rPr>
          <w:rFonts w:ascii="arial" w:hAnsi="arial"/>
          <w:sz w:val="20"/>
        </w:rPr>
        <w:t xml:space="preserve">the Securities Exchange Act of 1934 (Amendment No.    ) </w:t>
      </w:r>
    </w:p>
    <w:p>
      <w:pPr>
        <w:pStyle w:val="TextBody"/>
        <w:spacing w:before="0" w:after="0"/>
        <w:jc w:val="left"/>
        <w:rPr/>
      </w:pPr>
      <w:r>
        <w:rPr/>
        <w:t> </w:t>
      </w:r>
    </w:p>
    <w:p>
      <w:pPr>
        <w:pStyle w:val="TextBody"/>
        <w:spacing w:before="200" w:after="0"/>
        <w:jc w:val="left"/>
        <w:rPr>
          <w:rFonts w:ascii="arial" w:hAnsi="arial"/>
          <w:sz w:val="20"/>
        </w:rPr>
      </w:pPr>
      <w:r>
        <w:rPr>
          <w:rFonts w:ascii="arial" w:hAnsi="arial"/>
          <w:sz w:val="20"/>
        </w:rPr>
        <w:t xml:space="preserve">Filed by the Registrant  ☒ </w:t>
      </w:r>
    </w:p>
    <w:p>
      <w:pPr>
        <w:pStyle w:val="TextBody"/>
        <w:spacing w:before="0" w:after="0"/>
        <w:jc w:val="left"/>
        <w:rPr/>
      </w:pPr>
      <w:r>
        <w:rPr/>
        <w:t> </w:t>
      </w:r>
    </w:p>
    <w:p>
      <w:pPr>
        <w:pStyle w:val="TextBody"/>
        <w:spacing w:before="200" w:after="0"/>
        <w:jc w:val="left"/>
        <w:rPr>
          <w:rFonts w:ascii="arial" w:hAnsi="arial"/>
          <w:sz w:val="20"/>
        </w:rPr>
      </w:pPr>
      <w:r>
        <w:rPr>
          <w:rFonts w:ascii="arial" w:hAnsi="arial"/>
          <w:sz w:val="20"/>
        </w:rPr>
        <w:t xml:space="preserve">Filed by a Party other than the Registrant  ☐ </w:t>
      </w:r>
    </w:p>
    <w:p>
      <w:pPr>
        <w:pStyle w:val="TextBody"/>
        <w:spacing w:before="0" w:after="0"/>
        <w:jc w:val="left"/>
        <w:rPr/>
      </w:pPr>
      <w:r>
        <w:rPr/>
        <w:t> </w:t>
      </w:r>
    </w:p>
    <w:p>
      <w:pPr>
        <w:pStyle w:val="TextBody"/>
        <w:spacing w:before="200" w:after="0"/>
        <w:jc w:val="left"/>
        <w:rPr>
          <w:rFonts w:ascii="arial" w:hAnsi="arial"/>
          <w:sz w:val="20"/>
        </w:rPr>
      </w:pPr>
      <w:r>
        <w:rPr>
          <w:rFonts w:ascii="arial" w:hAnsi="arial"/>
          <w:sz w:val="20"/>
        </w:rPr>
        <w:t xml:space="preserve">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8"/>
        <w:gridCol w:w="120"/>
        <w:gridCol w:w="9847"/>
      </w:tblGrid>
      <w:tr>
        <w:trPr/>
        <w:tc>
          <w:tcPr>
            <w:tcW w:w="2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847" w:type="dxa"/>
            <w:tcBorders/>
            <w:shd w:fill="auto" w:val="clear"/>
            <w:vAlign w:val="center"/>
          </w:tcPr>
          <w:p>
            <w:pPr>
              <w:pStyle w:val="TableContents"/>
              <w:spacing w:before="0" w:after="283"/>
              <w:rPr>
                <w:sz w:val="4"/>
                <w:szCs w:val="4"/>
              </w:rPr>
            </w:pPr>
            <w:r>
              <w:rPr>
                <w:sz w:val="4"/>
                <w:szCs w:val="4"/>
              </w:rPr>
            </w:r>
          </w:p>
        </w:tc>
      </w:tr>
      <w:tr>
        <w:trPr/>
        <w:tc>
          <w:tcPr>
            <w:tcW w:w="238"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847" w:type="dxa"/>
            <w:tcBorders/>
            <w:shd w:fill="auto" w:val="clear"/>
            <w:vAlign w:val="bottom"/>
          </w:tcPr>
          <w:p>
            <w:pPr>
              <w:pStyle w:val="TableContents"/>
              <w:spacing w:before="0" w:after="283"/>
              <w:rPr/>
            </w:pPr>
            <w:r>
              <w:rPr/>
              <w:t>Preliminary Proxy Statement</w:t>
            </w:r>
          </w:p>
        </w:tc>
      </w:tr>
      <w:tr>
        <w:trPr>
          <w:trHeight w:val="120" w:hRule="atLeast"/>
        </w:trPr>
        <w:tc>
          <w:tcPr>
            <w:tcW w:w="238" w:type="dxa"/>
            <w:tcBorders/>
            <w:shd w:fill="auto" w:val="clear"/>
            <w:vAlign w:val="center"/>
          </w:tcPr>
          <w:p>
            <w:pPr>
              <w:pStyle w:val="TableContents"/>
              <w:spacing w:before="0" w:after="283"/>
              <w:rPr>
                <w:sz w:val="4"/>
                <w:szCs w:val="4"/>
              </w:rPr>
            </w:pPr>
            <w:r>
              <w:rPr>
                <w:sz w:val="4"/>
                <w:szCs w:val="4"/>
              </w:rPr>
            </w:r>
          </w:p>
        </w:tc>
        <w:tc>
          <w:tcPr>
            <w:tcW w:w="9967" w:type="dxa"/>
            <w:gridSpan w:val="2"/>
            <w:tcBorders/>
            <w:shd w:fill="auto" w:val="clear"/>
            <w:vAlign w:val="center"/>
          </w:tcPr>
          <w:p>
            <w:pPr>
              <w:pStyle w:val="TableContents"/>
              <w:spacing w:before="0" w:after="283"/>
              <w:rPr>
                <w:sz w:val="4"/>
                <w:szCs w:val="4"/>
              </w:rPr>
            </w:pPr>
            <w:r>
              <w:rPr>
                <w:sz w:val="4"/>
                <w:szCs w:val="4"/>
              </w:rPr>
            </w:r>
          </w:p>
        </w:tc>
      </w:tr>
      <w:tr>
        <w:trPr/>
        <w:tc>
          <w:tcPr>
            <w:tcW w:w="238"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847" w:type="dxa"/>
            <w:tcBorders/>
            <w:shd w:fill="auto" w:val="clear"/>
            <w:vAlign w:val="bottom"/>
          </w:tcPr>
          <w:p>
            <w:pPr>
              <w:pStyle w:val="TableContents"/>
              <w:spacing w:before="0" w:after="283"/>
              <w:rPr>
                <w:b/>
              </w:rPr>
            </w:pPr>
            <w:r>
              <w:rPr>
                <w:b/>
              </w:rPr>
              <w:t>Confidential, for Use of the Commission Only (as permitted by Rule 14a-6(e)(2))</w:t>
            </w:r>
          </w:p>
        </w:tc>
      </w:tr>
      <w:tr>
        <w:trPr>
          <w:trHeight w:val="120" w:hRule="atLeast"/>
        </w:trPr>
        <w:tc>
          <w:tcPr>
            <w:tcW w:w="238" w:type="dxa"/>
            <w:tcBorders/>
            <w:shd w:fill="auto" w:val="clear"/>
            <w:vAlign w:val="center"/>
          </w:tcPr>
          <w:p>
            <w:pPr>
              <w:pStyle w:val="TableContents"/>
              <w:spacing w:before="0" w:after="283"/>
              <w:rPr>
                <w:sz w:val="4"/>
                <w:szCs w:val="4"/>
              </w:rPr>
            </w:pPr>
            <w:r>
              <w:rPr>
                <w:sz w:val="4"/>
                <w:szCs w:val="4"/>
              </w:rPr>
            </w:r>
          </w:p>
        </w:tc>
        <w:tc>
          <w:tcPr>
            <w:tcW w:w="9967" w:type="dxa"/>
            <w:gridSpan w:val="2"/>
            <w:tcBorders/>
            <w:shd w:fill="auto" w:val="clear"/>
            <w:vAlign w:val="center"/>
          </w:tcPr>
          <w:p>
            <w:pPr>
              <w:pStyle w:val="TableContents"/>
              <w:spacing w:before="0" w:after="283"/>
              <w:rPr>
                <w:sz w:val="4"/>
                <w:szCs w:val="4"/>
              </w:rPr>
            </w:pPr>
            <w:r>
              <w:rPr>
                <w:sz w:val="4"/>
                <w:szCs w:val="4"/>
              </w:rPr>
            </w:r>
          </w:p>
        </w:tc>
      </w:tr>
      <w:tr>
        <w:trPr/>
        <w:tc>
          <w:tcPr>
            <w:tcW w:w="238"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847" w:type="dxa"/>
            <w:tcBorders/>
            <w:shd w:fill="auto" w:val="clear"/>
            <w:vAlign w:val="bottom"/>
          </w:tcPr>
          <w:p>
            <w:pPr>
              <w:pStyle w:val="TableContents"/>
              <w:spacing w:before="0" w:after="283"/>
              <w:rPr/>
            </w:pPr>
            <w:r>
              <w:rPr/>
              <w:t>Definitive Proxy Statement</w:t>
            </w:r>
          </w:p>
        </w:tc>
      </w:tr>
      <w:tr>
        <w:trPr>
          <w:trHeight w:val="120" w:hRule="atLeast"/>
        </w:trPr>
        <w:tc>
          <w:tcPr>
            <w:tcW w:w="238" w:type="dxa"/>
            <w:tcBorders/>
            <w:shd w:fill="auto" w:val="clear"/>
            <w:vAlign w:val="center"/>
          </w:tcPr>
          <w:p>
            <w:pPr>
              <w:pStyle w:val="TableContents"/>
              <w:spacing w:before="0" w:after="283"/>
              <w:rPr>
                <w:sz w:val="4"/>
                <w:szCs w:val="4"/>
              </w:rPr>
            </w:pPr>
            <w:r>
              <w:rPr>
                <w:sz w:val="4"/>
                <w:szCs w:val="4"/>
              </w:rPr>
            </w:r>
          </w:p>
        </w:tc>
        <w:tc>
          <w:tcPr>
            <w:tcW w:w="9967" w:type="dxa"/>
            <w:gridSpan w:val="2"/>
            <w:tcBorders/>
            <w:shd w:fill="auto" w:val="clear"/>
            <w:vAlign w:val="center"/>
          </w:tcPr>
          <w:p>
            <w:pPr>
              <w:pStyle w:val="TableContents"/>
              <w:spacing w:before="0" w:after="283"/>
              <w:rPr>
                <w:sz w:val="4"/>
                <w:szCs w:val="4"/>
              </w:rPr>
            </w:pPr>
            <w:r>
              <w:rPr>
                <w:sz w:val="4"/>
                <w:szCs w:val="4"/>
              </w:rPr>
            </w:r>
          </w:p>
        </w:tc>
      </w:tr>
      <w:tr>
        <w:trPr/>
        <w:tc>
          <w:tcPr>
            <w:tcW w:w="238"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847" w:type="dxa"/>
            <w:tcBorders/>
            <w:shd w:fill="auto" w:val="clear"/>
            <w:vAlign w:val="bottom"/>
          </w:tcPr>
          <w:p>
            <w:pPr>
              <w:pStyle w:val="TableContents"/>
              <w:spacing w:before="0" w:after="283"/>
              <w:rPr/>
            </w:pPr>
            <w:r>
              <w:rPr/>
              <w:t>Definitive Additional Materials</w:t>
            </w:r>
          </w:p>
        </w:tc>
      </w:tr>
      <w:tr>
        <w:trPr>
          <w:trHeight w:val="120" w:hRule="atLeast"/>
        </w:trPr>
        <w:tc>
          <w:tcPr>
            <w:tcW w:w="238" w:type="dxa"/>
            <w:tcBorders/>
            <w:shd w:fill="auto" w:val="clear"/>
            <w:vAlign w:val="center"/>
          </w:tcPr>
          <w:p>
            <w:pPr>
              <w:pStyle w:val="TableContents"/>
              <w:spacing w:before="0" w:after="283"/>
              <w:rPr>
                <w:sz w:val="4"/>
                <w:szCs w:val="4"/>
              </w:rPr>
            </w:pPr>
            <w:r>
              <w:rPr>
                <w:sz w:val="4"/>
                <w:szCs w:val="4"/>
              </w:rPr>
            </w:r>
          </w:p>
        </w:tc>
        <w:tc>
          <w:tcPr>
            <w:tcW w:w="9967" w:type="dxa"/>
            <w:gridSpan w:val="2"/>
            <w:tcBorders/>
            <w:shd w:fill="auto" w:val="clear"/>
            <w:vAlign w:val="center"/>
          </w:tcPr>
          <w:p>
            <w:pPr>
              <w:pStyle w:val="TableContents"/>
              <w:spacing w:before="0" w:after="283"/>
              <w:rPr>
                <w:sz w:val="4"/>
                <w:szCs w:val="4"/>
              </w:rPr>
            </w:pPr>
            <w:r>
              <w:rPr>
                <w:sz w:val="4"/>
                <w:szCs w:val="4"/>
              </w:rPr>
            </w:r>
          </w:p>
        </w:tc>
      </w:tr>
      <w:tr>
        <w:trPr/>
        <w:tc>
          <w:tcPr>
            <w:tcW w:w="238"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847" w:type="dxa"/>
            <w:tcBorders/>
            <w:shd w:fill="auto" w:val="clear"/>
            <w:vAlign w:val="bottom"/>
          </w:tcPr>
          <w:p>
            <w:pPr>
              <w:pStyle w:val="TableContents"/>
              <w:spacing w:before="0" w:after="283"/>
              <w:rPr/>
            </w:pPr>
            <w:r>
              <w:rPr/>
              <w:t>Soliciting Material under §240.14a-12</w:t>
            </w:r>
          </w:p>
        </w:tc>
      </w:tr>
    </w:tbl>
    <w:p>
      <w:pPr>
        <w:pStyle w:val="TextBody"/>
        <w:spacing w:before="0" w:after="0"/>
        <w:jc w:val="left"/>
        <w:rPr/>
      </w:pPr>
      <w:r>
        <w:rPr/>
        <w:t> </w:t>
      </w:r>
    </w:p>
    <w:p>
      <w:pPr>
        <w:pStyle w:val="TextBody"/>
        <w:spacing w:before="200" w:after="0"/>
        <w:jc w:val="center"/>
        <w:rPr>
          <w:rFonts w:ascii="arial" w:hAnsi="arial"/>
          <w:b/>
          <w:sz w:val="20"/>
        </w:rPr>
      </w:pPr>
      <w:r>
        <w:rPr>
          <w:rFonts w:ascii="arial" w:hAnsi="arial"/>
          <w:b/>
          <w:sz w:val="20"/>
        </w:rPr>
        <w:t xml:space="preserve">Dine Brands Global, Inc.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arial" w:hAnsi="arial"/>
          <w:sz w:val="20"/>
        </w:rPr>
      </w:pPr>
      <w:r>
        <w:rPr>
          <w:rFonts w:ascii="arial" w:hAnsi="arial"/>
          <w:sz w:val="20"/>
        </w:rPr>
        <w:t xml:space="preserve">(Name of Registrant as Specified In Its Charter) </w:t>
      </w:r>
    </w:p>
    <w:p>
      <w:pPr>
        <w:pStyle w:val="TextBody"/>
        <w:spacing w:before="0" w:after="0"/>
        <w:jc w:val="left"/>
        <w:rPr/>
      </w:pPr>
      <w:r>
        <w:rPr/>
        <w:t> </w:t>
      </w:r>
    </w:p>
    <w:p>
      <w:pPr>
        <w:pStyle w:val="TextBody"/>
        <w:spacing w:before="200" w:after="0"/>
        <w:jc w:val="center"/>
        <w:rPr/>
      </w:pPr>
      <w:r>
        <w:rPr/>
        <w:t>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arial" w:hAnsi="arial"/>
          <w:sz w:val="20"/>
        </w:rPr>
      </w:pPr>
      <w:r>
        <w:rPr>
          <w:rFonts w:ascii="arial" w:hAnsi="arial"/>
          <w:sz w:val="20"/>
        </w:rPr>
        <w:t xml:space="preserve">(Name of Person(s) Filing Proxy Statement, if other than the Registrant) </w:t>
      </w:r>
    </w:p>
    <w:p>
      <w:pPr>
        <w:pStyle w:val="TextBody"/>
        <w:spacing w:before="0" w:after="0"/>
        <w:jc w:val="left"/>
        <w:rPr/>
      </w:pPr>
      <w:r>
        <w:rPr/>
        <w:t> </w:t>
      </w:r>
    </w:p>
    <w:p>
      <w:pPr>
        <w:pStyle w:val="TextBody"/>
        <w:spacing w:before="200" w:after="0"/>
        <w:jc w:val="left"/>
        <w:rPr>
          <w:rFonts w:ascii="arial" w:hAnsi="arial"/>
          <w:sz w:val="20"/>
        </w:rPr>
      </w:pPr>
      <w:r>
        <w:rPr>
          <w:rFonts w:ascii="arial" w:hAnsi="arial"/>
          <w:sz w:val="20"/>
        </w:rPr>
        <w:t xml:space="preserve">Payment of Filing Fee (Check the appropriate box): </w:t>
      </w:r>
    </w:p>
    <w:tbl>
      <w:tblPr>
        <w:tblW w:w="5000" w:type="pct"/>
        <w:jc w:val="center"/>
        <w:tblInd w:w="0" w:type="dxa"/>
        <w:tblCellMar>
          <w:top w:w="0" w:type="dxa"/>
          <w:left w:w="0" w:type="dxa"/>
          <w:bottom w:w="0" w:type="dxa"/>
          <w:right w:w="0" w:type="dxa"/>
        </w:tblCellMar>
      </w:tblPr>
      <w:tblGrid>
        <w:gridCol w:w="408"/>
        <w:gridCol w:w="102"/>
        <w:gridCol w:w="408"/>
        <w:gridCol w:w="102"/>
        <w:gridCol w:w="9185"/>
      </w:tblGrid>
      <w:tr>
        <w:trPr/>
        <w:tc>
          <w:tcPr>
            <w:tcW w:w="40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18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w:t>
            </w:r>
          </w:p>
        </w:tc>
        <w:tc>
          <w:tcPr>
            <w:tcW w:w="102" w:type="dxa"/>
            <w:tcBorders/>
            <w:shd w:fill="auto" w:val="clear"/>
            <w:vAlign w:val="bottom"/>
          </w:tcPr>
          <w:p>
            <w:pPr>
              <w:pStyle w:val="TableContents"/>
              <w:spacing w:before="0" w:after="283"/>
              <w:rPr/>
            </w:pPr>
            <w:r>
              <w:rPr/>
              <w:t> </w:t>
            </w:r>
          </w:p>
        </w:tc>
        <w:tc>
          <w:tcPr>
            <w:tcW w:w="9695" w:type="dxa"/>
            <w:gridSpan w:val="3"/>
            <w:tcBorders/>
            <w:shd w:fill="auto" w:val="clear"/>
          </w:tcPr>
          <w:p>
            <w:pPr>
              <w:pStyle w:val="TableContents"/>
              <w:spacing w:before="0" w:after="283"/>
              <w:rPr>
                <w:rFonts w:ascii="arial" w:hAnsi="arial"/>
              </w:rPr>
            </w:pPr>
            <w:r>
              <w:rPr>
                <w:rFonts w:ascii="arial" w:hAnsi="arial"/>
              </w:rPr>
              <w:t>No fee required.</w:t>
            </w:r>
          </w:p>
        </w:tc>
      </w:tr>
      <w:tr>
        <w:trPr>
          <w:trHeight w:val="240" w:hRule="atLeast"/>
        </w:trPr>
        <w:tc>
          <w:tcPr>
            <w:tcW w:w="408" w:type="dxa"/>
            <w:tcBorders/>
            <w:shd w:fill="auto" w:val="clear"/>
            <w:vAlign w:val="center"/>
          </w:tcPr>
          <w:p>
            <w:pPr>
              <w:pStyle w:val="TableContents"/>
              <w:spacing w:before="0" w:after="283"/>
              <w:rPr>
                <w:sz w:val="4"/>
                <w:szCs w:val="4"/>
              </w:rPr>
            </w:pPr>
            <w:r>
              <w:rPr>
                <w:sz w:val="4"/>
                <w:szCs w:val="4"/>
              </w:rPr>
            </w:r>
          </w:p>
        </w:tc>
        <w:tc>
          <w:tcPr>
            <w:tcW w:w="9797" w:type="dxa"/>
            <w:gridSpan w:val="4"/>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w:t>
            </w:r>
          </w:p>
        </w:tc>
        <w:tc>
          <w:tcPr>
            <w:tcW w:w="102" w:type="dxa"/>
            <w:tcBorders/>
            <w:shd w:fill="auto" w:val="clear"/>
            <w:vAlign w:val="bottom"/>
          </w:tcPr>
          <w:p>
            <w:pPr>
              <w:pStyle w:val="TableContents"/>
              <w:spacing w:before="0" w:after="283"/>
              <w:rPr/>
            </w:pPr>
            <w:r>
              <w:rPr/>
              <w:t> </w:t>
            </w:r>
          </w:p>
        </w:tc>
        <w:tc>
          <w:tcPr>
            <w:tcW w:w="9695" w:type="dxa"/>
            <w:gridSpan w:val="3"/>
            <w:tcBorders/>
            <w:shd w:fill="auto" w:val="clear"/>
          </w:tcPr>
          <w:p>
            <w:pPr>
              <w:pStyle w:val="TableContents"/>
              <w:spacing w:before="0" w:after="283"/>
              <w:rPr>
                <w:rFonts w:ascii="arial" w:hAnsi="arial"/>
              </w:rPr>
            </w:pPr>
            <w:r>
              <w:rPr>
                <w:rFonts w:ascii="arial" w:hAnsi="arial"/>
              </w:rPr>
              <w:t>Fee computed on table below per Exchange Act Rules 14a-6(i)(1) and 0-11.</w:t>
            </w:r>
          </w:p>
        </w:tc>
      </w:tr>
      <w:tr>
        <w:trPr>
          <w:trHeight w:val="240" w:hRule="atLeast"/>
        </w:trPr>
        <w:tc>
          <w:tcPr>
            <w:tcW w:w="408"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9287" w:type="dxa"/>
            <w:gridSpan w:val="2"/>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(1)</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Title of each class of securities to which transaction applies:</w:t>
            </w:r>
          </w:p>
          <w:p>
            <w:pPr>
              <w:pStyle w:val="TableContents"/>
              <w:pBdr>
                <w:bottom w:val="single" w:sz="2" w:space="1" w:color="000000"/>
              </w:pBdr>
              <w:spacing w:before="0" w:after="20"/>
              <w:rPr/>
            </w:pPr>
            <w:r>
              <w:rPr/>
              <w:t> </w:t>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(2)</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Aggregate number of securities to which transaction applies:</w:t>
            </w:r>
          </w:p>
          <w:p>
            <w:pPr>
              <w:pStyle w:val="TableContents"/>
              <w:pBdr>
                <w:bottom w:val="single" w:sz="2" w:space="1" w:color="000000"/>
              </w:pBdr>
              <w:spacing w:before="0" w:after="20"/>
              <w:rPr/>
            </w:pPr>
            <w:r>
              <w:rPr/>
              <w:t> </w:t>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(3)</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Per unit price or other underlying value of transaction computed pursuant to Exchange Act Rule 0-11 (set forth the amount on which the filing fee is calculated and state how it was determined):</w:t>
            </w:r>
          </w:p>
          <w:p>
            <w:pPr>
              <w:pStyle w:val="TableContents"/>
              <w:pBdr>
                <w:bottom w:val="single" w:sz="2" w:space="1" w:color="000000"/>
              </w:pBdr>
              <w:spacing w:before="0" w:after="20"/>
              <w:rPr/>
            </w:pPr>
            <w:r>
              <w:rPr/>
              <w:t> </w:t>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(4)</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Proposed maximum aggregate value of transaction:</w:t>
            </w:r>
          </w:p>
          <w:p>
            <w:pPr>
              <w:pStyle w:val="TableContents"/>
              <w:pBdr>
                <w:bottom w:val="single" w:sz="2" w:space="1" w:color="000000"/>
              </w:pBdr>
              <w:spacing w:before="0" w:after="20"/>
              <w:rPr/>
            </w:pPr>
            <w:r>
              <w:rPr/>
              <w:t> </w:t>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(5)</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Total fee paid:</w:t>
            </w:r>
          </w:p>
          <w:p>
            <w:pPr>
              <w:pStyle w:val="TableContents"/>
              <w:pBdr>
                <w:bottom w:val="single" w:sz="2" w:space="1" w:color="000000"/>
              </w:pBdr>
              <w:spacing w:before="0" w:after="20"/>
              <w:rPr/>
            </w:pPr>
            <w:r>
              <w:rPr/>
              <w:t> </w:t>
            </w:r>
          </w:p>
        </w:tc>
      </w:tr>
      <w:tr>
        <w:trPr>
          <w:trHeight w:val="240" w:hRule="atLeast"/>
        </w:trPr>
        <w:tc>
          <w:tcPr>
            <w:tcW w:w="408" w:type="dxa"/>
            <w:tcBorders/>
            <w:shd w:fill="auto" w:val="clear"/>
            <w:vAlign w:val="center"/>
          </w:tcPr>
          <w:p>
            <w:pPr>
              <w:pStyle w:val="TableContents"/>
              <w:spacing w:before="0" w:after="283"/>
              <w:rPr>
                <w:sz w:val="4"/>
                <w:szCs w:val="4"/>
              </w:rPr>
            </w:pPr>
            <w:r>
              <w:rPr>
                <w:sz w:val="4"/>
                <w:szCs w:val="4"/>
              </w:rPr>
            </w:r>
          </w:p>
        </w:tc>
        <w:tc>
          <w:tcPr>
            <w:tcW w:w="9797" w:type="dxa"/>
            <w:gridSpan w:val="4"/>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w:t>
            </w:r>
          </w:p>
        </w:tc>
        <w:tc>
          <w:tcPr>
            <w:tcW w:w="102" w:type="dxa"/>
            <w:tcBorders/>
            <w:shd w:fill="auto" w:val="clear"/>
            <w:vAlign w:val="bottom"/>
          </w:tcPr>
          <w:p>
            <w:pPr>
              <w:pStyle w:val="TableContents"/>
              <w:spacing w:before="0" w:after="283"/>
              <w:rPr/>
            </w:pPr>
            <w:r>
              <w:rPr/>
              <w:t> </w:t>
            </w:r>
          </w:p>
        </w:tc>
        <w:tc>
          <w:tcPr>
            <w:tcW w:w="9695" w:type="dxa"/>
            <w:gridSpan w:val="3"/>
            <w:tcBorders/>
            <w:shd w:fill="auto" w:val="clear"/>
          </w:tcPr>
          <w:p>
            <w:pPr>
              <w:pStyle w:val="TableContents"/>
              <w:spacing w:before="0" w:after="283"/>
              <w:rPr>
                <w:rFonts w:ascii="arial" w:hAnsi="arial"/>
              </w:rPr>
            </w:pPr>
            <w:r>
              <w:rPr>
                <w:rFonts w:ascii="arial" w:hAnsi="arial"/>
              </w:rPr>
              <w:t>Fee paid previously with preliminary materials.</w:t>
            </w:r>
          </w:p>
        </w:tc>
      </w:tr>
      <w:tr>
        <w:trPr>
          <w:trHeight w:val="240" w:hRule="atLeast"/>
        </w:trPr>
        <w:tc>
          <w:tcPr>
            <w:tcW w:w="408" w:type="dxa"/>
            <w:tcBorders/>
            <w:shd w:fill="auto" w:val="clear"/>
            <w:vAlign w:val="center"/>
          </w:tcPr>
          <w:p>
            <w:pPr>
              <w:pStyle w:val="TableContents"/>
              <w:spacing w:before="0" w:after="283"/>
              <w:rPr>
                <w:sz w:val="4"/>
                <w:szCs w:val="4"/>
              </w:rPr>
            </w:pPr>
            <w:r>
              <w:rPr>
                <w:sz w:val="4"/>
                <w:szCs w:val="4"/>
              </w:rPr>
            </w:r>
          </w:p>
        </w:tc>
        <w:tc>
          <w:tcPr>
            <w:tcW w:w="9797" w:type="dxa"/>
            <w:gridSpan w:val="4"/>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w:t>
            </w:r>
          </w:p>
        </w:tc>
        <w:tc>
          <w:tcPr>
            <w:tcW w:w="102" w:type="dxa"/>
            <w:tcBorders/>
            <w:shd w:fill="auto" w:val="clear"/>
            <w:vAlign w:val="bottom"/>
          </w:tcPr>
          <w:p>
            <w:pPr>
              <w:pStyle w:val="TableContents"/>
              <w:spacing w:before="0" w:after="283"/>
              <w:rPr/>
            </w:pPr>
            <w:r>
              <w:rPr/>
              <w:t> </w:t>
            </w:r>
          </w:p>
        </w:tc>
        <w:tc>
          <w:tcPr>
            <w:tcW w:w="9695" w:type="dxa"/>
            <w:gridSpan w:val="3"/>
            <w:tcBorders/>
            <w:shd w:fill="auto" w:val="clear"/>
          </w:tcPr>
          <w:p>
            <w:pPr>
              <w:pStyle w:val="TableContents"/>
              <w:spacing w:before="0" w:after="283"/>
              <w:rPr>
                <w:rFonts w:ascii="arial" w:hAnsi="arial"/>
              </w:rPr>
            </w:pPr>
            <w:r>
              <w:rPr>
                <w:rFonts w:ascii="arial" w:hAnsi="arial"/>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rHeight w:val="240" w:hRule="atLeast"/>
        </w:trPr>
        <w:tc>
          <w:tcPr>
            <w:tcW w:w="408"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9287" w:type="dxa"/>
            <w:gridSpan w:val="2"/>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(1)</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Amount Previously Paid:</w:t>
            </w:r>
          </w:p>
          <w:p>
            <w:pPr>
              <w:pStyle w:val="TableContents"/>
              <w:pBdr>
                <w:bottom w:val="single" w:sz="2" w:space="1" w:color="000000"/>
              </w:pBdr>
              <w:spacing w:before="0" w:after="20"/>
              <w:rPr/>
            </w:pPr>
            <w:r>
              <w:rPr/>
              <w:t> </w:t>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(2)</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Form, Schedule or Registration Statement No.:</w:t>
            </w:r>
          </w:p>
          <w:p>
            <w:pPr>
              <w:pStyle w:val="TableContents"/>
              <w:pBdr>
                <w:bottom w:val="single" w:sz="2" w:space="1" w:color="000000"/>
              </w:pBdr>
              <w:spacing w:before="0" w:after="20"/>
              <w:rPr/>
            </w:pPr>
            <w:r>
              <w:rPr/>
              <w:t> </w:t>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(3)</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Filing Party:</w:t>
            </w:r>
          </w:p>
          <w:p>
            <w:pPr>
              <w:pStyle w:val="TableContents"/>
              <w:pBdr>
                <w:bottom w:val="single" w:sz="2" w:space="1" w:color="000000"/>
              </w:pBdr>
              <w:spacing w:before="0" w:after="20"/>
              <w:rPr/>
            </w:pPr>
            <w:r>
              <w:rPr/>
              <w:t> </w:t>
            </w:r>
          </w:p>
        </w:tc>
      </w:tr>
      <w:tr>
        <w:trPr/>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pPr>
            <w:r>
              <w:rPr/>
              <w:t>(4)</w:t>
            </w:r>
          </w:p>
        </w:tc>
        <w:tc>
          <w:tcPr>
            <w:tcW w:w="102" w:type="dxa"/>
            <w:tcBorders/>
            <w:shd w:fill="auto" w:val="clear"/>
            <w:vAlign w:val="bottom"/>
          </w:tcPr>
          <w:p>
            <w:pPr>
              <w:pStyle w:val="TableContents"/>
              <w:spacing w:before="0" w:after="283"/>
              <w:rPr/>
            </w:pPr>
            <w:r>
              <w:rPr/>
              <w:t> </w:t>
            </w:r>
          </w:p>
        </w:tc>
        <w:tc>
          <w:tcPr>
            <w:tcW w:w="9185" w:type="dxa"/>
            <w:tcBorders/>
            <w:shd w:fill="auto" w:val="clear"/>
          </w:tcPr>
          <w:p>
            <w:pPr>
              <w:pStyle w:val="TableContents"/>
              <w:spacing w:before="0" w:after="0"/>
              <w:rPr>
                <w:rFonts w:ascii="arial" w:hAnsi="arial"/>
                <w:sz w:val="20"/>
              </w:rPr>
            </w:pPr>
            <w:r>
              <w:rPr>
                <w:rFonts w:ascii="arial" w:hAnsi="arial"/>
                <w:sz w:val="20"/>
              </w:rPr>
              <w:t>Date Filed:</w:t>
            </w:r>
          </w:p>
          <w:p>
            <w:pPr>
              <w:pStyle w:val="TableContents"/>
              <w:pBdr>
                <w:bottom w:val="single" w:sz="2" w:space="1" w:color="000000"/>
              </w:pBdr>
              <w:spacing w:before="0" w:after="20"/>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pPr>
      <w:r>
        <w:rPr/>
        <w:drawing>
          <wp:inline distT="0" distB="0" distL="0" distR="0">
            <wp:extent cx="259715" cy="323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715" cy="32321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pPr>
      <w:r>
        <w:rPr/>
        <w:drawing>
          <wp:inline distT="0" distB="0" distL="0" distR="0">
            <wp:extent cx="415290" cy="1066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5290" cy="106680"/>
                    </a:xfrm>
                    <a:prstGeom prst="rect">
                      <a:avLst/>
                    </a:prstGeom>
                  </pic:spPr>
                </pic:pic>
              </a:graphicData>
            </a:graphic>
          </wp:inline>
        </w:drawing>
      </w:r>
      <w:r>
        <w:rPr/>
        <w:t xml:space="preserve">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6939"/>
      </w:tblGrid>
      <w:tr>
        <w:trPr/>
        <w:tc>
          <w:tcPr>
            <w:tcW w:w="6939" w:type="dxa"/>
            <w:tcBorders/>
            <w:shd w:fill="auto" w:val="clear"/>
            <w:vAlign w:val="center"/>
          </w:tcPr>
          <w:p>
            <w:pPr>
              <w:pStyle w:val="TableContents"/>
              <w:spacing w:before="0" w:after="283"/>
              <w:rPr>
                <w:sz w:val="4"/>
                <w:szCs w:val="4"/>
              </w:rPr>
            </w:pPr>
            <w:r>
              <w:rPr>
                <w:sz w:val="4"/>
                <w:szCs w:val="4"/>
              </w:rPr>
            </w:r>
          </w:p>
        </w:tc>
      </w:tr>
      <w:tr>
        <w:trPr/>
        <w:tc>
          <w:tcPr>
            <w:tcW w:w="6939" w:type="dxa"/>
            <w:tcBorders/>
            <w:shd w:fill="auto" w:val="clear"/>
          </w:tcPr>
          <w:p>
            <w:pPr>
              <w:pStyle w:val="TableContents"/>
              <w:spacing w:before="0" w:after="0"/>
              <w:jc w:val="center"/>
              <w:rPr>
                <w:rFonts w:ascii="ARIAL" w:hAnsi="ARIAL"/>
                <w:b/>
                <w:sz w:val="52"/>
              </w:rPr>
            </w:pPr>
            <w:r>
              <w:rPr>
                <w:rFonts w:ascii="ARIAL" w:hAnsi="ARIAL"/>
                <w:b/>
                <w:sz w:val="52"/>
              </w:rPr>
              <w:t>Notice of 2021 Annual Meeting</w:t>
            </w:r>
          </w:p>
          <w:p>
            <w:pPr>
              <w:pStyle w:val="TableContents"/>
              <w:spacing w:before="0" w:after="20"/>
              <w:jc w:val="center"/>
              <w:rPr>
                <w:rFonts w:ascii="ARIAL" w:hAnsi="ARIAL"/>
                <w:b/>
                <w:sz w:val="52"/>
              </w:rPr>
            </w:pPr>
            <w:r>
              <w:rPr>
                <w:rFonts w:ascii="ARIAL" w:hAnsi="ARIAL"/>
                <w:b/>
                <w:sz w:val="52"/>
              </w:rPr>
              <w:t>and Proxy Statement</w:t>
            </w:r>
          </w:p>
        </w:tc>
      </w:tr>
    </w:tbl>
    <w:tbl>
      <w:tblPr>
        <w:tblW w:w="3050" w:type="pct"/>
        <w:jc w:val="center"/>
        <w:tblInd w:w="0" w:type="dxa"/>
        <w:tblCellMar>
          <w:top w:w="0" w:type="dxa"/>
          <w:left w:w="0" w:type="dxa"/>
          <w:bottom w:w="0" w:type="dxa"/>
          <w:right w:w="0" w:type="dxa"/>
        </w:tblCellMar>
      </w:tblPr>
      <w:tblGrid>
        <w:gridCol w:w="6225"/>
      </w:tblGrid>
      <w:tr>
        <w:trPr/>
        <w:tc>
          <w:tcPr>
            <w:tcW w:w="6225" w:type="dxa"/>
            <w:tcBorders/>
            <w:shd w:fill="auto" w:val="clear"/>
            <w:vAlign w:val="center"/>
          </w:tcPr>
          <w:p>
            <w:pPr>
              <w:pStyle w:val="TableContents"/>
              <w:spacing w:before="0" w:after="283"/>
              <w:rPr>
                <w:sz w:val="4"/>
                <w:szCs w:val="4"/>
              </w:rPr>
            </w:pPr>
            <w:r>
              <w:rPr>
                <w:sz w:val="4"/>
                <w:szCs w:val="4"/>
              </w:rPr>
            </w:r>
          </w:p>
        </w:tc>
      </w:tr>
      <w:tr>
        <w:trPr/>
        <w:tc>
          <w:tcPr>
            <w:tcW w:w="6225" w:type="dxa"/>
            <w:tcBorders>
              <w:bottom w:val="single" w:sz="16" w:space="0" w:color="CF0A2C"/>
            </w:tcBorders>
            <w:shd w:fill="auto" w:val="clear"/>
            <w:tcMar>
              <w:bottom w:w="28" w:type="dxa"/>
            </w:tcMa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pPr>
            <w:r>
              <w:rPr/>
              <w:t>   </w:t>
            </w:r>
          </w:p>
        </w:tc>
      </w:tr>
    </w:tbl>
    <w:p>
      <w:pPr>
        <w:pStyle w:val="TextBody"/>
        <w:spacing w:before="0" w:after="0"/>
        <w:jc w:val="left"/>
        <w:rPr/>
      </w:pPr>
      <w:r>
        <w:rPr/>
        <w:t> </w:t>
      </w:r>
    </w:p>
    <w:p>
      <w:pPr>
        <w:pStyle w:val="TextBody"/>
        <w:spacing w:before="0" w:after="0"/>
        <w:jc w:val="center"/>
        <w:rPr/>
      </w:pPr>
      <w:r>
        <w:rPr/>
        <w:drawing>
          <wp:inline distT="0" distB="0" distL="0" distR="0">
            <wp:extent cx="226695" cy="1257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6695" cy="125730"/>
                    </a:xfrm>
                    <a:prstGeom prst="rect">
                      <a:avLst/>
                    </a:prstGeom>
                  </pic:spPr>
                </pic:pic>
              </a:graphicData>
            </a:graphic>
          </wp:inline>
        </w:drawing>
      </w:r>
      <w:r>
        <w:rPr/>
        <w:t xml:space="preserve"> </w:t>
      </w:r>
    </w:p>
    <w:p>
      <w:pPr>
        <w:pStyle w:val="TextBody"/>
        <w:spacing w:before="480" w:after="0"/>
        <w:jc w:val="center"/>
        <w:rPr>
          <w:rFonts w:ascii="arial" w:hAnsi="arial"/>
          <w:b/>
          <w:sz w:val="20"/>
        </w:rPr>
      </w:pPr>
      <w:r>
        <w:rPr>
          <w:rFonts w:ascii="arial" w:hAnsi="arial"/>
          <w:b/>
          <w:sz w:val="20"/>
        </w:rPr>
        <w:t xml:space="preserve">450 North Brand Boulevard </w:t>
      </w:r>
    </w:p>
    <w:p>
      <w:pPr>
        <w:pStyle w:val="TextBody"/>
        <w:spacing w:before="0" w:after="0"/>
        <w:jc w:val="center"/>
        <w:rPr>
          <w:rFonts w:ascii="arial" w:hAnsi="arial"/>
          <w:b/>
          <w:sz w:val="20"/>
        </w:rPr>
      </w:pPr>
      <w:r>
        <w:rPr>
          <w:rFonts w:ascii="arial" w:hAnsi="arial"/>
          <w:b/>
          <w:sz w:val="20"/>
        </w:rPr>
        <w:t xml:space="preserve">Glendale, California 91203 </w:t>
      </w:r>
    </w:p>
    <w:p>
      <w:pPr>
        <w:pStyle w:val="TextBody"/>
        <w:spacing w:before="0" w:after="0"/>
        <w:jc w:val="center"/>
        <w:rPr>
          <w:rFonts w:ascii="arial" w:hAnsi="arial"/>
          <w:b/>
          <w:sz w:val="20"/>
        </w:rPr>
      </w:pPr>
      <w:r>
        <w:rPr>
          <w:rFonts w:ascii="arial" w:hAnsi="arial"/>
          <w:b/>
          <w:sz w:val="20"/>
        </w:rPr>
        <w:t xml:space="preserve">(866) 995-DINE </w:t>
      </w:r>
    </w:p>
    <w:p>
      <w:pPr>
        <w:pStyle w:val="TextBody"/>
        <w:spacing w:before="360" w:after="0"/>
        <w:jc w:val="left"/>
        <w:rPr>
          <w:rFonts w:ascii="arial" w:hAnsi="arial"/>
          <w:sz w:val="20"/>
        </w:rPr>
      </w:pPr>
      <w:r>
        <w:rPr>
          <w:rFonts w:ascii="arial" w:hAnsi="arial"/>
          <w:sz w:val="20"/>
        </w:rPr>
        <w:t xml:space="preserve">March 30, 2021 </w:t>
      </w:r>
    </w:p>
    <w:p>
      <w:pPr>
        <w:pStyle w:val="TextBody"/>
        <w:spacing w:before="120" w:after="0"/>
        <w:jc w:val="left"/>
        <w:rPr>
          <w:rFonts w:ascii="arial" w:hAnsi="arial"/>
          <w:sz w:val="20"/>
        </w:rPr>
      </w:pPr>
      <w:r>
        <w:rPr>
          <w:rFonts w:ascii="arial" w:hAnsi="arial"/>
          <w:sz w:val="20"/>
        </w:rPr>
        <w:t xml:space="preserve">Dear Fellow Stockholders: </w:t>
      </w:r>
    </w:p>
    <w:p>
      <w:pPr>
        <w:pStyle w:val="TextBody"/>
        <w:spacing w:before="120" w:after="0"/>
        <w:jc w:val="left"/>
        <w:rPr>
          <w:rFonts w:ascii="arial" w:hAnsi="arial"/>
          <w:sz w:val="20"/>
        </w:rPr>
      </w:pPr>
      <w:r>
        <w:rPr>
          <w:rFonts w:ascii="arial" w:hAnsi="arial"/>
          <w:sz w:val="20"/>
        </w:rPr>
        <w:t xml:space="preserve">We are pleased to invite you to attend the 2021 Annual Meeting of Stockholders of Dine Brands Global, Inc., which will be held on Tuesday, May 11, 2021, at 8:00 a.m., Pacific Time, in a virtual format only at www.meetingcenter.io/265229604. At this years Annual Meeting, you will be asked to: (i) elect the ten directors identified in this proxy statement; (ii) ratify the appointment of Ernst &amp; Young LLP as our independent auditor for 2021; and (iii) approve, on an advisory basis, the compensation of our named executive officers. </w:t>
      </w:r>
    </w:p>
    <w:p>
      <w:pPr>
        <w:pStyle w:val="TextBody"/>
        <w:spacing w:before="120" w:after="0"/>
        <w:jc w:val="left"/>
        <w:rPr>
          <w:rFonts w:ascii="arial" w:hAnsi="arial"/>
          <w:sz w:val="20"/>
        </w:rPr>
      </w:pPr>
      <w:r>
        <w:rPr>
          <w:rFonts w:ascii="arial" w:hAnsi="arial"/>
          <w:sz w:val="20"/>
        </w:rPr>
        <w:t xml:space="preserve">Whether or not you plan to attend the Annual Meeting virtually, we hope you will vote as soon as possible. Voting your proxy will ensure your representation at the Annual Meeting. You can vote your shares over the Internet, by telephone or by using a traditional proxy card. Instructions on each of these voting methods are outlined in the enclosed proxy statement. </w:t>
      </w:r>
    </w:p>
    <w:p>
      <w:pPr>
        <w:pStyle w:val="TextBody"/>
        <w:spacing w:before="120" w:after="0"/>
        <w:jc w:val="left"/>
        <w:rPr>
          <w:rFonts w:ascii="arial" w:hAnsi="arial"/>
          <w:sz w:val="20"/>
        </w:rPr>
      </w:pPr>
      <w:r>
        <w:rPr>
          <w:rFonts w:ascii="arial" w:hAnsi="arial"/>
          <w:sz w:val="20"/>
        </w:rPr>
        <w:t xml:space="preserve">We urge you to review carefully the proxy materials and to vote: FOR the election of each of the directors identified in this proxy statement; FOR the ratification of the appointment of Ernst &amp; Young LLP as our independent auditor; and FOR the approval, on an advisory basis, of the compensation of our named executive officers. </w:t>
      </w:r>
    </w:p>
    <w:p>
      <w:pPr>
        <w:pStyle w:val="TextBody"/>
        <w:spacing w:before="120" w:after="0"/>
        <w:jc w:val="left"/>
        <w:rPr>
          <w:rFonts w:ascii="arial" w:hAnsi="arial"/>
          <w:sz w:val="20"/>
        </w:rPr>
      </w:pPr>
      <w:r>
        <w:rPr>
          <w:rFonts w:ascii="arial" w:hAnsi="arial"/>
          <w:sz w:val="20"/>
        </w:rPr>
        <w:t xml:space="preserve">Thank you for your continued support of and interest in Dine Brands Global, Inc. We look forward to seeing you on May 11th. </w:t>
      </w:r>
    </w:p>
    <w:p>
      <w:pPr>
        <w:pStyle w:val="TextBody"/>
        <w:spacing w:before="240" w:after="0"/>
        <w:jc w:val="left"/>
        <w:rPr>
          <w:rFonts w:ascii="arial" w:hAnsi="arial"/>
          <w:sz w:val="20"/>
        </w:rPr>
      </w:pPr>
      <w:r>
        <w:rPr>
          <w:rFonts w:ascii="arial" w:hAnsi="arial"/>
          <w:sz w:val="20"/>
        </w:rPr>
        <w:t xml:space="preserve">Sincerely yours,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82"/>
        <w:gridCol w:w="125"/>
        <w:gridCol w:w="4898"/>
      </w:tblGrid>
      <w:tr>
        <w:trPr/>
        <w:tc>
          <w:tcPr>
            <w:tcW w:w="518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898" w:type="dxa"/>
            <w:tcBorders/>
            <w:shd w:fill="auto" w:val="clear"/>
            <w:vAlign w:val="center"/>
          </w:tcPr>
          <w:p>
            <w:pPr>
              <w:pStyle w:val="TableContents"/>
              <w:spacing w:before="0" w:after="283"/>
              <w:rPr>
                <w:sz w:val="4"/>
                <w:szCs w:val="4"/>
              </w:rPr>
            </w:pPr>
            <w:r>
              <w:rPr>
                <w:sz w:val="4"/>
                <w:szCs w:val="4"/>
              </w:rPr>
            </w:r>
          </w:p>
        </w:tc>
      </w:tr>
      <w:tr>
        <w:trPr/>
        <w:tc>
          <w:tcPr>
            <w:tcW w:w="5182" w:type="dxa"/>
            <w:tcBorders/>
            <w:shd w:fill="auto" w:val="clear"/>
          </w:tcPr>
          <w:p>
            <w:pPr>
              <w:pStyle w:val="TableContents"/>
              <w:spacing w:before="0" w:after="283"/>
              <w:rPr/>
            </w:pPr>
            <w:r>
              <w:rPr/>
              <w:drawing>
                <wp:inline distT="0" distB="0" distL="0" distR="0">
                  <wp:extent cx="179070" cy="38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9070" cy="38100"/>
                          </a:xfrm>
                          <a:prstGeom prst="rect">
                            <a:avLst/>
                          </a:prstGeom>
                        </pic:spPr>
                      </pic:pic>
                    </a:graphicData>
                  </a:graphic>
                </wp:inline>
              </w:drawing>
            </w:r>
            <w:r>
              <w:rPr/>
              <w:t xml:space="preserve"> </w:t>
            </w:r>
          </w:p>
        </w:tc>
        <w:tc>
          <w:tcPr>
            <w:tcW w:w="125" w:type="dxa"/>
            <w:tcBorders/>
            <w:shd w:fill="auto" w:val="clear"/>
            <w:vAlign w:val="bottom"/>
          </w:tcPr>
          <w:p>
            <w:pPr>
              <w:pStyle w:val="TableContents"/>
              <w:spacing w:before="0" w:after="283"/>
              <w:rPr/>
            </w:pPr>
            <w:r>
              <w:rPr/>
              <w:t>  </w:t>
            </w:r>
          </w:p>
        </w:tc>
        <w:tc>
          <w:tcPr>
            <w:tcW w:w="4898" w:type="dxa"/>
            <w:tcBorders/>
            <w:shd w:fill="auto" w:val="clear"/>
          </w:tcPr>
          <w:p>
            <w:pPr>
              <w:pStyle w:val="TableContents"/>
              <w:spacing w:before="0" w:after="0"/>
              <w:rPr/>
            </w:pPr>
            <w:r>
              <w:rPr/>
              <w:drawing>
                <wp:inline distT="0" distB="0" distL="0" distR="0">
                  <wp:extent cx="176530" cy="425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6530" cy="42545"/>
                          </a:xfrm>
                          <a:prstGeom prst="rect">
                            <a:avLst/>
                          </a:prstGeom>
                        </pic:spPr>
                      </pic:pic>
                    </a:graphicData>
                  </a:graphic>
                </wp:inline>
              </w:drawing>
            </w:r>
            <w:r>
              <w:rPr/>
              <w:t xml:space="preserve"> </w:t>
            </w:r>
          </w:p>
          <w:p>
            <w:pPr>
              <w:pStyle w:val="TableContents"/>
              <w:spacing w:before="0" w:after="20"/>
              <w:rPr/>
            </w:pPr>
            <w:r>
              <w:rPr/>
              <w:t> </w:t>
            </w:r>
          </w:p>
        </w:tc>
      </w:tr>
      <w:tr>
        <w:trPr/>
        <w:tc>
          <w:tcPr>
            <w:tcW w:w="5182" w:type="dxa"/>
            <w:tcBorders/>
            <w:shd w:fill="auto" w:val="clear"/>
          </w:tcPr>
          <w:p>
            <w:pPr>
              <w:pStyle w:val="TableContents"/>
              <w:spacing w:before="0" w:after="283"/>
              <w:rPr/>
            </w:pPr>
            <w:r>
              <w:rPr/>
              <w:t>Richard J. Dahl</w:t>
            </w:r>
          </w:p>
        </w:tc>
        <w:tc>
          <w:tcPr>
            <w:tcW w:w="125" w:type="dxa"/>
            <w:tcBorders/>
            <w:shd w:fill="auto" w:val="clear"/>
            <w:vAlign w:val="bottom"/>
          </w:tcPr>
          <w:p>
            <w:pPr>
              <w:pStyle w:val="TableContents"/>
              <w:spacing w:before="0" w:after="283"/>
              <w:rPr/>
            </w:pPr>
            <w:r>
              <w:rPr/>
              <w:t>  </w:t>
            </w:r>
          </w:p>
        </w:tc>
        <w:tc>
          <w:tcPr>
            <w:tcW w:w="4898" w:type="dxa"/>
            <w:tcBorders/>
            <w:shd w:fill="auto" w:val="clear"/>
          </w:tcPr>
          <w:p>
            <w:pPr>
              <w:pStyle w:val="TableContents"/>
              <w:spacing w:before="0" w:after="283"/>
              <w:rPr/>
            </w:pPr>
            <w:r>
              <w:rPr/>
              <w:t>John W. Peyton</w:t>
            </w:r>
          </w:p>
        </w:tc>
      </w:tr>
      <w:tr>
        <w:trPr/>
        <w:tc>
          <w:tcPr>
            <w:tcW w:w="5182" w:type="dxa"/>
            <w:tcBorders/>
            <w:shd w:fill="auto" w:val="clear"/>
          </w:tcPr>
          <w:p>
            <w:pPr>
              <w:pStyle w:val="TableContents"/>
              <w:spacing w:before="0" w:after="283"/>
              <w:rPr/>
            </w:pPr>
            <w:r>
              <w:rPr/>
              <w:t>Chairman of the Board of Directors</w:t>
            </w:r>
          </w:p>
        </w:tc>
        <w:tc>
          <w:tcPr>
            <w:tcW w:w="125" w:type="dxa"/>
            <w:tcBorders/>
            <w:shd w:fill="auto" w:val="clear"/>
            <w:vAlign w:val="bottom"/>
          </w:tcPr>
          <w:p>
            <w:pPr>
              <w:pStyle w:val="TableContents"/>
              <w:spacing w:before="0" w:after="283"/>
              <w:rPr/>
            </w:pPr>
            <w:r>
              <w:rPr/>
              <w:t>  </w:t>
            </w:r>
          </w:p>
        </w:tc>
        <w:tc>
          <w:tcPr>
            <w:tcW w:w="4898" w:type="dxa"/>
            <w:tcBorders/>
            <w:shd w:fill="auto" w:val="clear"/>
          </w:tcPr>
          <w:p>
            <w:pPr>
              <w:pStyle w:val="TableContents"/>
              <w:spacing w:before="0" w:after="283"/>
              <w:rPr/>
            </w:pPr>
            <w:r>
              <w:rPr/>
              <w:t>Chief Executive Officer</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076"/>
        <w:gridCol w:w="104"/>
        <w:gridCol w:w="25"/>
      </w:tblGrid>
      <w:tr>
        <w:trPr/>
        <w:tc>
          <w:tcPr>
            <w:tcW w:w="1007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25" w:type="dxa"/>
            <w:tcBorders/>
            <w:shd w:fill="auto" w:val="clear"/>
            <w:vAlign w:val="center"/>
          </w:tcPr>
          <w:p>
            <w:pPr>
              <w:pStyle w:val="TableContents"/>
              <w:spacing w:before="0" w:after="283"/>
              <w:rPr>
                <w:sz w:val="4"/>
                <w:szCs w:val="4"/>
              </w:rPr>
            </w:pPr>
            <w:r>
              <w:rPr>
                <w:sz w:val="4"/>
                <w:szCs w:val="4"/>
              </w:rPr>
            </w:r>
          </w:p>
        </w:tc>
      </w:tr>
      <w:tr>
        <w:trPr/>
        <w:tc>
          <w:tcPr>
            <w:tcW w:w="10076"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5" w:type="dxa"/>
            <w:tcBorders/>
            <w:shd w:fill="auto" w:val="clear"/>
            <w:vAlign w:val="cente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p>
        </w:tc>
      </w:tr>
    </w:tbl>
    <w:p>
      <w:pPr>
        <w:pStyle w:val="TextBody"/>
        <w:spacing w:before="0" w:after="0"/>
        <w:jc w:val="left"/>
        <w:rPr/>
      </w:pPr>
      <w:r>
        <w:rPr/>
        <w:t> </w:t>
      </w:r>
    </w:p>
    <w:p>
      <w:pPr>
        <w:pStyle w:val="TextBody"/>
        <w:spacing w:before="0" w:after="0"/>
        <w:jc w:val="center"/>
        <w:rPr/>
      </w:pPr>
      <w:r>
        <w:rPr/>
        <w:drawing>
          <wp:inline distT="0" distB="0" distL="0" distR="0">
            <wp:extent cx="226695" cy="1257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6695" cy="125730"/>
                    </a:xfrm>
                    <a:prstGeom prst="rect">
                      <a:avLst/>
                    </a:prstGeom>
                  </pic:spPr>
                </pic:pic>
              </a:graphicData>
            </a:graphic>
          </wp:inline>
        </w:drawing>
      </w:r>
      <w:r>
        <w:rPr/>
        <w:t xml:space="preserve"> </w:t>
      </w:r>
    </w:p>
    <w:p>
      <w:pPr>
        <w:pStyle w:val="TextBody"/>
        <w:spacing w:before="480" w:after="0"/>
        <w:jc w:val="center"/>
        <w:rPr>
          <w:rFonts w:ascii="arial" w:hAnsi="arial"/>
          <w:b/>
          <w:sz w:val="20"/>
        </w:rPr>
      </w:pPr>
      <w:r>
        <w:rPr>
          <w:rFonts w:ascii="arial" w:hAnsi="arial"/>
          <w:b/>
          <w:sz w:val="20"/>
        </w:rPr>
        <w:t xml:space="preserve">450 North Brand Boulevard </w:t>
      </w:r>
    </w:p>
    <w:p>
      <w:pPr>
        <w:pStyle w:val="TextBody"/>
        <w:spacing w:before="0" w:after="0"/>
        <w:jc w:val="center"/>
        <w:rPr>
          <w:rFonts w:ascii="arial" w:hAnsi="arial"/>
          <w:b/>
          <w:sz w:val="20"/>
        </w:rPr>
      </w:pPr>
      <w:r>
        <w:rPr>
          <w:rFonts w:ascii="arial" w:hAnsi="arial"/>
          <w:b/>
          <w:sz w:val="20"/>
        </w:rPr>
        <w:t xml:space="preserve">Glendale, California 91203 </w:t>
      </w:r>
    </w:p>
    <w:p>
      <w:pPr>
        <w:pStyle w:val="TextBody"/>
        <w:spacing w:before="0" w:after="0"/>
        <w:jc w:val="center"/>
        <w:rPr>
          <w:rFonts w:ascii="arial" w:hAnsi="arial"/>
          <w:b/>
          <w:sz w:val="20"/>
        </w:rPr>
      </w:pPr>
      <w:r>
        <w:rPr>
          <w:rFonts w:ascii="arial" w:hAnsi="arial"/>
          <w:b/>
          <w:sz w:val="20"/>
        </w:rPr>
        <w:t xml:space="preserve">(866) 995-DINE </w:t>
      </w:r>
    </w:p>
    <w:p>
      <w:pPr>
        <w:pStyle w:val="TextBody"/>
        <w:spacing w:before="240" w:after="0"/>
        <w:jc w:val="left"/>
        <w:rPr>
          <w:rFonts w:ascii="arial" w:hAnsi="arial"/>
          <w:b/>
          <w:sz w:val="42"/>
        </w:rPr>
      </w:pPr>
      <w:r>
        <w:rPr>
          <w:rFonts w:ascii="arial" w:hAnsi="arial"/>
          <w:b/>
          <w:sz w:val="42"/>
        </w:rPr>
        <w:t xml:space="preserve">NOTICE OF THE ANNUAL MEETING OF STOCKHOLDERS TO BE HELD ON MAY 11, 2021 </w:t>
      </w:r>
    </w:p>
    <w:p>
      <w:pPr>
        <w:pStyle w:val="TextBody"/>
        <w:spacing w:before="360" w:after="0"/>
        <w:jc w:val="left"/>
        <w:rPr>
          <w:rFonts w:ascii="arial" w:hAnsi="arial"/>
          <w:sz w:val="20"/>
        </w:rPr>
      </w:pPr>
      <w:r>
        <w:rPr>
          <w:rFonts w:ascii="arial" w:hAnsi="arial"/>
          <w:sz w:val="20"/>
        </w:rPr>
        <w:t xml:space="preserve">March 30, 2021 </w:t>
      </w:r>
    </w:p>
    <w:p>
      <w:pPr>
        <w:pStyle w:val="TextBody"/>
        <w:spacing w:before="120" w:after="0"/>
        <w:jc w:val="left"/>
        <w:rPr>
          <w:rFonts w:ascii="arial" w:hAnsi="arial"/>
          <w:sz w:val="20"/>
        </w:rPr>
      </w:pPr>
      <w:r>
        <w:rPr>
          <w:rFonts w:ascii="arial" w:hAnsi="arial"/>
          <w:sz w:val="20"/>
        </w:rPr>
        <w:t xml:space="preserve">To the Stockholders of Dine Brands Global, Inc.: </w:t>
      </w:r>
    </w:p>
    <w:p>
      <w:pPr>
        <w:pStyle w:val="TextBody"/>
        <w:spacing w:before="120" w:after="0"/>
        <w:jc w:val="left"/>
        <w:rPr>
          <w:rFonts w:ascii="arial" w:hAnsi="arial"/>
          <w:sz w:val="20"/>
        </w:rPr>
      </w:pPr>
      <w:r>
        <w:rPr>
          <w:rFonts w:ascii="arial" w:hAnsi="arial"/>
          <w:sz w:val="20"/>
        </w:rPr>
        <w:t xml:space="preserve">NOTICE IS HEREBY GIVEN that the 2021 Annual Meeting of Stockholders (the Annual Meeting) of Dine Brands Global, Inc., a Delaware corporation (the Corporation), will be held in a virtual format only at www.meetingcenter.io/265229604, on Tuesday, May 11, 2021, at 8:00 a.m., Pacific Time, for the following purposes as more fully described in the accompanying proxy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elect the ten directors identified in the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To ratify the appointment of Ernst &amp; Young LLP as the Corporations independent auditor for the fiscal year ending December 31, 2021;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approve, on an advisory basis, the compensation of the Corporations named executive officers. </w:t>
            </w:r>
          </w:p>
        </w:tc>
      </w:tr>
    </w:tbl>
    <w:p>
      <w:pPr>
        <w:pStyle w:val="TextBody"/>
        <w:spacing w:before="120" w:after="0"/>
        <w:jc w:val="left"/>
        <w:rPr>
          <w:rFonts w:ascii="arial" w:hAnsi="arial"/>
          <w:sz w:val="20"/>
        </w:rPr>
      </w:pPr>
      <w:r>
        <w:rPr>
          <w:rFonts w:ascii="arial" w:hAnsi="arial"/>
          <w:sz w:val="20"/>
        </w:rPr>
        <w:t xml:space="preserve">Only stockholders of record at the close of business on March 17, 2021, the record date for the Annual Meeting, are entitled to notice of, and to vote at, the Annual Meeting and any adjournment thereof. </w:t>
      </w:r>
    </w:p>
    <w:p>
      <w:pPr>
        <w:pStyle w:val="TextBody"/>
        <w:spacing w:before="240" w:after="0"/>
        <w:jc w:val="left"/>
        <w:rPr>
          <w:rFonts w:ascii="arial" w:hAnsi="arial"/>
          <w:sz w:val="20"/>
        </w:rPr>
      </w:pPr>
      <w:r>
        <w:rPr>
          <w:rFonts w:ascii="arial" w:hAnsi="arial"/>
          <w:sz w:val="20"/>
        </w:rPr>
        <w:t xml:space="preserve">By Order of the Board of Directors, </w:t>
      </w:r>
    </w:p>
    <w:p>
      <w:pPr>
        <w:pStyle w:val="TextBody"/>
        <w:spacing w:before="0" w:after="0"/>
        <w:jc w:val="left"/>
        <w:rPr/>
      </w:pPr>
      <w:r>
        <w:rPr/>
        <w:t> </w:t>
      </w:r>
    </w:p>
    <w:p>
      <w:pPr>
        <w:pStyle w:val="TextBody"/>
        <w:spacing w:before="0" w:after="0"/>
        <w:jc w:val="left"/>
        <w:rPr/>
      </w:pPr>
      <w:r>
        <w:rPr/>
        <w:drawing>
          <wp:inline distT="0" distB="0" distL="0" distR="0">
            <wp:extent cx="184785" cy="47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4785" cy="47625"/>
                    </a:xfrm>
                    <a:prstGeom prst="rect">
                      <a:avLst/>
                    </a:prstGeom>
                  </pic:spPr>
                </pic:pic>
              </a:graphicData>
            </a:graphic>
          </wp:inline>
        </w:drawing>
      </w:r>
      <w:r>
        <w:rPr/>
        <w:t xml:space="preserve"> </w:t>
      </w:r>
    </w:p>
    <w:p>
      <w:pPr>
        <w:pStyle w:val="TextBody"/>
        <w:spacing w:before="240" w:after="0"/>
        <w:jc w:val="left"/>
        <w:rPr>
          <w:rFonts w:ascii="arial" w:hAnsi="arial"/>
          <w:sz w:val="20"/>
        </w:rPr>
      </w:pPr>
      <w:r>
        <w:rPr>
          <w:rFonts w:ascii="arial" w:hAnsi="arial"/>
          <w:sz w:val="20"/>
        </w:rPr>
        <w:t xml:space="preserve">Bryan R. Adel </w:t>
      </w:r>
    </w:p>
    <w:p>
      <w:pPr>
        <w:pStyle w:val="TextBody"/>
        <w:spacing w:before="0" w:after="0"/>
        <w:jc w:val="left"/>
        <w:rPr>
          <w:rFonts w:ascii="arial" w:hAnsi="arial"/>
          <w:sz w:val="20"/>
        </w:rPr>
      </w:pPr>
      <w:r>
        <w:rPr>
          <w:rFonts w:ascii="arial" w:hAnsi="arial"/>
          <w:sz w:val="20"/>
        </w:rPr>
        <w:t xml:space="preserve">Senior Vice President, Legal, General Counsel and Secretary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
        <w:gridCol w:w="104"/>
        <w:gridCol w:w="10079"/>
      </w:tblGrid>
      <w:tr>
        <w:trPr/>
        <w:tc>
          <w:tcPr>
            <w:tcW w:w="2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10079" w:type="dxa"/>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10079"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pPr>
            <w:r>
              <w:rPr/>
              <w:t>   </w:t>
            </w:r>
          </w:p>
        </w:tc>
      </w:tr>
    </w:tbl>
    <w:p>
      <w:pPr>
        <w:pStyle w:val="TextBody"/>
        <w:spacing w:before="0" w:after="0"/>
        <w:jc w:val="left"/>
        <w:rPr/>
      </w:pPr>
      <w:r>
        <w:rPr/>
        <w:t> </w:t>
      </w:r>
    </w:p>
    <w:p>
      <w:pPr>
        <w:pStyle w:val="TextBody"/>
        <w:spacing w:before="0" w:after="0"/>
        <w:jc w:val="center"/>
        <w:rPr>
          <w:rFonts w:ascii="arial" w:hAnsi="arial"/>
          <w:b/>
          <w:sz w:val="20"/>
        </w:rPr>
      </w:pPr>
      <w:r>
        <w:rPr>
          <w:rFonts w:ascii="arial" w:hAnsi="arial"/>
          <w:b/>
          <w:sz w:val="20"/>
        </w:rPr>
        <w:t xml:space="preserve">Important Notice Regarding the Availability of </w:t>
      </w:r>
    </w:p>
    <w:p>
      <w:pPr>
        <w:pStyle w:val="TextBody"/>
        <w:spacing w:before="0" w:after="0"/>
        <w:jc w:val="center"/>
        <w:rPr>
          <w:rFonts w:ascii="arial" w:hAnsi="arial"/>
          <w:b/>
          <w:sz w:val="20"/>
        </w:rPr>
      </w:pPr>
      <w:r>
        <w:rPr>
          <w:rFonts w:ascii="arial" w:hAnsi="arial"/>
          <w:b/>
          <w:sz w:val="20"/>
        </w:rPr>
        <w:t xml:space="preserve">Proxy Materials for the Annual Meeting of Stockholders </w:t>
      </w:r>
    </w:p>
    <w:p>
      <w:pPr>
        <w:pStyle w:val="TextBody"/>
        <w:spacing w:before="0" w:after="0"/>
        <w:jc w:val="center"/>
        <w:rPr>
          <w:rFonts w:ascii="arial" w:hAnsi="arial"/>
          <w:b/>
          <w:sz w:val="20"/>
        </w:rPr>
      </w:pPr>
      <w:r>
        <w:rPr>
          <w:rFonts w:ascii="arial" w:hAnsi="arial"/>
          <w:b/>
          <w:sz w:val="20"/>
        </w:rPr>
        <w:t xml:space="preserve">of Dine Brands Global, Inc. </w:t>
      </w:r>
    </w:p>
    <w:p>
      <w:pPr>
        <w:pStyle w:val="TextBody"/>
        <w:spacing w:before="0" w:after="0"/>
        <w:jc w:val="center"/>
        <w:rPr>
          <w:rFonts w:ascii="arial" w:hAnsi="arial"/>
          <w:b/>
          <w:sz w:val="20"/>
        </w:rPr>
      </w:pPr>
      <w:r>
        <w:rPr>
          <w:rFonts w:ascii="arial" w:hAnsi="arial"/>
          <w:b/>
          <w:sz w:val="20"/>
        </w:rPr>
        <w:t xml:space="preserve">to be Held on May 11, 2021 </w:t>
      </w:r>
    </w:p>
    <w:p>
      <w:pPr>
        <w:pStyle w:val="TextBody"/>
        <w:spacing w:before="360" w:after="0"/>
        <w:jc w:val="left"/>
        <w:rPr>
          <w:rFonts w:ascii="arial" w:hAnsi="arial"/>
          <w:sz w:val="20"/>
        </w:rPr>
      </w:pPr>
      <w:r>
        <w:rPr>
          <w:rFonts w:ascii="arial" w:hAnsi="arial"/>
          <w:sz w:val="20"/>
        </w:rPr>
        <w:t xml:space="preserve">The notice of the Annual Meeting, proxy statement, 2020 annual report to stockholders and the means to vote by Internet are available at </w:t>
      </w:r>
      <w:r>
        <w:rPr>
          <w:rFonts w:ascii="arial" w:hAnsi="arial"/>
          <w:sz w:val="20"/>
          <w:u w:val="single"/>
        </w:rPr>
        <w:t>www.envisionreports.com/DIN</w:t>
      </w:r>
      <w:r>
        <w:rPr>
          <w:rFonts w:ascii="arial" w:hAnsi="arial"/>
          <w:sz w:val="20"/>
        </w:rPr>
        <w:t xml:space="preserve">. </w:t>
      </w:r>
    </w:p>
    <w:p>
      <w:pPr>
        <w:pStyle w:val="TextBody"/>
        <w:spacing w:before="240" w:after="0"/>
        <w:jc w:val="center"/>
        <w:rPr>
          <w:rFonts w:ascii="arial" w:hAnsi="arial"/>
          <w:b/>
          <w:sz w:val="20"/>
        </w:rPr>
      </w:pPr>
      <w:r>
        <w:rPr>
          <w:rFonts w:ascii="arial" w:hAnsi="arial"/>
          <w:b/>
          <w:sz w:val="20"/>
        </w:rPr>
        <w:t xml:space="preserve">Your Vote is Important </w:t>
      </w:r>
    </w:p>
    <w:p>
      <w:pPr>
        <w:pStyle w:val="TextBody"/>
        <w:spacing w:before="120" w:after="0"/>
        <w:jc w:val="left"/>
        <w:rPr>
          <w:rFonts w:ascii="arial" w:hAnsi="arial"/>
          <w:sz w:val="20"/>
        </w:rPr>
      </w:pPr>
      <w:r>
        <w:rPr>
          <w:rFonts w:ascii="arial" w:hAnsi="arial"/>
          <w:sz w:val="20"/>
        </w:rPr>
        <w:t xml:space="preserve">Please vote as promptly as possible by using the Internet or telephone or by signing, dating, and returning the proxy card. If you did not receive a paper copy of the proxy statement with the proxy card and would like to vote by proxy card, please refer to the instructions on requesting a paper copy of these materials in this proxy statement. All stockholders are cordially invited to attend the Annual Meeting virtually. If you attend the Annual Meeting, you may vote through the virtual interface during the meeting if you wish, even if you have previously voted by another method.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076"/>
        <w:gridCol w:w="104"/>
        <w:gridCol w:w="25"/>
      </w:tblGrid>
      <w:tr>
        <w:trPr/>
        <w:tc>
          <w:tcPr>
            <w:tcW w:w="1007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25" w:type="dxa"/>
            <w:tcBorders/>
            <w:shd w:fill="auto" w:val="clear"/>
            <w:vAlign w:val="center"/>
          </w:tcPr>
          <w:p>
            <w:pPr>
              <w:pStyle w:val="TableContents"/>
              <w:spacing w:before="0" w:after="283"/>
              <w:rPr>
                <w:sz w:val="4"/>
                <w:szCs w:val="4"/>
              </w:rPr>
            </w:pPr>
            <w:r>
              <w:rPr>
                <w:sz w:val="4"/>
                <w:szCs w:val="4"/>
              </w:rPr>
            </w:r>
          </w:p>
        </w:tc>
      </w:tr>
      <w:tr>
        <w:trPr/>
        <w:tc>
          <w:tcPr>
            <w:tcW w:w="10076"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5" w:type="dxa"/>
            <w:tcBorders/>
            <w:shd w:fill="auto" w:val="clear"/>
            <w:vAlign w:val="cente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TABLE OF CONTENTS   </w:t>
            </w:r>
          </w:p>
        </w:tc>
      </w:tr>
    </w:tbl>
    <w:p>
      <w:pPr>
        <w:pStyle w:val="TextBody"/>
        <w:spacing w:before="0" w:after="0"/>
        <w:jc w:val="left"/>
        <w:rPr/>
      </w:pPr>
      <w:r>
        <w:rPr/>
        <w:t> </w:t>
      </w:r>
    </w:p>
    <w:p>
      <w:pPr>
        <w:pStyle w:val="TextBody"/>
        <w:spacing w:before="0" w:after="0"/>
        <w:jc w:val="left"/>
        <w:rPr>
          <w:rFonts w:ascii="arial" w:hAnsi="arial"/>
          <w:b/>
          <w:sz w:val="42"/>
        </w:rPr>
      </w:pPr>
      <w:bookmarkStart w:id="2" w:name="toc"/>
      <w:bookmarkEnd w:id="2"/>
      <w:r>
        <w:rPr>
          <w:rFonts w:ascii="arial" w:hAnsi="arial"/>
          <w:b/>
          <w:sz w:val="42"/>
        </w:rPr>
        <w:t xml:space="preserve">Table of Contents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9972040"/>
                <wp:effectExtent l="0" t="0" r="0" b="0"/>
                <wp:wrapSquare wrapText="largest"/>
                <wp:docPr id="8" name="Frame1"/>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5000" w:type="pct"/>
                              <w:jc w:val="center"/>
                              <w:tblInd w:w="0" w:type="dxa"/>
                              <w:tblCellMar>
                                <w:top w:w="0" w:type="dxa"/>
                                <w:left w:w="0" w:type="dxa"/>
                                <w:bottom w:w="0" w:type="dxa"/>
                                <w:right w:w="0" w:type="dxa"/>
                              </w:tblCellMar>
                            </w:tblPr>
                            <w:tblGrid>
                              <w:gridCol w:w="4367"/>
                              <w:gridCol w:w="249"/>
                              <w:gridCol w:w="46"/>
                              <w:gridCol w:w="206"/>
                              <w:gridCol w:w="30"/>
                            </w:tblGrid>
                            <w:tr>
                              <w:trPr/>
                              <w:tc>
                                <w:tcPr>
                                  <w:tcW w:w="436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30" w:type="dxa"/>
                                  <w:tcBorders/>
                                  <w:shd w:fill="auto" w:val="clear"/>
                                  <w:vAlign w:val="bottom"/>
                                </w:tcPr>
                                <w:p>
                                  <w:pPr>
                                    <w:pStyle w:val="TableContents"/>
                                    <w:spacing w:before="0" w:after="283"/>
                                    <w:rPr/>
                                  </w:pPr>
                                  <w:r>
                                    <w:rPr/>
                                    <w:t> </w:t>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1">
                                    <w:r>
                                      <w:rPr>
                                        <w:rStyle w:val="InternetLink"/>
                                        <w:b/>
                                      </w:rPr>
                                      <w:t>Questions and Answers</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1</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2">
                                    <w:r>
                                      <w:rPr>
                                        <w:rStyle w:val="InternetLink"/>
                                        <w:b/>
                                      </w:rPr>
                                      <w:t>Important Note</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4</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3">
                                    <w:r>
                                      <w:rPr>
                                        <w:rStyle w:val="InternetLink"/>
                                        <w:b/>
                                      </w:rPr>
                                      <w:t>Corporate Governance</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5</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r>
                                    <w:rPr/>
                                    <w:t> </w:t>
                                  </w:r>
                                </w:p>
                                <w:p>
                                  <w:pPr>
                                    <w:pStyle w:val="TableContents"/>
                                    <w:spacing w:before="0" w:after="20"/>
                                    <w:rPr/>
                                  </w:pPr>
                                  <w:hyperlink w:anchor="toc116694_4">
                                    <w:r>
                                      <w:rPr>
                                        <w:rStyle w:val="InternetLink"/>
                                        <w:rFonts w:ascii="arial" w:hAnsi="arial"/>
                                        <w:sz w:val="16"/>
                                      </w:rPr>
                                      <w:t>Current Board of Directors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5</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5">
                                    <w:r>
                                      <w:rPr>
                                        <w:rStyle w:val="InternetLink"/>
                                        <w:rFonts w:ascii="arial" w:hAnsi="arial"/>
                                        <w:sz w:val="16"/>
                                      </w:rPr>
                                      <w:t>The Role of the Board of Directors in Risk Oversight</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6">
                                    <w:r>
                                      <w:rPr>
                                        <w:rStyle w:val="InternetLink"/>
                                        <w:rFonts w:ascii="arial" w:hAnsi="arial"/>
                                        <w:sz w:val="16"/>
                                      </w:rPr>
                                      <w:t>Director Independence</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7">
                                    <w:r>
                                      <w:rPr>
                                        <w:rStyle w:val="InternetLink"/>
                                        <w:rFonts w:ascii="arial" w:hAnsi="arial"/>
                                        <w:sz w:val="16"/>
                                      </w:rPr>
                                      <w:t>Codes of Conduct</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7</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8">
                                    <w:r>
                                      <w:rPr>
                                        <w:rStyle w:val="InternetLink"/>
                                        <w:rFonts w:ascii="arial" w:hAnsi="arial"/>
                                        <w:sz w:val="16"/>
                                      </w:rPr>
                                      <w:t>Corporate Governance Guidelines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9">
                                    <w:r>
                                      <w:rPr>
                                        <w:rStyle w:val="InternetLink"/>
                                        <w:rFonts w:ascii="arial" w:hAnsi="arial"/>
                                        <w:sz w:val="16"/>
                                      </w:rPr>
                                      <w:t>Director Attendance at Meetings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0">
                                    <w:r>
                                      <w:rPr>
                                        <w:rStyle w:val="InternetLink"/>
                                        <w:rFonts w:ascii="arial" w:hAnsi="arial"/>
                                        <w:sz w:val="16"/>
                                      </w:rPr>
                                      <w:t>Executive Sessions of Non-Management Directors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1">
                                    <w:r>
                                      <w:rPr>
                                        <w:rStyle w:val="InternetLink"/>
                                        <w:rFonts w:ascii="arial" w:hAnsi="arial"/>
                                        <w:sz w:val="16"/>
                                      </w:rPr>
                                      <w:t>Communications with the Board of Directors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2">
                                    <w:r>
                                      <w:rPr>
                                        <w:rStyle w:val="InternetLink"/>
                                        <w:rFonts w:ascii="arial" w:hAnsi="arial"/>
                                        <w:sz w:val="16"/>
                                      </w:rPr>
                                      <w:t>Board of Directors Retirement Policy</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3">
                                    <w:r>
                                      <w:rPr>
                                        <w:rStyle w:val="InternetLink"/>
                                        <w:rFonts w:ascii="arial" w:hAnsi="arial"/>
                                        <w:sz w:val="16"/>
                                      </w:rPr>
                                      <w:t>Other Public Corporation Directorships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4">
                                    <w:r>
                                      <w:rPr>
                                        <w:rStyle w:val="InternetLink"/>
                                        <w:rFonts w:ascii="arial" w:hAnsi="arial"/>
                                        <w:sz w:val="16"/>
                                      </w:rPr>
                                      <w:t>Certain Relationships and Related Person Transactions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5">
                                    <w:r>
                                      <w:rPr>
                                        <w:rStyle w:val="InternetLink"/>
                                        <w:rFonts w:ascii="arial" w:hAnsi="arial"/>
                                        <w:sz w:val="16"/>
                                      </w:rPr>
                                      <w:t>Board of Directors Committees and Their Functions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6">
                                    <w:r>
                                      <w:rPr>
                                        <w:rStyle w:val="InternetLink"/>
                                        <w:rFonts w:ascii="arial" w:hAnsi="arial"/>
                                        <w:sz w:val="16"/>
                                      </w:rPr>
                                      <w:t>Board of Directors Nominations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13</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7">
                                    <w:r>
                                      <w:rPr>
                                        <w:rStyle w:val="InternetLink"/>
                                        <w:rFonts w:ascii="arial" w:hAnsi="arial"/>
                                        <w:sz w:val="16"/>
                                      </w:rPr>
                                      <w:t>Stockholder Nominations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13</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8">
                                    <w:r>
                                      <w:rPr>
                                        <w:rStyle w:val="InternetLink"/>
                                        <w:rFonts w:ascii="arial" w:hAnsi="arial"/>
                                        <w:sz w:val="16"/>
                                      </w:rPr>
                                      <w:t xml:space="preserve">Environmental, Social and Governance Highlights </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13</w:t>
                                  </w:r>
                                </w:p>
                              </w:tc>
                              <w:tc>
                                <w:tcPr>
                                  <w:tcW w:w="30" w:type="dxa"/>
                                  <w:tcBorders/>
                                  <w:shd w:fill="auto" w:val="cle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19">
                                    <w:r>
                                      <w:rPr>
                                        <w:rStyle w:val="InternetLink"/>
                                        <w:b/>
                                      </w:rPr>
                                      <w:t>Director Compensation</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16</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r>
                                    <w:rPr/>
                                    <w:t> </w:t>
                                  </w:r>
                                </w:p>
                                <w:p>
                                  <w:pPr>
                                    <w:pStyle w:val="TableContents"/>
                                    <w:spacing w:before="0" w:after="20"/>
                                    <w:rPr/>
                                  </w:pPr>
                                  <w:hyperlink w:anchor="toc116694_20">
                                    <w:r>
                                      <w:rPr>
                                        <w:rStyle w:val="InternetLink"/>
                                        <w:rFonts w:ascii="arial" w:hAnsi="arial"/>
                                        <w:sz w:val="16"/>
                                      </w:rPr>
                                      <w:t>Stock Ownership Guidelines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16</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1">
                                    <w:r>
                                      <w:rPr>
                                        <w:rStyle w:val="InternetLink"/>
                                        <w:rFonts w:ascii="arial" w:hAnsi="arial"/>
                                        <w:sz w:val="16"/>
                                      </w:rPr>
                                      <w:t>Director Compensation Table for 2020</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17</w:t>
                                  </w:r>
                                </w:p>
                              </w:tc>
                              <w:tc>
                                <w:tcPr>
                                  <w:tcW w:w="30" w:type="dxa"/>
                                  <w:tcBorders/>
                                  <w:shd w:fill="auto" w:val="cle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22">
                                    <w:r>
                                      <w:rPr>
                                        <w:rStyle w:val="InternetLink"/>
                                        <w:b/>
                                      </w:rPr>
                                      <w:t>Security Ownership of Certain Beneficial Owners and Management</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18</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23">
                                    <w:r>
                                      <w:rPr>
                                        <w:rStyle w:val="InternetLink"/>
                                        <w:b/>
                                      </w:rPr>
                                      <w:t>Executive Compensation</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21</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r>
                                    <w:rPr/>
                                    <w:t> </w:t>
                                  </w:r>
                                </w:p>
                                <w:p>
                                  <w:pPr>
                                    <w:pStyle w:val="TableContents"/>
                                    <w:spacing w:before="0" w:after="20"/>
                                    <w:rPr/>
                                  </w:pPr>
                                  <w:hyperlink w:anchor="toc116694_24">
                                    <w:r>
                                      <w:rPr>
                                        <w:rStyle w:val="InternetLink"/>
                                        <w:rFonts w:ascii="arial" w:hAnsi="arial"/>
                                        <w:sz w:val="16"/>
                                      </w:rPr>
                                      <w:t>Compensation Committee Report</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21</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5">
                                    <w:r>
                                      <w:rPr>
                                        <w:rStyle w:val="InternetLink"/>
                                        <w:rFonts w:ascii="arial" w:hAnsi="arial"/>
                                        <w:sz w:val="16"/>
                                      </w:rPr>
                                      <w:t>Compensation Discussion and Analysis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21</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6">
                                    <w:r>
                                      <w:rPr>
                                        <w:rStyle w:val="InternetLink"/>
                                        <w:rFonts w:ascii="arial" w:hAnsi="arial"/>
                                        <w:sz w:val="16"/>
                                      </w:rPr>
                                      <w:t>Compensation Tables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38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7">
                                    <w:r>
                                      <w:rPr>
                                        <w:rStyle w:val="InternetLink"/>
                                        <w:rFonts w:ascii="arial" w:hAnsi="arial"/>
                                        <w:sz w:val="16"/>
                                      </w:rPr>
                                      <w:t>2020 Summary Compensation Table</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38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8">
                                    <w:r>
                                      <w:rPr>
                                        <w:rStyle w:val="InternetLink"/>
                                        <w:rFonts w:ascii="arial" w:hAnsi="arial"/>
                                        <w:sz w:val="16"/>
                                      </w:rPr>
                                      <w:t>Grants of Plan-Based Awards in 2020</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40</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9">
                                    <w:r>
                                      <w:rPr>
                                        <w:rStyle w:val="InternetLink"/>
                                        <w:rFonts w:ascii="arial" w:hAnsi="arial"/>
                                        <w:sz w:val="16"/>
                                      </w:rPr>
                                      <w:t>Outstanding Equity Awards at 2020 Fiscal Year-End</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41</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30">
                                    <w:r>
                                      <w:rPr>
                                        <w:rStyle w:val="InternetLink"/>
                                        <w:rFonts w:ascii="arial" w:hAnsi="arial"/>
                                        <w:sz w:val="16"/>
                                      </w:rPr>
                                      <w:t>2020 Option Exercises and Stock Vested</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42</w:t>
                                  </w:r>
                                </w:p>
                              </w:tc>
                              <w:tc>
                                <w:tcPr>
                                  <w:tcW w:w="30" w:type="dxa"/>
                                  <w:tcBorders/>
                                  <w:shd w:fill="auto" w:val="clear"/>
                                  <w:vAlign w:val="bottom"/>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4367"/>
                        <w:gridCol w:w="249"/>
                        <w:gridCol w:w="46"/>
                        <w:gridCol w:w="206"/>
                        <w:gridCol w:w="30"/>
                      </w:tblGrid>
                      <w:tr>
                        <w:trPr/>
                        <w:tc>
                          <w:tcPr>
                            <w:tcW w:w="436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30" w:type="dxa"/>
                            <w:tcBorders/>
                            <w:shd w:fill="auto" w:val="clear"/>
                            <w:vAlign w:val="bottom"/>
                          </w:tcPr>
                          <w:p>
                            <w:pPr>
                              <w:pStyle w:val="TableContents"/>
                              <w:spacing w:before="0" w:after="283"/>
                              <w:rPr/>
                            </w:pPr>
                            <w:r>
                              <w:rPr/>
                              <w:t> </w:t>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1">
                              <w:r>
                                <w:rPr>
                                  <w:rStyle w:val="InternetLink"/>
                                  <w:b/>
                                </w:rPr>
                                <w:t>Questions and Answers</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1</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2">
                              <w:r>
                                <w:rPr>
                                  <w:rStyle w:val="InternetLink"/>
                                  <w:b/>
                                </w:rPr>
                                <w:t>Important Note</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4</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3">
                              <w:r>
                                <w:rPr>
                                  <w:rStyle w:val="InternetLink"/>
                                  <w:b/>
                                </w:rPr>
                                <w:t>Corporate Governance</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5</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r>
                              <w:rPr/>
                              <w:t> </w:t>
                            </w:r>
                          </w:p>
                          <w:p>
                            <w:pPr>
                              <w:pStyle w:val="TableContents"/>
                              <w:spacing w:before="0" w:after="20"/>
                              <w:rPr/>
                            </w:pPr>
                            <w:hyperlink w:anchor="toc116694_4">
                              <w:r>
                                <w:rPr>
                                  <w:rStyle w:val="InternetLink"/>
                                  <w:rFonts w:ascii="arial" w:hAnsi="arial"/>
                                  <w:sz w:val="16"/>
                                </w:rPr>
                                <w:t>Current Board of Directors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5</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5">
                              <w:r>
                                <w:rPr>
                                  <w:rStyle w:val="InternetLink"/>
                                  <w:rFonts w:ascii="arial" w:hAnsi="arial"/>
                                  <w:sz w:val="16"/>
                                </w:rPr>
                                <w:t>The Role of the Board of Directors in Risk Oversight</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6">
                              <w:r>
                                <w:rPr>
                                  <w:rStyle w:val="InternetLink"/>
                                  <w:rFonts w:ascii="arial" w:hAnsi="arial"/>
                                  <w:sz w:val="16"/>
                                </w:rPr>
                                <w:t>Director Independence</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7">
                              <w:r>
                                <w:rPr>
                                  <w:rStyle w:val="InternetLink"/>
                                  <w:rFonts w:ascii="arial" w:hAnsi="arial"/>
                                  <w:sz w:val="16"/>
                                </w:rPr>
                                <w:t>Codes of Conduct</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7</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8">
                              <w:r>
                                <w:rPr>
                                  <w:rStyle w:val="InternetLink"/>
                                  <w:rFonts w:ascii="arial" w:hAnsi="arial"/>
                                  <w:sz w:val="16"/>
                                </w:rPr>
                                <w:t>Corporate Governance Guidelines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9">
                              <w:r>
                                <w:rPr>
                                  <w:rStyle w:val="InternetLink"/>
                                  <w:rFonts w:ascii="arial" w:hAnsi="arial"/>
                                  <w:sz w:val="16"/>
                                </w:rPr>
                                <w:t>Director Attendance at Meetings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0">
                              <w:r>
                                <w:rPr>
                                  <w:rStyle w:val="InternetLink"/>
                                  <w:rFonts w:ascii="arial" w:hAnsi="arial"/>
                                  <w:sz w:val="16"/>
                                </w:rPr>
                                <w:t>Executive Sessions of Non-Management Directors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1">
                              <w:r>
                                <w:rPr>
                                  <w:rStyle w:val="InternetLink"/>
                                  <w:rFonts w:ascii="arial" w:hAnsi="arial"/>
                                  <w:sz w:val="16"/>
                                </w:rPr>
                                <w:t>Communications with the Board of Directors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2">
                              <w:r>
                                <w:rPr>
                                  <w:rStyle w:val="InternetLink"/>
                                  <w:rFonts w:ascii="arial" w:hAnsi="arial"/>
                                  <w:sz w:val="16"/>
                                </w:rPr>
                                <w:t>Board of Directors Retirement Policy</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3">
                              <w:r>
                                <w:rPr>
                                  <w:rStyle w:val="InternetLink"/>
                                  <w:rFonts w:ascii="arial" w:hAnsi="arial"/>
                                  <w:sz w:val="16"/>
                                </w:rPr>
                                <w:t>Other Public Corporation Directorships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4">
                              <w:r>
                                <w:rPr>
                                  <w:rStyle w:val="InternetLink"/>
                                  <w:rFonts w:ascii="arial" w:hAnsi="arial"/>
                                  <w:sz w:val="16"/>
                                </w:rPr>
                                <w:t>Certain Relationships and Related Person Transactions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5">
                              <w:r>
                                <w:rPr>
                                  <w:rStyle w:val="InternetLink"/>
                                  <w:rFonts w:ascii="arial" w:hAnsi="arial"/>
                                  <w:sz w:val="16"/>
                                </w:rPr>
                                <w:t>Board of Directors Committees and Their Functions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6">
                              <w:r>
                                <w:rPr>
                                  <w:rStyle w:val="InternetLink"/>
                                  <w:rFonts w:ascii="arial" w:hAnsi="arial"/>
                                  <w:sz w:val="16"/>
                                </w:rPr>
                                <w:t>Board of Directors Nominations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13</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7">
                              <w:r>
                                <w:rPr>
                                  <w:rStyle w:val="InternetLink"/>
                                  <w:rFonts w:ascii="arial" w:hAnsi="arial"/>
                                  <w:sz w:val="16"/>
                                </w:rPr>
                                <w:t>Stockholder Nominations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13</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18">
                              <w:r>
                                <w:rPr>
                                  <w:rStyle w:val="InternetLink"/>
                                  <w:rFonts w:ascii="arial" w:hAnsi="arial"/>
                                  <w:sz w:val="16"/>
                                </w:rPr>
                                <w:t xml:space="preserve">Environmental, Social and Governance Highlights </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13</w:t>
                            </w:r>
                          </w:p>
                        </w:tc>
                        <w:tc>
                          <w:tcPr>
                            <w:tcW w:w="30" w:type="dxa"/>
                            <w:tcBorders/>
                            <w:shd w:fill="auto" w:val="cle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19">
                              <w:r>
                                <w:rPr>
                                  <w:rStyle w:val="InternetLink"/>
                                  <w:b/>
                                </w:rPr>
                                <w:t>Director Compensation</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16</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r>
                              <w:rPr/>
                              <w:t> </w:t>
                            </w:r>
                          </w:p>
                          <w:p>
                            <w:pPr>
                              <w:pStyle w:val="TableContents"/>
                              <w:spacing w:before="0" w:after="20"/>
                              <w:rPr/>
                            </w:pPr>
                            <w:hyperlink w:anchor="toc116694_20">
                              <w:r>
                                <w:rPr>
                                  <w:rStyle w:val="InternetLink"/>
                                  <w:rFonts w:ascii="arial" w:hAnsi="arial"/>
                                  <w:sz w:val="16"/>
                                </w:rPr>
                                <w:t>Stock Ownership Guidelines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16</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1">
                              <w:r>
                                <w:rPr>
                                  <w:rStyle w:val="InternetLink"/>
                                  <w:rFonts w:ascii="arial" w:hAnsi="arial"/>
                                  <w:sz w:val="16"/>
                                </w:rPr>
                                <w:t>Director Compensation Table for 2020</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17</w:t>
                            </w:r>
                          </w:p>
                        </w:tc>
                        <w:tc>
                          <w:tcPr>
                            <w:tcW w:w="30" w:type="dxa"/>
                            <w:tcBorders/>
                            <w:shd w:fill="auto" w:val="cle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22">
                              <w:r>
                                <w:rPr>
                                  <w:rStyle w:val="InternetLink"/>
                                  <w:b/>
                                </w:rPr>
                                <w:t>Security Ownership of Certain Beneficial Owners and Management</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18</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2" w:space="0" w:color="CF0A2C"/>
                            </w:tcBorders>
                            <w:shd w:fill="auto" w:val="clear"/>
                            <w:tcMar>
                              <w:bottom w:w="28" w:type="dxa"/>
                            </w:tcMar>
                            <w:vAlign w:val="bottom"/>
                          </w:tcPr>
                          <w:p>
                            <w:pPr>
                              <w:pStyle w:val="TableContents"/>
                              <w:spacing w:before="0" w:after="283"/>
                              <w:rPr/>
                            </w:pPr>
                            <w:hyperlink w:anchor="toc116694_23">
                              <w:r>
                                <w:rPr>
                                  <w:rStyle w:val="InternetLink"/>
                                  <w:b/>
                                </w:rPr>
                                <w:t>Executive Compensation</w:t>
                              </w:r>
                            </w:hyperlink>
                          </w:p>
                        </w:tc>
                        <w:tc>
                          <w:tcPr>
                            <w:tcW w:w="249" w:type="dxa"/>
                            <w:tcBorders>
                              <w:bottom w:val="single" w:sz="2" w:space="0" w:color="CF0A2C"/>
                            </w:tcBorders>
                            <w:shd w:fill="auto" w:val="clear"/>
                            <w:tcMar>
                              <w:bottom w:w="28" w:type="dxa"/>
                            </w:tcMar>
                            <w:vAlign w:val="bottom"/>
                          </w:tcPr>
                          <w:p>
                            <w:pPr>
                              <w:pStyle w:val="TableContents"/>
                              <w:spacing w:before="0" w:after="283"/>
                              <w:rPr/>
                            </w:pPr>
                            <w:r>
                              <w:rPr/>
                              <w:t>  </w:t>
                            </w:r>
                          </w:p>
                        </w:tc>
                        <w:tc>
                          <w:tcPr>
                            <w:tcW w:w="46" w:type="dxa"/>
                            <w:tcBorders>
                              <w:bottom w:val="single" w:sz="2" w:space="0" w:color="CF0A2C"/>
                            </w:tcBorders>
                            <w:shd w:fill="auto" w:val="clear"/>
                            <w:tcMar>
                              <w:bottom w:w="28" w:type="dxa"/>
                            </w:tcMar>
                            <w:vAlign w:val="bottom"/>
                          </w:tcPr>
                          <w:p>
                            <w:pPr>
                              <w:pStyle w:val="TableContents"/>
                              <w:spacing w:before="0" w:after="283"/>
                              <w:rPr/>
                            </w:pPr>
                            <w:r>
                              <w:rPr/>
                              <w:t> </w:t>
                            </w:r>
                          </w:p>
                        </w:tc>
                        <w:tc>
                          <w:tcPr>
                            <w:tcW w:w="206" w:type="dxa"/>
                            <w:tcBorders>
                              <w:bottom w:val="single" w:sz="2" w:space="0" w:color="CF0A2C"/>
                            </w:tcBorders>
                            <w:shd w:fill="auto" w:val="clear"/>
                            <w:tcMar>
                              <w:bottom w:w="28" w:type="dxa"/>
                            </w:tcMar>
                            <w:vAlign w:val="bottom"/>
                          </w:tcPr>
                          <w:p>
                            <w:pPr>
                              <w:pStyle w:val="TableContents"/>
                              <w:spacing w:before="0" w:after="283"/>
                              <w:jc w:val="right"/>
                              <w:rPr>
                                <w:b/>
                              </w:rPr>
                            </w:pPr>
                            <w:r>
                              <w:rPr>
                                <w:b/>
                              </w:rPr>
                              <w:t>21</w:t>
                            </w:r>
                          </w:p>
                        </w:tc>
                        <w:tc>
                          <w:tcPr>
                            <w:tcW w:w="30"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r>
                              <w:rPr/>
                              <w:t> </w:t>
                            </w:r>
                          </w:p>
                          <w:p>
                            <w:pPr>
                              <w:pStyle w:val="TableContents"/>
                              <w:spacing w:before="0" w:after="20"/>
                              <w:rPr/>
                            </w:pPr>
                            <w:hyperlink w:anchor="toc116694_24">
                              <w:r>
                                <w:rPr>
                                  <w:rStyle w:val="InternetLink"/>
                                  <w:rFonts w:ascii="arial" w:hAnsi="arial"/>
                                  <w:sz w:val="16"/>
                                </w:rPr>
                                <w:t>Compensation Committee Report</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21</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5">
                              <w:r>
                                <w:rPr>
                                  <w:rStyle w:val="InternetLink"/>
                                  <w:rFonts w:ascii="arial" w:hAnsi="arial"/>
                                  <w:sz w:val="16"/>
                                </w:rPr>
                                <w:t>Compensation Discussion and Analysis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21</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6">
                              <w:r>
                                <w:rPr>
                                  <w:rStyle w:val="InternetLink"/>
                                  <w:rFonts w:ascii="arial" w:hAnsi="arial"/>
                                  <w:sz w:val="16"/>
                                </w:rPr>
                                <w:t>Compensation Tables</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38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7">
                              <w:r>
                                <w:rPr>
                                  <w:rStyle w:val="InternetLink"/>
                                  <w:rFonts w:ascii="arial" w:hAnsi="arial"/>
                                  <w:sz w:val="16"/>
                                </w:rPr>
                                <w:t>2020 Summary Compensation Table</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38</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8">
                              <w:r>
                                <w:rPr>
                                  <w:rStyle w:val="InternetLink"/>
                                  <w:rFonts w:ascii="arial" w:hAnsi="arial"/>
                                  <w:sz w:val="16"/>
                                </w:rPr>
                                <w:t>Grants of Plan-Based Awards in 2020</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40</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29">
                              <w:r>
                                <w:rPr>
                                  <w:rStyle w:val="InternetLink"/>
                                  <w:rFonts w:ascii="arial" w:hAnsi="arial"/>
                                  <w:sz w:val="16"/>
                                </w:rPr>
                                <w:t>Outstanding Equity Awards at 2020 Fiscal Year-End</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41</w:t>
                            </w:r>
                          </w:p>
                        </w:tc>
                        <w:tc>
                          <w:tcPr>
                            <w:tcW w:w="30" w:type="dxa"/>
                            <w:tcBorders/>
                            <w:shd w:fill="auto" w:val="clear"/>
                            <w:vAlign w:val="bottom"/>
                          </w:tcPr>
                          <w:p>
                            <w:pPr>
                              <w:pStyle w:val="TableContents"/>
                              <w:spacing w:before="0" w:after="283"/>
                              <w:rPr/>
                            </w:pPr>
                            <w:r>
                              <w:rPr/>
                              <w:t> </w:t>
                            </w:r>
                          </w:p>
                        </w:tc>
                      </w:tr>
                      <w:tr>
                        <w:trPr>
                          <w:trHeight w:val="30" w:hRule="atLeast"/>
                        </w:trPr>
                        <w:tc>
                          <w:tcPr>
                            <w:tcW w:w="4367" w:type="dxa"/>
                            <w:tcBorders/>
                            <w:shd w:fill="auto" w:val="clear"/>
                            <w:vAlign w:val="center"/>
                          </w:tcPr>
                          <w:p>
                            <w:pPr>
                              <w:pStyle w:val="TableContents"/>
                              <w:spacing w:before="0" w:after="283"/>
                              <w:rPr>
                                <w:sz w:val="4"/>
                                <w:szCs w:val="4"/>
                              </w:rPr>
                            </w:pPr>
                            <w:r>
                              <w:rPr>
                                <w:sz w:val="4"/>
                                <w:szCs w:val="4"/>
                              </w:rPr>
                            </w:r>
                          </w:p>
                        </w:tc>
                        <w:tc>
                          <w:tcPr>
                            <w:tcW w:w="531" w:type="dxa"/>
                            <w:gridSpan w:val="4"/>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0"/>
                              <w:rPr/>
                            </w:pPr>
                            <w:hyperlink w:anchor="toc116694_30">
                              <w:r>
                                <w:rPr>
                                  <w:rStyle w:val="InternetLink"/>
                                  <w:rFonts w:ascii="arial" w:hAnsi="arial"/>
                                  <w:sz w:val="16"/>
                                </w:rPr>
                                <w:t>2020 Option Exercises and Stock Vested</w:t>
                              </w:r>
                            </w:hyperlink>
                          </w:p>
                        </w:tc>
                        <w:tc>
                          <w:tcPr>
                            <w:tcW w:w="249" w:type="dxa"/>
                            <w:tcBorders/>
                            <w:shd w:fill="auto" w:val="clear"/>
                            <w:vAlign w:val="bottom"/>
                          </w:tcPr>
                          <w:p>
                            <w:pPr>
                              <w:pStyle w:val="TableContents"/>
                              <w:spacing w:before="0" w:after="283"/>
                              <w:rPr/>
                            </w:pPr>
                            <w:r>
                              <w:rPr/>
                              <w:t>  </w:t>
                            </w:r>
                          </w:p>
                        </w:tc>
                        <w:tc>
                          <w:tcPr>
                            <w:tcW w:w="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42</w:t>
                            </w:r>
                          </w:p>
                        </w:tc>
                        <w:tc>
                          <w:tcPr>
                            <w:tcW w:w="30" w:type="dxa"/>
                            <w:tcBorders/>
                            <w:shd w:fill="auto" w:val="clear"/>
                            <w:vAlign w:val="bottom"/>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9972040"/>
                <wp:effectExtent l="0" t="0" r="0" b="0"/>
                <wp:wrapSquare wrapText="largest"/>
                <wp:docPr id="9" name="Frame2"/>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5000" w:type="pct"/>
                              <w:jc w:val="center"/>
                              <w:tblInd w:w="0" w:type="dxa"/>
                              <w:tblCellMar>
                                <w:top w:w="0" w:type="dxa"/>
                                <w:left w:w="0" w:type="dxa"/>
                                <w:bottom w:w="0" w:type="dxa"/>
                                <w:right w:w="0" w:type="dxa"/>
                              </w:tblCellMar>
                            </w:tblPr>
                            <w:tblGrid>
                              <w:gridCol w:w="4455"/>
                              <w:gridCol w:w="254"/>
                              <w:gridCol w:w="39"/>
                              <w:gridCol w:w="221"/>
                              <w:gridCol w:w="31"/>
                            </w:tblGrid>
                            <w:tr>
                              <w:trPr/>
                              <w:tc>
                                <w:tcPr>
                                  <w:tcW w:w="4455"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1">
                                    <w:r>
                                      <w:rPr>
                                        <w:rStyle w:val="InternetLink"/>
                                        <w:rFonts w:ascii="arial" w:hAnsi="arial"/>
                                        <w:sz w:val="16"/>
                                      </w:rPr>
                                      <w:t>2020 Nonqualified Deferred Compensation</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43</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2">
                                    <w:r>
                                      <w:rPr>
                                        <w:rStyle w:val="InternetLink"/>
                                        <w:rFonts w:ascii="arial" w:hAnsi="arial"/>
                                        <w:sz w:val="16"/>
                                      </w:rPr>
                                      <w:t>Employment Agreements</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43</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3">
                                    <w:r>
                                      <w:rPr>
                                        <w:rStyle w:val="InternetLink"/>
                                        <w:rFonts w:ascii="arial" w:hAnsi="arial"/>
                                        <w:sz w:val="16"/>
                                      </w:rPr>
                                      <w:t>Potential Payments Upon Termination or Change in Control</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47</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4">
                                    <w:r>
                                      <w:rPr>
                                        <w:rStyle w:val="InternetLink"/>
                                        <w:rFonts w:ascii="arial" w:hAnsi="arial"/>
                                        <w:sz w:val="16"/>
                                      </w:rPr>
                                      <w:t>CEO Pay Ratio</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49</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5">
                                    <w:r>
                                      <w:rPr>
                                        <w:rStyle w:val="InternetLink"/>
                                        <w:rFonts w:ascii="arial" w:hAnsi="arial"/>
                                        <w:sz w:val="16"/>
                                      </w:rPr>
                                      <w:t>Securities Authorized for Issuance Under Equity Compensation Plans</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50</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6">
                                    <w:r>
                                      <w:rPr>
                                        <w:rStyle w:val="InternetLink"/>
                                        <w:rFonts w:ascii="arial" w:hAnsi="arial"/>
                                        <w:sz w:val="16"/>
                                      </w:rPr>
                                      <w:t>Equity Compensation Plan Information</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50</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7">
                                    <w:r>
                                      <w:rPr>
                                        <w:rStyle w:val="InternetLink"/>
                                        <w:rFonts w:ascii="arial" w:hAnsi="arial"/>
                                        <w:sz w:val="16"/>
                                      </w:rPr>
                                      <w:t>Compensation Committee Interlocks and Insider Participation</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51</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8">
                                    <w:r>
                                      <w:rPr>
                                        <w:rStyle w:val="InternetLink"/>
                                        <w:rFonts w:ascii="arial" w:hAnsi="arial"/>
                                        <w:sz w:val="16"/>
                                      </w:rPr>
                                      <w:t>Executive Officers of the Corporation</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52</w:t>
                                  </w:r>
                                </w:p>
                              </w:tc>
                              <w:tc>
                                <w:tcPr>
                                  <w:tcW w:w="31" w:type="dxa"/>
                                  <w:tcBorders/>
                                  <w:shd w:fill="auto" w:val="cle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39">
                                    <w:r>
                                      <w:rPr>
                                        <w:rStyle w:val="InternetLink"/>
                                        <w:b/>
                                      </w:rPr>
                                      <w:t>Audit-Related Matters</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53</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r>
                                    <w:rPr/>
                                    <w:t xml:space="preserve">  </w:t>
                                  </w:r>
                                </w:p>
                                <w:p>
                                  <w:pPr>
                                    <w:pStyle w:val="TableContents"/>
                                    <w:spacing w:before="0" w:after="20"/>
                                    <w:rPr/>
                                  </w:pPr>
                                  <w:hyperlink w:anchor="toc116694_40">
                                    <w:r>
                                      <w:rPr>
                                        <w:rStyle w:val="InternetLink"/>
                                        <w:rFonts w:ascii="arial" w:hAnsi="arial"/>
                                        <w:sz w:val="16"/>
                                      </w:rPr>
                                      <w:t>Report of the Audit and Finance Committee</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53</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41">
                                    <w:r>
                                      <w:rPr>
                                        <w:rStyle w:val="InternetLink"/>
                                        <w:rFonts w:ascii="arial" w:hAnsi="arial"/>
                                        <w:sz w:val="16"/>
                                      </w:rPr>
                                      <w:t>Independent Auditor Fees</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54</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42">
                                    <w:r>
                                      <w:rPr>
                                        <w:rStyle w:val="InternetLink"/>
                                        <w:rFonts w:ascii="arial" w:hAnsi="arial"/>
                                        <w:sz w:val="16"/>
                                      </w:rPr>
                                      <w:t>Pre-Approval of Audit and Permissible Non-Audit Services of the Independent Auditor</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55</w:t>
                                  </w:r>
                                </w:p>
                              </w:tc>
                              <w:tc>
                                <w:tcPr>
                                  <w:tcW w:w="31" w:type="dxa"/>
                                  <w:tcBorders/>
                                  <w:shd w:fill="auto" w:val="cle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43">
                                    <w:r>
                                      <w:rPr>
                                        <w:rStyle w:val="InternetLink"/>
                                        <w:b/>
                                      </w:rPr>
                                      <w:t>Matters to Be Voted Upon at the Annual Meeting</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56</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r>
                                    <w:rPr/>
                                    <w:t xml:space="preserve">  </w:t>
                                  </w:r>
                                </w:p>
                                <w:p>
                                  <w:pPr>
                                    <w:pStyle w:val="TableContents"/>
                                    <w:spacing w:before="0" w:after="20"/>
                                    <w:rPr/>
                                  </w:pPr>
                                  <w:hyperlink w:anchor="toc116694_44">
                                    <w:r>
                                      <w:rPr>
                                        <w:rStyle w:val="InternetLink"/>
                                        <w:rFonts w:ascii="arial" w:hAnsi="arial"/>
                                        <w:b/>
                                        <w:sz w:val="16"/>
                                      </w:rPr>
                                      <w:t xml:space="preserve">PROPOSAL ONE: </w:t>
                                    </w:r>
                                  </w:hyperlink>
                                  <w:hyperlink w:anchor="toc116694_44">
                                    <w:r>
                                      <w:rPr>
                                        <w:rStyle w:val="InternetLink"/>
                                        <w:rFonts w:ascii="arial" w:hAnsi="arial"/>
                                        <w:sz w:val="16"/>
                                      </w:rPr>
                                      <w:t xml:space="preserve">ELECTION OF DIRECTORS </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56</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46">
                                    <w:r>
                                      <w:rPr>
                                        <w:rStyle w:val="InternetLink"/>
                                        <w:rFonts w:ascii="arial" w:hAnsi="arial"/>
                                        <w:b/>
                                        <w:sz w:val="16"/>
                                      </w:rPr>
                                      <w:t xml:space="preserve">PROPOSAL TWO: </w:t>
                                    </w:r>
                                  </w:hyperlink>
                                  <w:hyperlink w:anchor="toc116694_46">
                                    <w:r>
                                      <w:rPr>
                                        <w:rStyle w:val="InternetLink"/>
                                        <w:rFonts w:ascii="arial" w:hAnsi="arial"/>
                                        <w:sz w:val="16"/>
                                      </w:rPr>
                                      <w:t xml:space="preserve">RATIFICATION OF THE APPOINTMENT OF ERNST &amp; YOUNG  LLP AS THE CORPORATIONS INDEPENDENT AUDITOR FOR THE 2021 FISCAL YEAR </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31"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47">
                                    <w:r>
                                      <w:rPr>
                                        <w:rStyle w:val="InternetLink"/>
                                        <w:rFonts w:ascii="arial" w:hAnsi="arial"/>
                                        <w:b/>
                                        <w:sz w:val="16"/>
                                      </w:rPr>
                                      <w:t>PROPOSAL THREE:</w:t>
                                    </w:r>
                                  </w:hyperlink>
                                  <w:hyperlink w:anchor="toc116694_47">
                                    <w:r>
                                      <w:rPr>
                                        <w:rStyle w:val="InternetLink"/>
                                        <w:rFonts w:ascii="arial" w:hAnsi="arial"/>
                                        <w:sz w:val="16"/>
                                      </w:rPr>
                                      <w:t xml:space="preserve"> APPROVAL, ON AN ADVISORY BASIS, OF THE COMPENSATION OF THE CORPORATIONS NAMED EXECUTIVE OFFICERS </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59</w:t>
                                  </w:r>
                                </w:p>
                              </w:tc>
                              <w:tc>
                                <w:tcPr>
                                  <w:tcW w:w="31" w:type="dxa"/>
                                  <w:tcBorders/>
                                  <w:shd w:fill="auto" w:val="cle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49">
                                    <w:r>
                                      <w:rPr>
                                        <w:rStyle w:val="InternetLink"/>
                                        <w:b/>
                                      </w:rPr>
                                      <w:t>Proposals of Stockholders</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60</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50">
                                    <w:r>
                                      <w:rPr>
                                        <w:rStyle w:val="InternetLink"/>
                                        <w:b/>
                                      </w:rPr>
                                      <w:t>Other Business</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62</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51">
                                    <w:r>
                                      <w:rPr>
                                        <w:rStyle w:val="InternetLink"/>
                                        <w:b/>
                                      </w:rPr>
                                      <w:t>Appendix A</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A1</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r>
                                    <w:rPr/>
                                    <w:t> </w:t>
                                  </w:r>
                                </w:p>
                                <w:p>
                                  <w:pPr>
                                    <w:pStyle w:val="TableContents"/>
                                    <w:spacing w:before="0" w:after="20"/>
                                    <w:rPr/>
                                  </w:pPr>
                                  <w:hyperlink w:anchor="toc116694_52">
                                    <w:r>
                                      <w:rPr>
                                        <w:rStyle w:val="InternetLink"/>
                                        <w:rFonts w:ascii="arial" w:hAnsi="arial"/>
                                        <w:sz w:val="16"/>
                                      </w:rPr>
                                      <w:t xml:space="preserve">Reconciliation of Non-GAAP Financial Measures </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A1</w:t>
                                  </w:r>
                                </w:p>
                              </w:tc>
                              <w:tc>
                                <w:tcPr>
                                  <w:tcW w:w="31" w:type="dxa"/>
                                  <w:tcBorders/>
                                  <w:shd w:fill="auto" w:val="clear"/>
                                  <w:vAlign w:val="bottom"/>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4455"/>
                        <w:gridCol w:w="254"/>
                        <w:gridCol w:w="39"/>
                        <w:gridCol w:w="221"/>
                        <w:gridCol w:w="31"/>
                      </w:tblGrid>
                      <w:tr>
                        <w:trPr/>
                        <w:tc>
                          <w:tcPr>
                            <w:tcW w:w="4455"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1">
                              <w:r>
                                <w:rPr>
                                  <w:rStyle w:val="InternetLink"/>
                                  <w:rFonts w:ascii="arial" w:hAnsi="arial"/>
                                  <w:sz w:val="16"/>
                                </w:rPr>
                                <w:t>2020 Nonqualified Deferred Compensation</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43</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2">
                              <w:r>
                                <w:rPr>
                                  <w:rStyle w:val="InternetLink"/>
                                  <w:rFonts w:ascii="arial" w:hAnsi="arial"/>
                                  <w:sz w:val="16"/>
                                </w:rPr>
                                <w:t>Employment Agreements</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43</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3">
                              <w:r>
                                <w:rPr>
                                  <w:rStyle w:val="InternetLink"/>
                                  <w:rFonts w:ascii="arial" w:hAnsi="arial"/>
                                  <w:sz w:val="16"/>
                                </w:rPr>
                                <w:t>Potential Payments Upon Termination or Change in Control</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47</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4">
                              <w:r>
                                <w:rPr>
                                  <w:rStyle w:val="InternetLink"/>
                                  <w:rFonts w:ascii="arial" w:hAnsi="arial"/>
                                  <w:sz w:val="16"/>
                                </w:rPr>
                                <w:t>CEO Pay Ratio</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49</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5">
                              <w:r>
                                <w:rPr>
                                  <w:rStyle w:val="InternetLink"/>
                                  <w:rFonts w:ascii="arial" w:hAnsi="arial"/>
                                  <w:sz w:val="16"/>
                                </w:rPr>
                                <w:t>Securities Authorized for Issuance Under Equity Compensation Plans</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50</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6">
                              <w:r>
                                <w:rPr>
                                  <w:rStyle w:val="InternetLink"/>
                                  <w:rFonts w:ascii="arial" w:hAnsi="arial"/>
                                  <w:sz w:val="16"/>
                                </w:rPr>
                                <w:t>Equity Compensation Plan Information</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50</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7">
                              <w:r>
                                <w:rPr>
                                  <w:rStyle w:val="InternetLink"/>
                                  <w:rFonts w:ascii="arial" w:hAnsi="arial"/>
                                  <w:sz w:val="16"/>
                                </w:rPr>
                                <w:t>Compensation Committee Interlocks and Insider Participation</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51</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38">
                              <w:r>
                                <w:rPr>
                                  <w:rStyle w:val="InternetLink"/>
                                  <w:rFonts w:ascii="arial" w:hAnsi="arial"/>
                                  <w:sz w:val="16"/>
                                </w:rPr>
                                <w:t>Executive Officers of the Corporation</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52</w:t>
                            </w:r>
                          </w:p>
                        </w:tc>
                        <w:tc>
                          <w:tcPr>
                            <w:tcW w:w="31" w:type="dxa"/>
                            <w:tcBorders/>
                            <w:shd w:fill="auto" w:val="cle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39">
                              <w:r>
                                <w:rPr>
                                  <w:rStyle w:val="InternetLink"/>
                                  <w:b/>
                                </w:rPr>
                                <w:t>Audit-Related Matters</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53</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r>
                              <w:rPr/>
                              <w:t xml:space="preserve">  </w:t>
                            </w:r>
                          </w:p>
                          <w:p>
                            <w:pPr>
                              <w:pStyle w:val="TableContents"/>
                              <w:spacing w:before="0" w:after="20"/>
                              <w:rPr/>
                            </w:pPr>
                            <w:hyperlink w:anchor="toc116694_40">
                              <w:r>
                                <w:rPr>
                                  <w:rStyle w:val="InternetLink"/>
                                  <w:rFonts w:ascii="arial" w:hAnsi="arial"/>
                                  <w:sz w:val="16"/>
                                </w:rPr>
                                <w:t>Report of the Audit and Finance Committee</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53</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41">
                              <w:r>
                                <w:rPr>
                                  <w:rStyle w:val="InternetLink"/>
                                  <w:rFonts w:ascii="arial" w:hAnsi="arial"/>
                                  <w:sz w:val="16"/>
                                </w:rPr>
                                <w:t>Independent Auditor Fees</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54</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42">
                              <w:r>
                                <w:rPr>
                                  <w:rStyle w:val="InternetLink"/>
                                  <w:rFonts w:ascii="arial" w:hAnsi="arial"/>
                                  <w:sz w:val="16"/>
                                </w:rPr>
                                <w:t>Pre-Approval of Audit and Permissible Non-Audit Services of the Independent Auditor</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55</w:t>
                            </w:r>
                          </w:p>
                        </w:tc>
                        <w:tc>
                          <w:tcPr>
                            <w:tcW w:w="31" w:type="dxa"/>
                            <w:tcBorders/>
                            <w:shd w:fill="auto" w:val="cle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43">
                              <w:r>
                                <w:rPr>
                                  <w:rStyle w:val="InternetLink"/>
                                  <w:b/>
                                </w:rPr>
                                <w:t>Matters to Be Voted Upon at the Annual Meeting</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56</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r>
                              <w:rPr/>
                              <w:t xml:space="preserve">  </w:t>
                            </w:r>
                          </w:p>
                          <w:p>
                            <w:pPr>
                              <w:pStyle w:val="TableContents"/>
                              <w:spacing w:before="0" w:after="20"/>
                              <w:rPr/>
                            </w:pPr>
                            <w:hyperlink w:anchor="toc116694_44">
                              <w:r>
                                <w:rPr>
                                  <w:rStyle w:val="InternetLink"/>
                                  <w:rFonts w:ascii="arial" w:hAnsi="arial"/>
                                  <w:b/>
                                  <w:sz w:val="16"/>
                                </w:rPr>
                                <w:t xml:space="preserve">PROPOSAL ONE: </w:t>
                              </w:r>
                            </w:hyperlink>
                            <w:hyperlink w:anchor="toc116694_44">
                              <w:r>
                                <w:rPr>
                                  <w:rStyle w:val="InternetLink"/>
                                  <w:rFonts w:ascii="arial" w:hAnsi="arial"/>
                                  <w:sz w:val="16"/>
                                </w:rPr>
                                <w:t xml:space="preserve">ELECTION OF DIRECTORS </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56</w:t>
                            </w:r>
                          </w:p>
                        </w:tc>
                        <w:tc>
                          <w:tcPr>
                            <w:tcW w:w="31" w:type="dxa"/>
                            <w:tcBorders/>
                            <w:shd w:fill="auto" w:val="cle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46">
                              <w:r>
                                <w:rPr>
                                  <w:rStyle w:val="InternetLink"/>
                                  <w:rFonts w:ascii="arial" w:hAnsi="arial"/>
                                  <w:b/>
                                  <w:sz w:val="16"/>
                                </w:rPr>
                                <w:t xml:space="preserve">PROPOSAL TWO: </w:t>
                              </w:r>
                            </w:hyperlink>
                            <w:hyperlink w:anchor="toc116694_46">
                              <w:r>
                                <w:rPr>
                                  <w:rStyle w:val="InternetLink"/>
                                  <w:rFonts w:ascii="arial" w:hAnsi="arial"/>
                                  <w:sz w:val="16"/>
                                </w:rPr>
                                <w:t xml:space="preserve">RATIFICATION OF THE APPOINTMENT OF ERNST &amp; YOUNG  LLP AS THE CORPORATIONS INDEPENDENT AUDITOR FOR THE 2021 FISCAL YEAR </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31"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hyperlink w:anchor="toc116694_47">
                              <w:r>
                                <w:rPr>
                                  <w:rStyle w:val="InternetLink"/>
                                  <w:rFonts w:ascii="arial" w:hAnsi="arial"/>
                                  <w:b/>
                                  <w:sz w:val="16"/>
                                </w:rPr>
                                <w:t>PROPOSAL THREE:</w:t>
                              </w:r>
                            </w:hyperlink>
                            <w:hyperlink w:anchor="toc116694_47">
                              <w:r>
                                <w:rPr>
                                  <w:rStyle w:val="InternetLink"/>
                                  <w:rFonts w:ascii="arial" w:hAnsi="arial"/>
                                  <w:sz w:val="16"/>
                                </w:rPr>
                                <w:t xml:space="preserve"> APPROVAL, ON AN ADVISORY BASIS, OF THE COMPENSATION OF THE CORPORATIONS NAMED EXECUTIVE OFFICERS </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59</w:t>
                            </w:r>
                          </w:p>
                        </w:tc>
                        <w:tc>
                          <w:tcPr>
                            <w:tcW w:w="31" w:type="dxa"/>
                            <w:tcBorders/>
                            <w:shd w:fill="auto" w:val="cle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49">
                              <w:r>
                                <w:rPr>
                                  <w:rStyle w:val="InternetLink"/>
                                  <w:b/>
                                </w:rPr>
                                <w:t>Proposals of Stockholders</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60</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50">
                              <w:r>
                                <w:rPr>
                                  <w:rStyle w:val="InternetLink"/>
                                  <w:b/>
                                </w:rPr>
                                <w:t>Other Business</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62</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15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bottom w:val="single" w:sz="2" w:space="0" w:color="CF0A2C"/>
                            </w:tcBorders>
                            <w:shd w:fill="auto" w:val="clear"/>
                            <w:tcMar>
                              <w:bottom w:w="28" w:type="dxa"/>
                            </w:tcMar>
                            <w:vAlign w:val="bottom"/>
                          </w:tcPr>
                          <w:p>
                            <w:pPr>
                              <w:pStyle w:val="TableContents"/>
                              <w:spacing w:before="0" w:after="283"/>
                              <w:rPr/>
                            </w:pPr>
                            <w:hyperlink w:anchor="toc116694_51">
                              <w:r>
                                <w:rPr>
                                  <w:rStyle w:val="InternetLink"/>
                                  <w:b/>
                                </w:rPr>
                                <w:t>Appendix A</w:t>
                              </w:r>
                            </w:hyperlink>
                          </w:p>
                        </w:tc>
                        <w:tc>
                          <w:tcPr>
                            <w:tcW w:w="254" w:type="dxa"/>
                            <w:tcBorders>
                              <w:bottom w:val="single" w:sz="2" w:space="0" w:color="CF0A2C"/>
                            </w:tcBorders>
                            <w:shd w:fill="auto" w:val="clear"/>
                            <w:tcMar>
                              <w:bottom w:w="28" w:type="dxa"/>
                            </w:tcMar>
                            <w:vAlign w:val="bottom"/>
                          </w:tcPr>
                          <w:p>
                            <w:pPr>
                              <w:pStyle w:val="TableContents"/>
                              <w:spacing w:before="0" w:after="283"/>
                              <w:rPr/>
                            </w:pPr>
                            <w:r>
                              <w:rPr/>
                              <w:t>  </w:t>
                            </w:r>
                          </w:p>
                        </w:tc>
                        <w:tc>
                          <w:tcPr>
                            <w:tcW w:w="39" w:type="dxa"/>
                            <w:tcBorders>
                              <w:bottom w:val="single" w:sz="2" w:space="0" w:color="CF0A2C"/>
                            </w:tcBorders>
                            <w:shd w:fill="auto" w:val="clear"/>
                            <w:tcMar>
                              <w:bottom w:w="28" w:type="dxa"/>
                            </w:tcMar>
                            <w:vAlign w:val="bottom"/>
                          </w:tcPr>
                          <w:p>
                            <w:pPr>
                              <w:pStyle w:val="TableContents"/>
                              <w:spacing w:before="0" w:after="283"/>
                              <w:rPr/>
                            </w:pPr>
                            <w:r>
                              <w:rPr/>
                              <w:t> </w:t>
                            </w:r>
                          </w:p>
                        </w:tc>
                        <w:tc>
                          <w:tcPr>
                            <w:tcW w:w="221" w:type="dxa"/>
                            <w:tcBorders>
                              <w:bottom w:val="single" w:sz="2" w:space="0" w:color="CF0A2C"/>
                            </w:tcBorders>
                            <w:shd w:fill="auto" w:val="clear"/>
                            <w:tcMar>
                              <w:bottom w:w="28" w:type="dxa"/>
                            </w:tcMar>
                            <w:vAlign w:val="bottom"/>
                          </w:tcPr>
                          <w:p>
                            <w:pPr>
                              <w:pStyle w:val="TableContents"/>
                              <w:spacing w:before="0" w:after="283"/>
                              <w:jc w:val="right"/>
                              <w:rPr>
                                <w:b/>
                              </w:rPr>
                            </w:pPr>
                            <w:r>
                              <w:rPr>
                                <w:b/>
                              </w:rPr>
                              <w:t>A1</w:t>
                            </w:r>
                          </w:p>
                        </w:tc>
                        <w:tc>
                          <w:tcPr>
                            <w:tcW w:w="31"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30" w:hRule="atLeast"/>
                        </w:trPr>
                        <w:tc>
                          <w:tcPr>
                            <w:tcW w:w="4455" w:type="dxa"/>
                            <w:tcBorders/>
                            <w:shd w:fill="auto" w:val="clear"/>
                            <w:vAlign w:val="center"/>
                          </w:tcPr>
                          <w:p>
                            <w:pPr>
                              <w:pStyle w:val="TableContents"/>
                              <w:spacing w:before="0" w:after="283"/>
                              <w:rPr>
                                <w:sz w:val="4"/>
                                <w:szCs w:val="4"/>
                              </w:rPr>
                            </w:pPr>
                            <w:r>
                              <w:rPr>
                                <w:sz w:val="4"/>
                                <w:szCs w:val="4"/>
                              </w:rPr>
                            </w:r>
                          </w:p>
                        </w:tc>
                        <w:tc>
                          <w:tcPr>
                            <w:tcW w:w="545"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0"/>
                              <w:rPr/>
                            </w:pPr>
                            <w:r>
                              <w:rPr/>
                              <w:t> </w:t>
                            </w:r>
                          </w:p>
                          <w:p>
                            <w:pPr>
                              <w:pStyle w:val="TableContents"/>
                              <w:spacing w:before="0" w:after="20"/>
                              <w:rPr/>
                            </w:pPr>
                            <w:hyperlink w:anchor="toc116694_52">
                              <w:r>
                                <w:rPr>
                                  <w:rStyle w:val="InternetLink"/>
                                  <w:rFonts w:ascii="arial" w:hAnsi="arial"/>
                                  <w:sz w:val="16"/>
                                </w:rPr>
                                <w:t xml:space="preserve">Reconciliation of Non-GAAP Financial Measures </w:t>
                              </w:r>
                            </w:hyperlink>
                          </w:p>
                        </w:tc>
                        <w:tc>
                          <w:tcPr>
                            <w:tcW w:w="254" w:type="dxa"/>
                            <w:tcBorders/>
                            <w:shd w:fill="auto" w:val="clear"/>
                            <w:vAlign w:val="bottom"/>
                          </w:tcPr>
                          <w:p>
                            <w:pPr>
                              <w:pStyle w:val="TableContents"/>
                              <w:spacing w:before="0" w:after="283"/>
                              <w:rPr/>
                            </w:pPr>
                            <w:r>
                              <w:rPr/>
                              <w:t>  </w:t>
                            </w:r>
                          </w:p>
                        </w:tc>
                        <w:tc>
                          <w:tcPr>
                            <w:tcW w:w="3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A1</w:t>
                            </w:r>
                          </w:p>
                        </w:tc>
                        <w:tc>
                          <w:tcPr>
                            <w:tcW w:w="31" w:type="dxa"/>
                            <w:tcBorders/>
                            <w:shd w:fill="auto" w:val="clear"/>
                            <w:vAlign w:val="bottom"/>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05"/>
        <w:gridCol w:w="131"/>
        <w:gridCol w:w="369"/>
      </w:tblGrid>
      <w:tr>
        <w:trPr/>
        <w:tc>
          <w:tcPr>
            <w:tcW w:w="97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r>
      <w:tr>
        <w:trPr/>
        <w:tc>
          <w:tcPr>
            <w:tcW w:w="9705" w:type="dxa"/>
            <w:tcBorders/>
            <w:shd w:fill="auto" w:val="clear"/>
          </w:tcPr>
          <w:p>
            <w:pPr>
              <w:pStyle w:val="TableContents"/>
              <w:spacing w:before="0" w:after="283"/>
              <w:jc w:val="right"/>
              <w:rPr/>
            </w:pPr>
            <w:r>
              <w:rPr/>
              <w:drawing>
                <wp:inline distT="0" distB="0" distL="0" distR="0">
                  <wp:extent cx="24765" cy="3048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24765" cy="30480"/>
                          </a:xfrm>
                          <a:prstGeom prst="rect">
                            <a:avLst/>
                          </a:prstGeom>
                        </pic:spPr>
                      </pic:pic>
                    </a:graphicData>
                  </a:graphic>
                </wp:inline>
              </w:drawing>
            </w:r>
            <w:r>
              <w:rPr/>
              <w:t xml:space="preserve"> </w:t>
            </w:r>
          </w:p>
        </w:tc>
        <w:tc>
          <w:tcPr>
            <w:tcW w:w="131" w:type="dxa"/>
            <w:tcBorders/>
            <w:shd w:fill="auto" w:val="clear"/>
            <w:vAlign w:val="bottom"/>
          </w:tcPr>
          <w:p>
            <w:pPr>
              <w:pStyle w:val="TableContents"/>
              <w:spacing w:before="0" w:after="283"/>
              <w:rPr/>
            </w:pPr>
            <w:r>
              <w:rPr/>
              <w:t> </w:t>
            </w:r>
          </w:p>
        </w:tc>
        <w:tc>
          <w:tcPr>
            <w:tcW w:w="369" w:type="dxa"/>
            <w:tcBorders/>
            <w:shd w:fill="auto" w:val="clear"/>
            <w:vAlign w:val="center"/>
          </w:tcPr>
          <w:p>
            <w:pPr>
              <w:pStyle w:val="TableContents"/>
              <w:spacing w:before="0" w:after="283"/>
              <w:jc w:val="right"/>
              <w:rPr/>
            </w:pPr>
            <w:r>
              <w:rPr/>
              <w:t>    </w:t>
            </w:r>
            <w:r>
              <w:rPr/>
              <w:t>i</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PROXY STATEMENT FOR THE 2021 ANNUAL MEETING OF STOCKHOLDERS   </w:t>
            </w:r>
          </w:p>
        </w:tc>
      </w:tr>
    </w:tbl>
    <w:p>
      <w:pPr>
        <w:pStyle w:val="TextBody"/>
        <w:spacing w:before="0" w:after="0"/>
        <w:jc w:val="left"/>
        <w:rPr/>
      </w:pPr>
      <w:r>
        <w:rPr/>
        <w:t> </w:t>
      </w:r>
    </w:p>
    <w:p>
      <w:pPr>
        <w:pStyle w:val="TextBody"/>
        <w:spacing w:before="0" w:after="0"/>
        <w:jc w:val="center"/>
        <w:rPr/>
      </w:pPr>
      <w:r>
        <w:rPr/>
        <w:drawing>
          <wp:inline distT="0" distB="0" distL="0" distR="0">
            <wp:extent cx="226695" cy="12573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226695" cy="125730"/>
                    </a:xfrm>
                    <a:prstGeom prst="rect">
                      <a:avLst/>
                    </a:prstGeom>
                  </pic:spPr>
                </pic:pic>
              </a:graphicData>
            </a:graphic>
          </wp:inline>
        </w:drawing>
      </w:r>
      <w:r>
        <w:rPr/>
        <w:t xml:space="preserve"> </w:t>
      </w:r>
    </w:p>
    <w:p>
      <w:pPr>
        <w:pStyle w:val="TextBody"/>
        <w:spacing w:before="240" w:after="0"/>
        <w:jc w:val="center"/>
        <w:rPr>
          <w:rFonts w:ascii="arial" w:hAnsi="arial"/>
          <w:b/>
          <w:sz w:val="20"/>
        </w:rPr>
      </w:pPr>
      <w:r>
        <w:rPr>
          <w:rFonts w:ascii="arial" w:hAnsi="arial"/>
          <w:b/>
          <w:sz w:val="20"/>
        </w:rPr>
        <w:t xml:space="preserve">450 North Brand Boulevard </w:t>
      </w:r>
    </w:p>
    <w:p>
      <w:pPr>
        <w:pStyle w:val="TextBody"/>
        <w:spacing w:before="0" w:after="0"/>
        <w:jc w:val="center"/>
        <w:rPr>
          <w:rFonts w:ascii="arial" w:hAnsi="arial"/>
          <w:b/>
          <w:sz w:val="20"/>
        </w:rPr>
      </w:pPr>
      <w:r>
        <w:rPr>
          <w:rFonts w:ascii="arial" w:hAnsi="arial"/>
          <w:b/>
          <w:sz w:val="20"/>
        </w:rPr>
        <w:t xml:space="preserve">Glendale, California 91203 </w:t>
      </w:r>
    </w:p>
    <w:p>
      <w:pPr>
        <w:pStyle w:val="TextBody"/>
        <w:spacing w:before="0" w:after="0"/>
        <w:jc w:val="center"/>
        <w:rPr>
          <w:rFonts w:ascii="arial" w:hAnsi="arial"/>
          <w:b/>
          <w:sz w:val="20"/>
        </w:rPr>
      </w:pPr>
      <w:r>
        <w:rPr>
          <w:rFonts w:ascii="arial" w:hAnsi="arial"/>
          <w:b/>
          <w:sz w:val="20"/>
        </w:rPr>
        <w:t xml:space="preserve">(866) 995-DINE </w:t>
      </w:r>
    </w:p>
    <w:p>
      <w:pPr>
        <w:pStyle w:val="TextBody"/>
        <w:spacing w:before="360" w:after="0"/>
        <w:jc w:val="left"/>
        <w:rPr>
          <w:rFonts w:ascii="arial" w:hAnsi="arial"/>
          <w:b/>
          <w:sz w:val="42"/>
        </w:rPr>
      </w:pPr>
      <w:r>
        <w:rPr>
          <w:rFonts w:ascii="arial" w:hAnsi="arial"/>
          <w:b/>
          <w:sz w:val="42"/>
        </w:rPr>
        <w:t xml:space="preserve">PROXY STATEMENT FOR THE 2021 ANNUAL MEETING OF STOCKHOLDERS </w:t>
      </w:r>
    </w:p>
    <w:p>
      <w:pPr>
        <w:pStyle w:val="TextBody"/>
        <w:spacing w:before="360" w:after="0"/>
        <w:jc w:val="left"/>
        <w:rPr>
          <w:rFonts w:ascii="arial" w:hAnsi="arial"/>
          <w:b/>
          <w:color w:val="CF0A2C"/>
          <w:sz w:val="28"/>
        </w:rPr>
      </w:pPr>
      <w:bookmarkStart w:id="3" w:name="toc116694_1"/>
      <w:bookmarkEnd w:id="3"/>
      <w:r>
        <w:rPr>
          <w:rFonts w:ascii="arial" w:hAnsi="arial"/>
          <w:b/>
          <w:color w:val="CF0A2C"/>
          <w:sz w:val="28"/>
        </w:rPr>
        <w:t xml:space="preserve">QUESTIONS AND ANSWERS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6080760"/>
                <wp:effectExtent l="0" t="0" r="0" b="0"/>
                <wp:wrapSquare wrapText="largest"/>
                <wp:docPr id="12" name="Frame3"/>
                <a:graphic xmlns:a="http://schemas.openxmlformats.org/drawingml/2006/main">
                  <a:graphicData uri="http://schemas.microsoft.com/office/word/2010/wordprocessingShape">
                    <wps:wsp>
                      <wps:cNvSpPr txBox="1"/>
                      <wps:spPr>
                        <a:xfrm>
                          <a:off x="0" y="0"/>
                          <a:ext cx="3110230" cy="6080760"/>
                        </a:xfrm>
                        <a:prstGeom prst="rect"/>
                      </wps:spPr>
                      <wps:txbx>
                        <w:txbxContent>
                          <w:p>
                            <w:pPr>
                              <w:pStyle w:val="TextBody"/>
                              <w:spacing w:before="0" w:after="0"/>
                              <w:rPr>
                                <w:rFonts w:ascii="arial" w:hAnsi="arial"/>
                                <w:b/>
                                <w:sz w:val="20"/>
                              </w:rPr>
                            </w:pPr>
                            <w:r>
                              <w:rPr>
                                <w:rFonts w:ascii="arial" w:hAnsi="arial"/>
                                <w:b/>
                                <w:sz w:val="20"/>
                              </w:rPr>
                              <w:t xml:space="preserve">Q: Why am I receiving these materials? </w:t>
                            </w:r>
                          </w:p>
                          <w:p>
                            <w:pPr>
                              <w:pStyle w:val="TextBody"/>
                              <w:spacing w:before="120" w:after="0"/>
                              <w:rPr>
                                <w:rFonts w:ascii="arial" w:hAnsi="arial"/>
                                <w:sz w:val="20"/>
                              </w:rPr>
                            </w:pPr>
                            <w:r>
                              <w:rPr>
                                <w:rFonts w:ascii="arial" w:hAnsi="arial"/>
                                <w:b/>
                                <w:sz w:val="20"/>
                              </w:rPr>
                              <w:t>A:</w:t>
                            </w:r>
                            <w:r>
                              <w:rPr>
                                <w:rFonts w:ascii="arial" w:hAnsi="arial"/>
                                <w:sz w:val="20"/>
                              </w:rPr>
                              <w:t xml:space="preserve"> Dine Brands Global, Inc. (the Corporation) has made these materials available to you on the Internet and by mail in connection with the Corporations solicitation of proxies for use at the 2021 Annual Meeting of Stockholders (Annual Meeting) to be held on Tuesday, May 11, 2021, at 8:00 a.m., Pacific Time, and at any adjournment or postponement thereof. These materials were first sent or made available to stockholders on March 30, 2021. You are invited to attend the Annual Meeting and are requested to vote on the proposals described in this proxy statement. The Annual Meeting will be held in a virtual format only at www.meetingcenter.io/265229604. </w:t>
                            </w:r>
                          </w:p>
                          <w:p>
                            <w:pPr>
                              <w:pStyle w:val="TextBody"/>
                              <w:spacing w:before="240" w:after="0"/>
                              <w:rPr>
                                <w:rFonts w:ascii="arial" w:hAnsi="arial"/>
                                <w:b/>
                                <w:sz w:val="20"/>
                              </w:rPr>
                            </w:pPr>
                            <w:r>
                              <w:rPr>
                                <w:rFonts w:ascii="arial" w:hAnsi="arial"/>
                                <w:b/>
                                <w:sz w:val="20"/>
                              </w:rPr>
                              <w:t xml:space="preserve">Q: What is included in these materials? </w:t>
                            </w:r>
                          </w:p>
                          <w:p>
                            <w:pPr>
                              <w:pStyle w:val="TextBody"/>
                              <w:spacing w:before="120" w:after="0"/>
                              <w:rPr>
                                <w:rFonts w:ascii="arial" w:hAnsi="arial"/>
                                <w:sz w:val="20"/>
                              </w:rPr>
                            </w:pPr>
                            <w:r>
                              <w:rPr>
                                <w:rFonts w:ascii="arial" w:hAnsi="arial"/>
                                <w:b/>
                                <w:sz w:val="20"/>
                              </w:rPr>
                              <w:t>A:</w:t>
                            </w:r>
                            <w:r>
                              <w:rPr>
                                <w:rFonts w:ascii="arial" w:hAnsi="arial"/>
                                <w:sz w:val="20"/>
                              </w:rPr>
                              <w:t xml:space="preserve"> These materials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62"/>
                              <w:gridCol w:w="179"/>
                              <w:gridCol w:w="54"/>
                              <w:gridCol w:w="4303"/>
                            </w:tblGrid>
                            <w:tr>
                              <w:trPr/>
                              <w:tc>
                                <w:tcPr>
                                  <w:tcW w:w="362" w:type="dxa"/>
                                  <w:tcBorders/>
                                  <w:shd w:fill="auto" w:val="clear"/>
                                  <w:vAlign w:val="center"/>
                                </w:tcPr>
                                <w:p>
                                  <w:pPr>
                                    <w:pStyle w:val="TableContents"/>
                                    <w:spacing w:before="0" w:after="283"/>
                                    <w:rPr/>
                                  </w:pPr>
                                  <w:r>
                                    <w:rPr/>
                                    <w:t> </w:t>
                                  </w:r>
                                </w:p>
                              </w:tc>
                              <w:tc>
                                <w:tcPr>
                                  <w:tcW w:w="179" w:type="dxa"/>
                                  <w:tcBorders/>
                                  <w:shd w:fill="auto" w:val="clear"/>
                                </w:tcPr>
                                <w:p>
                                  <w:pPr>
                                    <w:pStyle w:val="TableContents"/>
                                    <w:spacing w:before="0" w:after="283"/>
                                    <w:jc w:val="left"/>
                                    <w:rPr/>
                                  </w:pPr>
                                  <w:r>
                                    <w:rPr/>
                                    <w:t></w:t>
                                  </w:r>
                                </w:p>
                              </w:tc>
                              <w:tc>
                                <w:tcPr>
                                  <w:tcW w:w="54" w:type="dxa"/>
                                  <w:tcBorders/>
                                  <w:shd w:fill="auto" w:val="clear"/>
                                </w:tcPr>
                                <w:p>
                                  <w:pPr>
                                    <w:pStyle w:val="TableContents"/>
                                    <w:spacing w:before="0" w:after="283"/>
                                    <w:rPr/>
                                  </w:pPr>
                                  <w:r>
                                    <w:rPr/>
                                    <w:t> </w:t>
                                  </w:r>
                                </w:p>
                              </w:tc>
                              <w:tc>
                                <w:tcPr>
                                  <w:tcW w:w="4303" w:type="dxa"/>
                                  <w:tcBorders/>
                                  <w:shd w:fill="auto" w:val="clear"/>
                                </w:tcPr>
                                <w:p>
                                  <w:pPr>
                                    <w:pStyle w:val="TableContents"/>
                                    <w:spacing w:before="0" w:after="283"/>
                                    <w:jc w:val="left"/>
                                    <w:rPr/>
                                  </w:pPr>
                                  <w:r>
                                    <w:rPr/>
                                    <w:t xml:space="preserve">This proxy statement for the Annual Meeting;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4"/>
                              <w:gridCol w:w="96"/>
                              <w:gridCol w:w="29"/>
                              <w:gridCol w:w="4679"/>
                            </w:tblGrid>
                            <w:tr>
                              <w:trPr/>
                              <w:tc>
                                <w:tcPr>
                                  <w:tcW w:w="94"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679" w:type="dxa"/>
                                  <w:tcBorders/>
                                  <w:shd w:fill="auto" w:val="clear"/>
                                </w:tcPr>
                                <w:p>
                                  <w:pPr>
                                    <w:pStyle w:val="TableContents"/>
                                    <w:spacing w:before="0" w:after="283"/>
                                    <w:jc w:val="left"/>
                                    <w:rPr/>
                                  </w:pPr>
                                  <w:r>
                                    <w:rPr/>
                                    <w:t xml:space="preserve">The Corporations 2020 annual report to stockholders, which contains the annual report on Form 10-K for the fiscal year ended December 31, 2020, as filed with the Securities and Exchange Commission (SEC) on March 2, 2021. </w:t>
                                  </w:r>
                                </w:p>
                              </w:tc>
                            </w:tr>
                          </w:tbl>
                          <w:p>
                            <w:pPr>
                              <w:pStyle w:val="TextBody"/>
                              <w:spacing w:before="240" w:after="0"/>
                              <w:rPr>
                                <w:rFonts w:ascii="arial" w:hAnsi="arial"/>
                                <w:b/>
                                <w:sz w:val="20"/>
                              </w:rPr>
                            </w:pPr>
                            <w:r>
                              <w:rPr>
                                <w:rFonts w:ascii="arial" w:hAnsi="arial"/>
                                <w:b/>
                                <w:sz w:val="20"/>
                              </w:rPr>
                              <w:t xml:space="preserve">Q: What items will be voted on at the Annual Meeting? </w:t>
                            </w:r>
                          </w:p>
                          <w:p>
                            <w:pPr>
                              <w:pStyle w:val="TextBody"/>
                              <w:spacing w:before="120" w:after="0"/>
                              <w:rPr>
                                <w:rFonts w:ascii="arial" w:hAnsi="arial"/>
                                <w:sz w:val="20"/>
                              </w:rPr>
                            </w:pPr>
                            <w:r>
                              <w:rPr>
                                <w:rFonts w:ascii="arial" w:hAnsi="arial"/>
                                <w:b/>
                                <w:sz w:val="20"/>
                              </w:rPr>
                              <w:t>A:</w:t>
                            </w:r>
                            <w:r>
                              <w:rPr>
                                <w:rFonts w:ascii="arial" w:hAnsi="arial"/>
                                <w:sz w:val="20"/>
                              </w:rPr>
                              <w:t xml:space="preserve"> The Board of Directors is requesting that stockholders vote on the following three proposals at the Annual Meeting: </w:t>
                            </w:r>
                          </w:p>
                          <w:p>
                            <w:pPr>
                              <w:pStyle w:val="TextBody"/>
                              <w:spacing w:before="120" w:after="0"/>
                              <w:rPr>
                                <w:rFonts w:ascii="arial" w:hAnsi="arial"/>
                                <w:sz w:val="20"/>
                              </w:rPr>
                            </w:pPr>
                            <w:r>
                              <w:rPr>
                                <w:rFonts w:ascii="arial" w:hAnsi="arial"/>
                                <w:b/>
                                <w:sz w:val="20"/>
                              </w:rPr>
                              <w:t>Proposal One:</w:t>
                            </w:r>
                            <w:r>
                              <w:rPr>
                                <w:rFonts w:ascii="arial" w:hAnsi="arial"/>
                                <w:sz w:val="20"/>
                              </w:rPr>
                              <w:t xml:space="preserve"> The election of the ten directors identified in this proxy statement.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8.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sz w:val="20"/>
                        </w:rPr>
                      </w:pPr>
                      <w:r>
                        <w:rPr>
                          <w:rFonts w:ascii="arial" w:hAnsi="arial"/>
                          <w:b/>
                          <w:sz w:val="20"/>
                        </w:rPr>
                        <w:t xml:space="preserve">Q: Why am I receiving these materials? </w:t>
                      </w:r>
                    </w:p>
                    <w:p>
                      <w:pPr>
                        <w:pStyle w:val="TextBody"/>
                        <w:spacing w:before="120" w:after="0"/>
                        <w:rPr>
                          <w:rFonts w:ascii="arial" w:hAnsi="arial"/>
                          <w:sz w:val="20"/>
                        </w:rPr>
                      </w:pPr>
                      <w:r>
                        <w:rPr>
                          <w:rFonts w:ascii="arial" w:hAnsi="arial"/>
                          <w:b/>
                          <w:sz w:val="20"/>
                        </w:rPr>
                        <w:t>A:</w:t>
                      </w:r>
                      <w:r>
                        <w:rPr>
                          <w:rFonts w:ascii="arial" w:hAnsi="arial"/>
                          <w:sz w:val="20"/>
                        </w:rPr>
                        <w:t xml:space="preserve"> Dine Brands Global, Inc. (the Corporation) has made these materials available to you on the Internet and by mail in connection with the Corporations solicitation of proxies for use at the 2021 Annual Meeting of Stockholders (Annual Meeting) to be held on Tuesday, May 11, 2021, at 8:00 a.m., Pacific Time, and at any adjournment or postponement thereof. These materials were first sent or made available to stockholders on March 30, 2021. You are invited to attend the Annual Meeting and are requested to vote on the proposals described in this proxy statement. The Annual Meeting will be held in a virtual format only at www.meetingcenter.io/265229604. </w:t>
                      </w:r>
                    </w:p>
                    <w:p>
                      <w:pPr>
                        <w:pStyle w:val="TextBody"/>
                        <w:spacing w:before="240" w:after="0"/>
                        <w:rPr>
                          <w:rFonts w:ascii="arial" w:hAnsi="arial"/>
                          <w:b/>
                          <w:sz w:val="20"/>
                        </w:rPr>
                      </w:pPr>
                      <w:r>
                        <w:rPr>
                          <w:rFonts w:ascii="arial" w:hAnsi="arial"/>
                          <w:b/>
                          <w:sz w:val="20"/>
                        </w:rPr>
                        <w:t xml:space="preserve">Q: What is included in these materials? </w:t>
                      </w:r>
                    </w:p>
                    <w:p>
                      <w:pPr>
                        <w:pStyle w:val="TextBody"/>
                        <w:spacing w:before="120" w:after="0"/>
                        <w:rPr>
                          <w:rFonts w:ascii="arial" w:hAnsi="arial"/>
                          <w:sz w:val="20"/>
                        </w:rPr>
                      </w:pPr>
                      <w:r>
                        <w:rPr>
                          <w:rFonts w:ascii="arial" w:hAnsi="arial"/>
                          <w:b/>
                          <w:sz w:val="20"/>
                        </w:rPr>
                        <w:t>A:</w:t>
                      </w:r>
                      <w:r>
                        <w:rPr>
                          <w:rFonts w:ascii="arial" w:hAnsi="arial"/>
                          <w:sz w:val="20"/>
                        </w:rPr>
                        <w:t xml:space="preserve"> These materials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62"/>
                        <w:gridCol w:w="179"/>
                        <w:gridCol w:w="54"/>
                        <w:gridCol w:w="4303"/>
                      </w:tblGrid>
                      <w:tr>
                        <w:trPr/>
                        <w:tc>
                          <w:tcPr>
                            <w:tcW w:w="362" w:type="dxa"/>
                            <w:tcBorders/>
                            <w:shd w:fill="auto" w:val="clear"/>
                            <w:vAlign w:val="center"/>
                          </w:tcPr>
                          <w:p>
                            <w:pPr>
                              <w:pStyle w:val="TableContents"/>
                              <w:spacing w:before="0" w:after="283"/>
                              <w:rPr/>
                            </w:pPr>
                            <w:r>
                              <w:rPr/>
                              <w:t> </w:t>
                            </w:r>
                          </w:p>
                        </w:tc>
                        <w:tc>
                          <w:tcPr>
                            <w:tcW w:w="179" w:type="dxa"/>
                            <w:tcBorders/>
                            <w:shd w:fill="auto" w:val="clear"/>
                          </w:tcPr>
                          <w:p>
                            <w:pPr>
                              <w:pStyle w:val="TableContents"/>
                              <w:spacing w:before="0" w:after="283"/>
                              <w:jc w:val="left"/>
                              <w:rPr/>
                            </w:pPr>
                            <w:r>
                              <w:rPr/>
                              <w:t></w:t>
                            </w:r>
                          </w:p>
                        </w:tc>
                        <w:tc>
                          <w:tcPr>
                            <w:tcW w:w="54" w:type="dxa"/>
                            <w:tcBorders/>
                            <w:shd w:fill="auto" w:val="clear"/>
                          </w:tcPr>
                          <w:p>
                            <w:pPr>
                              <w:pStyle w:val="TableContents"/>
                              <w:spacing w:before="0" w:after="283"/>
                              <w:rPr/>
                            </w:pPr>
                            <w:r>
                              <w:rPr/>
                              <w:t> </w:t>
                            </w:r>
                          </w:p>
                        </w:tc>
                        <w:tc>
                          <w:tcPr>
                            <w:tcW w:w="4303" w:type="dxa"/>
                            <w:tcBorders/>
                            <w:shd w:fill="auto" w:val="clear"/>
                          </w:tcPr>
                          <w:p>
                            <w:pPr>
                              <w:pStyle w:val="TableContents"/>
                              <w:spacing w:before="0" w:after="283"/>
                              <w:jc w:val="left"/>
                              <w:rPr/>
                            </w:pPr>
                            <w:r>
                              <w:rPr/>
                              <w:t xml:space="preserve">This proxy statement for the Annual Meeting;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4"/>
                        <w:gridCol w:w="96"/>
                        <w:gridCol w:w="29"/>
                        <w:gridCol w:w="4679"/>
                      </w:tblGrid>
                      <w:tr>
                        <w:trPr/>
                        <w:tc>
                          <w:tcPr>
                            <w:tcW w:w="94"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679" w:type="dxa"/>
                            <w:tcBorders/>
                            <w:shd w:fill="auto" w:val="clear"/>
                          </w:tcPr>
                          <w:p>
                            <w:pPr>
                              <w:pStyle w:val="TableContents"/>
                              <w:spacing w:before="0" w:after="283"/>
                              <w:jc w:val="left"/>
                              <w:rPr/>
                            </w:pPr>
                            <w:r>
                              <w:rPr/>
                              <w:t xml:space="preserve">The Corporations 2020 annual report to stockholders, which contains the annual report on Form 10-K for the fiscal year ended December 31, 2020, as filed with the Securities and Exchange Commission (SEC) on March 2, 2021. </w:t>
                            </w:r>
                          </w:p>
                        </w:tc>
                      </w:tr>
                    </w:tbl>
                    <w:p>
                      <w:pPr>
                        <w:pStyle w:val="TextBody"/>
                        <w:spacing w:before="240" w:after="0"/>
                        <w:rPr>
                          <w:rFonts w:ascii="arial" w:hAnsi="arial"/>
                          <w:b/>
                          <w:sz w:val="20"/>
                        </w:rPr>
                      </w:pPr>
                      <w:r>
                        <w:rPr>
                          <w:rFonts w:ascii="arial" w:hAnsi="arial"/>
                          <w:b/>
                          <w:sz w:val="20"/>
                        </w:rPr>
                        <w:t xml:space="preserve">Q: What items will be voted on at the Annual Meeting? </w:t>
                      </w:r>
                    </w:p>
                    <w:p>
                      <w:pPr>
                        <w:pStyle w:val="TextBody"/>
                        <w:spacing w:before="120" w:after="0"/>
                        <w:rPr>
                          <w:rFonts w:ascii="arial" w:hAnsi="arial"/>
                          <w:sz w:val="20"/>
                        </w:rPr>
                      </w:pPr>
                      <w:r>
                        <w:rPr>
                          <w:rFonts w:ascii="arial" w:hAnsi="arial"/>
                          <w:b/>
                          <w:sz w:val="20"/>
                        </w:rPr>
                        <w:t>A:</w:t>
                      </w:r>
                      <w:r>
                        <w:rPr>
                          <w:rFonts w:ascii="arial" w:hAnsi="arial"/>
                          <w:sz w:val="20"/>
                        </w:rPr>
                        <w:t xml:space="preserve"> The Board of Directors is requesting that stockholders vote on the following three proposals at the Annual Meeting: </w:t>
                      </w:r>
                    </w:p>
                    <w:p>
                      <w:pPr>
                        <w:pStyle w:val="TextBody"/>
                        <w:spacing w:before="120" w:after="0"/>
                        <w:rPr>
                          <w:rFonts w:ascii="arial" w:hAnsi="arial"/>
                          <w:sz w:val="20"/>
                        </w:rPr>
                      </w:pPr>
                      <w:r>
                        <w:rPr>
                          <w:rFonts w:ascii="arial" w:hAnsi="arial"/>
                          <w:b/>
                          <w:sz w:val="20"/>
                        </w:rPr>
                        <w:t>Proposal One:</w:t>
                      </w:r>
                      <w:r>
                        <w:rPr>
                          <w:rFonts w:ascii="arial" w:hAnsi="arial"/>
                          <w:sz w:val="20"/>
                        </w:rPr>
                        <w:t xml:space="preserve"> The election of the ten directors identified in this proxy statement. </w:t>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6096635"/>
                <wp:effectExtent l="0" t="0" r="0" b="0"/>
                <wp:wrapSquare wrapText="largest"/>
                <wp:docPr id="13" name="Frame4"/>
                <a:graphic xmlns:a="http://schemas.openxmlformats.org/drawingml/2006/main">
                  <a:graphicData uri="http://schemas.microsoft.com/office/word/2010/wordprocessingShape">
                    <wps:wsp>
                      <wps:cNvSpPr txBox="1"/>
                      <wps:spPr>
                        <a:xfrm>
                          <a:off x="0" y="0"/>
                          <a:ext cx="3175000" cy="6096635"/>
                        </a:xfrm>
                        <a:prstGeom prst="rect"/>
                      </wps:spPr>
                      <wps:txbx>
                        <w:txbxContent>
                          <w:p>
                            <w:pPr>
                              <w:pStyle w:val="TextBody"/>
                              <w:spacing w:before="0" w:after="0"/>
                              <w:rPr>
                                <w:rFonts w:ascii="arial" w:hAnsi="arial"/>
                                <w:sz w:val="20"/>
                              </w:rPr>
                            </w:pPr>
                            <w:r>
                              <w:rPr>
                                <w:rFonts w:ascii="arial" w:hAnsi="arial"/>
                                <w:b/>
                                <w:sz w:val="20"/>
                              </w:rPr>
                              <w:t>Proposal Two:</w:t>
                            </w:r>
                            <w:r>
                              <w:rPr>
                                <w:rFonts w:ascii="arial" w:hAnsi="arial"/>
                                <w:sz w:val="20"/>
                              </w:rPr>
                              <w:t xml:space="preserve"> The ratification of the appointment of Ernst &amp; Young LLP as the Corporations independent auditor for the fiscal year ending December 31, 2021. </w:t>
                            </w:r>
                          </w:p>
                          <w:p>
                            <w:pPr>
                              <w:pStyle w:val="TextBody"/>
                              <w:spacing w:before="120" w:after="0"/>
                              <w:rPr>
                                <w:rFonts w:ascii="arial" w:hAnsi="arial"/>
                                <w:sz w:val="20"/>
                              </w:rPr>
                            </w:pPr>
                            <w:r>
                              <w:rPr>
                                <w:rFonts w:ascii="arial" w:hAnsi="arial"/>
                                <w:b/>
                                <w:sz w:val="20"/>
                              </w:rPr>
                              <w:t>Proposal Three:</w:t>
                            </w:r>
                            <w:r>
                              <w:rPr>
                                <w:rFonts w:ascii="arial" w:hAnsi="arial"/>
                                <w:sz w:val="20"/>
                              </w:rPr>
                              <w:t xml:space="preserve"> The approval, on an advisory basis, of the compensation of the Corporations named executive officers. </w:t>
                            </w:r>
                          </w:p>
                          <w:p>
                            <w:pPr>
                              <w:pStyle w:val="TextBody"/>
                              <w:spacing w:before="240" w:after="0"/>
                              <w:rPr>
                                <w:rFonts w:ascii="arial" w:hAnsi="arial"/>
                                <w:b/>
                                <w:sz w:val="20"/>
                              </w:rPr>
                            </w:pPr>
                            <w:r>
                              <w:rPr>
                                <w:rFonts w:ascii="arial" w:hAnsi="arial"/>
                                <w:b/>
                                <w:sz w:val="20"/>
                              </w:rPr>
                              <w:t xml:space="preserve">Q: What are the voting recommendations of the Board of Directors? </w:t>
                            </w:r>
                          </w:p>
                          <w:p>
                            <w:pPr>
                              <w:pStyle w:val="TextBody"/>
                              <w:spacing w:before="120" w:after="0"/>
                              <w:rPr>
                                <w:rFonts w:ascii="arial" w:hAnsi="arial"/>
                                <w:sz w:val="20"/>
                              </w:rPr>
                            </w:pPr>
                            <w:r>
                              <w:rPr>
                                <w:rFonts w:ascii="arial" w:hAnsi="arial"/>
                                <w:b/>
                                <w:sz w:val="20"/>
                              </w:rPr>
                              <w:t>A:</w:t>
                            </w:r>
                            <w:r>
                              <w:rPr>
                                <w:rFonts w:ascii="arial" w:hAnsi="arial"/>
                                <w:sz w:val="20"/>
                              </w:rPr>
                              <w:t xml:space="preserve"> The Board of Directors recommends that you vote your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14"/>
                              <w:gridCol w:w="156"/>
                              <w:gridCol w:w="46"/>
                              <w:gridCol w:w="4484"/>
                            </w:tblGrid>
                            <w:tr>
                              <w:trPr/>
                              <w:tc>
                                <w:tcPr>
                                  <w:tcW w:w="314" w:type="dxa"/>
                                  <w:tcBorders/>
                                  <w:shd w:fill="auto" w:val="clear"/>
                                  <w:vAlign w:val="center"/>
                                </w:tcPr>
                                <w:p>
                                  <w:pPr>
                                    <w:pStyle w:val="TableContents"/>
                                    <w:spacing w:before="0" w:after="283"/>
                                    <w:rPr/>
                                  </w:pPr>
                                  <w:r>
                                    <w:rPr/>
                                    <w:t> </w:t>
                                  </w:r>
                                </w:p>
                              </w:tc>
                              <w:tc>
                                <w:tcPr>
                                  <w:tcW w:w="156" w:type="dxa"/>
                                  <w:tcBorders/>
                                  <w:shd w:fill="auto" w:val="clear"/>
                                </w:tcPr>
                                <w:p>
                                  <w:pPr>
                                    <w:pStyle w:val="TableContents"/>
                                    <w:spacing w:before="0" w:after="283"/>
                                    <w:jc w:val="left"/>
                                    <w:rPr/>
                                  </w:pPr>
                                  <w:r>
                                    <w:rPr/>
                                    <w:t></w:t>
                                  </w:r>
                                </w:p>
                              </w:tc>
                              <w:tc>
                                <w:tcPr>
                                  <w:tcW w:w="46" w:type="dxa"/>
                                  <w:tcBorders/>
                                  <w:shd w:fill="auto" w:val="clear"/>
                                </w:tcPr>
                                <w:p>
                                  <w:pPr>
                                    <w:pStyle w:val="TableContents"/>
                                    <w:spacing w:before="0" w:after="283"/>
                                    <w:rPr/>
                                  </w:pPr>
                                  <w:r>
                                    <w:rPr/>
                                    <w:t> </w:t>
                                  </w:r>
                                </w:p>
                              </w:tc>
                              <w:tc>
                                <w:tcPr>
                                  <w:tcW w:w="4484" w:type="dxa"/>
                                  <w:tcBorders/>
                                  <w:shd w:fill="auto" w:val="clear"/>
                                </w:tcPr>
                                <w:p>
                                  <w:pPr>
                                    <w:pStyle w:val="TableContents"/>
                                    <w:spacing w:before="0" w:after="283"/>
                                    <w:jc w:val="left"/>
                                    <w:rPr/>
                                  </w:pPr>
                                  <w:r>
                                    <w:rPr>
                                      <w:b/>
                                    </w:rPr>
                                    <w:t>FOR</w:t>
                                  </w:r>
                                  <w:r>
                                    <w:rPr/>
                                    <w:t xml:space="preserve"> the ten individuals nominated to serve as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7"/>
                              <w:gridCol w:w="98"/>
                              <w:gridCol w:w="29"/>
                              <w:gridCol w:w="4746"/>
                            </w:tblGrid>
                            <w:tr>
                              <w:trPr/>
                              <w:tc>
                                <w:tcPr>
                                  <w:tcW w:w="127" w:type="dxa"/>
                                  <w:tcBorders/>
                                  <w:shd w:fill="auto" w:val="clear"/>
                                  <w:vAlign w:val="center"/>
                                </w:tcPr>
                                <w:p>
                                  <w:pPr>
                                    <w:pStyle w:val="TableContents"/>
                                    <w:spacing w:before="0" w:after="283"/>
                                    <w:rPr/>
                                  </w:pPr>
                                  <w:r>
                                    <w:rPr/>
                                    <w:t> </w:t>
                                  </w:r>
                                </w:p>
                              </w:tc>
                              <w:tc>
                                <w:tcPr>
                                  <w:tcW w:w="98"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746" w:type="dxa"/>
                                  <w:tcBorders/>
                                  <w:shd w:fill="auto" w:val="clear"/>
                                </w:tcPr>
                                <w:p>
                                  <w:pPr>
                                    <w:pStyle w:val="TableContents"/>
                                    <w:spacing w:before="0" w:after="283"/>
                                    <w:jc w:val="left"/>
                                    <w:rPr/>
                                  </w:pPr>
                                  <w:r>
                                    <w:rPr>
                                      <w:b/>
                                    </w:rPr>
                                    <w:t>FOR</w:t>
                                  </w:r>
                                  <w:r>
                                    <w:rPr/>
                                    <w:t xml:space="preserve"> the ratification of the appointment of Ernst &amp; Young LLP as the Corporations independent auditor for the fiscal year ending December 31, 2021;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6"/>
                              <w:gridCol w:w="98"/>
                              <w:gridCol w:w="29"/>
                              <w:gridCol w:w="4697"/>
                            </w:tblGrid>
                            <w:tr>
                              <w:trPr/>
                              <w:tc>
                                <w:tcPr>
                                  <w:tcW w:w="176" w:type="dxa"/>
                                  <w:tcBorders/>
                                  <w:shd w:fill="auto" w:val="clear"/>
                                  <w:vAlign w:val="center"/>
                                </w:tcPr>
                                <w:p>
                                  <w:pPr>
                                    <w:pStyle w:val="TableContents"/>
                                    <w:spacing w:before="0" w:after="283"/>
                                    <w:rPr/>
                                  </w:pPr>
                                  <w:r>
                                    <w:rPr/>
                                    <w:t> </w:t>
                                  </w:r>
                                </w:p>
                              </w:tc>
                              <w:tc>
                                <w:tcPr>
                                  <w:tcW w:w="98"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697" w:type="dxa"/>
                                  <w:tcBorders/>
                                  <w:shd w:fill="auto" w:val="clear"/>
                                </w:tcPr>
                                <w:p>
                                  <w:pPr>
                                    <w:pStyle w:val="TableContents"/>
                                    <w:spacing w:before="0" w:after="283"/>
                                    <w:jc w:val="left"/>
                                    <w:rPr/>
                                  </w:pPr>
                                  <w:r>
                                    <w:rPr>
                                      <w:b/>
                                    </w:rPr>
                                    <w:t>FOR</w:t>
                                  </w:r>
                                  <w:r>
                                    <w:rPr/>
                                    <w:t xml:space="preserve"> the approval, on an advisory basis, of the compensation of the Corporations named executive officers. </w:t>
                                  </w:r>
                                </w:p>
                              </w:tc>
                            </w:tr>
                          </w:tbl>
                          <w:p>
                            <w:pPr>
                              <w:pStyle w:val="TextBody"/>
                              <w:spacing w:before="240" w:after="0"/>
                              <w:rPr>
                                <w:rFonts w:ascii="arial" w:hAnsi="arial"/>
                                <w:b/>
                                <w:sz w:val="20"/>
                              </w:rPr>
                            </w:pPr>
                            <w:r>
                              <w:rPr>
                                <w:rFonts w:ascii="arial" w:hAnsi="arial"/>
                                <w:b/>
                                <w:sz w:val="20"/>
                              </w:rPr>
                              <w:t xml:space="preserve">Q: Who is entitled to vote? </w:t>
                            </w:r>
                          </w:p>
                          <w:p>
                            <w:pPr>
                              <w:pStyle w:val="TextBody"/>
                              <w:spacing w:before="120" w:after="0"/>
                              <w:rPr>
                                <w:rFonts w:ascii="arial" w:hAnsi="arial"/>
                                <w:sz w:val="20"/>
                              </w:rPr>
                            </w:pPr>
                            <w:r>
                              <w:rPr>
                                <w:rFonts w:ascii="arial" w:hAnsi="arial"/>
                                <w:b/>
                                <w:sz w:val="20"/>
                              </w:rPr>
                              <w:t>A:</w:t>
                            </w:r>
                            <w:r>
                              <w:rPr>
                                <w:rFonts w:ascii="arial" w:hAnsi="arial"/>
                                <w:sz w:val="20"/>
                              </w:rPr>
                              <w:t xml:space="preserve"> Only stockholders of record at the close of business on March 17, 2021 (the Record Date) will be entitled to receive notice of, and to vote at, the Annual Meeting. As of the Record Date, there were 17,057,786 shares of common stock, par value $.01 per share (the Common Stock) outstanding. The holders of Common Stock are entitled to one vote per share. Stockholders of record of the Common Stock may vote their shares either at the Annual Meeting or by proxy.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0.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20"/>
                        </w:rPr>
                      </w:pPr>
                      <w:r>
                        <w:rPr>
                          <w:rFonts w:ascii="arial" w:hAnsi="arial"/>
                          <w:b/>
                          <w:sz w:val="20"/>
                        </w:rPr>
                        <w:t>Proposal Two:</w:t>
                      </w:r>
                      <w:r>
                        <w:rPr>
                          <w:rFonts w:ascii="arial" w:hAnsi="arial"/>
                          <w:sz w:val="20"/>
                        </w:rPr>
                        <w:t xml:space="preserve"> The ratification of the appointment of Ernst &amp; Young LLP as the Corporations independent auditor for the fiscal year ending December 31, 2021. </w:t>
                      </w:r>
                    </w:p>
                    <w:p>
                      <w:pPr>
                        <w:pStyle w:val="TextBody"/>
                        <w:spacing w:before="120" w:after="0"/>
                        <w:rPr>
                          <w:rFonts w:ascii="arial" w:hAnsi="arial"/>
                          <w:sz w:val="20"/>
                        </w:rPr>
                      </w:pPr>
                      <w:r>
                        <w:rPr>
                          <w:rFonts w:ascii="arial" w:hAnsi="arial"/>
                          <w:b/>
                          <w:sz w:val="20"/>
                        </w:rPr>
                        <w:t>Proposal Three:</w:t>
                      </w:r>
                      <w:r>
                        <w:rPr>
                          <w:rFonts w:ascii="arial" w:hAnsi="arial"/>
                          <w:sz w:val="20"/>
                        </w:rPr>
                        <w:t xml:space="preserve"> The approval, on an advisory basis, of the compensation of the Corporations named executive officers. </w:t>
                      </w:r>
                    </w:p>
                    <w:p>
                      <w:pPr>
                        <w:pStyle w:val="TextBody"/>
                        <w:spacing w:before="240" w:after="0"/>
                        <w:rPr>
                          <w:rFonts w:ascii="arial" w:hAnsi="arial"/>
                          <w:b/>
                          <w:sz w:val="20"/>
                        </w:rPr>
                      </w:pPr>
                      <w:r>
                        <w:rPr>
                          <w:rFonts w:ascii="arial" w:hAnsi="arial"/>
                          <w:b/>
                          <w:sz w:val="20"/>
                        </w:rPr>
                        <w:t xml:space="preserve">Q: What are the voting recommendations of the Board of Directors? </w:t>
                      </w:r>
                    </w:p>
                    <w:p>
                      <w:pPr>
                        <w:pStyle w:val="TextBody"/>
                        <w:spacing w:before="120" w:after="0"/>
                        <w:rPr>
                          <w:rFonts w:ascii="arial" w:hAnsi="arial"/>
                          <w:sz w:val="20"/>
                        </w:rPr>
                      </w:pPr>
                      <w:r>
                        <w:rPr>
                          <w:rFonts w:ascii="arial" w:hAnsi="arial"/>
                          <w:b/>
                          <w:sz w:val="20"/>
                        </w:rPr>
                        <w:t>A:</w:t>
                      </w:r>
                      <w:r>
                        <w:rPr>
                          <w:rFonts w:ascii="arial" w:hAnsi="arial"/>
                          <w:sz w:val="20"/>
                        </w:rPr>
                        <w:t xml:space="preserve"> The Board of Directors recommends that you vote your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14"/>
                        <w:gridCol w:w="156"/>
                        <w:gridCol w:w="46"/>
                        <w:gridCol w:w="4484"/>
                      </w:tblGrid>
                      <w:tr>
                        <w:trPr/>
                        <w:tc>
                          <w:tcPr>
                            <w:tcW w:w="314" w:type="dxa"/>
                            <w:tcBorders/>
                            <w:shd w:fill="auto" w:val="clear"/>
                            <w:vAlign w:val="center"/>
                          </w:tcPr>
                          <w:p>
                            <w:pPr>
                              <w:pStyle w:val="TableContents"/>
                              <w:spacing w:before="0" w:after="283"/>
                              <w:rPr/>
                            </w:pPr>
                            <w:r>
                              <w:rPr/>
                              <w:t> </w:t>
                            </w:r>
                          </w:p>
                        </w:tc>
                        <w:tc>
                          <w:tcPr>
                            <w:tcW w:w="156" w:type="dxa"/>
                            <w:tcBorders/>
                            <w:shd w:fill="auto" w:val="clear"/>
                          </w:tcPr>
                          <w:p>
                            <w:pPr>
                              <w:pStyle w:val="TableContents"/>
                              <w:spacing w:before="0" w:after="283"/>
                              <w:jc w:val="left"/>
                              <w:rPr/>
                            </w:pPr>
                            <w:r>
                              <w:rPr/>
                              <w:t></w:t>
                            </w:r>
                          </w:p>
                        </w:tc>
                        <w:tc>
                          <w:tcPr>
                            <w:tcW w:w="46" w:type="dxa"/>
                            <w:tcBorders/>
                            <w:shd w:fill="auto" w:val="clear"/>
                          </w:tcPr>
                          <w:p>
                            <w:pPr>
                              <w:pStyle w:val="TableContents"/>
                              <w:spacing w:before="0" w:after="283"/>
                              <w:rPr/>
                            </w:pPr>
                            <w:r>
                              <w:rPr/>
                              <w:t> </w:t>
                            </w:r>
                          </w:p>
                        </w:tc>
                        <w:tc>
                          <w:tcPr>
                            <w:tcW w:w="4484" w:type="dxa"/>
                            <w:tcBorders/>
                            <w:shd w:fill="auto" w:val="clear"/>
                          </w:tcPr>
                          <w:p>
                            <w:pPr>
                              <w:pStyle w:val="TableContents"/>
                              <w:spacing w:before="0" w:after="283"/>
                              <w:jc w:val="left"/>
                              <w:rPr/>
                            </w:pPr>
                            <w:r>
                              <w:rPr>
                                <w:b/>
                              </w:rPr>
                              <w:t>FOR</w:t>
                            </w:r>
                            <w:r>
                              <w:rPr/>
                              <w:t xml:space="preserve"> the ten individuals nominated to serve as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7"/>
                        <w:gridCol w:w="98"/>
                        <w:gridCol w:w="29"/>
                        <w:gridCol w:w="4746"/>
                      </w:tblGrid>
                      <w:tr>
                        <w:trPr/>
                        <w:tc>
                          <w:tcPr>
                            <w:tcW w:w="127" w:type="dxa"/>
                            <w:tcBorders/>
                            <w:shd w:fill="auto" w:val="clear"/>
                            <w:vAlign w:val="center"/>
                          </w:tcPr>
                          <w:p>
                            <w:pPr>
                              <w:pStyle w:val="TableContents"/>
                              <w:spacing w:before="0" w:after="283"/>
                              <w:rPr/>
                            </w:pPr>
                            <w:r>
                              <w:rPr/>
                              <w:t> </w:t>
                            </w:r>
                          </w:p>
                        </w:tc>
                        <w:tc>
                          <w:tcPr>
                            <w:tcW w:w="98"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746" w:type="dxa"/>
                            <w:tcBorders/>
                            <w:shd w:fill="auto" w:val="clear"/>
                          </w:tcPr>
                          <w:p>
                            <w:pPr>
                              <w:pStyle w:val="TableContents"/>
                              <w:spacing w:before="0" w:after="283"/>
                              <w:jc w:val="left"/>
                              <w:rPr/>
                            </w:pPr>
                            <w:r>
                              <w:rPr>
                                <w:b/>
                              </w:rPr>
                              <w:t>FOR</w:t>
                            </w:r>
                            <w:r>
                              <w:rPr/>
                              <w:t xml:space="preserve"> the ratification of the appointment of Ernst &amp; Young LLP as the Corporations independent auditor for the fiscal year ending December 31, 2021;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6"/>
                        <w:gridCol w:w="98"/>
                        <w:gridCol w:w="29"/>
                        <w:gridCol w:w="4697"/>
                      </w:tblGrid>
                      <w:tr>
                        <w:trPr/>
                        <w:tc>
                          <w:tcPr>
                            <w:tcW w:w="176" w:type="dxa"/>
                            <w:tcBorders/>
                            <w:shd w:fill="auto" w:val="clear"/>
                            <w:vAlign w:val="center"/>
                          </w:tcPr>
                          <w:p>
                            <w:pPr>
                              <w:pStyle w:val="TableContents"/>
                              <w:spacing w:before="0" w:after="283"/>
                              <w:rPr/>
                            </w:pPr>
                            <w:r>
                              <w:rPr/>
                              <w:t> </w:t>
                            </w:r>
                          </w:p>
                        </w:tc>
                        <w:tc>
                          <w:tcPr>
                            <w:tcW w:w="98"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697" w:type="dxa"/>
                            <w:tcBorders/>
                            <w:shd w:fill="auto" w:val="clear"/>
                          </w:tcPr>
                          <w:p>
                            <w:pPr>
                              <w:pStyle w:val="TableContents"/>
                              <w:spacing w:before="0" w:after="283"/>
                              <w:jc w:val="left"/>
                              <w:rPr/>
                            </w:pPr>
                            <w:r>
                              <w:rPr>
                                <w:b/>
                              </w:rPr>
                              <w:t>FOR</w:t>
                            </w:r>
                            <w:r>
                              <w:rPr/>
                              <w:t xml:space="preserve"> the approval, on an advisory basis, of the compensation of the Corporations named executive officers. </w:t>
                            </w:r>
                          </w:p>
                        </w:tc>
                      </w:tr>
                    </w:tbl>
                    <w:p>
                      <w:pPr>
                        <w:pStyle w:val="TextBody"/>
                        <w:spacing w:before="240" w:after="0"/>
                        <w:rPr>
                          <w:rFonts w:ascii="arial" w:hAnsi="arial"/>
                          <w:b/>
                          <w:sz w:val="20"/>
                        </w:rPr>
                      </w:pPr>
                      <w:r>
                        <w:rPr>
                          <w:rFonts w:ascii="arial" w:hAnsi="arial"/>
                          <w:b/>
                          <w:sz w:val="20"/>
                        </w:rPr>
                        <w:t xml:space="preserve">Q: Who is entitled to vote? </w:t>
                      </w:r>
                    </w:p>
                    <w:p>
                      <w:pPr>
                        <w:pStyle w:val="TextBody"/>
                        <w:spacing w:before="120" w:after="0"/>
                        <w:rPr>
                          <w:rFonts w:ascii="arial" w:hAnsi="arial"/>
                          <w:sz w:val="20"/>
                        </w:rPr>
                      </w:pPr>
                      <w:r>
                        <w:rPr>
                          <w:rFonts w:ascii="arial" w:hAnsi="arial"/>
                          <w:b/>
                          <w:sz w:val="20"/>
                        </w:rPr>
                        <w:t>A:</w:t>
                      </w:r>
                      <w:r>
                        <w:rPr>
                          <w:rFonts w:ascii="arial" w:hAnsi="arial"/>
                          <w:sz w:val="20"/>
                        </w:rPr>
                        <w:t xml:space="preserve"> Only stockholders of record at the close of business on March 17, 2021 (the Record Date) will be entitled to receive notice of, and to vote at, the Annual Meeting. As of the Record Date, there were 17,057,786 shares of common stock, par value $.01 per share (the Common Stock) outstanding. The holders of Common Stock are entitled to one vote per share. Stockholders of record of the Common Stock may vote their shares either at the Annual Meeting or by proxy. </w:t>
                      </w:r>
                    </w:p>
                  </w:txbxContent>
                </v:textbox>
                <w10:wrap type="square" side="right"/>
              </v:rect>
            </w:pict>
          </mc:Fallback>
        </mc:AlternateConten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39"/>
        <w:gridCol w:w="122"/>
        <w:gridCol w:w="444"/>
      </w:tblGrid>
      <w:tr>
        <w:trPr/>
        <w:tc>
          <w:tcPr>
            <w:tcW w:w="96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9639" w:type="dxa"/>
            <w:tcBorders/>
            <w:shd w:fill="auto" w:val="clear"/>
          </w:tcPr>
          <w:p>
            <w:pPr>
              <w:pStyle w:val="TableContents"/>
              <w:spacing w:before="0" w:after="283"/>
              <w:jc w:val="right"/>
              <w:rPr/>
            </w:pPr>
            <w:r>
              <w:rPr/>
              <w:drawing>
                <wp:inline distT="0" distB="0" distL="0" distR="0">
                  <wp:extent cx="24765" cy="3048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24765" cy="30480"/>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444" w:type="dxa"/>
            <w:tcBorders/>
            <w:shd w:fill="auto" w:val="clear"/>
            <w:vAlign w:val="center"/>
          </w:tcPr>
          <w:p>
            <w:pPr>
              <w:pStyle w:val="TableContents"/>
              <w:spacing w:before="0" w:after="283"/>
              <w:jc w:val="right"/>
              <w:rPr/>
            </w:pPr>
            <w:r>
              <w:rPr/>
              <w:t>    </w:t>
            </w:r>
            <w:r>
              <w:rPr/>
              <w:t>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PROXY STATEMENT FOR THE 2021 ANNUAL MEETING OF STOCKHOLDERS</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110230" cy="9972040"/>
                <wp:effectExtent l="0" t="0" r="0" b="0"/>
                <wp:wrapSquare wrapText="largest"/>
                <wp:docPr id="15" name="Frame5"/>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rPr>
                                <w:rFonts w:ascii="arial" w:hAnsi="arial"/>
                                <w:b/>
                                <w:sz w:val="20"/>
                              </w:rPr>
                            </w:pPr>
                            <w:r>
                              <w:rPr>
                                <w:rFonts w:ascii="arial" w:hAnsi="arial"/>
                                <w:b/>
                                <w:sz w:val="20"/>
                              </w:rPr>
                              <w:t xml:space="preserve">Q: What constitutes a quorum? </w:t>
                            </w:r>
                          </w:p>
                          <w:p>
                            <w:pPr>
                              <w:pStyle w:val="TextBody"/>
                              <w:spacing w:before="120" w:after="0"/>
                              <w:rPr>
                                <w:rFonts w:ascii="arial" w:hAnsi="arial"/>
                                <w:sz w:val="20"/>
                              </w:rPr>
                            </w:pPr>
                            <w:r>
                              <w:rPr>
                                <w:rFonts w:ascii="arial" w:hAnsi="arial"/>
                                <w:b/>
                                <w:sz w:val="20"/>
                              </w:rPr>
                              <w:t>A:</w:t>
                            </w:r>
                            <w:r>
                              <w:rPr>
                                <w:rFonts w:ascii="arial" w:hAnsi="arial"/>
                                <w:sz w:val="20"/>
                              </w:rPr>
                              <w:t xml:space="preserve"> A quorum is necessary to hold a valid meeting of stockholders. A quorum exists if the holders of a majority of the voting power of the capital stock issued and outstanding and entitled to vote at the Annual Meeting are present at the virtual meeting or represented by proxy. </w:t>
                            </w:r>
                          </w:p>
                          <w:p>
                            <w:pPr>
                              <w:pStyle w:val="TextBody"/>
                              <w:spacing w:before="240" w:after="0"/>
                              <w:rPr>
                                <w:rFonts w:ascii="arial" w:hAnsi="arial"/>
                                <w:b/>
                                <w:sz w:val="20"/>
                              </w:rPr>
                            </w:pPr>
                            <w:r>
                              <w:rPr>
                                <w:rFonts w:ascii="arial" w:hAnsi="arial"/>
                                <w:b/>
                                <w:sz w:val="20"/>
                              </w:rPr>
                              <w:t xml:space="preserve">Q: How do I cast my vote? </w:t>
                            </w:r>
                          </w:p>
                          <w:p>
                            <w:pPr>
                              <w:pStyle w:val="TextBody"/>
                              <w:spacing w:before="120" w:after="0"/>
                              <w:rPr>
                                <w:rFonts w:ascii="arial" w:hAnsi="arial"/>
                                <w:sz w:val="20"/>
                              </w:rPr>
                            </w:pPr>
                            <w:r>
                              <w:rPr>
                                <w:rFonts w:ascii="arial" w:hAnsi="arial"/>
                                <w:b/>
                                <w:sz w:val="20"/>
                              </w:rPr>
                              <w:t>A:</w:t>
                            </w:r>
                            <w:r>
                              <w:rPr>
                                <w:rFonts w:ascii="arial" w:hAnsi="arial"/>
                                <w:sz w:val="20"/>
                              </w:rPr>
                              <w:t xml:space="preserve"> There are four ways to vote: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
                              <w:gridCol w:w="96"/>
                              <w:gridCol w:w="28"/>
                              <w:gridCol w:w="4728"/>
                            </w:tblGrid>
                            <w:tr>
                              <w:trPr/>
                              <w:tc>
                                <w:tcPr>
                                  <w:tcW w:w="46"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8" w:type="dxa"/>
                                  <w:tcBorders/>
                                  <w:shd w:fill="auto" w:val="clear"/>
                                </w:tcPr>
                                <w:p>
                                  <w:pPr>
                                    <w:pStyle w:val="TableContents"/>
                                    <w:spacing w:before="0" w:after="283"/>
                                    <w:rPr/>
                                  </w:pPr>
                                  <w:r>
                                    <w:rPr/>
                                    <w:t> </w:t>
                                  </w:r>
                                </w:p>
                              </w:tc>
                              <w:tc>
                                <w:tcPr>
                                  <w:tcW w:w="4728" w:type="dxa"/>
                                  <w:tcBorders/>
                                  <w:shd w:fill="auto" w:val="clear"/>
                                </w:tcPr>
                                <w:p>
                                  <w:pPr>
                                    <w:pStyle w:val="TableContents"/>
                                    <w:spacing w:before="0" w:after="283"/>
                                    <w:jc w:val="left"/>
                                    <w:rPr/>
                                  </w:pPr>
                                  <w:r>
                                    <w:rPr>
                                      <w:i/>
                                    </w:rPr>
                                    <w:t>By Internet.</w:t>
                                  </w:r>
                                  <w:r>
                                    <w:rPr/>
                                    <w:t xml:space="preserve"> To vote by Internet, go to www.envisionreports.com/DIN. Internet voting is available 24 hours a day, although your vote by Internet must be received by 11:59 p.m. Eastern Time on May 10, 2021. You will need the control number found either on the Notice of Internet Availability of Proxy Materials or on the proxy card if you are receiving a printed copy of these materials. If you vote by Internet, do not return your proxy card or voting instruction card unless you intend to revoke your earlier vote. If you hold your shares in street name, please refer to the Notice of Internet Availability of Proxy Materials or voting instruction card provided to you by your broker, bank, or other holder of record for Internet voting instructions.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
                              <w:gridCol w:w="96"/>
                              <w:gridCol w:w="29"/>
                              <w:gridCol w:w="4726"/>
                            </w:tblGrid>
                            <w:tr>
                              <w:trPr/>
                              <w:tc>
                                <w:tcPr>
                                  <w:tcW w:w="47"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726" w:type="dxa"/>
                                  <w:tcBorders/>
                                  <w:shd w:fill="auto" w:val="clear"/>
                                </w:tcPr>
                                <w:p>
                                  <w:pPr>
                                    <w:pStyle w:val="TableContents"/>
                                    <w:spacing w:before="0" w:after="283"/>
                                    <w:jc w:val="left"/>
                                    <w:rPr/>
                                  </w:pPr>
                                  <w:r>
                                    <w:rPr>
                                      <w:i/>
                                    </w:rPr>
                                    <w:t>By Telephone.</w:t>
                                  </w:r>
                                  <w:r>
                                    <w:rPr/>
                                    <w:t xml:space="preserve"> To vote by telephone, registered stockholders should dial 800-652-VOTE (8683) and follow the instructions. Telephone voting is available 24 hours a day, although your vote by phone must be received by 11:59 p.m. Eastern Time, May 10, 2021. You will need the control number found either on the Notice of Internet Availability of Proxy Materials or on the proxy card if you are receiving a printed copy of these materials. If you vote by telephone, do not return your proxy card or voting instruction card unless you intend to revoke your earlier vote. If you hold your shares in street name, please refer to the Notice of Internet Availability of Proxy Materials or voting instruction card provided to you by your broker, bank, or other holder of record for telephone voting instructions.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8"/>
                              <w:gridCol w:w="96"/>
                              <w:gridCol w:w="29"/>
                              <w:gridCol w:w="4715"/>
                            </w:tblGrid>
                            <w:tr>
                              <w:trPr/>
                              <w:tc>
                                <w:tcPr>
                                  <w:tcW w:w="58"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715" w:type="dxa"/>
                                  <w:tcBorders/>
                                  <w:shd w:fill="auto" w:val="clear"/>
                                </w:tcPr>
                                <w:p>
                                  <w:pPr>
                                    <w:pStyle w:val="TableContents"/>
                                    <w:spacing w:before="0" w:after="283"/>
                                    <w:jc w:val="left"/>
                                    <w:rPr/>
                                  </w:pPr>
                                  <w:r>
                                    <w:rPr>
                                      <w:i/>
                                    </w:rPr>
                                    <w:t>By Mail.</w:t>
                                  </w:r>
                                  <w:r>
                                    <w:rPr/>
                                    <w:t xml:space="preserve"> By signing the proxy card and returning it in the prepaid and addressed envelope enclosed with proxy materials delivered by mail, you are authorizing the individuals named on the proxy card to vote your shares at the Annual Meeting in the manner you indicate. Stockholders are encouraged to sign and return the proxy card even if you plan to attend the Annual Meeting so that your shares will be voted if you are ultimately unable to attend the Annual Meeting. If you receive more than one proxy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sz w:val="20"/>
                        </w:rPr>
                      </w:pPr>
                      <w:r>
                        <w:rPr>
                          <w:rFonts w:ascii="arial" w:hAnsi="arial"/>
                          <w:b/>
                          <w:sz w:val="20"/>
                        </w:rPr>
                        <w:t xml:space="preserve">Q: What constitutes a quorum? </w:t>
                      </w:r>
                    </w:p>
                    <w:p>
                      <w:pPr>
                        <w:pStyle w:val="TextBody"/>
                        <w:spacing w:before="120" w:after="0"/>
                        <w:rPr>
                          <w:rFonts w:ascii="arial" w:hAnsi="arial"/>
                          <w:sz w:val="20"/>
                        </w:rPr>
                      </w:pPr>
                      <w:r>
                        <w:rPr>
                          <w:rFonts w:ascii="arial" w:hAnsi="arial"/>
                          <w:b/>
                          <w:sz w:val="20"/>
                        </w:rPr>
                        <w:t>A:</w:t>
                      </w:r>
                      <w:r>
                        <w:rPr>
                          <w:rFonts w:ascii="arial" w:hAnsi="arial"/>
                          <w:sz w:val="20"/>
                        </w:rPr>
                        <w:t xml:space="preserve"> A quorum is necessary to hold a valid meeting of stockholders. A quorum exists if the holders of a majority of the voting power of the capital stock issued and outstanding and entitled to vote at the Annual Meeting are present at the virtual meeting or represented by proxy. </w:t>
                      </w:r>
                    </w:p>
                    <w:p>
                      <w:pPr>
                        <w:pStyle w:val="TextBody"/>
                        <w:spacing w:before="240" w:after="0"/>
                        <w:rPr>
                          <w:rFonts w:ascii="arial" w:hAnsi="arial"/>
                          <w:b/>
                          <w:sz w:val="20"/>
                        </w:rPr>
                      </w:pPr>
                      <w:r>
                        <w:rPr>
                          <w:rFonts w:ascii="arial" w:hAnsi="arial"/>
                          <w:b/>
                          <w:sz w:val="20"/>
                        </w:rPr>
                        <w:t xml:space="preserve">Q: How do I cast my vote? </w:t>
                      </w:r>
                    </w:p>
                    <w:p>
                      <w:pPr>
                        <w:pStyle w:val="TextBody"/>
                        <w:spacing w:before="120" w:after="0"/>
                        <w:rPr>
                          <w:rFonts w:ascii="arial" w:hAnsi="arial"/>
                          <w:sz w:val="20"/>
                        </w:rPr>
                      </w:pPr>
                      <w:r>
                        <w:rPr>
                          <w:rFonts w:ascii="arial" w:hAnsi="arial"/>
                          <w:b/>
                          <w:sz w:val="20"/>
                        </w:rPr>
                        <w:t>A:</w:t>
                      </w:r>
                      <w:r>
                        <w:rPr>
                          <w:rFonts w:ascii="arial" w:hAnsi="arial"/>
                          <w:sz w:val="20"/>
                        </w:rPr>
                        <w:t xml:space="preserve"> There are four ways to vote: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
                        <w:gridCol w:w="96"/>
                        <w:gridCol w:w="28"/>
                        <w:gridCol w:w="4728"/>
                      </w:tblGrid>
                      <w:tr>
                        <w:trPr/>
                        <w:tc>
                          <w:tcPr>
                            <w:tcW w:w="46"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8" w:type="dxa"/>
                            <w:tcBorders/>
                            <w:shd w:fill="auto" w:val="clear"/>
                          </w:tcPr>
                          <w:p>
                            <w:pPr>
                              <w:pStyle w:val="TableContents"/>
                              <w:spacing w:before="0" w:after="283"/>
                              <w:rPr/>
                            </w:pPr>
                            <w:r>
                              <w:rPr/>
                              <w:t> </w:t>
                            </w:r>
                          </w:p>
                        </w:tc>
                        <w:tc>
                          <w:tcPr>
                            <w:tcW w:w="4728" w:type="dxa"/>
                            <w:tcBorders/>
                            <w:shd w:fill="auto" w:val="clear"/>
                          </w:tcPr>
                          <w:p>
                            <w:pPr>
                              <w:pStyle w:val="TableContents"/>
                              <w:spacing w:before="0" w:after="283"/>
                              <w:jc w:val="left"/>
                              <w:rPr/>
                            </w:pPr>
                            <w:r>
                              <w:rPr>
                                <w:i/>
                              </w:rPr>
                              <w:t>By Internet.</w:t>
                            </w:r>
                            <w:r>
                              <w:rPr/>
                              <w:t xml:space="preserve"> To vote by Internet, go to www.envisionreports.com/DIN. Internet voting is available 24 hours a day, although your vote by Internet must be received by 11:59 p.m. Eastern Time on May 10, 2021. You will need the control number found either on the Notice of Internet Availability of Proxy Materials or on the proxy card if you are receiving a printed copy of these materials. If you vote by Internet, do not return your proxy card or voting instruction card unless you intend to revoke your earlier vote. If you hold your shares in street name, please refer to the Notice of Internet Availability of Proxy Materials or voting instruction card provided to you by your broker, bank, or other holder of record for Internet voting instructions.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
                        <w:gridCol w:w="96"/>
                        <w:gridCol w:w="29"/>
                        <w:gridCol w:w="4726"/>
                      </w:tblGrid>
                      <w:tr>
                        <w:trPr/>
                        <w:tc>
                          <w:tcPr>
                            <w:tcW w:w="47"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726" w:type="dxa"/>
                            <w:tcBorders/>
                            <w:shd w:fill="auto" w:val="clear"/>
                          </w:tcPr>
                          <w:p>
                            <w:pPr>
                              <w:pStyle w:val="TableContents"/>
                              <w:spacing w:before="0" w:after="283"/>
                              <w:jc w:val="left"/>
                              <w:rPr/>
                            </w:pPr>
                            <w:r>
                              <w:rPr>
                                <w:i/>
                              </w:rPr>
                              <w:t>By Telephone.</w:t>
                            </w:r>
                            <w:r>
                              <w:rPr/>
                              <w:t xml:space="preserve"> To vote by telephone, registered stockholders should dial 800-652-VOTE (8683) and follow the instructions. Telephone voting is available 24 hours a day, although your vote by phone must be received by 11:59 p.m. Eastern Time, May 10, 2021. You will need the control number found either on the Notice of Internet Availability of Proxy Materials or on the proxy card if you are receiving a printed copy of these materials. If you vote by telephone, do not return your proxy card or voting instruction card unless you intend to revoke your earlier vote. If you hold your shares in street name, please refer to the Notice of Internet Availability of Proxy Materials or voting instruction card provided to you by your broker, bank, or other holder of record for telephone voting instructions.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8"/>
                        <w:gridCol w:w="96"/>
                        <w:gridCol w:w="29"/>
                        <w:gridCol w:w="4715"/>
                      </w:tblGrid>
                      <w:tr>
                        <w:trPr/>
                        <w:tc>
                          <w:tcPr>
                            <w:tcW w:w="58"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715" w:type="dxa"/>
                            <w:tcBorders/>
                            <w:shd w:fill="auto" w:val="clear"/>
                          </w:tcPr>
                          <w:p>
                            <w:pPr>
                              <w:pStyle w:val="TableContents"/>
                              <w:spacing w:before="0" w:after="283"/>
                              <w:jc w:val="left"/>
                              <w:rPr/>
                            </w:pPr>
                            <w:r>
                              <w:rPr>
                                <w:i/>
                              </w:rPr>
                              <w:t>By Mail.</w:t>
                            </w:r>
                            <w:r>
                              <w:rPr/>
                              <w:t xml:space="preserve"> By signing the proxy card and returning it in the prepaid and addressed envelope enclosed with proxy materials delivered by mail, you are authorizing the individuals named on the proxy card to vote your shares at the Annual Meeting in the manner you indicate. Stockholders are encouraged to sign and return the proxy card even if you plan to attend the Annual Meeting so that your shares will be voted if you are ultimately unable to attend the Annual Meeting. If you receive more than one proxy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175000" cy="9388475"/>
                <wp:effectExtent l="0" t="0" r="0" b="0"/>
                <wp:wrapSquare wrapText="largest"/>
                <wp:docPr id="16" name="Frame6"/>
                <a:graphic xmlns:a="http://schemas.openxmlformats.org/drawingml/2006/main">
                  <a:graphicData uri="http://schemas.microsoft.com/office/word/2010/wordprocessingShape">
                    <wps:wsp>
                      <wps:cNvSpPr txBox="1"/>
                      <wps:spPr>
                        <a:xfrm>
                          <a:off x="0" y="0"/>
                          <a:ext cx="3175000" cy="9388475"/>
                        </a:xfrm>
                        <a:prstGeom prst="rect"/>
                      </wps:spPr>
                      <wps:txbx>
                        <w:txbxContent>
                          <w:tbl>
                            <w:tblPr>
                              <w:tblW w:w="5000" w:type="pct"/>
                              <w:jc w:val="left"/>
                              <w:tblInd w:w="0" w:type="dxa"/>
                              <w:tblCellMar>
                                <w:top w:w="0" w:type="dxa"/>
                                <w:left w:w="0" w:type="dxa"/>
                                <w:bottom w:w="0" w:type="dxa"/>
                                <w:right w:w="0" w:type="dxa"/>
                              </w:tblCellMar>
                            </w:tblPr>
                            <w:tblGrid>
                              <w:gridCol w:w="213"/>
                              <w:gridCol w:w="29"/>
                              <w:gridCol w:w="4758"/>
                            </w:tblGrid>
                            <w:tr>
                              <w:trPr/>
                              <w:tc>
                                <w:tcPr>
                                  <w:tcW w:w="213" w:type="dxa"/>
                                  <w:tcBorders/>
                                  <w:shd w:fill="auto" w:val="clear"/>
                                </w:tcPr>
                                <w:p>
                                  <w:pPr>
                                    <w:pStyle w:val="TableContents"/>
                                    <w:spacing w:before="0" w:after="283"/>
                                    <w:jc w:val="left"/>
                                    <w:rPr/>
                                  </w:pPr>
                                  <w:r>
                                    <w:rPr/>
                                    <w:t> </w:t>
                                  </w:r>
                                </w:p>
                              </w:tc>
                              <w:tc>
                                <w:tcPr>
                                  <w:tcW w:w="29" w:type="dxa"/>
                                  <w:tcBorders/>
                                  <w:shd w:fill="auto" w:val="clear"/>
                                  <w:vAlign w:val="center"/>
                                </w:tcPr>
                                <w:p>
                                  <w:pPr>
                                    <w:pStyle w:val="TableContents"/>
                                    <w:spacing w:before="0" w:after="283"/>
                                    <w:rPr/>
                                  </w:pPr>
                                  <w:r>
                                    <w:rPr/>
                                    <w:t> </w:t>
                                  </w:r>
                                </w:p>
                              </w:tc>
                              <w:tc>
                                <w:tcPr>
                                  <w:tcW w:w="4758" w:type="dxa"/>
                                  <w:tcBorders/>
                                  <w:shd w:fill="auto" w:val="clear"/>
                                </w:tcPr>
                                <w:p>
                                  <w:pPr>
                                    <w:pStyle w:val="TableContents"/>
                                    <w:spacing w:before="0" w:after="0"/>
                                    <w:rPr>
                                      <w:rFonts w:ascii="arial" w:hAnsi="arial"/>
                                      <w:sz w:val="20"/>
                                    </w:rPr>
                                  </w:pPr>
                                  <w:r>
                                    <w:rPr>
                                      <w:rFonts w:ascii="arial" w:hAnsi="arial"/>
                                      <w:sz w:val="20"/>
                                    </w:rPr>
                                    <w:t xml:space="preserve">card, it is an indication that your shares are held in multiple accounts. Please sign and return all proxy cards to ensure that all of your shares are voted.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
                              <w:gridCol w:w="98"/>
                              <w:gridCol w:w="30"/>
                              <w:gridCol w:w="4832"/>
                            </w:tblGrid>
                            <w:tr>
                              <w:trPr/>
                              <w:tc>
                                <w:tcPr>
                                  <w:tcW w:w="40" w:type="dxa"/>
                                  <w:tcBorders/>
                                  <w:shd w:fill="auto" w:val="clear"/>
                                  <w:vAlign w:val="center"/>
                                </w:tcPr>
                                <w:p>
                                  <w:pPr>
                                    <w:pStyle w:val="TableContents"/>
                                    <w:spacing w:before="0" w:after="283"/>
                                    <w:rPr/>
                                  </w:pPr>
                                  <w:r>
                                    <w:rPr/>
                                    <w:t> </w:t>
                                  </w:r>
                                </w:p>
                              </w:tc>
                              <w:tc>
                                <w:tcPr>
                                  <w:tcW w:w="98" w:type="dxa"/>
                                  <w:tcBorders/>
                                  <w:shd w:fill="auto" w:val="clear"/>
                                </w:tcPr>
                                <w:p>
                                  <w:pPr>
                                    <w:pStyle w:val="TableContents"/>
                                    <w:spacing w:before="0" w:after="283"/>
                                    <w:jc w:val="left"/>
                                    <w:rPr/>
                                  </w:pPr>
                                  <w:r>
                                    <w:rPr/>
                                    <w:t></w:t>
                                  </w:r>
                                </w:p>
                              </w:tc>
                              <w:tc>
                                <w:tcPr>
                                  <w:tcW w:w="30" w:type="dxa"/>
                                  <w:tcBorders/>
                                  <w:shd w:fill="auto" w:val="clear"/>
                                </w:tcPr>
                                <w:p>
                                  <w:pPr>
                                    <w:pStyle w:val="TableContents"/>
                                    <w:spacing w:before="0" w:after="283"/>
                                    <w:rPr/>
                                  </w:pPr>
                                  <w:r>
                                    <w:rPr/>
                                    <w:t> </w:t>
                                  </w:r>
                                </w:p>
                              </w:tc>
                              <w:tc>
                                <w:tcPr>
                                  <w:tcW w:w="4832" w:type="dxa"/>
                                  <w:tcBorders/>
                                  <w:shd w:fill="auto" w:val="clear"/>
                                </w:tcPr>
                                <w:p>
                                  <w:pPr>
                                    <w:pStyle w:val="TableContents"/>
                                    <w:spacing w:before="0" w:after="283"/>
                                    <w:jc w:val="left"/>
                                    <w:rPr/>
                                  </w:pPr>
                                  <w:r>
                                    <w:rPr>
                                      <w:i/>
                                    </w:rPr>
                                    <w:t>At the Annual Meeting.</w:t>
                                  </w:r>
                                  <w:r>
                                    <w:rPr/>
                                    <w:t xml:space="preserve"> The Annual Meeting will be held virtually by means of remote communication. You are entitled to participate in the Annual Meeting only if you were a stockholder of the Corporation as of the close of business on the Record Date, or if you hold a valid proxy for the Annual Meeting. No physical meeting will be held. You will be able to attend the Annual Meeting online and submit your questions during the meeting by visiting www.meetingcenter.io/265229604. You also will be able to vote your shares online by attending the Annual Meeting by webcast. To participate in the Annual Meeting, you will need to review the information included on your Notice, on your proxy card or on the instructions that accompanied your proxy materials. The password for the meeting is DIN2021. If you hold your shares through an intermediary, such as a bank or broker, you must register in advance using the instructions below. The online meeting will begin promptly at 8:00 a.m., Pacific time. We encourage you to access the meeting prior to the start time leaving ample time for the check in. Please follow the registration instructions as outlined in this proxy statement. </w:t>
                                  </w:r>
                                </w:p>
                              </w:tc>
                            </w:tr>
                          </w:tbl>
                          <w:p>
                            <w:pPr>
                              <w:pStyle w:val="TextBody"/>
                              <w:spacing w:before="240" w:after="0"/>
                              <w:rPr>
                                <w:rFonts w:ascii="arial" w:hAnsi="arial"/>
                                <w:sz w:val="20"/>
                              </w:rPr>
                            </w:pPr>
                            <w:r>
                              <w:rPr>
                                <w:rFonts w:ascii="arial" w:hAnsi="arial"/>
                                <w:sz w:val="20"/>
                              </w:rPr>
                              <w:t xml:space="preserve">Whichever method you use, each valid proxy received in time will be voted at the Annual Meeting by the persons named on the proxy card in accordance with your instructions. To ensure that your proxy is voted, it should be received by 11:59 p.m., Eastern Time on May 10, 2021. </w:t>
                            </w:r>
                          </w:p>
                          <w:p>
                            <w:pPr>
                              <w:pStyle w:val="TextBody"/>
                              <w:spacing w:before="240" w:after="0"/>
                              <w:rPr>
                                <w:rFonts w:ascii="arial" w:hAnsi="arial"/>
                                <w:b/>
                                <w:sz w:val="20"/>
                              </w:rPr>
                            </w:pPr>
                            <w:r>
                              <w:rPr>
                                <w:rFonts w:ascii="arial" w:hAnsi="arial"/>
                                <w:b/>
                                <w:sz w:val="20"/>
                              </w:rPr>
                              <w:t xml:space="preserve">Q: How do I register to attend the Annual Meeting virtually on the Internet? </w:t>
                            </w:r>
                          </w:p>
                          <w:p>
                            <w:pPr>
                              <w:pStyle w:val="TextBody"/>
                              <w:spacing w:before="120" w:after="0"/>
                              <w:rPr>
                                <w:rFonts w:ascii="arial" w:hAnsi="arial"/>
                                <w:sz w:val="20"/>
                              </w:rPr>
                            </w:pPr>
                            <w:r>
                              <w:rPr>
                                <w:rFonts w:ascii="arial" w:hAnsi="arial"/>
                                <w:b/>
                                <w:sz w:val="20"/>
                              </w:rPr>
                              <w:t>A:</w:t>
                            </w:r>
                            <w:r>
                              <w:rPr>
                                <w:rFonts w:ascii="arial" w:hAnsi="arial"/>
                                <w:sz w:val="20"/>
                              </w:rPr>
                              <w:t xml:space="preserve"> If you are a registered shareholder (i.e., you hold your shares through our transfer agent, Computershare), you do not need to register to attend the Annual Meeting virtually on the Internet. Please follow the instructions on the notice or proxy card that you received. </w:t>
                            </w:r>
                          </w:p>
                          <w:p>
                            <w:pPr>
                              <w:pStyle w:val="TextBody"/>
                              <w:spacing w:before="120" w:after="0"/>
                              <w:rPr>
                                <w:rFonts w:ascii="arial" w:hAnsi="arial"/>
                                <w:sz w:val="20"/>
                              </w:rPr>
                            </w:pPr>
                            <w:r>
                              <w:rPr>
                                <w:rFonts w:ascii="arial" w:hAnsi="arial"/>
                                <w:sz w:val="20"/>
                              </w:rPr>
                              <w:t xml:space="preserve">If you hold your shares through an intermediary, such as a bank or broker, you must register in advance to attend the Annual Meeting virtually on the Internet. </w:t>
                            </w:r>
                          </w:p>
                          <w:p>
                            <w:pPr>
                              <w:pStyle w:val="TextBody"/>
                              <w:spacing w:before="120" w:after="0"/>
                              <w:rPr>
                                <w:rFonts w:ascii="arial" w:hAnsi="arial"/>
                                <w:sz w:val="20"/>
                              </w:rPr>
                            </w:pPr>
                            <w:r>
                              <w:rPr>
                                <w:rFonts w:ascii="arial" w:hAnsi="arial"/>
                                <w:sz w:val="20"/>
                              </w:rPr>
                              <w:t xml:space="preserve">To register to attend the Annual Meeting online by webcast you must submit proof of your proxy power (legal proxy) reflecting your holdings in the Corporations stock along with your name and email address to Computershare. Requests for registration must be labeled as Legal Proxy and be received no later than 5:00 p.m., Eastern time, on May 10, 2021.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39.2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213"/>
                        <w:gridCol w:w="29"/>
                        <w:gridCol w:w="4758"/>
                      </w:tblGrid>
                      <w:tr>
                        <w:trPr/>
                        <w:tc>
                          <w:tcPr>
                            <w:tcW w:w="213" w:type="dxa"/>
                            <w:tcBorders/>
                            <w:shd w:fill="auto" w:val="clear"/>
                          </w:tcPr>
                          <w:p>
                            <w:pPr>
                              <w:pStyle w:val="TableContents"/>
                              <w:spacing w:before="0" w:after="283"/>
                              <w:jc w:val="left"/>
                              <w:rPr/>
                            </w:pPr>
                            <w:r>
                              <w:rPr/>
                              <w:t> </w:t>
                            </w:r>
                          </w:p>
                        </w:tc>
                        <w:tc>
                          <w:tcPr>
                            <w:tcW w:w="29" w:type="dxa"/>
                            <w:tcBorders/>
                            <w:shd w:fill="auto" w:val="clear"/>
                            <w:vAlign w:val="center"/>
                          </w:tcPr>
                          <w:p>
                            <w:pPr>
                              <w:pStyle w:val="TableContents"/>
                              <w:spacing w:before="0" w:after="283"/>
                              <w:rPr/>
                            </w:pPr>
                            <w:r>
                              <w:rPr/>
                              <w:t> </w:t>
                            </w:r>
                          </w:p>
                        </w:tc>
                        <w:tc>
                          <w:tcPr>
                            <w:tcW w:w="4758" w:type="dxa"/>
                            <w:tcBorders/>
                            <w:shd w:fill="auto" w:val="clear"/>
                          </w:tcPr>
                          <w:p>
                            <w:pPr>
                              <w:pStyle w:val="TableContents"/>
                              <w:spacing w:before="0" w:after="0"/>
                              <w:rPr>
                                <w:rFonts w:ascii="arial" w:hAnsi="arial"/>
                                <w:sz w:val="20"/>
                              </w:rPr>
                            </w:pPr>
                            <w:r>
                              <w:rPr>
                                <w:rFonts w:ascii="arial" w:hAnsi="arial"/>
                                <w:sz w:val="20"/>
                              </w:rPr>
                              <w:t xml:space="preserve">card, it is an indication that your shares are held in multiple accounts. Please sign and return all proxy cards to ensure that all of your shares are voted.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
                        <w:gridCol w:w="98"/>
                        <w:gridCol w:w="30"/>
                        <w:gridCol w:w="4832"/>
                      </w:tblGrid>
                      <w:tr>
                        <w:trPr/>
                        <w:tc>
                          <w:tcPr>
                            <w:tcW w:w="40" w:type="dxa"/>
                            <w:tcBorders/>
                            <w:shd w:fill="auto" w:val="clear"/>
                            <w:vAlign w:val="center"/>
                          </w:tcPr>
                          <w:p>
                            <w:pPr>
                              <w:pStyle w:val="TableContents"/>
                              <w:spacing w:before="0" w:after="283"/>
                              <w:rPr/>
                            </w:pPr>
                            <w:r>
                              <w:rPr/>
                              <w:t> </w:t>
                            </w:r>
                          </w:p>
                        </w:tc>
                        <w:tc>
                          <w:tcPr>
                            <w:tcW w:w="98" w:type="dxa"/>
                            <w:tcBorders/>
                            <w:shd w:fill="auto" w:val="clear"/>
                          </w:tcPr>
                          <w:p>
                            <w:pPr>
                              <w:pStyle w:val="TableContents"/>
                              <w:spacing w:before="0" w:after="283"/>
                              <w:jc w:val="left"/>
                              <w:rPr/>
                            </w:pPr>
                            <w:r>
                              <w:rPr/>
                              <w:t></w:t>
                            </w:r>
                          </w:p>
                        </w:tc>
                        <w:tc>
                          <w:tcPr>
                            <w:tcW w:w="30" w:type="dxa"/>
                            <w:tcBorders/>
                            <w:shd w:fill="auto" w:val="clear"/>
                          </w:tcPr>
                          <w:p>
                            <w:pPr>
                              <w:pStyle w:val="TableContents"/>
                              <w:spacing w:before="0" w:after="283"/>
                              <w:rPr/>
                            </w:pPr>
                            <w:r>
                              <w:rPr/>
                              <w:t> </w:t>
                            </w:r>
                          </w:p>
                        </w:tc>
                        <w:tc>
                          <w:tcPr>
                            <w:tcW w:w="4832" w:type="dxa"/>
                            <w:tcBorders/>
                            <w:shd w:fill="auto" w:val="clear"/>
                          </w:tcPr>
                          <w:p>
                            <w:pPr>
                              <w:pStyle w:val="TableContents"/>
                              <w:spacing w:before="0" w:after="283"/>
                              <w:jc w:val="left"/>
                              <w:rPr/>
                            </w:pPr>
                            <w:r>
                              <w:rPr>
                                <w:i/>
                              </w:rPr>
                              <w:t>At the Annual Meeting.</w:t>
                            </w:r>
                            <w:r>
                              <w:rPr/>
                              <w:t xml:space="preserve"> The Annual Meeting will be held virtually by means of remote communication. You are entitled to participate in the Annual Meeting only if you were a stockholder of the Corporation as of the close of business on the Record Date, or if you hold a valid proxy for the Annual Meeting. No physical meeting will be held. You will be able to attend the Annual Meeting online and submit your questions during the meeting by visiting www.meetingcenter.io/265229604. You also will be able to vote your shares online by attending the Annual Meeting by webcast. To participate in the Annual Meeting, you will need to review the information included on your Notice, on your proxy card or on the instructions that accompanied your proxy materials. The password for the meeting is DIN2021. If you hold your shares through an intermediary, such as a bank or broker, you must register in advance using the instructions below. The online meeting will begin promptly at 8:00 a.m., Pacific time. We encourage you to access the meeting prior to the start time leaving ample time for the check in. Please follow the registration instructions as outlined in this proxy statement. </w:t>
                            </w:r>
                          </w:p>
                        </w:tc>
                      </w:tr>
                    </w:tbl>
                    <w:p>
                      <w:pPr>
                        <w:pStyle w:val="TextBody"/>
                        <w:spacing w:before="240" w:after="0"/>
                        <w:rPr>
                          <w:rFonts w:ascii="arial" w:hAnsi="arial"/>
                          <w:sz w:val="20"/>
                        </w:rPr>
                      </w:pPr>
                      <w:r>
                        <w:rPr>
                          <w:rFonts w:ascii="arial" w:hAnsi="arial"/>
                          <w:sz w:val="20"/>
                        </w:rPr>
                        <w:t xml:space="preserve">Whichever method you use, each valid proxy received in time will be voted at the Annual Meeting by the persons named on the proxy card in accordance with your instructions. To ensure that your proxy is voted, it should be received by 11:59 p.m., Eastern Time on May 10, 2021. </w:t>
                      </w:r>
                    </w:p>
                    <w:p>
                      <w:pPr>
                        <w:pStyle w:val="TextBody"/>
                        <w:spacing w:before="240" w:after="0"/>
                        <w:rPr>
                          <w:rFonts w:ascii="arial" w:hAnsi="arial"/>
                          <w:b/>
                          <w:sz w:val="20"/>
                        </w:rPr>
                      </w:pPr>
                      <w:r>
                        <w:rPr>
                          <w:rFonts w:ascii="arial" w:hAnsi="arial"/>
                          <w:b/>
                          <w:sz w:val="20"/>
                        </w:rPr>
                        <w:t xml:space="preserve">Q: How do I register to attend the Annual Meeting virtually on the Internet? </w:t>
                      </w:r>
                    </w:p>
                    <w:p>
                      <w:pPr>
                        <w:pStyle w:val="TextBody"/>
                        <w:spacing w:before="120" w:after="0"/>
                        <w:rPr>
                          <w:rFonts w:ascii="arial" w:hAnsi="arial"/>
                          <w:sz w:val="20"/>
                        </w:rPr>
                      </w:pPr>
                      <w:r>
                        <w:rPr>
                          <w:rFonts w:ascii="arial" w:hAnsi="arial"/>
                          <w:b/>
                          <w:sz w:val="20"/>
                        </w:rPr>
                        <w:t>A:</w:t>
                      </w:r>
                      <w:r>
                        <w:rPr>
                          <w:rFonts w:ascii="arial" w:hAnsi="arial"/>
                          <w:sz w:val="20"/>
                        </w:rPr>
                        <w:t xml:space="preserve"> If you are a registered shareholder (i.e., you hold your shares through our transfer agent, Computershare), you do not need to register to attend the Annual Meeting virtually on the Internet. Please follow the instructions on the notice or proxy card that you received. </w:t>
                      </w:r>
                    </w:p>
                    <w:p>
                      <w:pPr>
                        <w:pStyle w:val="TextBody"/>
                        <w:spacing w:before="120" w:after="0"/>
                        <w:rPr>
                          <w:rFonts w:ascii="arial" w:hAnsi="arial"/>
                          <w:sz w:val="20"/>
                        </w:rPr>
                      </w:pPr>
                      <w:r>
                        <w:rPr>
                          <w:rFonts w:ascii="arial" w:hAnsi="arial"/>
                          <w:sz w:val="20"/>
                        </w:rPr>
                        <w:t xml:space="preserve">If you hold your shares through an intermediary, such as a bank or broker, you must register in advance to attend the Annual Meeting virtually on the Internet. </w:t>
                      </w:r>
                    </w:p>
                    <w:p>
                      <w:pPr>
                        <w:pStyle w:val="TextBody"/>
                        <w:spacing w:before="120" w:after="0"/>
                        <w:rPr>
                          <w:rFonts w:ascii="arial" w:hAnsi="arial"/>
                          <w:sz w:val="20"/>
                        </w:rPr>
                      </w:pPr>
                      <w:r>
                        <w:rPr>
                          <w:rFonts w:ascii="arial" w:hAnsi="arial"/>
                          <w:sz w:val="20"/>
                        </w:rPr>
                        <w:t xml:space="preserve">To register to attend the Annual Meeting online by webcast you must submit proof of your proxy power (legal proxy) reflecting your holdings in the Corporations stock along with your name and email address to Computershare. Requests for registration must be labeled as Legal Proxy and be received no later than 5:00 p.m., Eastern time, on May 10, 2021. </w:t>
                      </w:r>
                    </w:p>
                  </w:txbxContent>
                </v:textbox>
                <w10:wrap type="square" side="right"/>
              </v:rect>
            </w:pict>
          </mc:Fallback>
        </mc:AlternateConten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1"/>
        <w:gridCol w:w="122"/>
        <w:gridCol w:w="9642"/>
      </w:tblGrid>
      <w:tr>
        <w:trPr/>
        <w:tc>
          <w:tcPr>
            <w:tcW w:w="4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441" w:type="dxa"/>
            <w:tcBorders/>
            <w:shd w:fill="auto" w:val="clear"/>
            <w:vAlign w:val="center"/>
          </w:tcPr>
          <w:p>
            <w:pPr>
              <w:pStyle w:val="TableContents"/>
              <w:spacing w:before="0" w:after="283"/>
              <w:rPr/>
            </w:pPr>
            <w:r>
              <w:rPr/>
              <w:t>2    </w:t>
            </w:r>
          </w:p>
        </w:tc>
        <w:tc>
          <w:tcPr>
            <w:tcW w:w="122" w:type="dxa"/>
            <w:tcBorders/>
            <w:shd w:fill="auto" w:val="clear"/>
            <w:vAlign w:val="bottom"/>
          </w:tcPr>
          <w:p>
            <w:pPr>
              <w:pStyle w:val="TableContents"/>
              <w:spacing w:before="0" w:after="283"/>
              <w:rPr/>
            </w:pPr>
            <w:r>
              <w:rPr/>
              <w:t> </w:t>
            </w:r>
          </w:p>
        </w:tc>
        <w:tc>
          <w:tcPr>
            <w:tcW w:w="9642" w:type="dxa"/>
            <w:tcBorders/>
            <w:shd w:fill="auto" w:val="clear"/>
          </w:tcPr>
          <w:p>
            <w:pPr>
              <w:pStyle w:val="TableContents"/>
              <w:spacing w:before="0" w:after="283"/>
              <w:rPr/>
            </w:pPr>
            <w:r>
              <w:rPr/>
              <w:drawing>
                <wp:inline distT="0" distB="0" distL="0" distR="0">
                  <wp:extent cx="24765" cy="3048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PROXY STATEMENT FOR THE 2021 ANNUAL MEETING OF STOCKHOLDERS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3110230" cy="9614535"/>
                <wp:effectExtent l="0" t="0" r="0" b="0"/>
                <wp:wrapSquare wrapText="largest"/>
                <wp:docPr id="18" name="Frame7"/>
                <a:graphic xmlns:a="http://schemas.openxmlformats.org/drawingml/2006/main">
                  <a:graphicData uri="http://schemas.microsoft.com/office/word/2010/wordprocessingShape">
                    <wps:wsp>
                      <wps:cNvSpPr txBox="1"/>
                      <wps:spPr>
                        <a:xfrm>
                          <a:off x="0" y="0"/>
                          <a:ext cx="3110230" cy="9614535"/>
                        </a:xfrm>
                        <a:prstGeom prst="rect"/>
                      </wps:spPr>
                      <wps:txbx>
                        <w:txbxContent>
                          <w:p>
                            <w:pPr>
                              <w:pStyle w:val="TextBody"/>
                              <w:spacing w:before="0" w:after="0"/>
                              <w:rPr>
                                <w:rFonts w:ascii="arial" w:hAnsi="arial"/>
                                <w:sz w:val="20"/>
                              </w:rPr>
                            </w:pPr>
                            <w:r>
                              <w:rPr>
                                <w:rFonts w:ascii="arial" w:hAnsi="arial"/>
                                <w:sz w:val="20"/>
                              </w:rPr>
                              <w:t xml:space="preserve">You will receive a confirmation of your registration by email after we receive your registration materials. Requests for registration should be directed to us at the following: </w:t>
                            </w:r>
                          </w:p>
                          <w:p>
                            <w:pPr>
                              <w:pStyle w:val="TextBody"/>
                              <w:spacing w:before="240" w:after="0"/>
                              <w:rPr>
                                <w:rFonts w:ascii="arial" w:hAnsi="arial"/>
                                <w:sz w:val="20"/>
                              </w:rPr>
                            </w:pPr>
                            <w:r>
                              <w:rPr>
                                <w:rFonts w:ascii="arial" w:hAnsi="arial"/>
                                <w:sz w:val="20"/>
                              </w:rPr>
                              <w:t xml:space="preserve">By email: </w:t>
                            </w:r>
                          </w:p>
                          <w:p>
                            <w:pPr>
                              <w:pStyle w:val="TextBody"/>
                              <w:spacing w:before="120" w:after="0"/>
                              <w:rPr>
                                <w:rFonts w:ascii="arial" w:hAnsi="arial"/>
                                <w:sz w:val="20"/>
                              </w:rPr>
                            </w:pPr>
                            <w:r>
                              <w:rPr>
                                <w:rFonts w:ascii="arial" w:hAnsi="arial"/>
                                <w:sz w:val="20"/>
                              </w:rPr>
                              <w:t xml:space="preserve">Forward the email from your broker, or attach an image of your legal proxy, to legalproxy@computershare.com </w:t>
                            </w:r>
                          </w:p>
                          <w:p>
                            <w:pPr>
                              <w:pStyle w:val="TextBody"/>
                              <w:spacing w:before="240" w:after="0"/>
                              <w:rPr>
                                <w:rFonts w:ascii="arial" w:hAnsi="arial"/>
                                <w:sz w:val="20"/>
                              </w:rPr>
                            </w:pPr>
                            <w:r>
                              <w:rPr>
                                <w:rFonts w:ascii="arial" w:hAnsi="arial"/>
                                <w:sz w:val="20"/>
                              </w:rPr>
                              <w:t xml:space="preserve">By mail: </w:t>
                            </w:r>
                          </w:p>
                          <w:p>
                            <w:pPr>
                              <w:pStyle w:val="TextBody"/>
                              <w:spacing w:before="120" w:after="0"/>
                              <w:rPr>
                                <w:rFonts w:ascii="arial" w:hAnsi="arial"/>
                                <w:sz w:val="20"/>
                              </w:rPr>
                            </w:pPr>
                            <w:r>
                              <w:rPr>
                                <w:rFonts w:ascii="arial" w:hAnsi="arial"/>
                                <w:sz w:val="20"/>
                              </w:rPr>
                              <w:t xml:space="preserve">Computershare </w:t>
                            </w:r>
                          </w:p>
                          <w:p>
                            <w:pPr>
                              <w:pStyle w:val="TextBody"/>
                              <w:spacing w:before="0" w:after="0"/>
                              <w:rPr>
                                <w:rFonts w:ascii="arial" w:hAnsi="arial"/>
                                <w:sz w:val="20"/>
                              </w:rPr>
                            </w:pPr>
                            <w:r>
                              <w:rPr>
                                <w:rFonts w:ascii="arial" w:hAnsi="arial"/>
                                <w:sz w:val="20"/>
                              </w:rPr>
                              <w:t xml:space="preserve">Dine Brands Global, Inc. Legal Proxy </w:t>
                            </w:r>
                          </w:p>
                          <w:p>
                            <w:pPr>
                              <w:pStyle w:val="TextBody"/>
                              <w:spacing w:before="0" w:after="0"/>
                              <w:rPr>
                                <w:rFonts w:ascii="arial" w:hAnsi="arial"/>
                                <w:sz w:val="20"/>
                              </w:rPr>
                            </w:pPr>
                            <w:r>
                              <w:rPr>
                                <w:rFonts w:ascii="arial" w:hAnsi="arial"/>
                                <w:sz w:val="20"/>
                              </w:rPr>
                              <w:t xml:space="preserve">P.O. Box 505008 </w:t>
                            </w:r>
                          </w:p>
                          <w:p>
                            <w:pPr>
                              <w:pStyle w:val="TextBody"/>
                              <w:spacing w:before="240" w:after="0"/>
                              <w:rPr>
                                <w:rFonts w:ascii="arial" w:hAnsi="arial"/>
                                <w:b/>
                                <w:sz w:val="20"/>
                              </w:rPr>
                            </w:pPr>
                            <w:r>
                              <w:rPr>
                                <w:rFonts w:ascii="arial" w:hAnsi="arial"/>
                                <w:b/>
                                <w:sz w:val="20"/>
                              </w:rPr>
                              <w:t xml:space="preserve">Q: What happens if I do not give specific voting instructions? </w:t>
                            </w:r>
                          </w:p>
                          <w:p>
                            <w:pPr>
                              <w:pStyle w:val="TextBody"/>
                              <w:spacing w:before="120" w:after="0"/>
                              <w:rPr>
                                <w:rFonts w:ascii="arial" w:hAnsi="arial"/>
                                <w:sz w:val="20"/>
                              </w:rPr>
                            </w:pPr>
                            <w:r>
                              <w:rPr>
                                <w:rFonts w:ascii="arial" w:hAnsi="arial"/>
                                <w:b/>
                                <w:sz w:val="20"/>
                              </w:rPr>
                              <w:t>A:</w:t>
                            </w:r>
                            <w:r>
                              <w:rPr>
                                <w:rFonts w:ascii="arial" w:hAnsi="arial"/>
                                <w:sz w:val="20"/>
                              </w:rPr>
                              <w:t xml:space="preserve"> If you do not give specific voting instructions, the following will apply: </w:t>
                            </w:r>
                          </w:p>
                          <w:p>
                            <w:pPr>
                              <w:pStyle w:val="TextBody"/>
                              <w:spacing w:before="120" w:after="0"/>
                              <w:rPr>
                                <w:rFonts w:ascii="arial" w:hAnsi="arial"/>
                                <w:sz w:val="20"/>
                              </w:rPr>
                            </w:pPr>
                            <w:r>
                              <w:rPr>
                                <w:rFonts w:ascii="arial" w:hAnsi="arial"/>
                                <w:i/>
                                <w:sz w:val="20"/>
                              </w:rPr>
                              <w:t>Stockholders of Record.</w:t>
                            </w:r>
                            <w:r>
                              <w:rPr>
                                <w:rFonts w:ascii="arial" w:hAnsi="arial"/>
                                <w:sz w:val="20"/>
                              </w:rPr>
                              <w:t xml:space="preserve"> If you are a stockholder of record and properly sign and return a proxy card, but do not give specific voting instructions for each proposal, then the proxy holders will vote your shares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53"/>
                              <w:gridCol w:w="125"/>
                              <w:gridCol w:w="38"/>
                              <w:gridCol w:w="4482"/>
                            </w:tblGrid>
                            <w:tr>
                              <w:trPr/>
                              <w:tc>
                                <w:tcPr>
                                  <w:tcW w:w="253" w:type="dxa"/>
                                  <w:tcBorders/>
                                  <w:shd w:fill="auto" w:val="clear"/>
                                  <w:vAlign w:val="center"/>
                                </w:tcPr>
                                <w:p>
                                  <w:pPr>
                                    <w:pStyle w:val="TableContents"/>
                                    <w:spacing w:before="0" w:after="283"/>
                                    <w:rPr/>
                                  </w:pPr>
                                  <w:r>
                                    <w:rPr/>
                                    <w:t> </w:t>
                                  </w:r>
                                </w:p>
                              </w:tc>
                              <w:tc>
                                <w:tcPr>
                                  <w:tcW w:w="125" w:type="dxa"/>
                                  <w:tcBorders/>
                                  <w:shd w:fill="auto" w:val="clear"/>
                                </w:tcPr>
                                <w:p>
                                  <w:pPr>
                                    <w:pStyle w:val="TableContents"/>
                                    <w:spacing w:before="0" w:after="283"/>
                                    <w:jc w:val="left"/>
                                    <w:rPr/>
                                  </w:pPr>
                                  <w:r>
                                    <w:rPr/>
                                    <w:t></w:t>
                                  </w:r>
                                </w:p>
                              </w:tc>
                              <w:tc>
                                <w:tcPr>
                                  <w:tcW w:w="38" w:type="dxa"/>
                                  <w:tcBorders/>
                                  <w:shd w:fill="auto" w:val="clear"/>
                                </w:tcPr>
                                <w:p>
                                  <w:pPr>
                                    <w:pStyle w:val="TableContents"/>
                                    <w:spacing w:before="0" w:after="283"/>
                                    <w:rPr/>
                                  </w:pPr>
                                  <w:r>
                                    <w:rPr/>
                                    <w:t> </w:t>
                                  </w:r>
                                </w:p>
                              </w:tc>
                              <w:tc>
                                <w:tcPr>
                                  <w:tcW w:w="4482" w:type="dxa"/>
                                  <w:tcBorders/>
                                  <w:shd w:fill="auto" w:val="clear"/>
                                </w:tcPr>
                                <w:p>
                                  <w:pPr>
                                    <w:pStyle w:val="TableContents"/>
                                    <w:spacing w:before="0" w:after="283"/>
                                    <w:jc w:val="left"/>
                                    <w:rPr/>
                                  </w:pPr>
                                  <w:r>
                                    <w:rPr>
                                      <w:b/>
                                    </w:rPr>
                                    <w:t xml:space="preserve">FOR </w:t>
                                  </w:r>
                                  <w:r>
                                    <w:rPr/>
                                    <w:t xml:space="preserve">the election of the ten individuals nominated to serve as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4"/>
                              <w:gridCol w:w="96"/>
                              <w:gridCol w:w="29"/>
                              <w:gridCol w:w="4649"/>
                            </w:tblGrid>
                            <w:tr>
                              <w:trPr/>
                              <w:tc>
                                <w:tcPr>
                                  <w:tcW w:w="124"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649" w:type="dxa"/>
                                  <w:tcBorders/>
                                  <w:shd w:fill="auto" w:val="clear"/>
                                </w:tcPr>
                                <w:p>
                                  <w:pPr>
                                    <w:pStyle w:val="TableContents"/>
                                    <w:spacing w:before="0" w:after="283"/>
                                    <w:jc w:val="left"/>
                                    <w:rPr/>
                                  </w:pPr>
                                  <w:r>
                                    <w:rPr>
                                      <w:b/>
                                    </w:rPr>
                                    <w:t>FOR</w:t>
                                  </w:r>
                                  <w:r>
                                    <w:rPr/>
                                    <w:t xml:space="preserve"> the ratification of the appointment of Ernst &amp; Young LLP as the Corporations independent auditor for the fiscal year ending December 31, 2021;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2"/>
                              <w:gridCol w:w="96"/>
                              <w:gridCol w:w="29"/>
                              <w:gridCol w:w="4601"/>
                            </w:tblGrid>
                            <w:tr>
                              <w:trPr/>
                              <w:tc>
                                <w:tcPr>
                                  <w:tcW w:w="172"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601" w:type="dxa"/>
                                  <w:tcBorders/>
                                  <w:shd w:fill="auto" w:val="clear"/>
                                </w:tcPr>
                                <w:p>
                                  <w:pPr>
                                    <w:pStyle w:val="TableContents"/>
                                    <w:spacing w:before="0" w:after="283"/>
                                    <w:jc w:val="left"/>
                                    <w:rPr/>
                                  </w:pPr>
                                  <w:r>
                                    <w:rPr>
                                      <w:b/>
                                    </w:rPr>
                                    <w:t>FOR</w:t>
                                  </w:r>
                                  <w:r>
                                    <w:rPr/>
                                    <w:t xml:space="preserve"> the approval, on an advisory basis, of the compensation of the Corporations named executive officers. </w:t>
                                  </w:r>
                                </w:p>
                              </w:tc>
                            </w:tr>
                          </w:tbl>
                          <w:p>
                            <w:pPr>
                              <w:pStyle w:val="TextBody"/>
                              <w:spacing w:before="120" w:after="0"/>
                              <w:rPr>
                                <w:rFonts w:ascii="arial" w:hAnsi="arial"/>
                                <w:sz w:val="20"/>
                              </w:rPr>
                            </w:pPr>
                            <w:r>
                              <w:rPr>
                                <w:rFonts w:ascii="arial" w:hAnsi="arial"/>
                                <w:i/>
                                <w:sz w:val="20"/>
                              </w:rPr>
                              <w:t>Beneficial Owners of Shares Held in Street Name.</w:t>
                            </w:r>
                            <w:r>
                              <w:rPr>
                                <w:rFonts w:ascii="arial" w:hAnsi="arial"/>
                                <w:sz w:val="20"/>
                              </w:rPr>
                              <w:t xml:space="preserve"> If you are a beneficial owner of shares held in street name and do not provide the organization that holds your shares with specific voting instructions, under the rules of the New York Stock Exchange (the NYSE), the organization that holds your shares may generally vote on routine matters in its discretion (such as Proposal Tworatification of Ernst &amp; Young LLP as the Corporations independent auditor for the fiscal year ended December 31, 2021) but cannot vote on non-routine matters (such as Proposal Onethe election of the Corporations directors and Proposal Threethe approval, on an advisory basis, of the compensation of the Corporations named executive officers). If the organization that holds your shares does not receive instructions from you on how to vote your shares on a non-routine matter, the organization that holds your shares will inform the tabulator of votes that it does not have the authority to vote on this matter with respect to your shares. This is generally referred to as a broker non-vote and will have no impact on the voting results of such proposal.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57.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sz w:val="20"/>
                        </w:rPr>
                      </w:pPr>
                      <w:r>
                        <w:rPr>
                          <w:rFonts w:ascii="arial" w:hAnsi="arial"/>
                          <w:sz w:val="20"/>
                        </w:rPr>
                        <w:t xml:space="preserve">You will receive a confirmation of your registration by email after we receive your registration materials. Requests for registration should be directed to us at the following: </w:t>
                      </w:r>
                    </w:p>
                    <w:p>
                      <w:pPr>
                        <w:pStyle w:val="TextBody"/>
                        <w:spacing w:before="240" w:after="0"/>
                        <w:rPr>
                          <w:rFonts w:ascii="arial" w:hAnsi="arial"/>
                          <w:sz w:val="20"/>
                        </w:rPr>
                      </w:pPr>
                      <w:r>
                        <w:rPr>
                          <w:rFonts w:ascii="arial" w:hAnsi="arial"/>
                          <w:sz w:val="20"/>
                        </w:rPr>
                        <w:t xml:space="preserve">By email: </w:t>
                      </w:r>
                    </w:p>
                    <w:p>
                      <w:pPr>
                        <w:pStyle w:val="TextBody"/>
                        <w:spacing w:before="120" w:after="0"/>
                        <w:rPr>
                          <w:rFonts w:ascii="arial" w:hAnsi="arial"/>
                          <w:sz w:val="20"/>
                        </w:rPr>
                      </w:pPr>
                      <w:r>
                        <w:rPr>
                          <w:rFonts w:ascii="arial" w:hAnsi="arial"/>
                          <w:sz w:val="20"/>
                        </w:rPr>
                        <w:t xml:space="preserve">Forward the email from your broker, or attach an image of your legal proxy, to legalproxy@computershare.com </w:t>
                      </w:r>
                    </w:p>
                    <w:p>
                      <w:pPr>
                        <w:pStyle w:val="TextBody"/>
                        <w:spacing w:before="240" w:after="0"/>
                        <w:rPr>
                          <w:rFonts w:ascii="arial" w:hAnsi="arial"/>
                          <w:sz w:val="20"/>
                        </w:rPr>
                      </w:pPr>
                      <w:r>
                        <w:rPr>
                          <w:rFonts w:ascii="arial" w:hAnsi="arial"/>
                          <w:sz w:val="20"/>
                        </w:rPr>
                        <w:t xml:space="preserve">By mail: </w:t>
                      </w:r>
                    </w:p>
                    <w:p>
                      <w:pPr>
                        <w:pStyle w:val="TextBody"/>
                        <w:spacing w:before="120" w:after="0"/>
                        <w:rPr>
                          <w:rFonts w:ascii="arial" w:hAnsi="arial"/>
                          <w:sz w:val="20"/>
                        </w:rPr>
                      </w:pPr>
                      <w:r>
                        <w:rPr>
                          <w:rFonts w:ascii="arial" w:hAnsi="arial"/>
                          <w:sz w:val="20"/>
                        </w:rPr>
                        <w:t xml:space="preserve">Computershare </w:t>
                      </w:r>
                    </w:p>
                    <w:p>
                      <w:pPr>
                        <w:pStyle w:val="TextBody"/>
                        <w:spacing w:before="0" w:after="0"/>
                        <w:rPr>
                          <w:rFonts w:ascii="arial" w:hAnsi="arial"/>
                          <w:sz w:val="20"/>
                        </w:rPr>
                      </w:pPr>
                      <w:r>
                        <w:rPr>
                          <w:rFonts w:ascii="arial" w:hAnsi="arial"/>
                          <w:sz w:val="20"/>
                        </w:rPr>
                        <w:t xml:space="preserve">Dine Brands Global, Inc. Legal Proxy </w:t>
                      </w:r>
                    </w:p>
                    <w:p>
                      <w:pPr>
                        <w:pStyle w:val="TextBody"/>
                        <w:spacing w:before="0" w:after="0"/>
                        <w:rPr>
                          <w:rFonts w:ascii="arial" w:hAnsi="arial"/>
                          <w:sz w:val="20"/>
                        </w:rPr>
                      </w:pPr>
                      <w:r>
                        <w:rPr>
                          <w:rFonts w:ascii="arial" w:hAnsi="arial"/>
                          <w:sz w:val="20"/>
                        </w:rPr>
                        <w:t xml:space="preserve">P.O. Box 505008 </w:t>
                      </w:r>
                    </w:p>
                    <w:p>
                      <w:pPr>
                        <w:pStyle w:val="TextBody"/>
                        <w:spacing w:before="240" w:after="0"/>
                        <w:rPr>
                          <w:rFonts w:ascii="arial" w:hAnsi="arial"/>
                          <w:b/>
                          <w:sz w:val="20"/>
                        </w:rPr>
                      </w:pPr>
                      <w:r>
                        <w:rPr>
                          <w:rFonts w:ascii="arial" w:hAnsi="arial"/>
                          <w:b/>
                          <w:sz w:val="20"/>
                        </w:rPr>
                        <w:t xml:space="preserve">Q: What happens if I do not give specific voting instructions? </w:t>
                      </w:r>
                    </w:p>
                    <w:p>
                      <w:pPr>
                        <w:pStyle w:val="TextBody"/>
                        <w:spacing w:before="120" w:after="0"/>
                        <w:rPr>
                          <w:rFonts w:ascii="arial" w:hAnsi="arial"/>
                          <w:sz w:val="20"/>
                        </w:rPr>
                      </w:pPr>
                      <w:r>
                        <w:rPr>
                          <w:rFonts w:ascii="arial" w:hAnsi="arial"/>
                          <w:b/>
                          <w:sz w:val="20"/>
                        </w:rPr>
                        <w:t>A:</w:t>
                      </w:r>
                      <w:r>
                        <w:rPr>
                          <w:rFonts w:ascii="arial" w:hAnsi="arial"/>
                          <w:sz w:val="20"/>
                        </w:rPr>
                        <w:t xml:space="preserve"> If you do not give specific voting instructions, the following will apply: </w:t>
                      </w:r>
                    </w:p>
                    <w:p>
                      <w:pPr>
                        <w:pStyle w:val="TextBody"/>
                        <w:spacing w:before="120" w:after="0"/>
                        <w:rPr>
                          <w:rFonts w:ascii="arial" w:hAnsi="arial"/>
                          <w:sz w:val="20"/>
                        </w:rPr>
                      </w:pPr>
                      <w:r>
                        <w:rPr>
                          <w:rFonts w:ascii="arial" w:hAnsi="arial"/>
                          <w:i/>
                          <w:sz w:val="20"/>
                        </w:rPr>
                        <w:t>Stockholders of Record.</w:t>
                      </w:r>
                      <w:r>
                        <w:rPr>
                          <w:rFonts w:ascii="arial" w:hAnsi="arial"/>
                          <w:sz w:val="20"/>
                        </w:rPr>
                        <w:t xml:space="preserve"> If you are a stockholder of record and properly sign and return a proxy card, but do not give specific voting instructions for each proposal, then the proxy holders will vote your shares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53"/>
                        <w:gridCol w:w="125"/>
                        <w:gridCol w:w="38"/>
                        <w:gridCol w:w="4482"/>
                      </w:tblGrid>
                      <w:tr>
                        <w:trPr/>
                        <w:tc>
                          <w:tcPr>
                            <w:tcW w:w="253" w:type="dxa"/>
                            <w:tcBorders/>
                            <w:shd w:fill="auto" w:val="clear"/>
                            <w:vAlign w:val="center"/>
                          </w:tcPr>
                          <w:p>
                            <w:pPr>
                              <w:pStyle w:val="TableContents"/>
                              <w:spacing w:before="0" w:after="283"/>
                              <w:rPr/>
                            </w:pPr>
                            <w:r>
                              <w:rPr/>
                              <w:t> </w:t>
                            </w:r>
                          </w:p>
                        </w:tc>
                        <w:tc>
                          <w:tcPr>
                            <w:tcW w:w="125" w:type="dxa"/>
                            <w:tcBorders/>
                            <w:shd w:fill="auto" w:val="clear"/>
                          </w:tcPr>
                          <w:p>
                            <w:pPr>
                              <w:pStyle w:val="TableContents"/>
                              <w:spacing w:before="0" w:after="283"/>
                              <w:jc w:val="left"/>
                              <w:rPr/>
                            </w:pPr>
                            <w:r>
                              <w:rPr/>
                              <w:t></w:t>
                            </w:r>
                          </w:p>
                        </w:tc>
                        <w:tc>
                          <w:tcPr>
                            <w:tcW w:w="38" w:type="dxa"/>
                            <w:tcBorders/>
                            <w:shd w:fill="auto" w:val="clear"/>
                          </w:tcPr>
                          <w:p>
                            <w:pPr>
                              <w:pStyle w:val="TableContents"/>
                              <w:spacing w:before="0" w:after="283"/>
                              <w:rPr/>
                            </w:pPr>
                            <w:r>
                              <w:rPr/>
                              <w:t> </w:t>
                            </w:r>
                          </w:p>
                        </w:tc>
                        <w:tc>
                          <w:tcPr>
                            <w:tcW w:w="4482" w:type="dxa"/>
                            <w:tcBorders/>
                            <w:shd w:fill="auto" w:val="clear"/>
                          </w:tcPr>
                          <w:p>
                            <w:pPr>
                              <w:pStyle w:val="TableContents"/>
                              <w:spacing w:before="0" w:after="283"/>
                              <w:jc w:val="left"/>
                              <w:rPr/>
                            </w:pPr>
                            <w:r>
                              <w:rPr>
                                <w:b/>
                              </w:rPr>
                              <w:t xml:space="preserve">FOR </w:t>
                            </w:r>
                            <w:r>
                              <w:rPr/>
                              <w:t xml:space="preserve">the election of the ten individuals nominated to serve as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4"/>
                        <w:gridCol w:w="96"/>
                        <w:gridCol w:w="29"/>
                        <w:gridCol w:w="4649"/>
                      </w:tblGrid>
                      <w:tr>
                        <w:trPr/>
                        <w:tc>
                          <w:tcPr>
                            <w:tcW w:w="124"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649" w:type="dxa"/>
                            <w:tcBorders/>
                            <w:shd w:fill="auto" w:val="clear"/>
                          </w:tcPr>
                          <w:p>
                            <w:pPr>
                              <w:pStyle w:val="TableContents"/>
                              <w:spacing w:before="0" w:after="283"/>
                              <w:jc w:val="left"/>
                              <w:rPr/>
                            </w:pPr>
                            <w:r>
                              <w:rPr>
                                <w:b/>
                              </w:rPr>
                              <w:t>FOR</w:t>
                            </w:r>
                            <w:r>
                              <w:rPr/>
                              <w:t xml:space="preserve"> the ratification of the appointment of Ernst &amp; Young LLP as the Corporations independent auditor for the fiscal year ending December 31, 2021;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2"/>
                        <w:gridCol w:w="96"/>
                        <w:gridCol w:w="29"/>
                        <w:gridCol w:w="4601"/>
                      </w:tblGrid>
                      <w:tr>
                        <w:trPr/>
                        <w:tc>
                          <w:tcPr>
                            <w:tcW w:w="172" w:type="dxa"/>
                            <w:tcBorders/>
                            <w:shd w:fill="auto" w:val="clear"/>
                            <w:vAlign w:val="center"/>
                          </w:tcPr>
                          <w:p>
                            <w:pPr>
                              <w:pStyle w:val="TableContents"/>
                              <w:spacing w:before="0" w:after="283"/>
                              <w:rPr/>
                            </w:pPr>
                            <w:r>
                              <w:rPr/>
                              <w:t> </w:t>
                            </w:r>
                          </w:p>
                        </w:tc>
                        <w:tc>
                          <w:tcPr>
                            <w:tcW w:w="96" w:type="dxa"/>
                            <w:tcBorders/>
                            <w:shd w:fill="auto" w:val="clear"/>
                          </w:tcPr>
                          <w:p>
                            <w:pPr>
                              <w:pStyle w:val="TableContents"/>
                              <w:spacing w:before="0" w:after="283"/>
                              <w:jc w:val="left"/>
                              <w:rPr/>
                            </w:pPr>
                            <w:r>
                              <w:rPr/>
                              <w:t></w:t>
                            </w:r>
                          </w:p>
                        </w:tc>
                        <w:tc>
                          <w:tcPr>
                            <w:tcW w:w="29" w:type="dxa"/>
                            <w:tcBorders/>
                            <w:shd w:fill="auto" w:val="clear"/>
                          </w:tcPr>
                          <w:p>
                            <w:pPr>
                              <w:pStyle w:val="TableContents"/>
                              <w:spacing w:before="0" w:after="283"/>
                              <w:rPr/>
                            </w:pPr>
                            <w:r>
                              <w:rPr/>
                              <w:t> </w:t>
                            </w:r>
                          </w:p>
                        </w:tc>
                        <w:tc>
                          <w:tcPr>
                            <w:tcW w:w="4601" w:type="dxa"/>
                            <w:tcBorders/>
                            <w:shd w:fill="auto" w:val="clear"/>
                          </w:tcPr>
                          <w:p>
                            <w:pPr>
                              <w:pStyle w:val="TableContents"/>
                              <w:spacing w:before="0" w:after="283"/>
                              <w:jc w:val="left"/>
                              <w:rPr/>
                            </w:pPr>
                            <w:r>
                              <w:rPr>
                                <w:b/>
                              </w:rPr>
                              <w:t>FOR</w:t>
                            </w:r>
                            <w:r>
                              <w:rPr/>
                              <w:t xml:space="preserve"> the approval, on an advisory basis, of the compensation of the Corporations named executive officers. </w:t>
                            </w:r>
                          </w:p>
                        </w:tc>
                      </w:tr>
                    </w:tbl>
                    <w:p>
                      <w:pPr>
                        <w:pStyle w:val="TextBody"/>
                        <w:spacing w:before="120" w:after="0"/>
                        <w:rPr>
                          <w:rFonts w:ascii="arial" w:hAnsi="arial"/>
                          <w:sz w:val="20"/>
                        </w:rPr>
                      </w:pPr>
                      <w:r>
                        <w:rPr>
                          <w:rFonts w:ascii="arial" w:hAnsi="arial"/>
                          <w:i/>
                          <w:sz w:val="20"/>
                        </w:rPr>
                        <w:t>Beneficial Owners of Shares Held in Street Name.</w:t>
                      </w:r>
                      <w:r>
                        <w:rPr>
                          <w:rFonts w:ascii="arial" w:hAnsi="arial"/>
                          <w:sz w:val="20"/>
                        </w:rPr>
                        <w:t xml:space="preserve"> If you are a beneficial owner of shares held in street name and do not provide the organization that holds your shares with specific voting instructions, under the rules of the New York Stock Exchange (the NYSE), the organization that holds your shares may generally vote on routine matters in its discretion (such as Proposal Tworatification of Ernst &amp; Young LLP as the Corporations independent auditor for the fiscal year ended December 31, 2021) but cannot vote on non-routine matters (such as Proposal Onethe election of the Corporations directors and Proposal Threethe approval, on an advisory basis, of the compensation of the Corporations named executive officers). If the organization that holds your shares does not receive instructions from you on how to vote your shares on a non-routine matter, the organization that holds your shares will inform the tabulator of votes that it does not have the authority to vote on this matter with respect to your shares. This is generally referred to as a broker non-vote and will have no impact on the voting results of such proposal. </w:t>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75000" cy="8426450"/>
                <wp:effectExtent l="0" t="0" r="0" b="0"/>
                <wp:wrapSquare wrapText="largest"/>
                <wp:docPr id="19" name="Frame8"/>
                <a:graphic xmlns:a="http://schemas.openxmlformats.org/drawingml/2006/main">
                  <a:graphicData uri="http://schemas.microsoft.com/office/word/2010/wordprocessingShape">
                    <wps:wsp>
                      <wps:cNvSpPr txBox="1"/>
                      <wps:spPr>
                        <a:xfrm>
                          <a:off x="0" y="0"/>
                          <a:ext cx="3175000" cy="8426450"/>
                        </a:xfrm>
                        <a:prstGeom prst="rect"/>
                      </wps:spPr>
                      <wps:txbx>
                        <w:txbxContent>
                          <w:p>
                            <w:pPr>
                              <w:pStyle w:val="TextBody"/>
                              <w:spacing w:before="0" w:after="0"/>
                              <w:rPr>
                                <w:rFonts w:ascii="arial" w:hAnsi="arial"/>
                                <w:sz w:val="20"/>
                              </w:rPr>
                            </w:pPr>
                            <w:r>
                              <w:rPr>
                                <w:rFonts w:ascii="arial" w:hAnsi="arial"/>
                                <w:sz w:val="20"/>
                              </w:rPr>
                              <w:t xml:space="preserve">Accordingly, stockholders are urged to give their broker or bank instructions on voting their shares on all matters. </w:t>
                            </w:r>
                          </w:p>
                          <w:p>
                            <w:pPr>
                              <w:pStyle w:val="TextBody"/>
                              <w:spacing w:before="240" w:after="0"/>
                              <w:rPr>
                                <w:rFonts w:ascii="arial" w:hAnsi="arial"/>
                                <w:b/>
                                <w:sz w:val="20"/>
                              </w:rPr>
                            </w:pPr>
                            <w:r>
                              <w:rPr>
                                <w:rFonts w:ascii="arial" w:hAnsi="arial"/>
                                <w:b/>
                                <w:sz w:val="20"/>
                              </w:rPr>
                              <w:t xml:space="preserve">Q: How will my stock be voted on other business brought up at the Annual Meeting? </w:t>
                            </w:r>
                          </w:p>
                          <w:p>
                            <w:pPr>
                              <w:pStyle w:val="TextBody"/>
                              <w:spacing w:before="120" w:after="0"/>
                              <w:rPr>
                                <w:rFonts w:ascii="arial" w:hAnsi="arial"/>
                                <w:sz w:val="20"/>
                              </w:rPr>
                            </w:pPr>
                            <w:r>
                              <w:rPr>
                                <w:rFonts w:ascii="arial" w:hAnsi="arial"/>
                                <w:b/>
                                <w:sz w:val="20"/>
                              </w:rPr>
                              <w:t>A:</w:t>
                            </w:r>
                            <w:r>
                              <w:rPr>
                                <w:rFonts w:ascii="arial" w:hAnsi="arial"/>
                                <w:sz w:val="20"/>
                              </w:rPr>
                              <w:t xml:space="preserve"> By signing and submitting your proxy card or voting your shares on the Internet or by telephone, you authorize the persons named on the proxy card to use their discretion in voting on any other matter brought before the Annual Meeting. As of the date of this proxy statement, the Corporation does not know of any other business to be considered at the Annual Meeting. </w:t>
                            </w:r>
                          </w:p>
                          <w:p>
                            <w:pPr>
                              <w:pStyle w:val="TextBody"/>
                              <w:spacing w:before="240" w:after="0"/>
                              <w:rPr>
                                <w:rFonts w:ascii="arial" w:hAnsi="arial"/>
                                <w:b/>
                                <w:sz w:val="20"/>
                              </w:rPr>
                            </w:pPr>
                            <w:r>
                              <w:rPr>
                                <w:rFonts w:ascii="arial" w:hAnsi="arial"/>
                                <w:b/>
                                <w:sz w:val="20"/>
                              </w:rPr>
                              <w:t xml:space="preserve">Q: Can I change my vote or revoke my proxy? </w:t>
                            </w:r>
                          </w:p>
                          <w:p>
                            <w:pPr>
                              <w:pStyle w:val="TextBody"/>
                              <w:spacing w:before="120" w:after="0"/>
                              <w:rPr>
                                <w:rFonts w:ascii="arial" w:hAnsi="arial"/>
                                <w:sz w:val="20"/>
                              </w:rPr>
                            </w:pPr>
                            <w:r>
                              <w:rPr>
                                <w:rFonts w:ascii="arial" w:hAnsi="arial"/>
                                <w:b/>
                                <w:sz w:val="20"/>
                              </w:rPr>
                              <w:t>A:</w:t>
                            </w:r>
                            <w:r>
                              <w:rPr>
                                <w:rFonts w:ascii="arial" w:hAnsi="arial"/>
                                <w:sz w:val="20"/>
                              </w:rPr>
                              <w:t xml:space="preserve"> Yes. If you are a stockholder of record, you can change your vote at any time before it is voted at the Annual Meeting by entering a new vote using the Internet or telephone, by submitting a later-dated proxy card or by voting by ballot at the Annual Meeting. You may also revoke your proxy at any time before it is voted at the Annual Meeting by giving written notice of revocation to the Secretary of the Corporation or you can revoke your proxy by voting during the Annual Meeting. If you hold shares in street name, you may submit new voting instructions by contacting your broker or other nominee. You may also change your vote or revoke your proxy at the Annual Meeting if you register to attend the Annual Meeting and obtain a legal proxy from your broker or other nominee authorizing you to vote the shares. </w:t>
                            </w:r>
                          </w:p>
                          <w:p>
                            <w:pPr>
                              <w:pStyle w:val="TextBody"/>
                              <w:spacing w:before="240" w:after="0"/>
                              <w:rPr>
                                <w:rFonts w:ascii="arial" w:hAnsi="arial"/>
                                <w:b/>
                                <w:sz w:val="20"/>
                              </w:rPr>
                            </w:pPr>
                            <w:r>
                              <w:rPr>
                                <w:rFonts w:ascii="arial" w:hAnsi="arial"/>
                                <w:b/>
                                <w:sz w:val="20"/>
                              </w:rPr>
                              <w:t xml:space="preserve">Q: What vote is necessary to pass the items of business at the Annual Meeting? </w:t>
                            </w:r>
                          </w:p>
                          <w:p>
                            <w:pPr>
                              <w:pStyle w:val="TextBody"/>
                              <w:spacing w:before="120" w:after="0"/>
                              <w:rPr>
                                <w:rFonts w:ascii="arial" w:hAnsi="arial"/>
                                <w:sz w:val="20"/>
                              </w:rPr>
                            </w:pPr>
                            <w:r>
                              <w:rPr>
                                <w:rFonts w:ascii="arial" w:hAnsi="arial"/>
                                <w:b/>
                                <w:sz w:val="20"/>
                              </w:rPr>
                              <w:t>A:</w:t>
                            </w:r>
                            <w:r>
                              <w:rPr>
                                <w:rFonts w:ascii="arial" w:hAnsi="arial"/>
                                <w:sz w:val="20"/>
                              </w:rPr>
                              <w:t xml:space="preserve"> Assuming a quorum is present at the Annual Meeting, the ten director nominees identified in this proxy statement will be elected if they receive a majority of the votes cast. This means that the individuals nominated for election to the Board of Directors (Proposal One) will be elected if the votes cast FOR such nominees election exceed the number of votes cast AGAINST such nominees election. Abstentions and broker non-votes have no effect on the proposal for the election of directors. Any nominee for director who receives a greater number of votes cast AGAINST his or her election than votes cast FOR such election is required to tender his or her resignation to the Nominating and Corporate Governance Committee of the Board of Directors within 15 days of the certification of the stockholder vote at the Annual Meeting. The Nominating and Corporate Governance Committee will make a recommendation to the Board of Directors on whether to accept or reject the tendered resignation, and the Board of Directors will act on such recommendation within 90 days of the certification of the stockholder vote at the Annual Meeting.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6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20"/>
                        </w:rPr>
                      </w:pPr>
                      <w:r>
                        <w:rPr>
                          <w:rFonts w:ascii="arial" w:hAnsi="arial"/>
                          <w:sz w:val="20"/>
                        </w:rPr>
                        <w:t xml:space="preserve">Accordingly, stockholders are urged to give their broker or bank instructions on voting their shares on all matters. </w:t>
                      </w:r>
                    </w:p>
                    <w:p>
                      <w:pPr>
                        <w:pStyle w:val="TextBody"/>
                        <w:spacing w:before="240" w:after="0"/>
                        <w:rPr>
                          <w:rFonts w:ascii="arial" w:hAnsi="arial"/>
                          <w:b/>
                          <w:sz w:val="20"/>
                        </w:rPr>
                      </w:pPr>
                      <w:r>
                        <w:rPr>
                          <w:rFonts w:ascii="arial" w:hAnsi="arial"/>
                          <w:b/>
                          <w:sz w:val="20"/>
                        </w:rPr>
                        <w:t xml:space="preserve">Q: How will my stock be voted on other business brought up at the Annual Meeting? </w:t>
                      </w:r>
                    </w:p>
                    <w:p>
                      <w:pPr>
                        <w:pStyle w:val="TextBody"/>
                        <w:spacing w:before="120" w:after="0"/>
                        <w:rPr>
                          <w:rFonts w:ascii="arial" w:hAnsi="arial"/>
                          <w:sz w:val="20"/>
                        </w:rPr>
                      </w:pPr>
                      <w:r>
                        <w:rPr>
                          <w:rFonts w:ascii="arial" w:hAnsi="arial"/>
                          <w:b/>
                          <w:sz w:val="20"/>
                        </w:rPr>
                        <w:t>A:</w:t>
                      </w:r>
                      <w:r>
                        <w:rPr>
                          <w:rFonts w:ascii="arial" w:hAnsi="arial"/>
                          <w:sz w:val="20"/>
                        </w:rPr>
                        <w:t xml:space="preserve"> By signing and submitting your proxy card or voting your shares on the Internet or by telephone, you authorize the persons named on the proxy card to use their discretion in voting on any other matter brought before the Annual Meeting. As of the date of this proxy statement, the Corporation does not know of any other business to be considered at the Annual Meeting. </w:t>
                      </w:r>
                    </w:p>
                    <w:p>
                      <w:pPr>
                        <w:pStyle w:val="TextBody"/>
                        <w:spacing w:before="240" w:after="0"/>
                        <w:rPr>
                          <w:rFonts w:ascii="arial" w:hAnsi="arial"/>
                          <w:b/>
                          <w:sz w:val="20"/>
                        </w:rPr>
                      </w:pPr>
                      <w:r>
                        <w:rPr>
                          <w:rFonts w:ascii="arial" w:hAnsi="arial"/>
                          <w:b/>
                          <w:sz w:val="20"/>
                        </w:rPr>
                        <w:t xml:space="preserve">Q: Can I change my vote or revoke my proxy? </w:t>
                      </w:r>
                    </w:p>
                    <w:p>
                      <w:pPr>
                        <w:pStyle w:val="TextBody"/>
                        <w:spacing w:before="120" w:after="0"/>
                        <w:rPr>
                          <w:rFonts w:ascii="arial" w:hAnsi="arial"/>
                          <w:sz w:val="20"/>
                        </w:rPr>
                      </w:pPr>
                      <w:r>
                        <w:rPr>
                          <w:rFonts w:ascii="arial" w:hAnsi="arial"/>
                          <w:b/>
                          <w:sz w:val="20"/>
                        </w:rPr>
                        <w:t>A:</w:t>
                      </w:r>
                      <w:r>
                        <w:rPr>
                          <w:rFonts w:ascii="arial" w:hAnsi="arial"/>
                          <w:sz w:val="20"/>
                        </w:rPr>
                        <w:t xml:space="preserve"> Yes. If you are a stockholder of record, you can change your vote at any time before it is voted at the Annual Meeting by entering a new vote using the Internet or telephone, by submitting a later-dated proxy card or by voting by ballot at the Annual Meeting. You may also revoke your proxy at any time before it is voted at the Annual Meeting by giving written notice of revocation to the Secretary of the Corporation or you can revoke your proxy by voting during the Annual Meeting. If you hold shares in street name, you may submit new voting instructions by contacting your broker or other nominee. You may also change your vote or revoke your proxy at the Annual Meeting if you register to attend the Annual Meeting and obtain a legal proxy from your broker or other nominee authorizing you to vote the shares. </w:t>
                      </w:r>
                    </w:p>
                    <w:p>
                      <w:pPr>
                        <w:pStyle w:val="TextBody"/>
                        <w:spacing w:before="240" w:after="0"/>
                        <w:rPr>
                          <w:rFonts w:ascii="arial" w:hAnsi="arial"/>
                          <w:b/>
                          <w:sz w:val="20"/>
                        </w:rPr>
                      </w:pPr>
                      <w:r>
                        <w:rPr>
                          <w:rFonts w:ascii="arial" w:hAnsi="arial"/>
                          <w:b/>
                          <w:sz w:val="20"/>
                        </w:rPr>
                        <w:t xml:space="preserve">Q: What vote is necessary to pass the items of business at the Annual Meeting? </w:t>
                      </w:r>
                    </w:p>
                    <w:p>
                      <w:pPr>
                        <w:pStyle w:val="TextBody"/>
                        <w:spacing w:before="120" w:after="0"/>
                        <w:rPr>
                          <w:rFonts w:ascii="arial" w:hAnsi="arial"/>
                          <w:sz w:val="20"/>
                        </w:rPr>
                      </w:pPr>
                      <w:r>
                        <w:rPr>
                          <w:rFonts w:ascii="arial" w:hAnsi="arial"/>
                          <w:b/>
                          <w:sz w:val="20"/>
                        </w:rPr>
                        <w:t>A:</w:t>
                      </w:r>
                      <w:r>
                        <w:rPr>
                          <w:rFonts w:ascii="arial" w:hAnsi="arial"/>
                          <w:sz w:val="20"/>
                        </w:rPr>
                        <w:t xml:space="preserve"> Assuming a quorum is present at the Annual Meeting, the ten director nominees identified in this proxy statement will be elected if they receive a majority of the votes cast. This means that the individuals nominated for election to the Board of Directors (Proposal One) will be elected if the votes cast FOR such nominees election exceed the number of votes cast AGAINST such nominees election. Abstentions and broker non-votes have no effect on the proposal for the election of directors. Any nominee for director who receives a greater number of votes cast AGAINST his or her election than votes cast FOR such election is required to tender his or her resignation to the Nominating and Corporate Governance Committee of the Board of Directors within 15 days of the certification of the stockholder vote at the Annual Meeting. The Nominating and Corporate Governance Committee will make a recommendation to the Board of Directors on whether to accept or reject the tendered resignation, and the Board of Directors will act on such recommendation within 90 days of the certification of the stockholder vote at the Annual Meeting. </w:t>
                      </w:r>
                    </w:p>
                  </w:txbxContent>
                </v:textbox>
                <w10:wrap type="square" side="right"/>
              </v:rect>
            </w:pict>
          </mc:Fallback>
        </mc:AlternateConten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39"/>
        <w:gridCol w:w="122"/>
        <w:gridCol w:w="444"/>
      </w:tblGrid>
      <w:tr>
        <w:trPr/>
        <w:tc>
          <w:tcPr>
            <w:tcW w:w="96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9639" w:type="dxa"/>
            <w:tcBorders/>
            <w:shd w:fill="auto" w:val="clear"/>
          </w:tcPr>
          <w:p>
            <w:pPr>
              <w:pStyle w:val="TableContents"/>
              <w:spacing w:before="0" w:after="283"/>
              <w:jc w:val="right"/>
              <w:rPr/>
            </w:pPr>
            <w:r>
              <w:rPr/>
              <w:drawing>
                <wp:inline distT="0" distB="0" distL="0" distR="0">
                  <wp:extent cx="24765" cy="3048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24765" cy="30480"/>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444" w:type="dxa"/>
            <w:tcBorders/>
            <w:shd w:fill="auto" w:val="clear"/>
            <w:vAlign w:val="center"/>
          </w:tcPr>
          <w:p>
            <w:pPr>
              <w:pStyle w:val="TableContents"/>
              <w:spacing w:before="0" w:after="283"/>
              <w:jc w:val="right"/>
              <w:rPr/>
            </w:pPr>
            <w:r>
              <w:rPr/>
              <w:t>    </w:t>
            </w:r>
            <w:r>
              <w:rPr/>
              <w:t>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PROXY STATEMENT FOR THE 2021 ANNUAL MEETING OF STOCKHOLDERS</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3110230" cy="5048250"/>
                <wp:effectExtent l="0" t="0" r="0" b="0"/>
                <wp:wrapSquare wrapText="largest"/>
                <wp:docPr id="21" name="Frame9"/>
                <a:graphic xmlns:a="http://schemas.openxmlformats.org/drawingml/2006/main">
                  <a:graphicData uri="http://schemas.microsoft.com/office/word/2010/wordprocessingShape">
                    <wps:wsp>
                      <wps:cNvSpPr txBox="1"/>
                      <wps:spPr>
                        <a:xfrm>
                          <a:off x="0" y="0"/>
                          <a:ext cx="3110230" cy="5048250"/>
                        </a:xfrm>
                        <a:prstGeom prst="rect"/>
                      </wps:spPr>
                      <wps:txbx>
                        <w:txbxContent>
                          <w:p>
                            <w:pPr>
                              <w:pStyle w:val="TextBody"/>
                              <w:spacing w:before="0" w:after="0"/>
                              <w:rPr>
                                <w:rFonts w:ascii="arial" w:hAnsi="arial"/>
                                <w:sz w:val="20"/>
                              </w:rPr>
                            </w:pPr>
                            <w:r>
                              <w:rPr>
                                <w:rFonts w:ascii="arial" w:hAnsi="arial"/>
                                <w:sz w:val="20"/>
                              </w:rPr>
                              <w:t xml:space="preserve">The affirmative vote of a majority of the voting power of the stock present or represented by proxy and entitled to vote on the proposal is required to approve Proposal Two, the ratification of Ernst &amp; Young LLP as the Corporations independent auditor for the fiscal year ending December 31, 2021 and Proposal Three, the approval, on an advisory basis, of the compensation of the Corporations named executive officers. If you abstain from voting on these matters, the abstention will have the same effect as a vote against that proposal. Broker non-votes, if any, will have no effect on the outcome of the proposals. </w:t>
                            </w:r>
                          </w:p>
                          <w:p>
                            <w:pPr>
                              <w:pStyle w:val="TextBody"/>
                              <w:spacing w:before="240" w:after="0"/>
                              <w:rPr>
                                <w:rFonts w:ascii="arial" w:hAnsi="arial"/>
                                <w:b/>
                                <w:sz w:val="20"/>
                              </w:rPr>
                            </w:pPr>
                            <w:r>
                              <w:rPr>
                                <w:rFonts w:ascii="arial" w:hAnsi="arial"/>
                                <w:b/>
                                <w:sz w:val="20"/>
                              </w:rPr>
                              <w:t xml:space="preserve">Q: Why did I receive a one-page notice in the mail regarding the Internet availability of proxy materials instead of a full set of proxy materials? </w:t>
                            </w:r>
                          </w:p>
                          <w:p>
                            <w:pPr>
                              <w:pStyle w:val="TextBody"/>
                              <w:spacing w:before="120" w:after="0"/>
                              <w:rPr>
                                <w:rFonts w:ascii="arial" w:hAnsi="arial"/>
                                <w:sz w:val="20"/>
                              </w:rPr>
                            </w:pPr>
                            <w:r>
                              <w:rPr>
                                <w:rFonts w:ascii="arial" w:hAnsi="arial"/>
                                <w:b/>
                                <w:sz w:val="20"/>
                              </w:rPr>
                              <w:t>A:</w:t>
                            </w:r>
                            <w:r>
                              <w:rPr>
                                <w:rFonts w:ascii="arial" w:hAnsi="arial"/>
                                <w:sz w:val="20"/>
                              </w:rPr>
                              <w:t xml:space="preserve"> Pursuant to rules adopted by the SEC, the Corporation has elected to provide access to its proxy materials via the Internet. Accordingly, the Corporation mailed a Notice of Internet Availability of Proxy Materials (the Notice) to its stockholders on March 30, 2021. The Notice contains instructions on how to access the Corporations proxy materials, including this proxy statement and the Corporations 2020 annual report to stockholders. The Notice also contains instructions on how to vote. All stockholders will have the ability to access the proxy materials on the website referred to in the Notice or request to receive a printed set of the proxy materials by mail or electronically by email. The Corporation encourages stockholders to take advantage of the availability of the proxy materials on the Internet to help reduce the environmental impact of its annual meetings. This process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9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sz w:val="20"/>
                        </w:rPr>
                      </w:pPr>
                      <w:r>
                        <w:rPr>
                          <w:rFonts w:ascii="arial" w:hAnsi="arial"/>
                          <w:sz w:val="20"/>
                        </w:rPr>
                        <w:t xml:space="preserve">The affirmative vote of a majority of the voting power of the stock present or represented by proxy and entitled to vote on the proposal is required to approve Proposal Two, the ratification of Ernst &amp; Young LLP as the Corporations independent auditor for the fiscal year ending December 31, 2021 and Proposal Three, the approval, on an advisory basis, of the compensation of the Corporations named executive officers. If you abstain from voting on these matters, the abstention will have the same effect as a vote against that proposal. Broker non-votes, if any, will have no effect on the outcome of the proposals. </w:t>
                      </w:r>
                    </w:p>
                    <w:p>
                      <w:pPr>
                        <w:pStyle w:val="TextBody"/>
                        <w:spacing w:before="240" w:after="0"/>
                        <w:rPr>
                          <w:rFonts w:ascii="arial" w:hAnsi="arial"/>
                          <w:b/>
                          <w:sz w:val="20"/>
                        </w:rPr>
                      </w:pPr>
                      <w:r>
                        <w:rPr>
                          <w:rFonts w:ascii="arial" w:hAnsi="arial"/>
                          <w:b/>
                          <w:sz w:val="20"/>
                        </w:rPr>
                        <w:t xml:space="preserve">Q: Why did I receive a one-page notice in the mail regarding the Internet availability of proxy materials instead of a full set of proxy materials? </w:t>
                      </w:r>
                    </w:p>
                    <w:p>
                      <w:pPr>
                        <w:pStyle w:val="TextBody"/>
                        <w:spacing w:before="120" w:after="0"/>
                        <w:rPr>
                          <w:rFonts w:ascii="arial" w:hAnsi="arial"/>
                          <w:sz w:val="20"/>
                        </w:rPr>
                      </w:pPr>
                      <w:r>
                        <w:rPr>
                          <w:rFonts w:ascii="arial" w:hAnsi="arial"/>
                          <w:b/>
                          <w:sz w:val="20"/>
                        </w:rPr>
                        <w:t>A:</w:t>
                      </w:r>
                      <w:r>
                        <w:rPr>
                          <w:rFonts w:ascii="arial" w:hAnsi="arial"/>
                          <w:sz w:val="20"/>
                        </w:rPr>
                        <w:t xml:space="preserve"> Pursuant to rules adopted by the SEC, the Corporation has elected to provide access to its proxy materials via the Internet. Accordingly, the Corporation mailed a Notice of Internet Availability of Proxy Materials (the Notice) to its stockholders on March 30, 2021. The Notice contains instructions on how to access the Corporations proxy materials, including this proxy statement and the Corporations 2020 annual report to stockholders. The Notice also contains instructions on how to vote. All stockholders will have the ability to access the proxy materials on the website referred to in the Notice or request to receive a printed set of the proxy materials by mail or electronically by email. The Corporation encourages stockholders to take advantage of the availability of the proxy materials on the Internet to help reduce the environmental impact of its annual meetings. This process </w:t>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75000" cy="4692650"/>
                <wp:effectExtent l="0" t="0" r="0" b="0"/>
                <wp:wrapSquare wrapText="largest"/>
                <wp:docPr id="22" name="Frame10"/>
                <a:graphic xmlns:a="http://schemas.openxmlformats.org/drawingml/2006/main">
                  <a:graphicData uri="http://schemas.microsoft.com/office/word/2010/wordprocessingShape">
                    <wps:wsp>
                      <wps:cNvSpPr txBox="1"/>
                      <wps:spPr>
                        <a:xfrm>
                          <a:off x="0" y="0"/>
                          <a:ext cx="3175000" cy="4692650"/>
                        </a:xfrm>
                        <a:prstGeom prst="rect"/>
                      </wps:spPr>
                      <wps:txbx>
                        <w:txbxContent>
                          <w:p>
                            <w:pPr>
                              <w:pStyle w:val="TextBody"/>
                              <w:spacing w:before="0" w:after="0"/>
                              <w:rPr>
                                <w:rFonts w:ascii="arial" w:hAnsi="arial"/>
                                <w:sz w:val="20"/>
                              </w:rPr>
                            </w:pPr>
                            <w:r>
                              <w:rPr>
                                <w:rFonts w:ascii="arial" w:hAnsi="arial"/>
                                <w:sz w:val="20"/>
                              </w:rPr>
                              <w:t xml:space="preserve">is designed to expedite stockholders receipt of proxy materials, lower the cost of the Annual Meeting, and help conserve natural resources. However, if you would prefer to receive printed proxy materials on an ongoing basis, please follow the instructions included in the Notice. If you have previously elected to receive the Corporations proxy materials electronically, you will continue to receive these materials via e-mail unless you elect otherwise. </w:t>
                            </w:r>
                          </w:p>
                          <w:p>
                            <w:pPr>
                              <w:pStyle w:val="TextBody"/>
                              <w:spacing w:before="240" w:after="0"/>
                              <w:rPr>
                                <w:rFonts w:ascii="arial" w:hAnsi="arial"/>
                                <w:b/>
                                <w:sz w:val="20"/>
                              </w:rPr>
                            </w:pPr>
                            <w:r>
                              <w:rPr>
                                <w:rFonts w:ascii="arial" w:hAnsi="arial"/>
                                <w:b/>
                                <w:sz w:val="20"/>
                              </w:rPr>
                              <w:t xml:space="preserve">Q: What are the costs of this proxy solicitation and who will bear them? </w:t>
                            </w:r>
                          </w:p>
                          <w:p>
                            <w:pPr>
                              <w:pStyle w:val="TextBody"/>
                              <w:spacing w:before="120" w:after="0"/>
                              <w:rPr>
                                <w:rFonts w:ascii="arial" w:hAnsi="arial"/>
                                <w:sz w:val="20"/>
                              </w:rPr>
                            </w:pPr>
                            <w:r>
                              <w:rPr>
                                <w:rFonts w:ascii="arial" w:hAnsi="arial"/>
                                <w:b/>
                                <w:sz w:val="20"/>
                              </w:rPr>
                              <w:t>A:</w:t>
                            </w:r>
                            <w:r>
                              <w:rPr>
                                <w:rFonts w:ascii="arial" w:hAnsi="arial"/>
                                <w:sz w:val="20"/>
                              </w:rPr>
                              <w:t xml:space="preserve"> The Corporation will bear the expense of printing, mailing, and distributing these proxy materials and soliciting votes. In addition to using the mail, the Corporations directors, officers, employees, and agents may solicit proxies by personal interview, telephone, or otherwise, although they will not be paid any additional compensation. The Corporation will request brokers and nominees who hold shares of the Corporations Common Stock in their names to furnish proxy materials to beneficial owners of the shares. The Corporation will reimburse such brokers and nominees for their reasonable out-of-pocket expenses for forwarding proxy materials to such beneficial owners. </w:t>
                            </w:r>
                          </w:p>
                          <w:p>
                            <w:pPr>
                              <w:pStyle w:val="TextBody"/>
                              <w:spacing w:before="240" w:after="0"/>
                              <w:rPr>
                                <w:rFonts w:ascii="arial" w:hAnsi="arial"/>
                                <w:b/>
                                <w:sz w:val="20"/>
                              </w:rPr>
                            </w:pPr>
                            <w:r>
                              <w:rPr>
                                <w:rFonts w:ascii="arial" w:hAnsi="arial"/>
                                <w:b/>
                                <w:sz w:val="20"/>
                              </w:rPr>
                              <w:t xml:space="preserve">Q: Who will count the votes? </w:t>
                            </w:r>
                          </w:p>
                          <w:p>
                            <w:pPr>
                              <w:pStyle w:val="TextBody"/>
                              <w:spacing w:before="120" w:after="0"/>
                              <w:rPr>
                                <w:rFonts w:ascii="arial" w:hAnsi="arial"/>
                                <w:sz w:val="20"/>
                              </w:rPr>
                            </w:pPr>
                            <w:r>
                              <w:rPr>
                                <w:rFonts w:ascii="arial" w:hAnsi="arial"/>
                                <w:b/>
                                <w:sz w:val="20"/>
                              </w:rPr>
                              <w:t>A:</w:t>
                            </w:r>
                            <w:r>
                              <w:rPr>
                                <w:rFonts w:ascii="arial" w:hAnsi="arial"/>
                                <w:sz w:val="20"/>
                              </w:rPr>
                              <w:t xml:space="preserve"> A representative of Computershare, transfer agent for the Corporation, will count the votes and will serve as the independent inspector of elections for the Annual Meeting.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sz w:val="20"/>
                        </w:rPr>
                      </w:pPr>
                      <w:r>
                        <w:rPr>
                          <w:rFonts w:ascii="arial" w:hAnsi="arial"/>
                          <w:sz w:val="20"/>
                        </w:rPr>
                        <w:t xml:space="preserve">is designed to expedite stockholders receipt of proxy materials, lower the cost of the Annual Meeting, and help conserve natural resources. However, if you would prefer to receive printed proxy materials on an ongoing basis, please follow the instructions included in the Notice. If you have previously elected to receive the Corporations proxy materials electronically, you will continue to receive these materials via e-mail unless you elect otherwise. </w:t>
                      </w:r>
                    </w:p>
                    <w:p>
                      <w:pPr>
                        <w:pStyle w:val="TextBody"/>
                        <w:spacing w:before="240" w:after="0"/>
                        <w:rPr>
                          <w:rFonts w:ascii="arial" w:hAnsi="arial"/>
                          <w:b/>
                          <w:sz w:val="20"/>
                        </w:rPr>
                      </w:pPr>
                      <w:r>
                        <w:rPr>
                          <w:rFonts w:ascii="arial" w:hAnsi="arial"/>
                          <w:b/>
                          <w:sz w:val="20"/>
                        </w:rPr>
                        <w:t xml:space="preserve">Q: What are the costs of this proxy solicitation and who will bear them? </w:t>
                      </w:r>
                    </w:p>
                    <w:p>
                      <w:pPr>
                        <w:pStyle w:val="TextBody"/>
                        <w:spacing w:before="120" w:after="0"/>
                        <w:rPr>
                          <w:rFonts w:ascii="arial" w:hAnsi="arial"/>
                          <w:sz w:val="20"/>
                        </w:rPr>
                      </w:pPr>
                      <w:r>
                        <w:rPr>
                          <w:rFonts w:ascii="arial" w:hAnsi="arial"/>
                          <w:b/>
                          <w:sz w:val="20"/>
                        </w:rPr>
                        <w:t>A:</w:t>
                      </w:r>
                      <w:r>
                        <w:rPr>
                          <w:rFonts w:ascii="arial" w:hAnsi="arial"/>
                          <w:sz w:val="20"/>
                        </w:rPr>
                        <w:t xml:space="preserve"> The Corporation will bear the expense of printing, mailing, and distributing these proxy materials and soliciting votes. In addition to using the mail, the Corporations directors, officers, employees, and agents may solicit proxies by personal interview, telephone, or otherwise, although they will not be paid any additional compensation. The Corporation will request brokers and nominees who hold shares of the Corporations Common Stock in their names to furnish proxy materials to beneficial owners of the shares. The Corporation will reimburse such brokers and nominees for their reasonable out-of-pocket expenses for forwarding proxy materials to such beneficial owners. </w:t>
                      </w:r>
                    </w:p>
                    <w:p>
                      <w:pPr>
                        <w:pStyle w:val="TextBody"/>
                        <w:spacing w:before="240" w:after="0"/>
                        <w:rPr>
                          <w:rFonts w:ascii="arial" w:hAnsi="arial"/>
                          <w:b/>
                          <w:sz w:val="20"/>
                        </w:rPr>
                      </w:pPr>
                      <w:r>
                        <w:rPr>
                          <w:rFonts w:ascii="arial" w:hAnsi="arial"/>
                          <w:b/>
                          <w:sz w:val="20"/>
                        </w:rPr>
                        <w:t xml:space="preserve">Q: Who will count the votes? </w:t>
                      </w:r>
                    </w:p>
                    <w:p>
                      <w:pPr>
                        <w:pStyle w:val="TextBody"/>
                        <w:spacing w:before="120" w:after="0"/>
                        <w:rPr>
                          <w:rFonts w:ascii="arial" w:hAnsi="arial"/>
                          <w:sz w:val="20"/>
                        </w:rPr>
                      </w:pPr>
                      <w:r>
                        <w:rPr>
                          <w:rFonts w:ascii="arial" w:hAnsi="arial"/>
                          <w:b/>
                          <w:sz w:val="20"/>
                        </w:rPr>
                        <w:t>A:</w:t>
                      </w:r>
                      <w:r>
                        <w:rPr>
                          <w:rFonts w:ascii="arial" w:hAnsi="arial"/>
                          <w:sz w:val="20"/>
                        </w:rPr>
                        <w:t xml:space="preserve"> A representative of Computershare, transfer agent for the Corporation, will count the votes and will serve as the independent inspector of elections for the Annual Meeting.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b/>
          <w:i/>
          <w:sz w:val="20"/>
        </w:rPr>
      </w:pPr>
      <w:r>
        <w:rPr>
          <w:rFonts w:ascii="arial" w:hAnsi="arial"/>
          <w:b/>
          <w:i/>
          <w:sz w:val="20"/>
        </w:rPr>
        <w:t xml:space="preserve">Additional Information </w:t>
      </w:r>
    </w:p>
    <w:p>
      <w:pPr>
        <w:pStyle w:val="TextBody"/>
        <w:spacing w:before="120" w:after="0"/>
        <w:jc w:val="left"/>
        <w:rPr>
          <w:rFonts w:ascii="arial" w:hAnsi="arial"/>
          <w:sz w:val="20"/>
        </w:rPr>
      </w:pPr>
      <w:r>
        <w:rPr>
          <w:rFonts w:ascii="arial" w:hAnsi="arial"/>
          <w:sz w:val="20"/>
        </w:rPr>
        <w:t xml:space="preserve">The Corporate Governance section of the Dine Brands Global, Inc. website provides up-to-date information about the Corporations corporate governance policies and practices. In addition, the Investors section of the website includes links to the Corporations filings with the SEC, news releases, and investor presentations by management. Please note that information contained on the Corporations website does not constitute part of this proxy statement. You may also obtain a copy of our periodic filings from the SECs EDGAR database at www.sec.gov. </w:t>
      </w:r>
    </w:p>
    <w:p>
      <w:pPr>
        <w:pStyle w:val="TextBody"/>
        <w:spacing w:before="360" w:after="0"/>
        <w:jc w:val="left"/>
        <w:rPr>
          <w:rFonts w:ascii="arial" w:hAnsi="arial"/>
          <w:b/>
          <w:sz w:val="42"/>
        </w:rPr>
      </w:pPr>
      <w:bookmarkStart w:id="4" w:name="toc116694_2"/>
      <w:bookmarkEnd w:id="4"/>
      <w:r>
        <w:rPr>
          <w:rFonts w:ascii="arial" w:hAnsi="arial"/>
          <w:b/>
          <w:sz w:val="42"/>
        </w:rPr>
        <w:t xml:space="preserve">IMPORTANT NOTE </w:t>
      </w:r>
    </w:p>
    <w:p>
      <w:pPr>
        <w:pStyle w:val="TextBody"/>
        <w:spacing w:before="360" w:after="0"/>
        <w:jc w:val="left"/>
        <w:rPr>
          <w:rFonts w:ascii="arial" w:hAnsi="arial"/>
          <w:sz w:val="20"/>
        </w:rPr>
      </w:pPr>
      <w:r>
        <w:rPr>
          <w:rFonts w:ascii="arial" w:hAnsi="arial"/>
          <w:sz w:val="20"/>
        </w:rPr>
        <w:t xml:space="preserve">You should rely only on the information contained in this proxy statement to vote on the proposals at the Annual Meeting. The Corporation has not authorized anyone to provide you with information that is different from what is contained in this proxy statement. This proxy statement is dated March 30, 2021. You should not assume that the information contained in this proxy statement is accurate as of any date other than such date, unless indicated otherwise herein, and the mailing of this proxy statement to stockholders shall not create any implication to the contrary.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1"/>
        <w:gridCol w:w="122"/>
        <w:gridCol w:w="9642"/>
      </w:tblGrid>
      <w:tr>
        <w:trPr/>
        <w:tc>
          <w:tcPr>
            <w:tcW w:w="4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441" w:type="dxa"/>
            <w:tcBorders/>
            <w:shd w:fill="auto" w:val="clear"/>
            <w:vAlign w:val="center"/>
          </w:tcPr>
          <w:p>
            <w:pPr>
              <w:pStyle w:val="TableContents"/>
              <w:spacing w:before="0" w:after="283"/>
              <w:rPr/>
            </w:pPr>
            <w:r>
              <w:rPr/>
              <w:t>4    </w:t>
            </w:r>
          </w:p>
        </w:tc>
        <w:tc>
          <w:tcPr>
            <w:tcW w:w="122" w:type="dxa"/>
            <w:tcBorders/>
            <w:shd w:fill="auto" w:val="clear"/>
            <w:vAlign w:val="bottom"/>
          </w:tcPr>
          <w:p>
            <w:pPr>
              <w:pStyle w:val="TableContents"/>
              <w:spacing w:before="0" w:after="283"/>
              <w:rPr/>
            </w:pPr>
            <w:r>
              <w:rPr/>
              <w:t> </w:t>
            </w:r>
          </w:p>
        </w:tc>
        <w:tc>
          <w:tcPr>
            <w:tcW w:w="9642" w:type="dxa"/>
            <w:tcBorders/>
            <w:shd w:fill="auto" w:val="clear"/>
          </w:tcPr>
          <w:p>
            <w:pPr>
              <w:pStyle w:val="TableContents"/>
              <w:spacing w:before="0" w:after="283"/>
              <w:rPr/>
            </w:pPr>
            <w:r>
              <w:rPr/>
              <w:drawing>
                <wp:inline distT="0" distB="0" distL="0" distR="0">
                  <wp:extent cx="24765" cy="3048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CORPORATE GOVERNANCE   </w:t>
            </w:r>
          </w:p>
        </w:tc>
      </w:tr>
    </w:tbl>
    <w:p>
      <w:pPr>
        <w:pStyle w:val="TextBody"/>
        <w:spacing w:before="0" w:after="0"/>
        <w:jc w:val="left"/>
        <w:rPr/>
      </w:pPr>
      <w:r>
        <w:rPr/>
        <w:t> </w:t>
      </w:r>
    </w:p>
    <w:p>
      <w:pPr>
        <w:pStyle w:val="TextBody"/>
        <w:spacing w:before="0" w:after="0"/>
        <w:jc w:val="left"/>
        <w:rPr>
          <w:rFonts w:ascii="arial" w:hAnsi="arial"/>
          <w:b/>
          <w:sz w:val="42"/>
        </w:rPr>
      </w:pPr>
      <w:bookmarkStart w:id="5" w:name="toc116694_3"/>
      <w:bookmarkEnd w:id="5"/>
      <w:r>
        <w:rPr>
          <w:rFonts w:ascii="arial" w:hAnsi="arial"/>
          <w:b/>
          <w:sz w:val="42"/>
        </w:rPr>
        <w:t xml:space="preserve">CORPORATE GOVERNANCE </w:t>
      </w:r>
    </w:p>
    <w:p>
      <w:pPr>
        <w:pStyle w:val="TextBody"/>
        <w:spacing w:before="360" w:after="0"/>
        <w:jc w:val="left"/>
        <w:rPr>
          <w:rFonts w:ascii="arial" w:hAnsi="arial"/>
          <w:b/>
          <w:color w:val="CF0A2C"/>
          <w:sz w:val="28"/>
        </w:rPr>
      </w:pPr>
      <w:bookmarkStart w:id="6" w:name="toc116694_4"/>
      <w:bookmarkEnd w:id="6"/>
      <w:r>
        <w:rPr>
          <w:rFonts w:ascii="arial" w:hAnsi="arial"/>
          <w:b/>
          <w:color w:val="CF0A2C"/>
          <w:sz w:val="28"/>
        </w:rPr>
        <w:t xml:space="preserve">Current Board of Directors </w:t>
      </w:r>
    </w:p>
    <w:p>
      <w:pPr>
        <w:pStyle w:val="TextBody"/>
        <w:spacing w:before="120" w:after="0"/>
        <w:jc w:val="left"/>
        <w:rPr>
          <w:rFonts w:ascii="arial" w:hAnsi="arial"/>
          <w:sz w:val="20"/>
        </w:rPr>
      </w:pPr>
      <w:r>
        <w:rPr>
          <w:rFonts w:ascii="arial" w:hAnsi="arial"/>
          <w:sz w:val="20"/>
        </w:rPr>
        <w:t xml:space="preserve">At the 2019 annual meeting of stockholders, stockholders approved an amendment to the Corporations Restated Certificate of Incorporation to declassify the Board of Directors and provide for the annual election of directors for one-year terms, commencing upon the expiration of a directors current term. Stockholders approved a phased-in approach pursuant to which the Annual Meeting will be the first time that all directors are standing for election (in each case, until their respective successors are duly elected and qualified). As such, the declassification of the Board of Directors is complete, and all our directors will be elected annually. </w:t>
      </w:r>
    </w:p>
    <w:p>
      <w:pPr>
        <w:pStyle w:val="TextBody"/>
        <w:spacing w:before="120" w:after="0"/>
        <w:jc w:val="left"/>
        <w:rPr>
          <w:rFonts w:ascii="arial" w:hAnsi="arial"/>
          <w:sz w:val="20"/>
        </w:rPr>
      </w:pPr>
      <w:r>
        <w:rPr>
          <w:rFonts w:ascii="arial" w:hAnsi="arial"/>
          <w:sz w:val="20"/>
        </w:rPr>
        <w:t xml:space="preserve">There are currently 11 members of the Board of Directors: </w:t>
      </w:r>
    </w:p>
    <w:p>
      <w:pPr>
        <w:pStyle w:val="TextBody"/>
        <w:spacing w:before="0" w:after="0"/>
        <w:jc w:val="left"/>
        <w:rPr/>
      </w:pPr>
      <w:r>
        <w:rPr/>
        <w:t> </w:t>
      </w:r>
    </w:p>
    <w:tbl>
      <w:tblPr>
        <w:tblW w:w="1250" w:type="pct"/>
        <w:jc w:val="center"/>
        <w:tblInd w:w="0" w:type="dxa"/>
        <w:tblCellMar>
          <w:top w:w="0" w:type="dxa"/>
          <w:left w:w="0" w:type="dxa"/>
          <w:bottom w:w="0" w:type="dxa"/>
          <w:right w:w="0" w:type="dxa"/>
        </w:tblCellMar>
      </w:tblPr>
      <w:tblGrid>
        <w:gridCol w:w="2551"/>
      </w:tblGrid>
      <w:tr>
        <w:trPr/>
        <w:tc>
          <w:tcPr>
            <w:tcW w:w="2551"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551" w:type="dxa"/>
            <w:tcBorders/>
            <w:shd w:fill="CF0A2C" w:val="clear"/>
            <w:vAlign w:val="center"/>
          </w:tcPr>
          <w:p>
            <w:pPr>
              <w:pStyle w:val="TableContents"/>
              <w:spacing w:before="0" w:after="283"/>
              <w:rPr>
                <w:sz w:val="4"/>
                <w:szCs w:val="4"/>
              </w:rPr>
            </w:pPr>
            <w:r>
              <w:rPr>
                <w:sz w:val="4"/>
                <w:szCs w:val="4"/>
              </w:rPr>
            </w:r>
          </w:p>
        </w:tc>
      </w:tr>
      <w:tr>
        <w:trPr/>
        <w:tc>
          <w:tcPr>
            <w:tcW w:w="2551" w:type="dxa"/>
            <w:tcBorders/>
            <w:shd w:fill="CF0A2C" w:val="clear"/>
            <w:vAlign w:val="bottom"/>
          </w:tcPr>
          <w:p>
            <w:pPr>
              <w:pStyle w:val="TableContents"/>
              <w:spacing w:before="0" w:after="283"/>
              <w:rPr/>
            </w:pPr>
            <w:r>
              <w:rPr/>
              <w:t> </w:t>
            </w:r>
          </w:p>
        </w:tc>
      </w:tr>
      <w:tr>
        <w:trPr/>
        <w:tc>
          <w:tcPr>
            <w:tcW w:w="2551" w:type="dxa"/>
            <w:tcBorders/>
            <w:shd w:fill="E5E5E5" w:val="clear"/>
          </w:tcPr>
          <w:p>
            <w:pPr>
              <w:pStyle w:val="TableContents"/>
              <w:spacing w:before="0" w:after="0"/>
              <w:rPr/>
            </w:pPr>
            <w:r>
              <w:rPr/>
              <w:t> </w:t>
            </w:r>
          </w:p>
          <w:p>
            <w:pPr>
              <w:pStyle w:val="TableContents"/>
              <w:spacing w:before="0" w:after="20"/>
              <w:jc w:val="center"/>
              <w:rPr>
                <w:rFonts w:ascii="arial" w:hAnsi="arial"/>
                <w:sz w:val="20"/>
              </w:rPr>
            </w:pPr>
            <w:r>
              <w:rPr>
                <w:rFonts w:ascii="arial" w:hAnsi="arial"/>
                <w:sz w:val="20"/>
              </w:rPr>
              <w:t>Howard M. Berk</w:t>
            </w:r>
          </w:p>
        </w:tc>
      </w:tr>
      <w:tr>
        <w:trPr/>
        <w:tc>
          <w:tcPr>
            <w:tcW w:w="2551" w:type="dxa"/>
            <w:tcBorders/>
            <w:shd w:fill="E5E5E5" w:val="clear"/>
          </w:tcPr>
          <w:p>
            <w:pPr>
              <w:pStyle w:val="TableContents"/>
              <w:spacing w:before="0" w:after="283"/>
              <w:jc w:val="center"/>
              <w:rPr/>
            </w:pPr>
            <w:r>
              <w:rPr/>
              <w:t>Daniel J. Brestle</w:t>
            </w:r>
          </w:p>
        </w:tc>
      </w:tr>
      <w:tr>
        <w:trPr/>
        <w:tc>
          <w:tcPr>
            <w:tcW w:w="2551" w:type="dxa"/>
            <w:tcBorders/>
            <w:shd w:fill="E5E5E5" w:val="clear"/>
          </w:tcPr>
          <w:p>
            <w:pPr>
              <w:pStyle w:val="TableContents"/>
              <w:spacing w:before="0" w:after="283"/>
              <w:jc w:val="center"/>
              <w:rPr/>
            </w:pPr>
            <w:r>
              <w:rPr/>
              <w:t>Susan M. Collyns</w:t>
            </w:r>
          </w:p>
        </w:tc>
      </w:tr>
      <w:tr>
        <w:trPr/>
        <w:tc>
          <w:tcPr>
            <w:tcW w:w="2551" w:type="dxa"/>
            <w:tcBorders/>
            <w:shd w:fill="E5E5E5" w:val="clear"/>
          </w:tcPr>
          <w:p>
            <w:pPr>
              <w:pStyle w:val="TableContents"/>
              <w:spacing w:before="0" w:after="283"/>
              <w:jc w:val="center"/>
              <w:rPr/>
            </w:pPr>
            <w:r>
              <w:rPr/>
              <w:t>Richard J. Dahl</w:t>
            </w:r>
          </w:p>
        </w:tc>
      </w:tr>
      <w:tr>
        <w:trPr/>
        <w:tc>
          <w:tcPr>
            <w:tcW w:w="2551" w:type="dxa"/>
            <w:tcBorders/>
            <w:shd w:fill="E5E5E5" w:val="clear"/>
          </w:tcPr>
          <w:p>
            <w:pPr>
              <w:pStyle w:val="TableContents"/>
              <w:spacing w:before="0" w:after="283"/>
              <w:jc w:val="center"/>
              <w:rPr/>
            </w:pPr>
            <w:r>
              <w:rPr/>
              <w:t>Michael C. Hyter</w:t>
            </w:r>
          </w:p>
        </w:tc>
      </w:tr>
      <w:tr>
        <w:trPr/>
        <w:tc>
          <w:tcPr>
            <w:tcW w:w="2551" w:type="dxa"/>
            <w:tcBorders/>
            <w:shd w:fill="E5E5E5" w:val="clear"/>
          </w:tcPr>
          <w:p>
            <w:pPr>
              <w:pStyle w:val="TableContents"/>
              <w:spacing w:before="0" w:after="283"/>
              <w:jc w:val="center"/>
              <w:rPr/>
            </w:pPr>
            <w:r>
              <w:rPr/>
              <w:t>Larry A. Kay</w:t>
            </w:r>
          </w:p>
        </w:tc>
      </w:tr>
      <w:tr>
        <w:trPr/>
        <w:tc>
          <w:tcPr>
            <w:tcW w:w="2551" w:type="dxa"/>
            <w:tcBorders/>
            <w:shd w:fill="E5E5E5" w:val="clear"/>
          </w:tcPr>
          <w:p>
            <w:pPr>
              <w:pStyle w:val="TableContents"/>
              <w:spacing w:before="0" w:after="283"/>
              <w:jc w:val="center"/>
              <w:rPr/>
            </w:pPr>
            <w:r>
              <w:rPr/>
              <w:t>Caroline W. Nahas</w:t>
            </w:r>
          </w:p>
        </w:tc>
      </w:tr>
      <w:tr>
        <w:trPr/>
        <w:tc>
          <w:tcPr>
            <w:tcW w:w="2551" w:type="dxa"/>
            <w:tcBorders/>
            <w:shd w:fill="E5E5E5" w:val="clear"/>
          </w:tcPr>
          <w:p>
            <w:pPr>
              <w:pStyle w:val="TableContents"/>
              <w:spacing w:before="0" w:after="283"/>
              <w:jc w:val="center"/>
              <w:rPr/>
            </w:pPr>
            <w:r>
              <w:rPr/>
              <w:t>Douglas M. Pasquale</w:t>
            </w:r>
          </w:p>
        </w:tc>
      </w:tr>
      <w:tr>
        <w:trPr/>
        <w:tc>
          <w:tcPr>
            <w:tcW w:w="2551" w:type="dxa"/>
            <w:tcBorders/>
            <w:shd w:fill="E5E5E5" w:val="clear"/>
          </w:tcPr>
          <w:p>
            <w:pPr>
              <w:pStyle w:val="TableContents"/>
              <w:spacing w:before="0" w:after="283"/>
              <w:jc w:val="center"/>
              <w:rPr/>
            </w:pPr>
            <w:r>
              <w:rPr/>
              <w:t>John W. Peyton</w:t>
            </w:r>
          </w:p>
        </w:tc>
      </w:tr>
      <w:tr>
        <w:trPr/>
        <w:tc>
          <w:tcPr>
            <w:tcW w:w="2551" w:type="dxa"/>
            <w:tcBorders/>
            <w:shd w:fill="E5E5E5" w:val="clear"/>
          </w:tcPr>
          <w:p>
            <w:pPr>
              <w:pStyle w:val="TableContents"/>
              <w:spacing w:before="0" w:after="283"/>
              <w:jc w:val="center"/>
              <w:rPr/>
            </w:pPr>
            <w:r>
              <w:rPr/>
              <w:t>Gilbert T. Ray</w:t>
            </w:r>
          </w:p>
        </w:tc>
      </w:tr>
      <w:tr>
        <w:trPr/>
        <w:tc>
          <w:tcPr>
            <w:tcW w:w="2551" w:type="dxa"/>
            <w:tcBorders/>
            <w:shd w:fill="E5E5E5" w:val="clear"/>
          </w:tcPr>
          <w:p>
            <w:pPr>
              <w:pStyle w:val="TableContents"/>
              <w:spacing w:before="0" w:after="0"/>
              <w:jc w:val="center"/>
              <w:rPr>
                <w:rFonts w:ascii="arial" w:hAnsi="arial"/>
                <w:sz w:val="20"/>
              </w:rPr>
            </w:pPr>
            <w:r>
              <w:rPr>
                <w:rFonts w:ascii="arial" w:hAnsi="arial"/>
                <w:sz w:val="20"/>
              </w:rPr>
              <w:t>Lilian C. Tomovich</w:t>
            </w:r>
          </w:p>
          <w:p>
            <w:pPr>
              <w:pStyle w:val="TableContents"/>
              <w:spacing w:before="0" w:after="20"/>
              <w:jc w:val="left"/>
              <w:rPr/>
            </w:pPr>
            <w:r>
              <w:rPr/>
              <w:t> </w:t>
            </w:r>
          </w:p>
        </w:tc>
      </w:tr>
      <w:tr>
        <w:trPr/>
        <w:tc>
          <w:tcPr>
            <w:tcW w:w="2551" w:type="dxa"/>
            <w:tcBorders/>
            <w:shd w:fill="E5E5E5" w:val="clear"/>
          </w:tcPr>
          <w:p>
            <w:pPr>
              <w:pStyle w:val="TableContents"/>
              <w:spacing w:before="0" w:after="283"/>
              <w:rPr>
                <w:sz w:val="4"/>
                <w:szCs w:val="4"/>
              </w:rPr>
            </w:pPr>
            <w:r>
              <w:rPr>
                <w:sz w:val="4"/>
                <w:szCs w:val="4"/>
              </w:rPr>
            </w:r>
          </w:p>
        </w:tc>
      </w:tr>
    </w:tbl>
    <w:p>
      <w:pPr>
        <w:pStyle w:val="TextBody"/>
        <w:spacing w:before="120" w:after="0"/>
        <w:jc w:val="left"/>
        <w:rPr>
          <w:rFonts w:ascii="arial" w:hAnsi="arial"/>
          <w:sz w:val="20"/>
        </w:rPr>
      </w:pPr>
      <w:r>
        <w:rPr>
          <w:rFonts w:ascii="arial" w:hAnsi="arial"/>
          <w:sz w:val="20"/>
        </w:rPr>
        <w:t xml:space="preserve">Gilbert T. Ray, currently a director, is not standing for re-election and will be retiring from the Board of Directors as of the Annual Meeting. The Board of Directors has fixed the number of directors at 10, effective as of the Annual Meeting. </w:t>
      </w:r>
    </w:p>
    <w:p>
      <w:pPr>
        <w:pStyle w:val="TextBody"/>
        <w:spacing w:before="120" w:after="0"/>
        <w:jc w:val="left"/>
        <w:rPr>
          <w:rFonts w:ascii="arial" w:hAnsi="arial"/>
          <w:sz w:val="20"/>
        </w:rPr>
      </w:pPr>
      <w:r>
        <w:rPr>
          <w:rFonts w:ascii="arial" w:hAnsi="arial"/>
          <w:sz w:val="20"/>
        </w:rPr>
        <w:t xml:space="preserve">Michael C. Hyter was appointed as a director effective July 14, 2020. Mr. Hyter was identified as a candidate to serve as a director by a non-management director of the Corporation. John W. Peyton was appointed as a director effective January 4, 2021 in connection with his assumption of the role of Chief Executive Officer of the Corporation. </w:t>
      </w:r>
    </w:p>
    <w:p>
      <w:pPr>
        <w:pStyle w:val="TextBody"/>
        <w:spacing w:before="120" w:after="0"/>
        <w:jc w:val="left"/>
        <w:rPr>
          <w:rFonts w:ascii="arial" w:hAnsi="arial"/>
          <w:sz w:val="20"/>
        </w:rPr>
      </w:pPr>
      <w:r>
        <w:rPr>
          <w:rFonts w:ascii="arial" w:hAnsi="arial"/>
          <w:sz w:val="20"/>
        </w:rPr>
        <w:t xml:space="preserve">The business and affairs of the Corporation are managed under the direction of the Board of Directors. It is managements responsibility to formalize, propose and implement strategic choices and it is the Board of Directors role to approve strategic direction and evaluate strategic results, including both the performance of the Corporation and the performance of the Chief Executive Officer. </w:t>
      </w:r>
    </w:p>
    <w:p>
      <w:pPr>
        <w:pStyle w:val="TextBody"/>
        <w:spacing w:before="120" w:after="0"/>
        <w:jc w:val="left"/>
        <w:rPr>
          <w:rFonts w:ascii="arial" w:hAnsi="arial"/>
          <w:sz w:val="20"/>
        </w:rPr>
      </w:pPr>
      <w:r>
        <w:rPr>
          <w:rFonts w:ascii="arial" w:hAnsi="arial"/>
          <w:sz w:val="20"/>
        </w:rPr>
        <w:t xml:space="preserve">The Corporations Amended and Restated Bylaws require the Chairman of the Board of Directors to be elected from the independent members of the Board of Directors as determined by the NYSE listing standards. Mr. Dahl was elected to serve as the independent Chairman of the Board of Directors effective September 2017. </w:t>
      </w:r>
    </w:p>
    <w:p>
      <w:pPr>
        <w:pStyle w:val="TextBody"/>
        <w:spacing w:before="120" w:after="0"/>
        <w:jc w:val="left"/>
        <w:rPr>
          <w:rFonts w:ascii="arial" w:hAnsi="arial"/>
          <w:sz w:val="20"/>
        </w:rPr>
      </w:pPr>
      <w:r>
        <w:rPr>
          <w:rFonts w:ascii="arial" w:hAnsi="arial"/>
          <w:sz w:val="20"/>
        </w:rPr>
        <w:t xml:space="preserve">The Board of Directors believes the separation of the roles of Chairman of the Board of Directors and Chief Executive Officer allows the Chief Executive Officer to focus on managing the daily operations of the business and enhances the Board of Directors independence from management, thus leading to better monitoring and oversight of management. The Board of Directors believes this structure best serves the interests of the Corporation and its stockholders. </w:t>
      </w:r>
    </w:p>
    <w:p>
      <w:pPr>
        <w:pStyle w:val="TextBody"/>
        <w:spacing w:before="120" w:after="0"/>
        <w:jc w:val="left"/>
        <w:rPr>
          <w:rFonts w:ascii="arial" w:hAnsi="arial"/>
          <w:sz w:val="20"/>
        </w:rPr>
      </w:pPr>
      <w:r>
        <w:rPr>
          <w:rFonts w:ascii="arial" w:hAnsi="arial"/>
          <w:sz w:val="20"/>
        </w:rPr>
        <w:t xml:space="preserve">The Corporations Corporate Governance Guidelines outline the responsibilities of the Chairman of the Board of Directors. Amongst other responsibilities, the duties of the Chairman of the Board of Directors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3"/>
        <w:gridCol w:w="205"/>
        <w:gridCol w:w="9380"/>
      </w:tblGrid>
      <w:tr>
        <w:trPr/>
        <w:tc>
          <w:tcPr>
            <w:tcW w:w="407"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arial" w:hAnsi="arial"/>
                <w:sz w:val="20"/>
              </w:rPr>
            </w:pPr>
            <w:r>
              <w:rPr>
                <w:rFonts w:ascii="arial" w:hAnsi="arial"/>
                <w:sz w:val="20"/>
              </w:rPr>
              <w:t xml:space="preserve">leading and overseeing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presiding at Board of Directors meetings and the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2"/>
        <w:gridCol w:w="205"/>
        <w:gridCol w:w="9382"/>
      </w:tblGrid>
      <w:tr>
        <w:trPr/>
        <w:tc>
          <w:tcPr>
            <w:tcW w:w="406"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arial" w:hAnsi="arial"/>
                <w:sz w:val="20"/>
              </w:rPr>
            </w:pPr>
            <w:r>
              <w:rPr>
                <w:rFonts w:ascii="arial" w:hAnsi="arial"/>
                <w:sz w:val="20"/>
              </w:rPr>
              <w:t xml:space="preserve">developing the agenda for Board of Directors meetings in consultation with the Chief Executive Officer;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39"/>
        <w:gridCol w:w="122"/>
        <w:gridCol w:w="444"/>
      </w:tblGrid>
      <w:tr>
        <w:trPr/>
        <w:tc>
          <w:tcPr>
            <w:tcW w:w="96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9639" w:type="dxa"/>
            <w:tcBorders/>
            <w:shd w:fill="auto" w:val="clear"/>
          </w:tcPr>
          <w:p>
            <w:pPr>
              <w:pStyle w:val="TableContents"/>
              <w:spacing w:before="0" w:after="283"/>
              <w:jc w:val="right"/>
              <w:rPr/>
            </w:pPr>
            <w:r>
              <w:rPr/>
              <w:drawing>
                <wp:inline distT="0" distB="0" distL="0" distR="0">
                  <wp:extent cx="24765" cy="3048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24765" cy="30480"/>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444" w:type="dxa"/>
            <w:tcBorders/>
            <w:shd w:fill="auto" w:val="clear"/>
            <w:vAlign w:val="center"/>
          </w:tcPr>
          <w:p>
            <w:pPr>
              <w:pStyle w:val="TableContents"/>
              <w:spacing w:before="0" w:after="283"/>
              <w:jc w:val="right"/>
              <w:rPr/>
            </w:pPr>
            <w:r>
              <w:rPr/>
              <w:t>    </w:t>
            </w:r>
            <w:r>
              <w:rPr/>
              <w:t>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CORPORATE GOVERNANCE</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2"/>
        <w:gridCol w:w="205"/>
        <w:gridCol w:w="9382"/>
      </w:tblGrid>
      <w:tr>
        <w:trPr/>
        <w:tc>
          <w:tcPr>
            <w:tcW w:w="406"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arial" w:hAnsi="arial"/>
                <w:sz w:val="20"/>
              </w:rPr>
            </w:pPr>
            <w:r>
              <w:rPr>
                <w:rFonts w:ascii="arial" w:hAnsi="arial"/>
                <w:sz w:val="20"/>
              </w:rPr>
              <w:t xml:space="preserve">working with the Nominating and Corporate Governance Committee to oversee the annual evaluations of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serving as the principal liaison between the independent directors and the Chief Executive Officer and other members of management, provided that the Board of Directors also has full and unfettered access to the Chief Executive Officer and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advising and serving as a partner to the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after reviewing with the Board of Directors, conducting the Chief Executive Officers annual performance review with the Chair of the Nominating and Corporate Governance Committee and conducting the Chief Executive Officers annual compensation discussion with the Chair of the Compensation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calling special meetings of stockholders and the Board of Directors as the Chairman of the Board of Directors deems appropriate;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meeting with the Chair of each committee in the first quarter of each year to discuss and set such committees goals and priorities for the year following the annual meeting of stockholders;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204"/>
        <w:gridCol w:w="9387"/>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arial" w:hAnsi="arial"/>
                <w:sz w:val="20"/>
              </w:rPr>
            </w:pPr>
            <w:r>
              <w:rPr>
                <w:rFonts w:ascii="arial" w:hAnsi="arial"/>
                <w:sz w:val="20"/>
              </w:rPr>
              <w:t xml:space="preserve">serving as an advisor to management on investor relations matters as necessary and appropriate. </w:t>
            </w:r>
          </w:p>
        </w:tc>
      </w:tr>
    </w:tbl>
    <w:p>
      <w:pPr>
        <w:pStyle w:val="TextBody"/>
        <w:spacing w:before="360" w:after="0"/>
        <w:jc w:val="left"/>
        <w:rPr>
          <w:rFonts w:ascii="arial" w:hAnsi="arial"/>
          <w:b/>
          <w:color w:val="CF0A2C"/>
          <w:sz w:val="28"/>
        </w:rPr>
      </w:pPr>
      <w:bookmarkStart w:id="7" w:name="toc116694_5"/>
      <w:bookmarkEnd w:id="7"/>
      <w:r>
        <w:rPr>
          <w:rFonts w:ascii="arial" w:hAnsi="arial"/>
          <w:b/>
          <w:color w:val="CF0A2C"/>
          <w:sz w:val="28"/>
        </w:rPr>
        <w:t xml:space="preserve">The Role of the Board of Directors in Risk Oversight </w:t>
      </w:r>
    </w:p>
    <w:p>
      <w:pPr>
        <w:pStyle w:val="TextBody"/>
        <w:spacing w:before="120" w:after="0"/>
        <w:jc w:val="left"/>
        <w:rPr>
          <w:rFonts w:ascii="arial" w:hAnsi="arial"/>
          <w:sz w:val="20"/>
        </w:rPr>
      </w:pPr>
      <w:r>
        <w:rPr>
          <w:rFonts w:ascii="arial" w:hAnsi="arial"/>
          <w:sz w:val="20"/>
        </w:rPr>
        <w:t xml:space="preserve">The Board of Directors and each of its committees have an active role in overseeing management of the Corporations risks. The Board of Directors regularly reviews information regarding the Corporations strategic, financial, and operational risks and believes that evaluating how the executive team manages the various risks confronting the Corporation is one of its most important areas of oversight. </w:t>
      </w:r>
    </w:p>
    <w:p>
      <w:pPr>
        <w:pStyle w:val="TextBody"/>
        <w:spacing w:before="120" w:after="0"/>
        <w:jc w:val="left"/>
        <w:rPr>
          <w:rFonts w:ascii="arial" w:hAnsi="arial"/>
          <w:sz w:val="20"/>
        </w:rPr>
      </w:pPr>
      <w:r>
        <w:rPr>
          <w:rFonts w:ascii="arial" w:hAnsi="arial"/>
          <w:sz w:val="20"/>
        </w:rPr>
        <w:t xml:space="preserve">In carrying out this critical responsibility, the Board of Directors has established an Enterprise Risk Management Council consisting of key members of the brand business units, risk management, quality assurance, legal, finance and internal audit functions within the Corporation. The Enterprise Risk Management Council assists the Board of Directors with the identification, assessment, management, and monitoring of risks inherent to the business of the Corporation and with risk management decisions pertaining to the Corporations practices and activities. The Enterprise Risk Management Council is led by the Corporations Executive Director of Risk Management, who reports regularly to the Audit Committee and the Board of Directors. </w:t>
      </w:r>
    </w:p>
    <w:p>
      <w:pPr>
        <w:pStyle w:val="TextBody"/>
        <w:spacing w:before="120" w:after="0"/>
        <w:jc w:val="left"/>
        <w:rPr>
          <w:rFonts w:ascii="arial" w:hAnsi="arial"/>
          <w:sz w:val="20"/>
        </w:rPr>
      </w:pPr>
      <w:r>
        <w:rPr>
          <w:rFonts w:ascii="arial" w:hAnsi="arial"/>
          <w:sz w:val="20"/>
        </w:rPr>
        <w:t xml:space="preserve">The Audit Committee assists the Board of Directors with oversight of the Corporations policies with respect to risk assessment and risk management. In addition, the Audit Committee oversees and evaluates the management of risks associated with accounting, auditing, financial reporting, internal controls over financial reporting, food safety, quality assurance and cybersecurity. The Audit Committee assists the Board of Directors and the Chief Executive Officer in its oversight of the integrity of the Corporations financial statements, the Corporations compliance with legal and regulatory requirements, the performance, qualifications, and independence of the Corporations independent auditor and the performance of the Corporations internal audit function. The Audit Committee is responsible for reviewing and discussing the guidelines and policies governing the process by which senior management and the Corporations internal audit function assess and manage the Corporations exposure to risk, as well as the Corporations major financial risk exposures and the steps management has taken to monitor and control such exposures. </w:t>
      </w:r>
    </w:p>
    <w:p>
      <w:pPr>
        <w:pStyle w:val="TextBody"/>
        <w:spacing w:before="120" w:after="0"/>
        <w:jc w:val="left"/>
        <w:rPr>
          <w:rFonts w:ascii="arial" w:hAnsi="arial"/>
          <w:sz w:val="20"/>
        </w:rPr>
      </w:pPr>
      <w:r>
        <w:rPr>
          <w:rFonts w:ascii="arial" w:hAnsi="arial"/>
          <w:sz w:val="20"/>
        </w:rPr>
        <w:t xml:space="preserve">The Compensation Committee and the Nominating and Corporate Governance Committee also oversee risks within their respective areas of responsibility. The Compensation Committee oversees the management of risks relating to the Corporations compensation policies and practices. The Nominating and Corporate Governance Committee oversees the management of risks associated with the Board of Directors organization, membership and structure, corporate governance, the independence of members of the Board of Directors and assessment of the performance and effectiveness of each member of the Board of Directors. While each committee is responsible for evaluating certain risks and overseeing the management of such risks, the entire Board of Directors is regularly informed through committee reports and management updates about such risks. </w:t>
      </w:r>
    </w:p>
    <w:p>
      <w:pPr>
        <w:pStyle w:val="TextBody"/>
        <w:spacing w:before="360" w:after="0"/>
        <w:jc w:val="left"/>
        <w:rPr>
          <w:rFonts w:ascii="arial" w:hAnsi="arial"/>
          <w:b/>
          <w:color w:val="CF0A2C"/>
          <w:sz w:val="28"/>
        </w:rPr>
      </w:pPr>
      <w:bookmarkStart w:id="8" w:name="toc116694_6"/>
      <w:bookmarkEnd w:id="8"/>
      <w:r>
        <w:rPr>
          <w:rFonts w:ascii="arial" w:hAnsi="arial"/>
          <w:b/>
          <w:color w:val="CF0A2C"/>
          <w:sz w:val="28"/>
        </w:rPr>
        <w:t xml:space="preserve">Director Independence </w:t>
      </w:r>
    </w:p>
    <w:p>
      <w:pPr>
        <w:pStyle w:val="TextBody"/>
        <w:spacing w:before="120" w:after="0"/>
        <w:jc w:val="left"/>
        <w:rPr>
          <w:rFonts w:ascii="arial" w:hAnsi="arial"/>
          <w:sz w:val="20"/>
        </w:rPr>
      </w:pPr>
      <w:r>
        <w:rPr>
          <w:rFonts w:ascii="arial" w:hAnsi="arial"/>
          <w:sz w:val="20"/>
        </w:rPr>
        <w:t xml:space="preserve">The NYSE rules require listed companies to have a board of directors with at least a majority of independent directors. The Board of Directors has had a majority of independent directors since the Corporation went public in 1991.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1"/>
        <w:gridCol w:w="122"/>
        <w:gridCol w:w="9642"/>
      </w:tblGrid>
      <w:tr>
        <w:trPr/>
        <w:tc>
          <w:tcPr>
            <w:tcW w:w="4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441" w:type="dxa"/>
            <w:tcBorders/>
            <w:shd w:fill="auto" w:val="clear"/>
            <w:vAlign w:val="center"/>
          </w:tcPr>
          <w:p>
            <w:pPr>
              <w:pStyle w:val="TableContents"/>
              <w:spacing w:before="0" w:after="283"/>
              <w:rPr/>
            </w:pPr>
            <w:r>
              <w:rPr/>
              <w:t>6    </w:t>
            </w:r>
          </w:p>
        </w:tc>
        <w:tc>
          <w:tcPr>
            <w:tcW w:w="122" w:type="dxa"/>
            <w:tcBorders/>
            <w:shd w:fill="auto" w:val="clear"/>
            <w:vAlign w:val="bottom"/>
          </w:tcPr>
          <w:p>
            <w:pPr>
              <w:pStyle w:val="TableContents"/>
              <w:spacing w:before="0" w:after="283"/>
              <w:rPr/>
            </w:pPr>
            <w:r>
              <w:rPr/>
              <w:t> </w:t>
            </w:r>
          </w:p>
        </w:tc>
        <w:tc>
          <w:tcPr>
            <w:tcW w:w="9642" w:type="dxa"/>
            <w:tcBorders/>
            <w:shd w:fill="auto" w:val="clear"/>
          </w:tcPr>
          <w:p>
            <w:pPr>
              <w:pStyle w:val="TableContents"/>
              <w:spacing w:before="0" w:after="283"/>
              <w:rPr/>
            </w:pPr>
            <w:r>
              <w:rPr/>
              <w:drawing>
                <wp:inline distT="0" distB="0" distL="0" distR="0">
                  <wp:extent cx="24765" cy="3048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CORPORATE GOVERNANCE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Under the NYSE rules, a director qualifies as independent if the Board of Directors affirmatively determines that he or she has no material relationship with the Corporation (either directly or as a partner, stockholder or officer of an organization that has a material relationship with the Corporation). Based upon a review of the directors backgrounds and business activities, the Board of Directors has affirmatively determined that directors Howard M. Berk, Daniel J. Brestle, Susan M. Collyns, Richard J. Dahl, Michael C. Hyter, Larry A. Kay, Caroline W. Nahas, Douglas M. Pasquale, Gilbert T. Ray, and Lilian C. Tomovich have no material relationships (other than service as a director on the Board of Directors) with the Corporation and therefore that they each qualify as independent. </w:t>
      </w:r>
    </w:p>
    <w:p>
      <w:pPr>
        <w:pStyle w:val="TextBody"/>
        <w:spacing w:before="120" w:after="0"/>
        <w:jc w:val="left"/>
        <w:rPr>
          <w:rFonts w:ascii="arial" w:hAnsi="arial"/>
          <w:sz w:val="20"/>
        </w:rPr>
      </w:pPr>
      <w:r>
        <w:rPr>
          <w:rFonts w:ascii="arial" w:hAnsi="arial"/>
          <w:sz w:val="20"/>
        </w:rPr>
        <w:t xml:space="preserve">In making its determination for Mr. Berk, Mr. Hyter, and Ms. Nahas, the Board of Directors specifically considered, amongst other factors,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Mr. Berks position as a partner of MSD Capital, L.P. and the fact that MSD Capital, L.P. may be deemed to beneficially own 740,545 shares of the Corporations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2"/>
        <w:gridCol w:w="205"/>
        <w:gridCol w:w="9381"/>
      </w:tblGrid>
      <w:tr>
        <w:trPr/>
        <w:tc>
          <w:tcPr>
            <w:tcW w:w="407"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arial" w:hAnsi="arial"/>
                <w:sz w:val="20"/>
              </w:rPr>
            </w:pPr>
            <w:r>
              <w:rPr>
                <w:rFonts w:ascii="arial" w:hAnsi="arial"/>
                <w:sz w:val="20"/>
              </w:rPr>
              <w:t xml:space="preserve">Mr. Hyters former position as the Chief Diversity Officer of Korn/Ferry International (Korn/Ferry) and the Corporations engagement of Korn/Ferry to provide sensitivity and inclusion training for the Corporations employees, franchisees, and the Board of Directors as well as customized training materials for the Corporations future use. The Corporation paid Korn/Ferry a total of $229,040 in 2020 and $443,680 in 2019 for such services. The Board of Directors considered the fact that Mr. Hyter did not have any direct or indirect involvement with the Corporations consideration or selection of Korn/Ferry. Additionally, the Board of Directors does not believe Mr. Hyter had a material direct or indirect interest in the engagement or the services to be provided.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Ms. Nahas former position as the Vice Chair of Korn/Ferry, her current position as Senior Advisor of Korn/Ferry, and the Corporations engagement of Korn/Ferry to provide sensitivity and inclusion training for the Corporations employees, franchisees, and the Board of Directors as well as customized training materials for the Corporations future use. The Corporation paid Korn/Ferry a total of $229,040 in 2020 and $443,680 in 2019 for such services. The Board of Directors considered the fact that Ms. Nahas did not have any direct or indirect involvement with the Corporations consideration or selection of Korn/Ferry. Additionally, the Board of Directors does not believe Ms. Nahas has a material direct or indirect interest in the engagement or the services to be provided nor does the Board of Directors believe that such engagement impairs Ms. Nahas judgment regarding the Corporations executive compensation. </w:t>
            </w:r>
          </w:p>
        </w:tc>
      </w:tr>
    </w:tbl>
    <w:p>
      <w:pPr>
        <w:pStyle w:val="TextBody"/>
        <w:spacing w:before="120" w:after="0"/>
        <w:jc w:val="left"/>
        <w:rPr>
          <w:rFonts w:ascii="arial" w:hAnsi="arial"/>
          <w:sz w:val="20"/>
        </w:rPr>
      </w:pPr>
      <w:r>
        <w:rPr>
          <w:rFonts w:ascii="arial" w:hAnsi="arial"/>
          <w:sz w:val="20"/>
        </w:rPr>
        <w:t xml:space="preserve">John W. Peyton, the Corporations Chief Executive Officer, does not qualify as an independent director. </w:t>
      </w:r>
    </w:p>
    <w:p>
      <w:pPr>
        <w:pStyle w:val="TextBody"/>
        <w:spacing w:before="120" w:after="0"/>
        <w:jc w:val="left"/>
        <w:rPr>
          <w:rFonts w:ascii="arial" w:hAnsi="arial"/>
          <w:sz w:val="20"/>
        </w:rPr>
      </w:pPr>
      <w:r>
        <w:rPr>
          <w:rFonts w:ascii="arial" w:hAnsi="arial"/>
          <w:sz w:val="20"/>
        </w:rPr>
        <w:t xml:space="preserve">Both the Sarbanes-Oxley Act of 2002 and the NYSE rules require the Board of Directors to have an audit committee comprised solely of independent directors, and the NYSE rules also require the Board of Directors to have a compensation committee and a nominating and corporate governance committee, each of which is comprised solely of independent directors. The Corporation is in compliance with these requirements. </w:t>
      </w:r>
    </w:p>
    <w:p>
      <w:pPr>
        <w:pStyle w:val="TextBody"/>
        <w:spacing w:before="360" w:after="0"/>
        <w:jc w:val="left"/>
        <w:rPr>
          <w:rFonts w:ascii="arial" w:hAnsi="arial"/>
          <w:b/>
          <w:color w:val="CF0A2C"/>
          <w:sz w:val="28"/>
        </w:rPr>
      </w:pPr>
      <w:bookmarkStart w:id="9" w:name="toc116694_7"/>
      <w:bookmarkEnd w:id="9"/>
      <w:r>
        <w:rPr>
          <w:rFonts w:ascii="arial" w:hAnsi="arial"/>
          <w:b/>
          <w:color w:val="CF0A2C"/>
          <w:sz w:val="28"/>
        </w:rPr>
        <w:t xml:space="preserve">Codes of Conduct </w:t>
      </w:r>
    </w:p>
    <w:p>
      <w:pPr>
        <w:pStyle w:val="TextBody"/>
        <w:spacing w:before="120" w:after="0"/>
        <w:jc w:val="left"/>
        <w:rPr>
          <w:rFonts w:ascii="arial" w:hAnsi="arial"/>
          <w:sz w:val="20"/>
        </w:rPr>
      </w:pPr>
      <w:r>
        <w:rPr>
          <w:rFonts w:ascii="arial" w:hAnsi="arial"/>
          <w:sz w:val="20"/>
        </w:rPr>
        <w:t xml:space="preserve">The Corporation is committed to maintaining high standards of business conduct and corporate governance, which the Corporation considers essential to running its business efficiently, serving the Corporations stockholders well and maintaining the Corporations integrity in the marketplace. Accordingly, the Board of Directors has adopted a Global Code of Conduct, which applies to all directors, officers, and employees of the Corporation. The Global Code of Conduct sets forth the fundamental principles and key policies that govern the way the Corporation conducts business, including workplace conduct, conflicts of interest, gifts and entertainment, political and community involvement, protection of corporate property, fair business practices, global relations and other laws and regulations applicable to the Corporations business. </w:t>
      </w:r>
    </w:p>
    <w:p>
      <w:pPr>
        <w:pStyle w:val="TextBody"/>
        <w:spacing w:before="120" w:after="0"/>
        <w:jc w:val="left"/>
        <w:rPr>
          <w:rFonts w:ascii="arial" w:hAnsi="arial"/>
          <w:sz w:val="20"/>
        </w:rPr>
      </w:pPr>
      <w:r>
        <w:rPr>
          <w:rFonts w:ascii="arial" w:hAnsi="arial"/>
          <w:sz w:val="20"/>
        </w:rPr>
        <w:t xml:space="preserve">In addition to the Global Code of Conduct, the Board of Directors has adopted a Code of Conduct for Non-Employee Directors, which serves as guidance to the Corporations non-employee directors on ethical issues including conflicts of interest, confidentiality, corporate opportunities, fair disclosure, protection and proper use of corporate assets, fair dealing, harassment and discrimination, and other laws and regulations applicable to the Corporations business. </w:t>
      </w:r>
    </w:p>
    <w:p>
      <w:pPr>
        <w:pStyle w:val="TextBody"/>
        <w:spacing w:before="120" w:after="0"/>
        <w:jc w:val="left"/>
        <w:rPr>
          <w:rFonts w:ascii="arial" w:hAnsi="arial"/>
          <w:sz w:val="20"/>
        </w:rPr>
      </w:pPr>
      <w:r>
        <w:rPr>
          <w:rFonts w:ascii="arial" w:hAnsi="arial"/>
          <w:sz w:val="20"/>
        </w:rPr>
        <w:t xml:space="preserve">The Board of Directors has also adopted the Code of Ethics for the Chief Executive Officer and Senior Financial Officers. These individuals are expected to avoid actual or apparent conflicts between their personal and professional relationships and make full disclosure of any material transaction or relationship that could create or appear to create a conflict of interest to the General Counsel, who will inform and seek a determination from the Chair of the Audit Committee as to whether 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39"/>
        <w:gridCol w:w="122"/>
        <w:gridCol w:w="444"/>
      </w:tblGrid>
      <w:tr>
        <w:trPr/>
        <w:tc>
          <w:tcPr>
            <w:tcW w:w="96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9639" w:type="dxa"/>
            <w:tcBorders/>
            <w:shd w:fill="auto" w:val="clear"/>
          </w:tcPr>
          <w:p>
            <w:pPr>
              <w:pStyle w:val="TableContents"/>
              <w:spacing w:before="0" w:after="283"/>
              <w:jc w:val="right"/>
              <w:rPr/>
            </w:pPr>
            <w:r>
              <w:rPr/>
              <w:drawing>
                <wp:inline distT="0" distB="0" distL="0" distR="0">
                  <wp:extent cx="24765" cy="3048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24765" cy="30480"/>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444" w:type="dxa"/>
            <w:tcBorders/>
            <w:shd w:fill="auto" w:val="clear"/>
            <w:vAlign w:val="center"/>
          </w:tcPr>
          <w:p>
            <w:pPr>
              <w:pStyle w:val="TableContents"/>
              <w:spacing w:before="0" w:after="283"/>
              <w:jc w:val="right"/>
              <w:rPr/>
            </w:pPr>
            <w:r>
              <w:rPr/>
              <w:t>    </w:t>
            </w:r>
            <w:r>
              <w:rPr/>
              <w:t>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CORPORATE GOVERNANCE</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conflict exists and the appropriate disposition of the matter. In addition, these individuals are expected to promote the corporate policy of making full, fair, accurate and understandable disclosure in all reports and documents filed with the SEC; report violations of the Code of Ethics to the General Counsel or the Chair of the Audit Committee; and request from the General Counsel any waivers of the Code of Ethics, which shall be publicly disclosed if required by applicable law. </w:t>
      </w:r>
    </w:p>
    <w:p>
      <w:pPr>
        <w:pStyle w:val="TextBody"/>
        <w:spacing w:before="120" w:after="0"/>
        <w:jc w:val="left"/>
        <w:rPr>
          <w:rFonts w:ascii="arial" w:hAnsi="arial"/>
          <w:sz w:val="20"/>
        </w:rPr>
      </w:pPr>
      <w:r>
        <w:rPr>
          <w:rFonts w:ascii="arial" w:hAnsi="arial"/>
          <w:sz w:val="20"/>
        </w:rPr>
        <w:t xml:space="preserve">Any waiver of any provision of the Global Code of Conduct or the Code of Ethics for Chief Executive Officer and Senior Financial Officers for any executive officer may be granted only by the Board of Directors. Any waiver of the Code of Conduct for Non-Employee Directors may be granted only by the disinterested directors of the Board of Directors or the Audit Committee, and any such waiver shall be promptly disclosed to the Corporations stockholders. The Board of Directors and the Audit Committee review whether such waivers are in the best interests of the Corporation and its stockholders, taking into account all relevant factors. In 2020, there were no waivers of (a) the Global Code of Conduct for executive officers, (b) the Code of Ethics for Chief Executive Officer and Senior Financial Officers, or (c) the Code of Conduct for Non-Employee Directors. </w:t>
      </w:r>
    </w:p>
    <w:p>
      <w:pPr>
        <w:pStyle w:val="TextBody"/>
        <w:spacing w:before="120" w:after="0"/>
        <w:jc w:val="left"/>
        <w:rPr>
          <w:rFonts w:ascii="arial" w:hAnsi="arial"/>
          <w:sz w:val="20"/>
        </w:rPr>
      </w:pPr>
      <w:r>
        <w:rPr>
          <w:rFonts w:ascii="arial" w:hAnsi="arial"/>
          <w:sz w:val="20"/>
        </w:rPr>
        <w:t xml:space="preserve">The Corporation also maintains an ethics hotline to allow any employee to express a concern or lodge a complaint, confidentially and anonymously, about any potential violation of the Corporations Global Code of Conduct. </w:t>
      </w:r>
    </w:p>
    <w:p>
      <w:pPr>
        <w:pStyle w:val="TextBody"/>
        <w:spacing w:before="120" w:after="0"/>
        <w:jc w:val="left"/>
        <w:rPr>
          <w:rFonts w:ascii="arial" w:hAnsi="arial"/>
          <w:sz w:val="20"/>
        </w:rPr>
      </w:pPr>
      <w:r>
        <w:rPr>
          <w:rFonts w:ascii="arial" w:hAnsi="arial"/>
          <w:sz w:val="20"/>
        </w:rPr>
        <w:t xml:space="preserve">Copies of the Global Code of Conduct, the Code of Conduct for Non-Employee Directors and the Code of Ethics for Chief Executive Officer and Senior Financial Officers can be found in the Corporate Governance section of the Corporations website, http://www.dinebrands.com. In addition, printed copies of the codes of conduct are available at no charge upon request to the Secretary at Dine Brands Global, Inc., 450 North Brand Boulevard, Glendale, California 91203, (866) 995- DINE. We will disclose any future substantive amendments to, or waivers granted to any officer from, the provisions of these ethics policies and standards on the Corporations website as promptly as practicable as may be required under applicable rules of the SEC or the NYSE. </w:t>
      </w:r>
    </w:p>
    <w:p>
      <w:pPr>
        <w:pStyle w:val="TextBody"/>
        <w:spacing w:before="360" w:after="0"/>
        <w:jc w:val="left"/>
        <w:rPr>
          <w:rFonts w:ascii="arial" w:hAnsi="arial"/>
          <w:b/>
          <w:color w:val="CF0A2C"/>
          <w:sz w:val="28"/>
        </w:rPr>
      </w:pPr>
      <w:bookmarkStart w:id="10" w:name="toc116694_8"/>
      <w:bookmarkEnd w:id="10"/>
      <w:r>
        <w:rPr>
          <w:rFonts w:ascii="arial" w:hAnsi="arial"/>
          <w:b/>
          <w:color w:val="CF0A2C"/>
          <w:sz w:val="28"/>
        </w:rPr>
        <w:t xml:space="preserve">Corporate Governance Guidelines </w:t>
      </w:r>
    </w:p>
    <w:p>
      <w:pPr>
        <w:pStyle w:val="TextBody"/>
        <w:spacing w:before="120" w:after="0"/>
        <w:jc w:val="left"/>
        <w:rPr>
          <w:rFonts w:ascii="arial" w:hAnsi="arial"/>
          <w:sz w:val="20"/>
        </w:rPr>
      </w:pPr>
      <w:r>
        <w:rPr>
          <w:rFonts w:ascii="arial" w:hAnsi="arial"/>
          <w:sz w:val="20"/>
        </w:rPr>
        <w:t xml:space="preserve">The Corporation has adopted corporate governance guidelines which can be found in the Corporate Governance section of the Corporations website, http://www.dinebrands.com. In addition, printed copies of the Corporations corporate governance guidelines are available at no charge upon request to the Secretary at Dine Brands Global, Inc., 450 North Brand Boulevard, Glendale, California 91203, (866) 995-DINE. </w:t>
      </w:r>
    </w:p>
    <w:p>
      <w:pPr>
        <w:pStyle w:val="TextBody"/>
        <w:spacing w:before="360" w:after="0"/>
        <w:jc w:val="left"/>
        <w:rPr>
          <w:rFonts w:ascii="arial" w:hAnsi="arial"/>
          <w:b/>
          <w:color w:val="CF0A2C"/>
          <w:sz w:val="28"/>
        </w:rPr>
      </w:pPr>
      <w:bookmarkStart w:id="11" w:name="toc116694_9"/>
      <w:bookmarkEnd w:id="11"/>
      <w:r>
        <w:rPr>
          <w:rFonts w:ascii="arial" w:hAnsi="arial"/>
          <w:b/>
          <w:color w:val="CF0A2C"/>
          <w:sz w:val="28"/>
        </w:rPr>
        <w:t xml:space="preserve">Director Attendance at Meetings </w:t>
      </w:r>
    </w:p>
    <w:p>
      <w:pPr>
        <w:pStyle w:val="TextBody"/>
        <w:spacing w:before="120" w:after="0"/>
        <w:jc w:val="left"/>
        <w:rPr>
          <w:rFonts w:ascii="arial" w:hAnsi="arial"/>
          <w:sz w:val="20"/>
        </w:rPr>
      </w:pPr>
      <w:r>
        <w:rPr>
          <w:rFonts w:ascii="arial" w:hAnsi="arial"/>
          <w:sz w:val="20"/>
        </w:rPr>
        <w:t xml:space="preserve">Directors are expected to attend the Corporations Annual Meeting. All directors attended the 2020 annual meeting of stockholders, which was held virtually by means of remote communication. The Board of Directors held twenty-one meetings during 2020. During 2020, each incumbent director attended 75% or more of the aggregate of the meetings of the Board of Directors and of the committees on which he or she served that were held during the period for which he or she served as a director. </w:t>
      </w:r>
    </w:p>
    <w:p>
      <w:pPr>
        <w:pStyle w:val="TextBody"/>
        <w:spacing w:before="360" w:after="0"/>
        <w:jc w:val="left"/>
        <w:rPr>
          <w:rFonts w:ascii="arial" w:hAnsi="arial"/>
          <w:b/>
          <w:color w:val="CF0A2C"/>
          <w:sz w:val="28"/>
        </w:rPr>
      </w:pPr>
      <w:bookmarkStart w:id="12" w:name="toc116694_10"/>
      <w:bookmarkEnd w:id="12"/>
      <w:r>
        <w:rPr>
          <w:rFonts w:ascii="arial" w:hAnsi="arial"/>
          <w:b/>
          <w:color w:val="CF0A2C"/>
          <w:sz w:val="28"/>
        </w:rPr>
        <w:t xml:space="preserve">Executive Sessions of Non-Management Directors </w:t>
      </w:r>
    </w:p>
    <w:p>
      <w:pPr>
        <w:pStyle w:val="TextBody"/>
        <w:spacing w:before="120" w:after="0"/>
        <w:jc w:val="left"/>
        <w:rPr>
          <w:rFonts w:ascii="arial" w:hAnsi="arial"/>
          <w:sz w:val="20"/>
        </w:rPr>
      </w:pPr>
      <w:r>
        <w:rPr>
          <w:rFonts w:ascii="arial" w:hAnsi="arial"/>
          <w:sz w:val="20"/>
        </w:rPr>
        <w:t xml:space="preserve">The NYSE rules require that the non-management directors of a listed company meet at regularly scheduled executive sessions without management. The Corporations non-management directors generally meet separately at regular meetings of the Board of Directors and committee meetings. The independent Chairman of the Board of Directors, Richard J. Dahl, presides during executive sessions of the Board of Directors. </w:t>
      </w:r>
    </w:p>
    <w:p>
      <w:pPr>
        <w:pStyle w:val="TextBody"/>
        <w:spacing w:before="360" w:after="0"/>
        <w:jc w:val="left"/>
        <w:rPr>
          <w:rFonts w:ascii="arial" w:hAnsi="arial"/>
          <w:b/>
          <w:color w:val="CF0A2C"/>
          <w:sz w:val="28"/>
        </w:rPr>
      </w:pPr>
      <w:bookmarkStart w:id="13" w:name="toc116694_11"/>
      <w:bookmarkEnd w:id="13"/>
      <w:r>
        <w:rPr>
          <w:rFonts w:ascii="arial" w:hAnsi="arial"/>
          <w:b/>
          <w:color w:val="CF0A2C"/>
          <w:sz w:val="28"/>
        </w:rPr>
        <w:t xml:space="preserve">Communications with the Board of Directors </w:t>
      </w:r>
    </w:p>
    <w:p>
      <w:pPr>
        <w:pStyle w:val="TextBody"/>
        <w:spacing w:before="120" w:after="0"/>
        <w:jc w:val="left"/>
        <w:rPr>
          <w:rFonts w:ascii="arial" w:hAnsi="arial"/>
          <w:sz w:val="20"/>
        </w:rPr>
      </w:pPr>
      <w:r>
        <w:rPr>
          <w:rFonts w:ascii="arial" w:hAnsi="arial"/>
          <w:sz w:val="20"/>
        </w:rPr>
        <w:t xml:space="preserve">Stockholders and other interested persons wishing to communicate directly with the Board of Directors, the Chairman of the Board of Directors, any committee or chair of a committee, or any non-management director, individually or as a group, may do so by sending written communications appropriately addressed to the following address: </w:t>
      </w:r>
    </w:p>
    <w:p>
      <w:pPr>
        <w:pStyle w:val="TextBody"/>
        <w:spacing w:before="120" w:after="0"/>
        <w:jc w:val="left"/>
        <w:rPr>
          <w:rFonts w:ascii="arial" w:hAnsi="arial"/>
          <w:sz w:val="20"/>
        </w:rPr>
      </w:pPr>
      <w:r>
        <w:rPr>
          <w:rFonts w:ascii="arial" w:hAnsi="arial"/>
          <w:sz w:val="20"/>
        </w:rPr>
        <w:t xml:space="preserve">Dine Brands Global, Inc. </w:t>
      </w:r>
    </w:p>
    <w:p>
      <w:pPr>
        <w:pStyle w:val="TextBody"/>
        <w:spacing w:before="0" w:after="0"/>
        <w:jc w:val="left"/>
        <w:rPr>
          <w:rFonts w:ascii="arial" w:hAnsi="arial"/>
          <w:sz w:val="20"/>
        </w:rPr>
      </w:pPr>
      <w:r>
        <w:rPr>
          <w:rFonts w:ascii="arial" w:hAnsi="arial"/>
          <w:sz w:val="20"/>
        </w:rPr>
        <w:t xml:space="preserve">(or a particular subgroup or individual director) </w:t>
      </w:r>
    </w:p>
    <w:p>
      <w:pPr>
        <w:pStyle w:val="TextBody"/>
        <w:spacing w:before="0" w:after="0"/>
        <w:jc w:val="left"/>
        <w:rPr>
          <w:rFonts w:ascii="arial" w:hAnsi="arial"/>
          <w:sz w:val="20"/>
        </w:rPr>
      </w:pPr>
      <w:r>
        <w:rPr>
          <w:rFonts w:ascii="arial" w:hAnsi="arial"/>
          <w:sz w:val="20"/>
        </w:rPr>
        <w:t xml:space="preserve">c/o Office of the Secretary </w:t>
      </w:r>
    </w:p>
    <w:p>
      <w:pPr>
        <w:pStyle w:val="TextBody"/>
        <w:spacing w:before="0" w:after="0"/>
        <w:jc w:val="left"/>
        <w:rPr>
          <w:rFonts w:ascii="arial" w:hAnsi="arial"/>
          <w:sz w:val="20"/>
        </w:rPr>
      </w:pPr>
      <w:r>
        <w:rPr>
          <w:rFonts w:ascii="arial" w:hAnsi="arial"/>
          <w:sz w:val="20"/>
        </w:rPr>
        <w:t xml:space="preserve">450 North Brand Boulevard, 7th Floor </w:t>
      </w:r>
    </w:p>
    <w:p>
      <w:pPr>
        <w:pStyle w:val="TextBody"/>
        <w:spacing w:before="0" w:after="0"/>
        <w:jc w:val="left"/>
        <w:rPr>
          <w:rFonts w:ascii="arial" w:hAnsi="arial"/>
          <w:sz w:val="20"/>
        </w:rPr>
      </w:pPr>
      <w:r>
        <w:rPr>
          <w:rFonts w:ascii="arial" w:hAnsi="arial"/>
          <w:sz w:val="20"/>
        </w:rPr>
        <w:t xml:space="preserve">Glendale, California 91203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1"/>
        <w:gridCol w:w="122"/>
        <w:gridCol w:w="9642"/>
      </w:tblGrid>
      <w:tr>
        <w:trPr/>
        <w:tc>
          <w:tcPr>
            <w:tcW w:w="4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441" w:type="dxa"/>
            <w:tcBorders/>
            <w:shd w:fill="auto" w:val="clear"/>
            <w:vAlign w:val="center"/>
          </w:tcPr>
          <w:p>
            <w:pPr>
              <w:pStyle w:val="TableContents"/>
              <w:spacing w:before="0" w:after="283"/>
              <w:rPr/>
            </w:pPr>
            <w:r>
              <w:rPr/>
              <w:t>8    </w:t>
            </w:r>
          </w:p>
        </w:tc>
        <w:tc>
          <w:tcPr>
            <w:tcW w:w="122" w:type="dxa"/>
            <w:tcBorders/>
            <w:shd w:fill="auto" w:val="clear"/>
            <w:vAlign w:val="bottom"/>
          </w:tcPr>
          <w:p>
            <w:pPr>
              <w:pStyle w:val="TableContents"/>
              <w:spacing w:before="0" w:after="283"/>
              <w:rPr/>
            </w:pPr>
            <w:r>
              <w:rPr/>
              <w:t> </w:t>
            </w:r>
          </w:p>
        </w:tc>
        <w:tc>
          <w:tcPr>
            <w:tcW w:w="9642" w:type="dxa"/>
            <w:tcBorders/>
            <w:shd w:fill="auto" w:val="clear"/>
          </w:tcPr>
          <w:p>
            <w:pPr>
              <w:pStyle w:val="TableContents"/>
              <w:spacing w:before="0" w:after="283"/>
              <w:rPr/>
            </w:pPr>
            <w:r>
              <w:rPr/>
              <w:drawing>
                <wp:inline distT="0" distB="0" distL="0" distR="0">
                  <wp:extent cx="24765" cy="3048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CORPORATE GOVERNANCE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Each written communication should specify the applicable addressee or addressees to be contacted, as well as the general topic of the communication. The Board of Directors has designated the Secretary of the Corporation as its agent to receive and review communications addressed to the Board of Directors, Chairman of the Board of Directors, any committee or chair of a committee, or any non-management director, individually or as a group. The Office of the Secretary will initially receive and process communications to determine whether it is a proper communication for the Board of Directors. If the envelope containing a communication that a stockholder or other interested person wishes to be confidential is conspicuously marked Confidential, the Secretary of the Corporation will not open the communication prior to forwarding it to the appropriate individual(s). Generally, any communication that is primarily commercial, offensive, illegal, or otherwise inappropriate, or does not substantively relate to the duties and responsibilities of our Board of Directors, may not be forwarded. </w:t>
      </w:r>
    </w:p>
    <w:p>
      <w:pPr>
        <w:pStyle w:val="TextBody"/>
        <w:spacing w:before="360" w:after="0"/>
        <w:jc w:val="left"/>
        <w:rPr>
          <w:rFonts w:ascii="arial" w:hAnsi="arial"/>
          <w:b/>
          <w:color w:val="CF0A2C"/>
          <w:sz w:val="28"/>
        </w:rPr>
      </w:pPr>
      <w:bookmarkStart w:id="14" w:name="toc116694_12"/>
      <w:bookmarkEnd w:id="14"/>
      <w:r>
        <w:rPr>
          <w:rFonts w:ascii="arial" w:hAnsi="arial"/>
          <w:b/>
          <w:color w:val="CF0A2C"/>
          <w:sz w:val="28"/>
        </w:rPr>
        <w:t xml:space="preserve">Board of Directors Retirement Policy </w:t>
      </w:r>
    </w:p>
    <w:p>
      <w:pPr>
        <w:pStyle w:val="TextBody"/>
        <w:spacing w:before="120" w:after="0"/>
        <w:jc w:val="left"/>
        <w:rPr>
          <w:rFonts w:ascii="arial" w:hAnsi="arial"/>
          <w:sz w:val="20"/>
        </w:rPr>
      </w:pPr>
      <w:r>
        <w:rPr>
          <w:rFonts w:ascii="arial" w:hAnsi="arial"/>
          <w:sz w:val="20"/>
        </w:rPr>
        <w:t xml:space="preserve">The Corporations corporate governance guidelines provide that no person may stand for election to serve as a member of the Corporations Board of Directors if he or she shall have reached his or her 76th birthday. Under special circumstances, upon the recommendation of the Nominating and Corporate Governance Committee, and upon approval by the Board of Directors, a person who has reached his or her 76th birthday may be permitted to stand for election and, if elected, continue to serve on the Board of Directors. </w:t>
      </w:r>
    </w:p>
    <w:p>
      <w:pPr>
        <w:pStyle w:val="TextBody"/>
        <w:spacing w:before="360" w:after="0"/>
        <w:jc w:val="left"/>
        <w:rPr>
          <w:rFonts w:ascii="arial" w:hAnsi="arial"/>
          <w:b/>
          <w:color w:val="CF0A2C"/>
          <w:sz w:val="28"/>
        </w:rPr>
      </w:pPr>
      <w:bookmarkStart w:id="15" w:name="toc116694_13"/>
      <w:bookmarkEnd w:id="15"/>
      <w:r>
        <w:rPr>
          <w:rFonts w:ascii="arial" w:hAnsi="arial"/>
          <w:b/>
          <w:color w:val="CF0A2C"/>
          <w:sz w:val="28"/>
        </w:rPr>
        <w:t xml:space="preserve">Other Public Corporation Directorships </w:t>
      </w:r>
    </w:p>
    <w:p>
      <w:pPr>
        <w:pStyle w:val="TextBody"/>
        <w:spacing w:before="120" w:after="0"/>
        <w:jc w:val="left"/>
        <w:rPr>
          <w:rFonts w:ascii="arial" w:hAnsi="arial"/>
          <w:sz w:val="20"/>
        </w:rPr>
      </w:pPr>
      <w:r>
        <w:rPr>
          <w:rFonts w:ascii="arial" w:hAnsi="arial"/>
          <w:sz w:val="20"/>
        </w:rPr>
        <w:t xml:space="preserve">The Corporations corporate governance guidelines provide that directors should not serve on more than a total of four public corporation boards, inclusive of service on the Corporations Board of Directors. Directors who also serve as executives of the Corporation should not serve on more than a total of two public corporation boards, inclusive of service on the Corporations Board of Directors. The Nominating and Corporate Governance Committee has discretion to waive this guideline on a case by case basis if it determines that special circumstances warrant permitting a director to serve on more than the applicable number of public corporation boards allowed under the corporate governance guidelines. </w:t>
      </w:r>
    </w:p>
    <w:p>
      <w:pPr>
        <w:pStyle w:val="TextBody"/>
        <w:spacing w:before="360" w:after="0"/>
        <w:jc w:val="left"/>
        <w:rPr>
          <w:rFonts w:ascii="arial" w:hAnsi="arial"/>
          <w:b/>
          <w:color w:val="CF0A2C"/>
          <w:sz w:val="28"/>
        </w:rPr>
      </w:pPr>
      <w:bookmarkStart w:id="16" w:name="toc116694_14"/>
      <w:bookmarkEnd w:id="16"/>
      <w:r>
        <w:rPr>
          <w:rFonts w:ascii="arial" w:hAnsi="arial"/>
          <w:b/>
          <w:color w:val="CF0A2C"/>
          <w:sz w:val="28"/>
        </w:rPr>
        <w:t xml:space="preserve">Certain Relationships and Related Person Transactions </w:t>
      </w:r>
    </w:p>
    <w:p>
      <w:pPr>
        <w:pStyle w:val="TextBody"/>
        <w:spacing w:before="120" w:after="0"/>
        <w:jc w:val="left"/>
        <w:rPr>
          <w:rFonts w:ascii="arial" w:hAnsi="arial"/>
          <w:sz w:val="20"/>
        </w:rPr>
      </w:pPr>
      <w:r>
        <w:rPr>
          <w:rFonts w:ascii="arial" w:hAnsi="arial"/>
          <w:sz w:val="20"/>
        </w:rPr>
        <w:t xml:space="preserve">The Corporations Global Code of Conduct provides that executive officers who encounter a potential or actual conflict of interest must fully disclose all facts and circumstances to the Corporations General Counsel, who will inform and seek a determination from the Audit Committee as to whether a conflict exists and the appropriate disposition of the matter. The Corporations Code of Ethics for Chief Executive and Senior Financial Officers provides that no senior officer may enter into any investment, accept any position or benefits, participate in any transaction or business arrangement or otherwise act in a manner that creates or appears to create a conflict of interest unless the senior officer makes full disclosure of all facts and circumstances to, and obtains the prior written approval of, the General Counsel, the Chair of the Audit Committee of the Board of Directors and/or the Board of Directors. The Corporations Code of Conduct for Non-Employee Directors provides that any director who becomes aware of any situation that involves, or reasonably may appear to involve, a conflict of interest with the Corporation must promptly bring it to the attention of the Corporations General Counsel or to the Chair of the Audit Committee. The Nominating and Corporate Governance Committee considers conflicts of interest in evaluating director nominees. </w:t>
      </w:r>
    </w:p>
    <w:p>
      <w:pPr>
        <w:pStyle w:val="TextBody"/>
        <w:spacing w:before="120" w:after="0"/>
        <w:jc w:val="left"/>
        <w:rPr>
          <w:rFonts w:ascii="arial" w:hAnsi="arial"/>
          <w:sz w:val="20"/>
        </w:rPr>
      </w:pPr>
      <w:r>
        <w:rPr>
          <w:rFonts w:ascii="arial" w:hAnsi="arial"/>
          <w:sz w:val="20"/>
        </w:rPr>
        <w:t xml:space="preserve">The Board of Directors recognizes that transactions involving the Corporation and related parties present a heightened risk of conflicts of interest. The charter of the Audit Committee provides that it will review any related party transactions and, in doing so, consider the business rationale for the transaction and whether appropriate disclosures should be made. Since January 1, 2020, there were no transactions between the Corporation and any related party of the type or amount required to be disclosed under Item 404 of Regulation S-K. </w:t>
      </w:r>
    </w:p>
    <w:p>
      <w:pPr>
        <w:pStyle w:val="TextBody"/>
        <w:spacing w:before="360" w:after="0"/>
        <w:jc w:val="left"/>
        <w:rPr>
          <w:rFonts w:ascii="arial" w:hAnsi="arial"/>
          <w:b/>
          <w:color w:val="CF0A2C"/>
          <w:sz w:val="28"/>
        </w:rPr>
      </w:pPr>
      <w:bookmarkStart w:id="17" w:name="toc116694_15"/>
      <w:bookmarkEnd w:id="17"/>
      <w:r>
        <w:rPr>
          <w:rFonts w:ascii="arial" w:hAnsi="arial"/>
          <w:b/>
          <w:color w:val="CF0A2C"/>
          <w:sz w:val="28"/>
        </w:rPr>
        <w:t xml:space="preserve">Board of Directors Committees and Their Functions </w:t>
      </w:r>
    </w:p>
    <w:p>
      <w:pPr>
        <w:pStyle w:val="TextBody"/>
        <w:spacing w:before="120" w:after="0"/>
        <w:jc w:val="left"/>
        <w:rPr>
          <w:rFonts w:ascii="arial" w:hAnsi="arial"/>
          <w:sz w:val="20"/>
        </w:rPr>
      </w:pPr>
      <w:r>
        <w:rPr>
          <w:rFonts w:ascii="arial" w:hAnsi="arial"/>
          <w:sz w:val="20"/>
        </w:rPr>
        <w:t xml:space="preserve">The Board of Directors has three standing committees, each of which operates under a written charter approved by the Board of Directors: the Audit Committee, Compensation Committee and Nominating and Corporate Governance Committee. Each member of these committees is an independent director in accordance with the NYSE listing standards and the applicable rules and regulations of the SEC.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39"/>
        <w:gridCol w:w="122"/>
        <w:gridCol w:w="444"/>
      </w:tblGrid>
      <w:tr>
        <w:trPr/>
        <w:tc>
          <w:tcPr>
            <w:tcW w:w="96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9639" w:type="dxa"/>
            <w:tcBorders/>
            <w:shd w:fill="auto" w:val="clear"/>
          </w:tcPr>
          <w:p>
            <w:pPr>
              <w:pStyle w:val="TableContents"/>
              <w:spacing w:before="0" w:after="283"/>
              <w:jc w:val="right"/>
              <w:rPr/>
            </w:pPr>
            <w:r>
              <w:rPr/>
              <w:drawing>
                <wp:inline distT="0" distB="0" distL="0" distR="0">
                  <wp:extent cx="24765" cy="3048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24765" cy="30480"/>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444" w:type="dxa"/>
            <w:tcBorders/>
            <w:shd w:fill="auto" w:val="clear"/>
            <w:vAlign w:val="center"/>
          </w:tcPr>
          <w:p>
            <w:pPr>
              <w:pStyle w:val="TableContents"/>
              <w:spacing w:before="0" w:after="283"/>
              <w:jc w:val="right"/>
              <w:rPr/>
            </w:pPr>
            <w:r>
              <w:rPr/>
              <w:t>    </w:t>
            </w:r>
            <w:r>
              <w:rPr/>
              <w:t>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CORPORATE GOVERNANCE</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Audit Committee Charter, the Compensation Committee Charter, and the Nominating and Corporate Governance Committee Charter can be found in the Corporate Governance section of the Corporations website, http://www.dinebrands.com. Printed copies are also available at no charge upon request to the Secretary at Dine Brands Global, Inc., 450 North Brand Boulevard, 7th Floor, Glendale, California 91203, (866) 995-DINE. </w:t>
      </w:r>
    </w:p>
    <w:p>
      <w:pPr>
        <w:pStyle w:val="TextBody"/>
        <w:spacing w:before="120" w:after="0"/>
        <w:jc w:val="left"/>
        <w:rPr>
          <w:rFonts w:ascii="arial" w:hAnsi="arial"/>
          <w:sz w:val="20"/>
        </w:rPr>
      </w:pPr>
      <w:r>
        <w:rPr>
          <w:rFonts w:ascii="arial" w:hAnsi="arial"/>
          <w:sz w:val="20"/>
        </w:rPr>
        <w:t xml:space="preserve">The chart below identifies directors who are members and chairs of each committee as of the date of this proxy statement, the principal functions of each committee and the number of meetings held by each committee during 2020. The Board of Directors believes that committee rotation fosters the sharing of new perspectives and enables directors with diverse skills and experiences to focus on different areas of oversight. The Nominating and Corporate Governance Committee regularly considers committee rotation and makes recommendations to the Board of Directors as appropriate.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49"/>
        <w:gridCol w:w="123"/>
        <w:gridCol w:w="7233"/>
      </w:tblGrid>
      <w:tr>
        <w:trPr/>
        <w:tc>
          <w:tcPr>
            <w:tcW w:w="2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723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849" w:type="dxa"/>
            <w:tcBorders>
              <w:top w:val="single" w:sz="2" w:space="0" w:color="000000"/>
              <w:left w:val="single" w:sz="2" w:space="0" w:color="000000"/>
            </w:tcBorders>
            <w:shd w:fill="CF0A2C" w:val="clear"/>
            <w:tcMar>
              <w:top w:w="28" w:type="dxa"/>
              <w:left w:w="160" w:type="dxa"/>
            </w:tcMar>
            <w:vAlign w:val="center"/>
          </w:tcPr>
          <w:p>
            <w:pPr>
              <w:pStyle w:val="TableContents"/>
              <w:spacing w:before="0" w:after="283"/>
              <w:rPr/>
            </w:pPr>
            <w:r>
              <w:rPr/>
              <w:t> </w:t>
            </w:r>
          </w:p>
        </w:tc>
        <w:tc>
          <w:tcPr>
            <w:tcW w:w="7356" w:type="dxa"/>
            <w:gridSpan w:val="2"/>
            <w:tcBorders>
              <w:top w:val="single" w:sz="2" w:space="0" w:color="000000"/>
              <w:left w:val="single" w:sz="2" w:space="0" w:color="000000"/>
              <w:right w:val="single" w:sz="2" w:space="0" w:color="000000"/>
            </w:tcBorders>
            <w:shd w:fill="CF0A2C" w:val="clear"/>
            <w:tcMar>
              <w:top w:w="28" w:type="dxa"/>
              <w:left w:w="28" w:type="dxa"/>
              <w:right w:w="28" w:type="dxa"/>
            </w:tcMar>
            <w:vAlign w:val="center"/>
          </w:tcPr>
          <w:p>
            <w:pPr>
              <w:pStyle w:val="TableContents"/>
              <w:spacing w:before="0" w:after="283"/>
              <w:rPr/>
            </w:pPr>
            <w:r>
              <w:rPr/>
              <w:t> </w:t>
            </w:r>
          </w:p>
        </w:tc>
      </w:tr>
      <w:tr>
        <w:trPr/>
        <w:tc>
          <w:tcPr>
            <w:tcW w:w="2849" w:type="dxa"/>
            <w:tcBorders>
              <w:left w:val="single" w:sz="2" w:space="0" w:color="000000"/>
              <w:bottom w:val="single" w:sz="2" w:space="0" w:color="000000"/>
            </w:tcBorders>
            <w:shd w:fill="CF0A2C" w:val="clear"/>
            <w:tcMar>
              <w:left w:w="160" w:type="dxa"/>
              <w:bottom w:w="28" w:type="dxa"/>
            </w:tcMar>
            <w:vAlign w:val="bottom"/>
          </w:tcPr>
          <w:p>
            <w:pPr>
              <w:pStyle w:val="TableContents"/>
              <w:spacing w:before="0" w:after="0"/>
              <w:rPr>
                <w:rFonts w:ascii="arial" w:hAnsi="arial"/>
                <w:b/>
                <w:color w:val="FFFFFF"/>
                <w:sz w:val="20"/>
              </w:rPr>
            </w:pPr>
            <w:r>
              <w:rPr>
                <w:rFonts w:ascii="arial" w:hAnsi="arial"/>
                <w:b/>
                <w:color w:val="FFFFFF"/>
                <w:sz w:val="20"/>
              </w:rPr>
              <w:t>Name of Committee and</w:t>
            </w:r>
          </w:p>
          <w:p>
            <w:pPr>
              <w:pStyle w:val="TableContents"/>
              <w:spacing w:before="0" w:after="20"/>
              <w:rPr>
                <w:rFonts w:ascii="arial" w:hAnsi="arial"/>
                <w:b/>
                <w:color w:val="FFFFFF"/>
                <w:sz w:val="20"/>
              </w:rPr>
            </w:pPr>
            <w:r>
              <w:rPr>
                <w:rFonts w:ascii="arial" w:hAnsi="arial"/>
                <w:b/>
                <w:color w:val="FFFFFF"/>
                <w:sz w:val="20"/>
              </w:rPr>
              <w:t>Membership</w:t>
            </w:r>
          </w:p>
        </w:tc>
        <w:tc>
          <w:tcPr>
            <w:tcW w:w="123" w:type="dxa"/>
            <w:tcBorders>
              <w:left w:val="single" w:sz="2" w:space="0" w:color="000000"/>
              <w:bottom w:val="single" w:sz="2" w:space="0" w:color="000000"/>
            </w:tcBorders>
            <w:shd w:fill="CF0A2C" w:val="clear"/>
            <w:tcMar>
              <w:left w:w="28" w:type="dxa"/>
              <w:bottom w:w="28" w:type="dxa"/>
            </w:tcMar>
            <w:vAlign w:val="bottom"/>
          </w:tcPr>
          <w:p>
            <w:pPr>
              <w:pStyle w:val="TableContents"/>
              <w:spacing w:before="0" w:after="283"/>
              <w:rPr/>
            </w:pPr>
            <w:r>
              <w:rPr/>
              <w:t>  </w:t>
            </w:r>
          </w:p>
        </w:tc>
        <w:tc>
          <w:tcPr>
            <w:tcW w:w="7233" w:type="dxa"/>
            <w:tcBorders>
              <w:bottom w:val="single" w:sz="2" w:space="0" w:color="000000"/>
              <w:right w:val="single" w:sz="2" w:space="0" w:color="000000"/>
            </w:tcBorders>
            <w:shd w:fill="CF0A2C" w:val="clear"/>
            <w:tcMar>
              <w:bottom w:w="28" w:type="dxa"/>
              <w:right w:w="40" w:type="dxa"/>
            </w:tcMar>
            <w:vAlign w:val="bottom"/>
          </w:tcPr>
          <w:p>
            <w:pPr>
              <w:pStyle w:val="TableContents"/>
              <w:spacing w:before="0" w:after="283"/>
              <w:jc w:val="center"/>
              <w:rPr>
                <w:b/>
                <w:color w:val="FFFFFF"/>
              </w:rPr>
            </w:pPr>
            <w:r>
              <w:rPr>
                <w:b/>
                <w:color w:val="FFFFFF"/>
              </w:rPr>
              <w:t>Principal Functions and Responsibilities</w:t>
            </w:r>
          </w:p>
        </w:tc>
      </w:tr>
      <w:tr>
        <w:trPr/>
        <w:tc>
          <w:tcPr>
            <w:tcW w:w="2849" w:type="dxa"/>
            <w:tcBorders>
              <w:left w:val="single" w:sz="2" w:space="0" w:color="000000"/>
            </w:tcBorders>
            <w:shd w:fill="E5E5E5" w:val="clear"/>
            <w:tcMar>
              <w:left w:w="160" w:type="dxa"/>
            </w:tcMar>
          </w:tcPr>
          <w:p>
            <w:pPr>
              <w:pStyle w:val="TableContents"/>
              <w:spacing w:before="0" w:after="0"/>
              <w:rPr/>
            </w:pPr>
            <w:r>
              <w:rPr/>
              <w:t> </w:t>
            </w:r>
          </w:p>
          <w:p>
            <w:pPr>
              <w:pStyle w:val="TableContents"/>
              <w:spacing w:before="0" w:after="0"/>
              <w:rPr>
                <w:rFonts w:ascii="arial" w:hAnsi="arial"/>
                <w:b/>
                <w:sz w:val="20"/>
              </w:rPr>
            </w:pPr>
            <w:r>
              <w:rPr>
                <w:rFonts w:ascii="arial" w:hAnsi="arial"/>
                <w:b/>
                <w:sz w:val="20"/>
              </w:rPr>
              <w:t>Audit Committee</w:t>
            </w:r>
          </w:p>
          <w:p>
            <w:pPr>
              <w:pStyle w:val="TableContents"/>
              <w:spacing w:before="0" w:after="0"/>
              <w:rPr>
                <w:rFonts w:ascii="arial" w:hAnsi="arial"/>
                <w:sz w:val="20"/>
              </w:rPr>
            </w:pPr>
            <w:r>
              <w:rPr>
                <w:rFonts w:ascii="arial" w:hAnsi="arial"/>
                <w:sz w:val="20"/>
              </w:rPr>
              <w:t>Douglas M. Pasquale, Chair</w:t>
            </w:r>
          </w:p>
          <w:p>
            <w:pPr>
              <w:pStyle w:val="TableContents"/>
              <w:spacing w:before="0" w:after="0"/>
              <w:rPr>
                <w:rFonts w:ascii="arial" w:hAnsi="arial"/>
                <w:sz w:val="20"/>
              </w:rPr>
            </w:pPr>
            <w:r>
              <w:rPr>
                <w:rFonts w:ascii="arial" w:hAnsi="arial"/>
                <w:sz w:val="20"/>
              </w:rPr>
              <w:t>Howard M. Berk</w:t>
            </w:r>
          </w:p>
          <w:p>
            <w:pPr>
              <w:pStyle w:val="TableContents"/>
              <w:spacing w:before="0" w:after="0"/>
              <w:rPr>
                <w:rFonts w:ascii="arial" w:hAnsi="arial"/>
                <w:sz w:val="20"/>
              </w:rPr>
            </w:pPr>
            <w:r>
              <w:rPr>
                <w:rFonts w:ascii="arial" w:hAnsi="arial"/>
                <w:sz w:val="20"/>
              </w:rPr>
              <w:t>Susan M. Collyns</w:t>
            </w:r>
          </w:p>
          <w:p>
            <w:pPr>
              <w:pStyle w:val="TableContents"/>
              <w:spacing w:before="0" w:after="0"/>
              <w:rPr>
                <w:rFonts w:ascii="arial" w:hAnsi="arial"/>
                <w:sz w:val="20"/>
              </w:rPr>
            </w:pPr>
            <w:r>
              <w:rPr>
                <w:rFonts w:ascii="arial" w:hAnsi="arial"/>
                <w:sz w:val="20"/>
              </w:rPr>
              <w:t>Richard J. Dahl</w:t>
            </w:r>
          </w:p>
          <w:p>
            <w:pPr>
              <w:pStyle w:val="TableContents"/>
              <w:spacing w:before="0" w:after="0"/>
              <w:rPr>
                <w:rFonts w:ascii="arial" w:hAnsi="arial"/>
                <w:sz w:val="20"/>
              </w:rPr>
            </w:pPr>
            <w:r>
              <w:rPr>
                <w:rFonts w:ascii="arial" w:hAnsi="arial"/>
                <w:sz w:val="20"/>
              </w:rPr>
              <w:t>Michael C. Hyter</w:t>
            </w:r>
          </w:p>
          <w:p>
            <w:pPr>
              <w:pStyle w:val="TableContents"/>
              <w:spacing w:before="0" w:after="20"/>
              <w:rPr>
                <w:rFonts w:ascii="arial" w:hAnsi="arial"/>
                <w:sz w:val="20"/>
              </w:rPr>
            </w:pPr>
            <w:r>
              <w:rPr>
                <w:rFonts w:ascii="arial" w:hAnsi="arial"/>
                <w:sz w:val="20"/>
              </w:rPr>
              <w:t>Gilbert T. Ray</w:t>
            </w:r>
          </w:p>
        </w:tc>
        <w:tc>
          <w:tcPr>
            <w:tcW w:w="123" w:type="dxa"/>
            <w:tcBorders>
              <w:left w:val="single" w:sz="2" w:space="0" w:color="000000"/>
            </w:tcBorders>
            <w:shd w:fill="E5E5E5" w:val="clear"/>
            <w:tcMar>
              <w:left w:w="28" w:type="dxa"/>
            </w:tcMar>
            <w:vAlign w:val="bottom"/>
          </w:tcPr>
          <w:p>
            <w:pPr>
              <w:pStyle w:val="TableContents"/>
              <w:spacing w:before="0" w:after="283"/>
              <w:rPr/>
            </w:pPr>
            <w:r>
              <w:rPr/>
              <w:t>  </w:t>
            </w:r>
          </w:p>
        </w:tc>
        <w:tc>
          <w:tcPr>
            <w:tcW w:w="7233" w:type="dxa"/>
            <w:tcBorders>
              <w:right w:val="single" w:sz="2" w:space="0" w:color="000000"/>
            </w:tcBorders>
            <w:shd w:fill="E5E5E5" w:val="clear"/>
            <w:tcMar>
              <w:right w:w="40" w:type="dxa"/>
            </w:tcMar>
          </w:tcPr>
          <w:p>
            <w:pPr>
              <w:pStyle w:val="TableContents"/>
              <w:spacing w:before="0" w:after="0"/>
              <w:rPr/>
            </w:pPr>
            <w:r>
              <w:rPr/>
              <w:t> </w:t>
            </w:r>
          </w:p>
          <w:p>
            <w:pPr>
              <w:pStyle w:val="TableContents"/>
              <w:spacing w:before="0" w:after="0"/>
              <w:rPr>
                <w:rFonts w:ascii="arial" w:hAnsi="arial"/>
                <w:sz w:val="20"/>
              </w:rPr>
            </w:pPr>
            <w:r>
              <w:rPr>
                <w:rFonts w:ascii="arial" w:hAnsi="arial"/>
                <w:sz w:val="20"/>
              </w:rPr>
              <w:t>  Appoint and oversee the work of the independent auditor in preparing or issuing an audit report or performing other audit, review, or attest services for the Corporation.</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discuss annual audited financial statements, as filed on Form 10-K and quarterly financial statements, as filed on Forms 10-Q. Review and discuss earnings press releases and financial information and earnings guidance provided to analysts and rating agencies.</w:t>
            </w:r>
          </w:p>
          <w:p>
            <w:pPr>
              <w:pStyle w:val="TableContents"/>
              <w:spacing w:before="0" w:after="0"/>
              <w:rPr/>
            </w:pPr>
            <w:r>
              <w:rPr/>
              <w:t> </w:t>
            </w:r>
          </w:p>
          <w:p>
            <w:pPr>
              <w:pStyle w:val="TableContents"/>
              <w:spacing w:before="0" w:after="20"/>
              <w:rPr>
                <w:rFonts w:ascii="arial" w:hAnsi="arial"/>
                <w:sz w:val="20"/>
              </w:rPr>
            </w:pPr>
            <w:r>
              <w:rPr>
                <w:rFonts w:ascii="arial" w:hAnsi="arial"/>
                <w:sz w:val="20"/>
              </w:rPr>
              <w:t>  Discuss the Corporations policies with respect to risk assessment and risk management and review and evaluate the guidelines and policies developed and implemented by management with respect to risk assessment and risk management. Oversee and review with the Board of Directors risk and risk mitigation associated with the Committees purpose and areas of responsibility, including accounting, auditing, financial reporting, and internal controls over financial reporting. Review and discuss with the Board of Directors, at least annually and at the Board of Directors request, issues relating to the assessment and mitigation of major financial risks affecting the Corporation.</w:t>
            </w:r>
          </w:p>
        </w:tc>
      </w:tr>
      <w:tr>
        <w:trPr/>
        <w:tc>
          <w:tcPr>
            <w:tcW w:w="2849" w:type="dxa"/>
            <w:tcBorders>
              <w:top w:val="single" w:sz="2" w:space="0" w:color="000000"/>
              <w:left w:val="single" w:sz="2" w:space="0" w:color="000000"/>
              <w:bottom w:val="single" w:sz="2" w:space="0" w:color="000000"/>
              <w:right w:val="single" w:sz="2" w:space="0" w:color="000000"/>
            </w:tcBorders>
            <w:shd w:fill="CF0A2C" w:val="clear"/>
            <w:tcMar>
              <w:top w:w="28" w:type="dxa"/>
              <w:left w:w="160" w:type="dxa"/>
              <w:bottom w:w="28" w:type="dxa"/>
              <w:right w:w="28" w:type="dxa"/>
            </w:tcMar>
          </w:tcPr>
          <w:p>
            <w:pPr>
              <w:pStyle w:val="TableContents"/>
              <w:spacing w:before="0" w:after="0"/>
              <w:rPr/>
            </w:pPr>
            <w:r>
              <w:rPr/>
              <w:t> </w:t>
            </w:r>
          </w:p>
          <w:p>
            <w:pPr>
              <w:pStyle w:val="TableContents"/>
              <w:spacing w:before="0" w:after="0"/>
              <w:rPr>
                <w:rFonts w:ascii="arial" w:hAnsi="arial"/>
                <w:b/>
                <w:color w:val="FFFFFF"/>
                <w:sz w:val="20"/>
              </w:rPr>
            </w:pPr>
            <w:r>
              <w:rPr>
                <w:rFonts w:ascii="arial" w:hAnsi="arial"/>
                <w:b/>
                <w:color w:val="FFFFFF"/>
                <w:sz w:val="20"/>
              </w:rPr>
              <w:t>Meetings in 2020</w:t>
            </w:r>
          </w:p>
          <w:p>
            <w:pPr>
              <w:pStyle w:val="TableContents"/>
              <w:spacing w:before="0" w:after="20"/>
              <w:rPr/>
            </w:pPr>
            <w:r>
              <w:rPr/>
              <w:t> </w:t>
            </w:r>
          </w:p>
        </w:tc>
        <w:tc>
          <w:tcPr>
            <w:tcW w:w="123" w:type="dxa"/>
            <w:tcBorders>
              <w:left w:val="single" w:sz="2" w:space="0" w:color="000000"/>
            </w:tcBorders>
            <w:shd w:fill="E5E5E5" w:val="clear"/>
            <w:tcMar>
              <w:left w:w="28" w:type="dxa"/>
            </w:tcMar>
            <w:vAlign w:val="bottom"/>
          </w:tcPr>
          <w:p>
            <w:pPr>
              <w:pStyle w:val="TableContents"/>
              <w:spacing w:before="0" w:after="283"/>
              <w:rPr/>
            </w:pPr>
            <w:r>
              <w:rPr/>
              <w:t>  </w:t>
            </w:r>
          </w:p>
        </w:tc>
        <w:tc>
          <w:tcPr>
            <w:tcW w:w="7233" w:type="dxa"/>
            <w:tcBorders>
              <w:right w:val="single" w:sz="2" w:space="0" w:color="000000"/>
            </w:tcBorders>
            <w:shd w:fill="E5E5E5" w:val="clear"/>
            <w:tcMar>
              <w:right w:w="40" w:type="dxa"/>
            </w:tcMar>
          </w:tcPr>
          <w:p>
            <w:pPr>
              <w:pStyle w:val="TableContents"/>
              <w:spacing w:before="0" w:after="0"/>
              <w:rPr>
                <w:rFonts w:ascii="arial" w:hAnsi="arial"/>
                <w:sz w:val="20"/>
              </w:rPr>
            </w:pPr>
            <w:r>
              <w:rPr>
                <w:rFonts w:ascii="arial" w:hAnsi="arial"/>
                <w:sz w:val="20"/>
              </w:rPr>
              <w:t>  Review risk assessments from management with respect to cybersecurity and oversee</w:t>
            </w:r>
          </w:p>
        </w:tc>
      </w:tr>
      <w:tr>
        <w:trPr/>
        <w:tc>
          <w:tcPr>
            <w:tcW w:w="2849" w:type="dxa"/>
            <w:tcBorders>
              <w:left w:val="single" w:sz="2" w:space="0" w:color="000000"/>
              <w:bottom w:val="single" w:sz="2" w:space="0" w:color="000000"/>
            </w:tcBorders>
            <w:shd w:fill="E5E5E5" w:val="clear"/>
            <w:tcMar>
              <w:left w:w="160" w:type="dxa"/>
              <w:bottom w:w="28" w:type="dxa"/>
            </w:tcMar>
          </w:tcPr>
          <w:p>
            <w:pPr>
              <w:pStyle w:val="TableContents"/>
              <w:spacing w:before="0" w:after="0"/>
              <w:rPr>
                <w:rFonts w:ascii="arial" w:hAnsi="arial"/>
                <w:sz w:val="20"/>
              </w:rPr>
            </w:pPr>
            <w:r>
              <w:rPr>
                <w:rFonts w:ascii="arial" w:hAnsi="arial"/>
                <w:sz w:val="20"/>
              </w:rPr>
              <w:t>Six Meetings</w:t>
            </w:r>
          </w:p>
        </w:tc>
        <w:tc>
          <w:tcPr>
            <w:tcW w:w="123"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7233" w:type="dxa"/>
            <w:tcBorders>
              <w:bottom w:val="single" w:sz="2" w:space="0" w:color="000000"/>
              <w:right w:val="single" w:sz="2" w:space="0" w:color="000000"/>
            </w:tcBorders>
            <w:shd w:fill="E5E5E5" w:val="clear"/>
            <w:tcMar>
              <w:bottom w:w="28" w:type="dxa"/>
              <w:right w:w="40" w:type="dxa"/>
            </w:tcMar>
          </w:tcPr>
          <w:p>
            <w:pPr>
              <w:pStyle w:val="TableContents"/>
              <w:spacing w:before="0" w:after="0"/>
              <w:rPr/>
            </w:pPr>
            <w:r>
              <w:rPr/>
              <w:t>    </w:t>
            </w:r>
            <w:r>
              <w:rPr>
                <w:rFonts w:ascii="arial" w:hAnsi="arial"/>
                <w:sz w:val="20"/>
              </w:rPr>
              <w:t>the Corporations cybersecurity risk management processes. Review risk assessments from management with respect to food safety and quality assurance.</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the scope, progress, and results of the internal audit program, including significant findings and recommendations and managements responses.</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the Corporations program to monitor compliance with the Corporations Global Code of Conduct. Review any requests for waivers.</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discuss the Corporations information technology program and overall trends in technology.</w:t>
            </w:r>
          </w:p>
          <w:p>
            <w:pPr>
              <w:pStyle w:val="TableContents"/>
              <w:spacing w:before="0" w:after="0"/>
              <w:rPr/>
            </w:pPr>
            <w:r>
              <w:rPr/>
              <w:t> </w:t>
            </w:r>
          </w:p>
          <w:p>
            <w:pPr>
              <w:pStyle w:val="TableContents"/>
              <w:spacing w:before="0" w:after="0"/>
              <w:rPr>
                <w:rFonts w:ascii="arial" w:hAnsi="arial"/>
                <w:sz w:val="20"/>
              </w:rPr>
            </w:pPr>
            <w:r>
              <w:rPr>
                <w:rFonts w:ascii="arial" w:hAnsi="arial"/>
                <w:sz w:val="20"/>
              </w:rPr>
              <w:t>  Prepare the report required by the rules of the Securities and Exchange Commission to be included in the Corporations annual proxy statement.</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approve all related party transactions (as defined under Item 404 of Regulation S-K and under the standards of the Public Company Accounting Oversight Board).</w:t>
            </w:r>
          </w:p>
          <w:p>
            <w:pPr>
              <w:pStyle w:val="TableContents"/>
              <w:spacing w:before="0" w:after="2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10    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CORPORATE GOVERNANCE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76"/>
        <w:gridCol w:w="121"/>
        <w:gridCol w:w="7208"/>
      </w:tblGrid>
      <w:tr>
        <w:trPr/>
        <w:tc>
          <w:tcPr>
            <w:tcW w:w="287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7208"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876" w:type="dxa"/>
            <w:tcBorders>
              <w:top w:val="single" w:sz="2" w:space="0" w:color="000000"/>
              <w:left w:val="single" w:sz="2" w:space="0" w:color="000000"/>
            </w:tcBorders>
            <w:shd w:fill="CF0A2C" w:val="clear"/>
            <w:tcMar>
              <w:top w:w="28" w:type="dxa"/>
              <w:left w:w="160" w:type="dxa"/>
            </w:tcMar>
            <w:vAlign w:val="center"/>
          </w:tcPr>
          <w:p>
            <w:pPr>
              <w:pStyle w:val="TableContents"/>
              <w:spacing w:before="0" w:after="283"/>
              <w:rPr/>
            </w:pPr>
            <w:r>
              <w:rPr/>
              <w:t> </w:t>
            </w:r>
          </w:p>
        </w:tc>
        <w:tc>
          <w:tcPr>
            <w:tcW w:w="7329" w:type="dxa"/>
            <w:gridSpan w:val="2"/>
            <w:tcBorders>
              <w:top w:val="single" w:sz="2" w:space="0" w:color="000000"/>
              <w:left w:val="single" w:sz="2" w:space="0" w:color="000000"/>
              <w:right w:val="single" w:sz="2" w:space="0" w:color="000000"/>
            </w:tcBorders>
            <w:shd w:fill="CF0A2C" w:val="clear"/>
            <w:tcMar>
              <w:top w:w="28" w:type="dxa"/>
              <w:left w:w="28" w:type="dxa"/>
              <w:right w:w="28" w:type="dxa"/>
            </w:tcMar>
            <w:vAlign w:val="center"/>
          </w:tcPr>
          <w:p>
            <w:pPr>
              <w:pStyle w:val="TableContents"/>
              <w:spacing w:before="0" w:after="283"/>
              <w:rPr/>
            </w:pPr>
            <w:r>
              <w:rPr/>
              <w:t> </w:t>
            </w:r>
          </w:p>
        </w:tc>
      </w:tr>
      <w:tr>
        <w:trPr/>
        <w:tc>
          <w:tcPr>
            <w:tcW w:w="2876" w:type="dxa"/>
            <w:tcBorders>
              <w:left w:val="single" w:sz="2" w:space="0" w:color="000000"/>
              <w:bottom w:val="single" w:sz="2" w:space="0" w:color="000000"/>
            </w:tcBorders>
            <w:shd w:fill="CF0A2C" w:val="clear"/>
            <w:tcMar>
              <w:left w:w="160" w:type="dxa"/>
              <w:bottom w:w="28" w:type="dxa"/>
            </w:tcMar>
            <w:vAlign w:val="bottom"/>
          </w:tcPr>
          <w:p>
            <w:pPr>
              <w:pStyle w:val="TableContents"/>
              <w:spacing w:before="0" w:after="0"/>
              <w:rPr>
                <w:rFonts w:ascii="arial" w:hAnsi="arial"/>
                <w:b/>
                <w:color w:val="FFFFFF"/>
                <w:sz w:val="20"/>
              </w:rPr>
            </w:pPr>
            <w:r>
              <w:rPr>
                <w:rFonts w:ascii="arial" w:hAnsi="arial"/>
                <w:b/>
                <w:color w:val="FFFFFF"/>
                <w:sz w:val="20"/>
              </w:rPr>
              <w:t>Name of Committee and</w:t>
            </w:r>
          </w:p>
          <w:p>
            <w:pPr>
              <w:pStyle w:val="TableContents"/>
              <w:spacing w:before="0" w:after="20"/>
              <w:rPr>
                <w:rFonts w:ascii="arial" w:hAnsi="arial"/>
                <w:b/>
                <w:color w:val="FFFFFF"/>
                <w:sz w:val="20"/>
              </w:rPr>
            </w:pPr>
            <w:r>
              <w:rPr>
                <w:rFonts w:ascii="arial" w:hAnsi="arial"/>
                <w:b/>
                <w:color w:val="FFFFFF"/>
                <w:sz w:val="20"/>
              </w:rPr>
              <w:t>Membership</w:t>
            </w:r>
          </w:p>
        </w:tc>
        <w:tc>
          <w:tcPr>
            <w:tcW w:w="121" w:type="dxa"/>
            <w:tcBorders>
              <w:left w:val="single" w:sz="2" w:space="0" w:color="000000"/>
              <w:bottom w:val="single" w:sz="2" w:space="0" w:color="000000"/>
            </w:tcBorders>
            <w:shd w:fill="CF0A2C" w:val="clear"/>
            <w:tcMar>
              <w:left w:w="28" w:type="dxa"/>
              <w:bottom w:w="28" w:type="dxa"/>
            </w:tcMar>
            <w:vAlign w:val="bottom"/>
          </w:tcPr>
          <w:p>
            <w:pPr>
              <w:pStyle w:val="TableContents"/>
              <w:spacing w:before="0" w:after="283"/>
              <w:rPr/>
            </w:pPr>
            <w:r>
              <w:rPr/>
              <w:t>  </w:t>
            </w:r>
          </w:p>
        </w:tc>
        <w:tc>
          <w:tcPr>
            <w:tcW w:w="7208" w:type="dxa"/>
            <w:tcBorders>
              <w:bottom w:val="single" w:sz="2" w:space="0" w:color="000000"/>
              <w:right w:val="single" w:sz="2" w:space="0" w:color="000000"/>
            </w:tcBorders>
            <w:shd w:fill="CF0A2C" w:val="clear"/>
            <w:tcMar>
              <w:bottom w:w="28" w:type="dxa"/>
              <w:right w:w="40" w:type="dxa"/>
            </w:tcMar>
            <w:vAlign w:val="bottom"/>
          </w:tcPr>
          <w:p>
            <w:pPr>
              <w:pStyle w:val="TableContents"/>
              <w:spacing w:before="0" w:after="283"/>
              <w:jc w:val="center"/>
              <w:rPr>
                <w:b/>
                <w:color w:val="FFFFFF"/>
              </w:rPr>
            </w:pPr>
            <w:r>
              <w:rPr>
                <w:b/>
                <w:color w:val="FFFFFF"/>
              </w:rPr>
              <w:t>Principal Functions and Responsibilities</w:t>
            </w:r>
          </w:p>
        </w:tc>
      </w:tr>
      <w:tr>
        <w:trPr/>
        <w:tc>
          <w:tcPr>
            <w:tcW w:w="2876" w:type="dxa"/>
            <w:tcBorders>
              <w:left w:val="single" w:sz="2" w:space="0" w:color="000000"/>
            </w:tcBorders>
            <w:shd w:fill="auto" w:val="clear"/>
            <w:tcMar>
              <w:left w:w="160" w:type="dxa"/>
            </w:tcMar>
          </w:tcPr>
          <w:p>
            <w:pPr>
              <w:pStyle w:val="TableContents"/>
              <w:spacing w:before="0" w:after="0"/>
              <w:rPr/>
            </w:pPr>
            <w:r>
              <w:rPr/>
              <w:t> </w:t>
            </w:r>
          </w:p>
          <w:p>
            <w:pPr>
              <w:pStyle w:val="TableContents"/>
              <w:spacing w:before="0" w:after="0"/>
              <w:rPr>
                <w:rFonts w:ascii="arial" w:hAnsi="arial"/>
                <w:b/>
                <w:sz w:val="20"/>
              </w:rPr>
            </w:pPr>
            <w:r>
              <w:rPr>
                <w:rFonts w:ascii="arial" w:hAnsi="arial"/>
                <w:b/>
                <w:sz w:val="20"/>
              </w:rPr>
              <w:t>Compensation Committee</w:t>
            </w:r>
          </w:p>
          <w:p>
            <w:pPr>
              <w:pStyle w:val="TableContents"/>
              <w:spacing w:before="0" w:after="0"/>
              <w:rPr>
                <w:rFonts w:ascii="arial" w:hAnsi="arial"/>
                <w:sz w:val="20"/>
              </w:rPr>
            </w:pPr>
            <w:r>
              <w:rPr>
                <w:rFonts w:ascii="arial" w:hAnsi="arial"/>
                <w:sz w:val="20"/>
              </w:rPr>
              <w:t>Daniel J. Brestle, Chair</w:t>
            </w:r>
          </w:p>
          <w:p>
            <w:pPr>
              <w:pStyle w:val="TableContents"/>
              <w:spacing w:before="0" w:after="0"/>
              <w:rPr>
                <w:rFonts w:ascii="arial" w:hAnsi="arial"/>
                <w:sz w:val="20"/>
              </w:rPr>
            </w:pPr>
            <w:r>
              <w:rPr>
                <w:rFonts w:ascii="arial" w:hAnsi="arial"/>
                <w:sz w:val="20"/>
              </w:rPr>
              <w:t>Howard M. Berk</w:t>
            </w:r>
          </w:p>
          <w:p>
            <w:pPr>
              <w:pStyle w:val="TableContents"/>
              <w:spacing w:before="0" w:after="20"/>
              <w:rPr>
                <w:rFonts w:ascii="arial" w:hAnsi="arial"/>
                <w:sz w:val="20"/>
              </w:rPr>
            </w:pPr>
            <w:r>
              <w:rPr>
                <w:rFonts w:ascii="arial" w:hAnsi="arial"/>
                <w:sz w:val="20"/>
              </w:rPr>
              <w:t>Caroline W. Nahas</w:t>
            </w:r>
          </w:p>
        </w:tc>
        <w:tc>
          <w:tcPr>
            <w:tcW w:w="121" w:type="dxa"/>
            <w:tcBorders>
              <w:left w:val="single" w:sz="2" w:space="0" w:color="000000"/>
            </w:tcBorders>
            <w:shd w:fill="auto" w:val="clear"/>
            <w:tcMar>
              <w:left w:w="28" w:type="dxa"/>
            </w:tcMar>
            <w:vAlign w:val="bottom"/>
          </w:tcPr>
          <w:p>
            <w:pPr>
              <w:pStyle w:val="TableContents"/>
              <w:spacing w:before="0" w:after="283"/>
              <w:rPr/>
            </w:pPr>
            <w:r>
              <w:rPr/>
              <w:t>  </w:t>
            </w:r>
          </w:p>
        </w:tc>
        <w:tc>
          <w:tcPr>
            <w:tcW w:w="7208" w:type="dxa"/>
            <w:tcBorders>
              <w:right w:val="single" w:sz="2" w:space="0" w:color="000000"/>
            </w:tcBorders>
            <w:shd w:fill="auto" w:val="clear"/>
            <w:tcMar>
              <w:right w:w="40" w:type="dxa"/>
            </w:tcMar>
          </w:tcPr>
          <w:p>
            <w:pPr>
              <w:pStyle w:val="TableContents"/>
              <w:spacing w:before="0" w:after="0"/>
              <w:rPr/>
            </w:pPr>
            <w:r>
              <w:rPr/>
              <w:t> </w:t>
            </w:r>
          </w:p>
          <w:p>
            <w:pPr>
              <w:pStyle w:val="TableContents"/>
              <w:spacing w:before="0" w:after="0"/>
              <w:rPr>
                <w:rFonts w:ascii="arial" w:hAnsi="arial"/>
                <w:sz w:val="20"/>
              </w:rPr>
            </w:pPr>
            <w:r>
              <w:rPr>
                <w:rFonts w:ascii="arial" w:hAnsi="arial"/>
                <w:sz w:val="20"/>
              </w:rPr>
              <w:t>  Review and approve the Corporations overall compensation philosophy and related compensation and benefits programs, policies, and practices.</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recommend for approval by the Board of Directors equity incentive compensation and other stock-based plans.</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approve the performance goals and objectives for the Chief Executive Officers compensation and evaluate the Chief Executive Officers performance in light of these performance goals and objectives in order to determine and approve the Chief Executive Officers compensation package. Based on recommendations from the Chief Executive Officer, evaluate the performance of the other executive officers of the Corporation (which shall be the Corporations Section 16 officers under applicable Securities and Exchange Commission rules) and approve the compensation for such executive officers.</w:t>
            </w:r>
          </w:p>
          <w:p>
            <w:pPr>
              <w:pStyle w:val="TableContents"/>
              <w:spacing w:before="0" w:after="20"/>
              <w:rPr/>
            </w:pPr>
            <w:r>
              <w:rPr/>
              <w:t> </w:t>
            </w:r>
          </w:p>
        </w:tc>
      </w:tr>
      <w:tr>
        <w:trPr/>
        <w:tc>
          <w:tcPr>
            <w:tcW w:w="2876" w:type="dxa"/>
            <w:tcBorders>
              <w:top w:val="single" w:sz="2" w:space="0" w:color="000000"/>
              <w:left w:val="single" w:sz="2" w:space="0" w:color="000000"/>
              <w:bottom w:val="single" w:sz="2" w:space="0" w:color="000000"/>
            </w:tcBorders>
            <w:shd w:fill="CF0A2C" w:val="clear"/>
            <w:tcMar>
              <w:top w:w="28" w:type="dxa"/>
              <w:left w:w="160" w:type="dxa"/>
              <w:bottom w:w="28" w:type="dxa"/>
            </w:tcMar>
          </w:tcPr>
          <w:p>
            <w:pPr>
              <w:pStyle w:val="TableContents"/>
              <w:spacing w:before="0" w:after="0"/>
              <w:rPr/>
            </w:pPr>
            <w:r>
              <w:rPr/>
              <w:t> </w:t>
            </w:r>
          </w:p>
          <w:p>
            <w:pPr>
              <w:pStyle w:val="TableContents"/>
              <w:spacing w:before="0" w:after="0"/>
              <w:rPr>
                <w:rFonts w:ascii="arial" w:hAnsi="arial"/>
                <w:b/>
                <w:color w:val="FFFFFF"/>
                <w:sz w:val="20"/>
              </w:rPr>
            </w:pPr>
            <w:r>
              <w:rPr>
                <w:rFonts w:ascii="arial" w:hAnsi="arial"/>
                <w:b/>
                <w:color w:val="FFFFFF"/>
                <w:sz w:val="20"/>
              </w:rPr>
              <w:t>Meetings in 2020</w:t>
            </w:r>
          </w:p>
          <w:p>
            <w:pPr>
              <w:pStyle w:val="TableContents"/>
              <w:spacing w:before="0" w:after="20"/>
              <w:rPr/>
            </w:pPr>
            <w:r>
              <w:rPr/>
              <w:t> </w:t>
            </w:r>
          </w:p>
        </w:tc>
        <w:tc>
          <w:tcPr>
            <w:tcW w:w="121" w:type="dxa"/>
            <w:tcBorders>
              <w:left w:val="single" w:sz="2" w:space="0" w:color="000000"/>
            </w:tcBorders>
            <w:shd w:fill="auto" w:val="clear"/>
            <w:tcMar>
              <w:left w:w="28" w:type="dxa"/>
            </w:tcMar>
            <w:vAlign w:val="bottom"/>
          </w:tcPr>
          <w:p>
            <w:pPr>
              <w:pStyle w:val="TableContents"/>
              <w:spacing w:before="0" w:after="283"/>
              <w:rPr/>
            </w:pPr>
            <w:r>
              <w:rPr/>
              <w:t>  </w:t>
            </w:r>
          </w:p>
        </w:tc>
        <w:tc>
          <w:tcPr>
            <w:tcW w:w="7208" w:type="dxa"/>
            <w:tcBorders>
              <w:right w:val="single" w:sz="2" w:space="0" w:color="000000"/>
            </w:tcBorders>
            <w:shd w:fill="auto" w:val="clear"/>
            <w:tcMar>
              <w:right w:w="40" w:type="dxa"/>
            </w:tcMar>
          </w:tcPr>
          <w:p>
            <w:pPr>
              <w:pStyle w:val="TableContents"/>
              <w:spacing w:before="0" w:after="0"/>
              <w:rPr>
                <w:rFonts w:ascii="arial" w:hAnsi="arial"/>
                <w:sz w:val="20"/>
              </w:rPr>
            </w:pPr>
            <w:r>
              <w:rPr>
                <w:rFonts w:ascii="arial" w:hAnsi="arial"/>
                <w:sz w:val="20"/>
              </w:rPr>
              <w:t>  Review and approve any changes to perquisites or other personal</w:t>
            </w:r>
          </w:p>
        </w:tc>
      </w:tr>
      <w:tr>
        <w:trPr/>
        <w:tc>
          <w:tcPr>
            <w:tcW w:w="2876"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0"/>
              </w:rPr>
            </w:pPr>
            <w:r>
              <w:rPr>
                <w:rFonts w:ascii="arial" w:hAnsi="arial"/>
                <w:sz w:val="20"/>
              </w:rPr>
              <w:t>Six Meetings</w:t>
            </w:r>
          </w:p>
        </w:tc>
        <w:tc>
          <w:tcPr>
            <w:tcW w:w="1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20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arial" w:hAnsi="arial"/>
                <w:sz w:val="20"/>
              </w:rPr>
              <w:t>benefits provided to executive officers of the Corporation.</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approve a peer group of companies against which to compare the Corporations executive compensation.</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compliance of each director and executive officer with the Corporations stock ownership guidelines and take any appropriate action in connection therewith.</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approve any severance or termination arrangements to be made with any executive officer of the Corporation.</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the compensation package for non-employee directors and recommend any changes for approval by the Board of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  Oversee and review with the Board of Directors risk and risk mitigation associated with the Committees purpose and areas of responsibility, including with respect to the Corporations compensation policies and practices. In doing so, consider and confirm that the Corporations compensation policies and practices do not encourage unnecessary risk taking.</w:t>
            </w:r>
          </w:p>
          <w:p>
            <w:pPr>
              <w:pStyle w:val="TableContents"/>
              <w:spacing w:before="0" w:after="0"/>
              <w:rPr/>
            </w:pPr>
            <w:r>
              <w:rPr/>
              <w:t> </w:t>
            </w:r>
          </w:p>
          <w:p>
            <w:pPr>
              <w:pStyle w:val="TableContents"/>
              <w:spacing w:before="0" w:after="0"/>
              <w:rPr>
                <w:rFonts w:ascii="arial" w:hAnsi="arial"/>
                <w:sz w:val="20"/>
              </w:rPr>
            </w:pPr>
            <w:r>
              <w:rPr>
                <w:rFonts w:ascii="arial" w:hAnsi="arial"/>
                <w:sz w:val="20"/>
              </w:rPr>
              <w:t>  Assist the Board of Directors in developing and evaluating potential candidates for executive management positions, including the Chief Executive Officer, and oversee the development of executive succession plans.</w:t>
            </w:r>
          </w:p>
          <w:p>
            <w:pPr>
              <w:pStyle w:val="TableContents"/>
              <w:spacing w:before="0" w:after="0"/>
              <w:rPr/>
            </w:pPr>
            <w:r>
              <w:rPr/>
              <w:t> </w:t>
            </w:r>
          </w:p>
          <w:p>
            <w:pPr>
              <w:pStyle w:val="TableContents"/>
              <w:spacing w:before="0" w:after="0"/>
              <w:rPr>
                <w:rFonts w:ascii="arial" w:hAnsi="arial"/>
                <w:sz w:val="20"/>
              </w:rPr>
            </w:pPr>
            <w:r>
              <w:rPr>
                <w:rFonts w:ascii="arial" w:hAnsi="arial"/>
                <w:sz w:val="20"/>
              </w:rPr>
              <w:t>  Maintain visibility into, assist with the development of, and monitor progress of programs regarding the Corporations organizational culture, including diversity and inclusion.</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approve the Compensation Discussion and Analysis to be included in the Corporations annual proxy statement.</w:t>
            </w:r>
          </w:p>
          <w:p>
            <w:pPr>
              <w:pStyle w:val="TableContents"/>
              <w:spacing w:before="0" w:after="2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11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CORPORATE GOVERNANCE</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60"/>
        <w:gridCol w:w="122"/>
        <w:gridCol w:w="7223"/>
      </w:tblGrid>
      <w:tr>
        <w:trPr/>
        <w:tc>
          <w:tcPr>
            <w:tcW w:w="286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722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860" w:type="dxa"/>
            <w:tcBorders>
              <w:top w:val="single" w:sz="2" w:space="0" w:color="000000"/>
              <w:left w:val="single" w:sz="2" w:space="0" w:color="000000"/>
              <w:right w:val="single" w:sz="2" w:space="0" w:color="000000"/>
            </w:tcBorders>
            <w:shd w:fill="CF0A2C" w:val="clear"/>
            <w:tcMar>
              <w:top w:w="28" w:type="dxa"/>
              <w:left w:w="160" w:type="dxa"/>
              <w:right w:w="28" w:type="dxa"/>
            </w:tcMar>
            <w:vAlign w:val="center"/>
          </w:tcPr>
          <w:p>
            <w:pPr>
              <w:pStyle w:val="TableContents"/>
              <w:spacing w:before="0" w:after="283"/>
              <w:rPr/>
            </w:pPr>
            <w:r>
              <w:rPr/>
              <w:t> </w:t>
            </w:r>
          </w:p>
        </w:tc>
        <w:tc>
          <w:tcPr>
            <w:tcW w:w="7345" w:type="dxa"/>
            <w:gridSpan w:val="2"/>
            <w:tcBorders>
              <w:top w:val="single" w:sz="2" w:space="0" w:color="000000"/>
              <w:right w:val="single" w:sz="2" w:space="0" w:color="000000"/>
            </w:tcBorders>
            <w:shd w:fill="CF0A2C" w:val="clear"/>
            <w:tcMar>
              <w:top w:w="28" w:type="dxa"/>
              <w:right w:w="28" w:type="dxa"/>
            </w:tcMar>
            <w:vAlign w:val="center"/>
          </w:tcPr>
          <w:p>
            <w:pPr>
              <w:pStyle w:val="TableContents"/>
              <w:spacing w:before="0" w:after="283"/>
              <w:rPr/>
            </w:pPr>
            <w:r>
              <w:rPr/>
              <w:t> </w:t>
            </w:r>
          </w:p>
        </w:tc>
      </w:tr>
      <w:tr>
        <w:trPr/>
        <w:tc>
          <w:tcPr>
            <w:tcW w:w="2860" w:type="dxa"/>
            <w:tcBorders>
              <w:left w:val="single" w:sz="2" w:space="0" w:color="000000"/>
              <w:bottom w:val="single" w:sz="2" w:space="0" w:color="000000"/>
              <w:right w:val="single" w:sz="2" w:space="0" w:color="000000"/>
            </w:tcBorders>
            <w:shd w:fill="CF0A2C" w:val="clear"/>
            <w:tcMar>
              <w:left w:w="160" w:type="dxa"/>
              <w:bottom w:w="28" w:type="dxa"/>
              <w:right w:w="28" w:type="dxa"/>
            </w:tcMar>
            <w:vAlign w:val="bottom"/>
          </w:tcPr>
          <w:p>
            <w:pPr>
              <w:pStyle w:val="TableContents"/>
              <w:spacing w:before="0" w:after="0"/>
              <w:rPr>
                <w:rFonts w:ascii="arial" w:hAnsi="arial"/>
                <w:b/>
                <w:color w:val="FFFFFF"/>
                <w:sz w:val="20"/>
              </w:rPr>
            </w:pPr>
            <w:r>
              <w:rPr>
                <w:rFonts w:ascii="arial" w:hAnsi="arial"/>
                <w:b/>
                <w:color w:val="FFFFFF"/>
                <w:sz w:val="20"/>
              </w:rPr>
              <w:t>Name of Committee and</w:t>
            </w:r>
          </w:p>
          <w:p>
            <w:pPr>
              <w:pStyle w:val="TableContents"/>
              <w:spacing w:before="0" w:after="20"/>
              <w:rPr>
                <w:rFonts w:ascii="arial" w:hAnsi="arial"/>
                <w:b/>
                <w:color w:val="FFFFFF"/>
                <w:sz w:val="20"/>
              </w:rPr>
            </w:pPr>
            <w:r>
              <w:rPr>
                <w:rFonts w:ascii="arial" w:hAnsi="arial"/>
                <w:b/>
                <w:color w:val="FFFFFF"/>
                <w:sz w:val="20"/>
              </w:rPr>
              <w:t>Membership</w:t>
            </w:r>
          </w:p>
        </w:tc>
        <w:tc>
          <w:tcPr>
            <w:tcW w:w="122" w:type="dxa"/>
            <w:tcBorders>
              <w:bottom w:val="single" w:sz="2" w:space="0" w:color="000000"/>
            </w:tcBorders>
            <w:shd w:fill="CF0A2C" w:val="clear"/>
            <w:tcMar>
              <w:bottom w:w="28" w:type="dxa"/>
            </w:tcMar>
            <w:vAlign w:val="bottom"/>
          </w:tcPr>
          <w:p>
            <w:pPr>
              <w:pStyle w:val="TableContents"/>
              <w:spacing w:before="0" w:after="283"/>
              <w:rPr/>
            </w:pPr>
            <w:r>
              <w:rPr/>
              <w:t>  </w:t>
            </w:r>
          </w:p>
        </w:tc>
        <w:tc>
          <w:tcPr>
            <w:tcW w:w="7223" w:type="dxa"/>
            <w:tcBorders>
              <w:bottom w:val="single" w:sz="2" w:space="0" w:color="000000"/>
              <w:right w:val="single" w:sz="2" w:space="0" w:color="000000"/>
            </w:tcBorders>
            <w:shd w:fill="CF0A2C" w:val="clear"/>
            <w:tcMar>
              <w:bottom w:w="28" w:type="dxa"/>
              <w:right w:w="40" w:type="dxa"/>
            </w:tcMar>
            <w:vAlign w:val="bottom"/>
          </w:tcPr>
          <w:p>
            <w:pPr>
              <w:pStyle w:val="TableContents"/>
              <w:spacing w:before="0" w:after="283"/>
              <w:jc w:val="center"/>
              <w:rPr>
                <w:b/>
                <w:color w:val="FFFFFF"/>
              </w:rPr>
            </w:pPr>
            <w:r>
              <w:rPr>
                <w:b/>
                <w:color w:val="FFFFFF"/>
              </w:rPr>
              <w:t>Principal Functions and Responsibilities</w:t>
            </w:r>
          </w:p>
        </w:tc>
      </w:tr>
      <w:tr>
        <w:trPr/>
        <w:tc>
          <w:tcPr>
            <w:tcW w:w="2860" w:type="dxa"/>
            <w:tcBorders>
              <w:left w:val="single" w:sz="2" w:space="0" w:color="000000"/>
              <w:right w:val="single" w:sz="2" w:space="0" w:color="000000"/>
            </w:tcBorders>
            <w:shd w:fill="E5E5E5" w:val="clear"/>
            <w:tcMar>
              <w:left w:w="160" w:type="dxa"/>
              <w:right w:w="28" w:type="dxa"/>
            </w:tcMar>
          </w:tcPr>
          <w:p>
            <w:pPr>
              <w:pStyle w:val="TableContents"/>
              <w:spacing w:before="0" w:after="0"/>
              <w:rPr/>
            </w:pPr>
            <w:r>
              <w:rPr/>
              <w:t> </w:t>
            </w:r>
          </w:p>
          <w:p>
            <w:pPr>
              <w:pStyle w:val="TableContents"/>
              <w:spacing w:before="0" w:after="0"/>
              <w:rPr>
                <w:rFonts w:ascii="arial" w:hAnsi="arial"/>
                <w:b/>
                <w:sz w:val="20"/>
              </w:rPr>
            </w:pPr>
            <w:r>
              <w:rPr>
                <w:rFonts w:ascii="arial" w:hAnsi="arial"/>
                <w:b/>
                <w:sz w:val="20"/>
              </w:rPr>
              <w:t>Nominating and Corporate</w:t>
            </w:r>
          </w:p>
          <w:p>
            <w:pPr>
              <w:pStyle w:val="TableContents"/>
              <w:spacing w:before="0" w:after="0"/>
              <w:rPr>
                <w:rFonts w:ascii="arial" w:hAnsi="arial"/>
                <w:b/>
                <w:sz w:val="20"/>
              </w:rPr>
            </w:pPr>
            <w:r>
              <w:rPr>
                <w:rFonts w:ascii="arial" w:hAnsi="arial"/>
                <w:b/>
                <w:sz w:val="20"/>
              </w:rPr>
              <w:t>Governance Committee</w:t>
            </w:r>
          </w:p>
          <w:p>
            <w:pPr>
              <w:pStyle w:val="TableContents"/>
              <w:spacing w:before="0" w:after="0"/>
              <w:rPr>
                <w:rFonts w:ascii="arial" w:hAnsi="arial"/>
                <w:sz w:val="20"/>
              </w:rPr>
            </w:pPr>
            <w:r>
              <w:rPr>
                <w:rFonts w:ascii="arial" w:hAnsi="arial"/>
                <w:sz w:val="20"/>
              </w:rPr>
              <w:t>Caroline W. Nahas, Chair</w:t>
            </w:r>
          </w:p>
          <w:p>
            <w:pPr>
              <w:pStyle w:val="TableContents"/>
              <w:spacing w:before="0" w:after="0"/>
              <w:rPr>
                <w:rFonts w:ascii="arial" w:hAnsi="arial"/>
                <w:sz w:val="20"/>
              </w:rPr>
            </w:pPr>
            <w:r>
              <w:rPr>
                <w:rFonts w:ascii="arial" w:hAnsi="arial"/>
                <w:sz w:val="20"/>
              </w:rPr>
              <w:t>Richard J. Dahl</w:t>
            </w:r>
          </w:p>
          <w:p>
            <w:pPr>
              <w:pStyle w:val="TableContents"/>
              <w:spacing w:before="0" w:after="0"/>
              <w:rPr>
                <w:rFonts w:ascii="arial" w:hAnsi="arial"/>
                <w:sz w:val="20"/>
              </w:rPr>
            </w:pPr>
            <w:r>
              <w:rPr>
                <w:rFonts w:ascii="arial" w:hAnsi="arial"/>
                <w:sz w:val="20"/>
              </w:rPr>
              <w:t>Larry A. Kay</w:t>
            </w:r>
          </w:p>
          <w:p>
            <w:pPr>
              <w:pStyle w:val="TableContents"/>
              <w:spacing w:before="0" w:after="20"/>
              <w:rPr>
                <w:rFonts w:ascii="arial" w:hAnsi="arial"/>
                <w:sz w:val="20"/>
              </w:rPr>
            </w:pPr>
            <w:r>
              <w:rPr>
                <w:rFonts w:ascii="arial" w:hAnsi="arial"/>
                <w:sz w:val="20"/>
              </w:rPr>
              <w:t>Lilian C. Tomovich</w:t>
            </w:r>
          </w:p>
        </w:tc>
        <w:tc>
          <w:tcPr>
            <w:tcW w:w="122" w:type="dxa"/>
            <w:tcBorders/>
            <w:shd w:fill="E5E5E5" w:val="clear"/>
            <w:vAlign w:val="bottom"/>
          </w:tcPr>
          <w:p>
            <w:pPr>
              <w:pStyle w:val="TableContents"/>
              <w:spacing w:before="0" w:after="283"/>
              <w:rPr/>
            </w:pPr>
            <w:r>
              <w:rPr/>
              <w:t>  </w:t>
            </w:r>
          </w:p>
        </w:tc>
        <w:tc>
          <w:tcPr>
            <w:tcW w:w="7223" w:type="dxa"/>
            <w:tcBorders>
              <w:right w:val="single" w:sz="2" w:space="0" w:color="000000"/>
            </w:tcBorders>
            <w:shd w:fill="E5E5E5" w:val="clear"/>
            <w:tcMar>
              <w:right w:w="40" w:type="dxa"/>
            </w:tcMar>
          </w:tcPr>
          <w:p>
            <w:pPr>
              <w:pStyle w:val="TableContents"/>
              <w:spacing w:before="0" w:after="0"/>
              <w:rPr/>
            </w:pPr>
            <w:r>
              <w:rPr/>
              <w:t> </w:t>
            </w:r>
          </w:p>
          <w:p>
            <w:pPr>
              <w:pStyle w:val="TableContents"/>
              <w:spacing w:before="0" w:after="0"/>
              <w:rPr>
                <w:rFonts w:ascii="arial" w:hAnsi="arial"/>
                <w:sz w:val="20"/>
              </w:rPr>
            </w:pPr>
            <w:r>
              <w:rPr>
                <w:rFonts w:ascii="arial" w:hAnsi="arial"/>
                <w:sz w:val="20"/>
              </w:rPr>
              <w:t>  Oversee succession planning for the Board of Directors and consider the size and composition of the Board of Directors as a whole. Make appropriate recommendations regarding such matters to the Board of Directors for approval.</w:t>
            </w:r>
          </w:p>
          <w:p>
            <w:pPr>
              <w:pStyle w:val="TableContents"/>
              <w:spacing w:before="0" w:after="0"/>
              <w:rPr/>
            </w:pPr>
            <w:r>
              <w:rPr/>
              <w:t> </w:t>
            </w:r>
          </w:p>
          <w:p>
            <w:pPr>
              <w:pStyle w:val="TableContents"/>
              <w:spacing w:before="0" w:after="0"/>
              <w:rPr>
                <w:rFonts w:ascii="arial" w:hAnsi="arial"/>
                <w:sz w:val="20"/>
              </w:rPr>
            </w:pPr>
            <w:r>
              <w:rPr>
                <w:rFonts w:ascii="arial" w:hAnsi="arial"/>
                <w:sz w:val="20"/>
              </w:rPr>
              <w:t>  Identify and evaluate qualified director candidates, including any candidates validly nominated by the Corporations stockholders, and recommend director nominees for approval by the Board of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  Determine the skills and qualifications required for directors and develop criteria to be considered in identifying and evaluating director candidates. In developing such criteria, the Committee should consider diversity of experience, skills, background, gender, race, and ethnicity as important factors.</w:t>
            </w:r>
          </w:p>
          <w:p>
            <w:pPr>
              <w:pStyle w:val="TableContents"/>
              <w:spacing w:before="0" w:after="20"/>
              <w:rPr/>
            </w:pPr>
            <w:r>
              <w:rPr/>
              <w:t> </w:t>
            </w:r>
          </w:p>
        </w:tc>
      </w:tr>
      <w:tr>
        <w:trPr/>
        <w:tc>
          <w:tcPr>
            <w:tcW w:w="2860" w:type="dxa"/>
            <w:tcBorders>
              <w:top w:val="single" w:sz="2" w:space="0" w:color="000000"/>
              <w:left w:val="single" w:sz="2" w:space="0" w:color="000000"/>
              <w:bottom w:val="single" w:sz="2" w:space="0" w:color="000000"/>
              <w:right w:val="single" w:sz="2" w:space="0" w:color="000000"/>
            </w:tcBorders>
            <w:shd w:fill="CF0A2C" w:val="clear"/>
            <w:tcMar>
              <w:top w:w="28" w:type="dxa"/>
              <w:left w:w="160" w:type="dxa"/>
              <w:bottom w:w="28" w:type="dxa"/>
              <w:right w:w="28" w:type="dxa"/>
            </w:tcMar>
          </w:tcPr>
          <w:p>
            <w:pPr>
              <w:pStyle w:val="TableContents"/>
              <w:spacing w:before="0" w:after="0"/>
              <w:rPr/>
            </w:pPr>
            <w:r>
              <w:rPr/>
              <w:t> </w:t>
            </w:r>
          </w:p>
          <w:p>
            <w:pPr>
              <w:pStyle w:val="TableContents"/>
              <w:spacing w:before="0" w:after="0"/>
              <w:rPr>
                <w:rFonts w:ascii="arial" w:hAnsi="arial"/>
                <w:b/>
                <w:color w:val="FFFFFF"/>
                <w:sz w:val="20"/>
              </w:rPr>
            </w:pPr>
            <w:r>
              <w:rPr>
                <w:rFonts w:ascii="arial" w:hAnsi="arial"/>
                <w:b/>
                <w:color w:val="FFFFFF"/>
                <w:sz w:val="20"/>
              </w:rPr>
              <w:t>Meetings in 2020</w:t>
            </w:r>
          </w:p>
          <w:p>
            <w:pPr>
              <w:pStyle w:val="TableContents"/>
              <w:spacing w:before="0" w:after="20"/>
              <w:rPr/>
            </w:pPr>
            <w:r>
              <w:rPr/>
              <w:t> </w:t>
            </w:r>
          </w:p>
        </w:tc>
        <w:tc>
          <w:tcPr>
            <w:tcW w:w="122" w:type="dxa"/>
            <w:tcBorders/>
            <w:shd w:fill="E5E5E5" w:val="clear"/>
            <w:vAlign w:val="bottom"/>
          </w:tcPr>
          <w:p>
            <w:pPr>
              <w:pStyle w:val="TableContents"/>
              <w:spacing w:before="0" w:after="283"/>
              <w:rPr/>
            </w:pPr>
            <w:r>
              <w:rPr/>
              <w:t>  </w:t>
            </w:r>
          </w:p>
        </w:tc>
        <w:tc>
          <w:tcPr>
            <w:tcW w:w="7223" w:type="dxa"/>
            <w:tcBorders>
              <w:right w:val="single" w:sz="2" w:space="0" w:color="000000"/>
            </w:tcBorders>
            <w:shd w:fill="E5E5E5" w:val="clear"/>
            <w:tcMar>
              <w:right w:w="40" w:type="dxa"/>
            </w:tcMar>
          </w:tcPr>
          <w:p>
            <w:pPr>
              <w:pStyle w:val="TableContents"/>
              <w:spacing w:before="0" w:after="0"/>
              <w:rPr>
                <w:rFonts w:ascii="arial" w:hAnsi="arial"/>
                <w:sz w:val="20"/>
              </w:rPr>
            </w:pPr>
            <w:r>
              <w:rPr>
                <w:rFonts w:ascii="arial" w:hAnsi="arial"/>
                <w:sz w:val="20"/>
              </w:rPr>
              <w:t>  Consider the suitability of existing directors for continued service on the</w:t>
            </w:r>
          </w:p>
        </w:tc>
      </w:tr>
      <w:tr>
        <w:trPr/>
        <w:tc>
          <w:tcPr>
            <w:tcW w:w="2860" w:type="dxa"/>
            <w:tcBorders>
              <w:left w:val="single" w:sz="2" w:space="0" w:color="000000"/>
              <w:bottom w:val="single" w:sz="2" w:space="0" w:color="000000"/>
              <w:right w:val="single" w:sz="2" w:space="0" w:color="000000"/>
            </w:tcBorders>
            <w:shd w:fill="E5E5E5" w:val="clear"/>
            <w:tcMar>
              <w:left w:w="160" w:type="dxa"/>
              <w:bottom w:w="28" w:type="dxa"/>
              <w:right w:w="28" w:type="dxa"/>
            </w:tcMar>
          </w:tcPr>
          <w:p>
            <w:pPr>
              <w:pStyle w:val="TableContents"/>
              <w:spacing w:before="0" w:after="0"/>
              <w:rPr>
                <w:rFonts w:ascii="arial" w:hAnsi="arial"/>
                <w:sz w:val="20"/>
              </w:rPr>
            </w:pPr>
            <w:r>
              <w:rPr>
                <w:rFonts w:ascii="arial" w:hAnsi="arial"/>
                <w:sz w:val="20"/>
              </w:rPr>
              <w:t>Four Meetings</w:t>
            </w:r>
          </w:p>
        </w:tc>
        <w:tc>
          <w:tcPr>
            <w:tcW w:w="122" w:type="dxa"/>
            <w:tcBorders>
              <w:bottom w:val="single" w:sz="2" w:space="0" w:color="000000"/>
            </w:tcBorders>
            <w:shd w:fill="E5E5E5" w:val="clear"/>
            <w:tcMar>
              <w:bottom w:w="28" w:type="dxa"/>
            </w:tcMar>
            <w:vAlign w:val="bottom"/>
          </w:tcPr>
          <w:p>
            <w:pPr>
              <w:pStyle w:val="TableContents"/>
              <w:spacing w:before="0" w:after="283"/>
              <w:rPr/>
            </w:pPr>
            <w:r>
              <w:rPr/>
              <w:t>  </w:t>
            </w:r>
          </w:p>
        </w:tc>
        <w:tc>
          <w:tcPr>
            <w:tcW w:w="7223" w:type="dxa"/>
            <w:tcBorders>
              <w:bottom w:val="single" w:sz="2" w:space="0" w:color="000000"/>
              <w:right w:val="single" w:sz="2" w:space="0" w:color="000000"/>
            </w:tcBorders>
            <w:shd w:fill="E5E5E5" w:val="clear"/>
            <w:tcMar>
              <w:bottom w:w="28" w:type="dxa"/>
              <w:right w:w="40" w:type="dxa"/>
            </w:tcMar>
          </w:tcPr>
          <w:p>
            <w:pPr>
              <w:pStyle w:val="TableContents"/>
              <w:spacing w:before="0" w:after="0"/>
              <w:rPr/>
            </w:pPr>
            <w:r>
              <w:rPr/>
              <w:t>    </w:t>
            </w:r>
            <w:r>
              <w:rPr>
                <w:rFonts w:ascii="arial" w:hAnsi="arial"/>
                <w:sz w:val="20"/>
              </w:rPr>
              <w:t>Board of Directors when his or her term expires and when he or she has</w:t>
            </w:r>
          </w:p>
          <w:p>
            <w:pPr>
              <w:pStyle w:val="TableContents"/>
              <w:spacing w:before="0" w:after="0"/>
              <w:rPr/>
            </w:pPr>
            <w:r>
              <w:rPr/>
              <w:t>    </w:t>
            </w:r>
            <w:r>
              <w:rPr>
                <w:rFonts w:ascii="arial" w:hAnsi="arial"/>
                <w:sz w:val="20"/>
              </w:rPr>
              <w:t>a change in status, including changes to employment and outside board of directors service, and make appropriate recommendations regarding such matters to the Board of Directors for approval.</w:t>
            </w:r>
          </w:p>
          <w:p>
            <w:pPr>
              <w:pStyle w:val="TableContents"/>
              <w:spacing w:before="0" w:after="0"/>
              <w:rPr/>
            </w:pPr>
            <w:r>
              <w:rPr/>
              <w:t> </w:t>
            </w:r>
          </w:p>
          <w:p>
            <w:pPr>
              <w:pStyle w:val="TableContents"/>
              <w:spacing w:before="0" w:after="0"/>
              <w:rPr>
                <w:rFonts w:ascii="arial" w:hAnsi="arial"/>
                <w:sz w:val="20"/>
              </w:rPr>
            </w:pPr>
            <w:r>
              <w:rPr>
                <w:rFonts w:ascii="arial" w:hAnsi="arial"/>
                <w:sz w:val="20"/>
              </w:rPr>
              <w:t>  Develop and review the Corporations Corporate Governance Guidelines and recommend any changes to the Corporate Governance Guidelines for approval by the Board of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  Consider and recommend for approval by the Board of Directors matters pertaining to committees of the Board of Directors, including with respect to structure, member qualifications, composition, committee chairs and committee reporting to the Board of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  Consider and recommend for approval by the Board of Directors the Chairman of the Board of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the Code of Conduct for Non-Employee Directors and the Corporations Global Code of Conduct and recommend any changes for approval by the Board of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  Oversee and review with the Board of Directors risk and risk mitigation associated with the Committees purpose and areas of responsibility, including Board of Directors organization, membership and structure, succession planning, director independence, Board of Directors effectiveness and other corporate governance matters.</w:t>
            </w:r>
          </w:p>
          <w:p>
            <w:pPr>
              <w:pStyle w:val="TableContents"/>
              <w:spacing w:before="0" w:after="0"/>
              <w:rPr/>
            </w:pPr>
            <w:r>
              <w:rPr/>
              <w:t> </w:t>
            </w:r>
          </w:p>
          <w:p>
            <w:pPr>
              <w:pStyle w:val="TableContents"/>
              <w:spacing w:before="0" w:after="0"/>
              <w:rPr>
                <w:rFonts w:ascii="arial" w:hAnsi="arial"/>
                <w:sz w:val="20"/>
              </w:rPr>
            </w:pPr>
            <w:r>
              <w:rPr>
                <w:rFonts w:ascii="arial" w:hAnsi="arial"/>
                <w:sz w:val="20"/>
              </w:rPr>
              <w:t>  Work with the Chairman of the Board of Directors to oversee the evaluation of the performance and effectiveness of the Board of Directors and each committee of the Board of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  Coordinate an annual corporate governance training for the Board of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oversee the Corporations actions on issues related to corporate social responsibility, sustainability, philanthropy, and other matters associated with the Corporations participation as a global corporate citizen.</w:t>
            </w:r>
          </w:p>
          <w:p>
            <w:pPr>
              <w:pStyle w:val="TableContents"/>
              <w:spacing w:before="0" w:after="0"/>
              <w:rPr/>
            </w:pPr>
            <w:r>
              <w:rPr/>
              <w:t> </w:t>
            </w:r>
          </w:p>
          <w:p>
            <w:pPr>
              <w:pStyle w:val="TableContents"/>
              <w:spacing w:before="0" w:after="0"/>
              <w:rPr>
                <w:rFonts w:ascii="arial" w:hAnsi="arial"/>
                <w:sz w:val="20"/>
              </w:rPr>
            </w:pPr>
            <w:r>
              <w:rPr>
                <w:rFonts w:ascii="arial" w:hAnsi="arial"/>
                <w:sz w:val="20"/>
              </w:rPr>
              <w:t>  Review and oversee the Corporations political activities and contributions and other public policy issues to ensure alignment with the Corporations long-term strategy and values.</w:t>
            </w:r>
          </w:p>
          <w:p>
            <w:pPr>
              <w:pStyle w:val="TableContents"/>
              <w:spacing w:before="0" w:after="2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12    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CORPORATE GOVERNANCE   </w:t>
            </w:r>
          </w:p>
        </w:tc>
      </w:tr>
    </w:tbl>
    <w:p>
      <w:pPr>
        <w:pStyle w:val="TextBody"/>
        <w:spacing w:before="0" w:after="0"/>
        <w:jc w:val="left"/>
        <w:rPr/>
      </w:pPr>
      <w:r>
        <w:rPr/>
        <w:t> </w:t>
      </w:r>
    </w:p>
    <w:p>
      <w:pPr>
        <w:pStyle w:val="TextBody"/>
        <w:spacing w:before="0" w:after="0"/>
        <w:jc w:val="left"/>
        <w:rPr>
          <w:rFonts w:ascii="arial" w:hAnsi="arial"/>
          <w:b/>
          <w:color w:val="CF0A2C"/>
          <w:sz w:val="28"/>
        </w:rPr>
      </w:pPr>
      <w:bookmarkStart w:id="18" w:name="toc116694_16"/>
      <w:bookmarkEnd w:id="18"/>
      <w:r>
        <w:rPr>
          <w:rFonts w:ascii="arial" w:hAnsi="arial"/>
          <w:b/>
          <w:color w:val="CF0A2C"/>
          <w:sz w:val="28"/>
        </w:rPr>
        <w:t xml:space="preserve">Board of Directors Nominations </w:t>
      </w:r>
    </w:p>
    <w:p>
      <w:pPr>
        <w:pStyle w:val="TextBody"/>
        <w:spacing w:before="120" w:after="0"/>
        <w:jc w:val="left"/>
        <w:rPr>
          <w:rFonts w:ascii="arial" w:hAnsi="arial"/>
          <w:sz w:val="20"/>
        </w:rPr>
      </w:pPr>
      <w:r>
        <w:rPr>
          <w:rFonts w:ascii="arial" w:hAnsi="arial"/>
          <w:sz w:val="20"/>
        </w:rPr>
        <w:t xml:space="preserve">The Nominating and Corporate Governance Committee considers various criteria in evaluating Board of Directors candidates, including: business experience, board of directors experience, skills, expertise, education, professions, backgrounds, diversity, personal and professional integrity, character, business judgment, business philosophy, time availability in light of other commitments, dedication, conflicts of interest, and such other relevant factors that the Nominating and Corporate Governance Committee considers appropriate in the context of the needs of the Board of Directors. In considering diversity, the Nominating and Corporate Governance Committee evaluates candidates with a broad range of expertise, experience, skills, professions, education, backgrounds, and other board of directors experience. While the Nominating and Corporate Governance Committee does not have a formal policy with respect to diversity, it considers diversity of race, gender and ethnicity as important factors in identifying directors who will bring diverse viewpoints, opinions and areas of expertise that will benefit the Board of Directors as a whole. The Nominating and Corporate Governance Committee does not assign specific weights to particular criteria in evaluating prospective nominees. </w:t>
      </w:r>
    </w:p>
    <w:p>
      <w:pPr>
        <w:pStyle w:val="TextBody"/>
        <w:spacing w:before="120" w:after="0"/>
        <w:jc w:val="left"/>
        <w:rPr>
          <w:rFonts w:ascii="arial" w:hAnsi="arial"/>
          <w:sz w:val="20"/>
        </w:rPr>
      </w:pPr>
      <w:r>
        <w:rPr>
          <w:rFonts w:ascii="arial" w:hAnsi="arial"/>
          <w:sz w:val="20"/>
        </w:rPr>
        <w:t xml:space="preserve">The Nominating and Corporate Governance Committee also considers whether a potential nominee would satisfy the NYSEs criteria for director independence, the NYSEs accounting or related financial management expertise standard and the SECs definition of audit committee financial expert. </w:t>
      </w:r>
    </w:p>
    <w:p>
      <w:pPr>
        <w:pStyle w:val="TextBody"/>
        <w:spacing w:before="120" w:after="0"/>
        <w:jc w:val="left"/>
        <w:rPr>
          <w:rFonts w:ascii="arial" w:hAnsi="arial"/>
          <w:sz w:val="20"/>
        </w:rPr>
      </w:pPr>
      <w:r>
        <w:rPr>
          <w:rFonts w:ascii="arial" w:hAnsi="arial"/>
          <w:sz w:val="20"/>
        </w:rPr>
        <w:t xml:space="preserve">Whenever a vacancy or potential vacancy exists on the Board of Directors due to expansion of the size of the Board of Directors or the resignation or retirement of an existing director, the Nominating and Corporate Governance Committee begins its process of identifying and evaluating potential director candidates. The Nominating and Corporate Governance Committee considers recommendations of members of the Board of Directors, management, stockholders, and others. The Nominating and Corporate Governance Committee has sole authority to retain and terminate any search firm to be used to identify director candidates, including approving its fees and other retention terms. </w:t>
      </w:r>
    </w:p>
    <w:p>
      <w:pPr>
        <w:pStyle w:val="TextBody"/>
        <w:spacing w:before="120" w:after="0"/>
        <w:jc w:val="left"/>
        <w:rPr>
          <w:rFonts w:ascii="arial" w:hAnsi="arial"/>
          <w:sz w:val="20"/>
        </w:rPr>
      </w:pPr>
      <w:r>
        <w:rPr>
          <w:rFonts w:ascii="arial" w:hAnsi="arial"/>
          <w:sz w:val="20"/>
        </w:rPr>
        <w:t xml:space="preserve">The Nominating and Corporate Governance Committee conducted an evaluation and assessment of each director whose term expires in 2021 for purposes of determining whether to recommend them for nomination for re-election to the Board of Directors. After reviewing the assessment results, the Nominating and Corporate Governance Committee determined to make a recommendation to the Board of Directors that Howard M. Berk, Daniel J. Brestle, Susan M. Collyns, Richard J. Dahl, Michael C. Hyter, Larry A. Kay, Caroline W. Nahas, Douglas M. Pasquale, John W. Peyton, and Lilian C. Tomovich be nominated for re-election to the Board of Directors. Current director Gilbert T. Ray will be retiring from the Board of Directors effective as of the Annual Meeting. The Board of Directors reviewed and accepted the Nominating and Corporate Governance Committees recommendation and has nominated Howard M. Berk, Daniel J. Brestle, Susan M. Collyns, Richard J. Dahl, Michael C. Hyter, Larry A. Kay, Caroline W. Nahas, Douglas M. Pasquale, John W. Peyton, and Lilian C. Tomovich for re-election to the Board of Directors. </w:t>
      </w:r>
    </w:p>
    <w:p>
      <w:pPr>
        <w:pStyle w:val="TextBody"/>
        <w:spacing w:before="360" w:after="0"/>
        <w:jc w:val="left"/>
        <w:rPr>
          <w:rFonts w:ascii="arial" w:hAnsi="arial"/>
          <w:b/>
          <w:color w:val="CF0A2C"/>
          <w:sz w:val="28"/>
        </w:rPr>
      </w:pPr>
      <w:bookmarkStart w:id="19" w:name="toc116694_17"/>
      <w:bookmarkEnd w:id="19"/>
      <w:r>
        <w:rPr>
          <w:rFonts w:ascii="arial" w:hAnsi="arial"/>
          <w:b/>
          <w:color w:val="CF0A2C"/>
          <w:sz w:val="28"/>
        </w:rPr>
        <w:t xml:space="preserve">Stockholder Nominations </w:t>
      </w:r>
    </w:p>
    <w:p>
      <w:pPr>
        <w:pStyle w:val="TextBody"/>
        <w:spacing w:before="120" w:after="0"/>
        <w:jc w:val="left"/>
        <w:rPr>
          <w:rFonts w:ascii="arial" w:hAnsi="arial"/>
          <w:sz w:val="20"/>
        </w:rPr>
      </w:pPr>
      <w:r>
        <w:rPr>
          <w:rFonts w:ascii="arial" w:hAnsi="arial"/>
          <w:sz w:val="20"/>
        </w:rPr>
        <w:t xml:space="preserve">The Nominating and Corporate Governance Committee will consider director candidates recommended by stockholders and will apply the same standards in considering director candidates recommended by stockholders that it applies to other candidates. Stockholders wishing to recommend director candidates for consideration by the Nominating and Corporate Governance Committee may do so by writing to the Secretary, giving the recommended nominees name, biographical data and qualifications, accompanied by the written consent of the recommended nominee to serve if elected. Any stockholder who wishes to directly nominate a director candidate to stand for election at a meeting of stockholders must provide written notice that is timely and in proper form in accordance with the advance notice procedures provided in the Corporations Bylaws. </w:t>
      </w:r>
    </w:p>
    <w:p>
      <w:pPr>
        <w:pStyle w:val="TextBody"/>
        <w:spacing w:before="360" w:after="0"/>
        <w:jc w:val="left"/>
        <w:rPr>
          <w:rFonts w:ascii="arial" w:hAnsi="arial"/>
          <w:b/>
          <w:color w:val="CF0A2C"/>
          <w:sz w:val="28"/>
        </w:rPr>
      </w:pPr>
      <w:bookmarkStart w:id="20" w:name="toc116694_18"/>
      <w:bookmarkEnd w:id="20"/>
      <w:r>
        <w:rPr>
          <w:rFonts w:ascii="arial" w:hAnsi="arial"/>
          <w:b/>
          <w:color w:val="CF0A2C"/>
          <w:sz w:val="28"/>
        </w:rPr>
        <w:t xml:space="preserve">Environmental, Social and Governance Highlights </w:t>
      </w:r>
    </w:p>
    <w:p>
      <w:pPr>
        <w:pStyle w:val="TextBody"/>
        <w:spacing w:before="120" w:after="0"/>
        <w:jc w:val="left"/>
        <w:rPr>
          <w:rFonts w:ascii="arial" w:hAnsi="arial"/>
          <w:sz w:val="20"/>
        </w:rPr>
      </w:pPr>
      <w:r>
        <w:rPr>
          <w:rFonts w:ascii="arial" w:hAnsi="arial"/>
          <w:sz w:val="20"/>
        </w:rPr>
        <w:t xml:space="preserve">In executing on the Corporations strategic priorities, we recognize our responsibility to drive long-term stockholder value through ethical business practices that make sense for our business, our guests, and our communities. Pursuant to its charter, our Nominating and Corporate Governance Committee has the responsibility to review and oversee the Corporations actions on issues related to corporate social responsibility, sustainability, philanthropy, and other matters associated with the Corporations participation as a global corporate citizen. During 2020, we formed a cross-functional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13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CORPORATE GOVERNANCE</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team consisting of various stakeholders in order to support our ongoing commitment to such matters. A description of some of our corporate social responsibility efforts is set forth below. </w:t>
      </w:r>
    </w:p>
    <w:p>
      <w:pPr>
        <w:pStyle w:val="TextBody"/>
        <w:spacing w:before="240" w:after="0"/>
        <w:jc w:val="left"/>
        <w:rPr>
          <w:rFonts w:ascii="arial" w:hAnsi="arial"/>
          <w:b/>
          <w:sz w:val="20"/>
        </w:rPr>
      </w:pPr>
      <w:r>
        <w:rPr>
          <w:rFonts w:ascii="arial" w:hAnsi="arial"/>
          <w:b/>
          <w:sz w:val="20"/>
        </w:rPr>
        <w:t xml:space="preserve">Supporting our neighborhoods. </w:t>
      </w:r>
    </w:p>
    <w:p>
      <w:pPr>
        <w:pStyle w:val="TextBody"/>
        <w:spacing w:before="0" w:after="0"/>
        <w:jc w:val="left"/>
        <w:rPr>
          <w:rFonts w:ascii="arial" w:hAnsi="arial"/>
          <w:sz w:val="20"/>
        </w:rPr>
      </w:pPr>
      <w:r>
        <w:rPr>
          <w:rFonts w:ascii="arial" w:hAnsi="arial"/>
          <w:sz w:val="20"/>
        </w:rPr>
        <w:t xml:space="preserve">We value the neighborhoods in which we do business. Together with our franchisees and team members, we make a difference by giving back to the communities where we operate. Every year, we support hundreds of fundraisers and events taking place across the country through our charitable foundation, volunteering, and team member donations. Some highlights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0"/>
              <w:jc w:val="left"/>
              <w:rPr>
                <w:rFonts w:ascii="arial" w:hAnsi="arial"/>
                <w:sz w:val="20"/>
              </w:rPr>
            </w:pPr>
            <w:r>
              <w:rPr>
                <w:rFonts w:ascii="arial" w:hAnsi="arial"/>
                <w:sz w:val="20"/>
              </w:rPr>
              <w:t xml:space="preserve">Alexs Lemonade Stand: Since 2005, Applebees franchisees have raised nearly $11.5 million in support of research to help in the fight against childhood cancer.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0"/>
        <w:gridCol w:w="103"/>
        <w:gridCol w:w="9485"/>
      </w:tblGrid>
      <w:tr>
        <w:trPr/>
        <w:tc>
          <w:tcPr>
            <w:tcW w:w="40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5" w:type="dxa"/>
            <w:tcBorders/>
            <w:shd w:fill="auto" w:val="clear"/>
          </w:tcPr>
          <w:p>
            <w:pPr>
              <w:pStyle w:val="TableContents"/>
              <w:spacing w:before="0" w:after="0"/>
              <w:jc w:val="left"/>
              <w:rPr>
                <w:rFonts w:ascii="arial" w:hAnsi="arial"/>
                <w:sz w:val="20"/>
              </w:rPr>
            </w:pPr>
            <w:r>
              <w:rPr>
                <w:rFonts w:ascii="arial" w:hAnsi="arial"/>
                <w:sz w:val="20"/>
              </w:rPr>
              <w:t xml:space="preserve">National Pancake Day: An annual IHOP event which has raised over $32 million to-date in support of Childrens Miracle Network Hospitals and other local charities. National Pancake Day is also celebrated at IHOPs in Mexico, Canada, Guam, and Puerto Rico.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0"/>
              <w:jc w:val="left"/>
              <w:rPr>
                <w:rFonts w:ascii="arial" w:hAnsi="arial"/>
                <w:sz w:val="20"/>
              </w:rPr>
            </w:pPr>
            <w:r>
              <w:rPr>
                <w:rFonts w:ascii="arial" w:hAnsi="arial"/>
                <w:sz w:val="20"/>
              </w:rPr>
              <w:t xml:space="preserve">Veterans Day: Since 2008, more than 10 million free meals have been donated by Applebees to veteran and active military personnel in recognition and gratitude for their service. </w:t>
            </w:r>
          </w:p>
        </w:tc>
      </w:tr>
    </w:tbl>
    <w:p>
      <w:pPr>
        <w:pStyle w:val="TextBody"/>
        <w:spacing w:before="120" w:after="0"/>
        <w:jc w:val="left"/>
        <w:rPr>
          <w:rFonts w:ascii="arial" w:hAnsi="arial"/>
          <w:sz w:val="20"/>
        </w:rPr>
      </w:pPr>
      <w:r>
        <w:rPr>
          <w:rFonts w:ascii="arial" w:hAnsi="arial"/>
          <w:sz w:val="20"/>
        </w:rPr>
        <w:t xml:space="preserve">We also seek to engage our team members in community-investment and development initiatives that serve the communities where we live and operate. An annual Philanthropic Day provides paid time off for our team members, giving them an opportunity to volunteer a full day to support a philanthropic effort of their choice. </w:t>
      </w:r>
    </w:p>
    <w:p>
      <w:pPr>
        <w:pStyle w:val="TextBody"/>
        <w:spacing w:before="240" w:after="0"/>
        <w:jc w:val="left"/>
        <w:rPr>
          <w:rFonts w:ascii="arial" w:hAnsi="arial"/>
          <w:b/>
          <w:sz w:val="20"/>
        </w:rPr>
      </w:pPr>
      <w:r>
        <w:rPr>
          <w:rFonts w:ascii="arial" w:hAnsi="arial"/>
          <w:b/>
          <w:sz w:val="20"/>
        </w:rPr>
        <w:t xml:space="preserve">Caring for the environment. </w:t>
      </w:r>
    </w:p>
    <w:p>
      <w:pPr>
        <w:pStyle w:val="TextBody"/>
        <w:spacing w:before="120" w:after="0"/>
        <w:jc w:val="left"/>
        <w:rPr>
          <w:rFonts w:ascii="arial" w:hAnsi="arial"/>
          <w:i/>
          <w:sz w:val="20"/>
        </w:rPr>
      </w:pPr>
      <w:r>
        <w:rPr>
          <w:rFonts w:ascii="arial" w:hAnsi="arial"/>
          <w:i/>
          <w:sz w:val="20"/>
        </w:rPr>
        <w:t xml:space="preserve">Animal Welfare </w:t>
      </w:r>
    </w:p>
    <w:p>
      <w:pPr>
        <w:pStyle w:val="TextBody"/>
        <w:spacing w:before="0" w:after="0"/>
        <w:jc w:val="left"/>
        <w:rPr>
          <w:rFonts w:ascii="arial" w:hAnsi="arial"/>
          <w:sz w:val="20"/>
        </w:rPr>
      </w:pPr>
      <w:r>
        <w:rPr>
          <w:rFonts w:ascii="arial" w:hAnsi="arial"/>
          <w:sz w:val="20"/>
        </w:rPr>
        <w:t xml:space="preserve">Animal welfare is an issue of critical importance for us and we are continuing to work with our suppliers, animal welfare experts and others both in and outside the industry to align on solutions and best practices that are supported by science and rigorous research. We are committed to an animal welfare policy that is rooted in sustainable progress and accountability and we continue to review our and our suppliers animal rights practices. For example, we ask our meat suppliers to limit the routine use of medically important antibiotics as defined by the World Health Organization, including prohibiting the use of these antibiotics for disease prevention and to report to us on the usage of antibiotics in their operations. We undertake an annual internal compliance review of our animal protein suppliers established animal handling procedures by requesting relevant third-party farm and plant animal audits, such as the North American Meat Institute (NAMI) harvesting audits and protocols. By requesting that protein suppliers submit their animal care policies, as well as relevant farm and plant audits on an annual basis, this guidance directs our practices as well as our selection of, and relationship with, sourcing partners. To improve the welfare of chickens in our egg supply and meet the desire of consumers to know more about the origins of their food, across both of our brands, we are committed to a U.S. egg supply (both shell and liquid) that is derived 100% from hens housed in a cage-free environment by the end of 2025. As of August 2020, 5% of our total egg volume is cage-free. To improve the welfare of pigs in our pork supply chains, we are increasingly sourcing pork from suppliers that use group housing systems and are enhancing our accountability by periodically reporting our progress. As of September 2020, 23% of our pork supply is gestation crate free, with 40% of our total pork supply utilizing group housing. </w:t>
      </w:r>
    </w:p>
    <w:p>
      <w:pPr>
        <w:pStyle w:val="TextBody"/>
        <w:spacing w:before="240" w:after="0"/>
        <w:jc w:val="left"/>
        <w:rPr>
          <w:rFonts w:ascii="arial" w:hAnsi="arial"/>
          <w:i/>
          <w:sz w:val="20"/>
        </w:rPr>
      </w:pPr>
      <w:r>
        <w:rPr>
          <w:rFonts w:ascii="arial" w:hAnsi="arial"/>
          <w:i/>
          <w:sz w:val="20"/>
        </w:rPr>
        <w:t xml:space="preserve">Environmental </w:t>
      </w:r>
    </w:p>
    <w:p>
      <w:pPr>
        <w:pStyle w:val="TextBody"/>
        <w:spacing w:before="0" w:after="0"/>
        <w:jc w:val="left"/>
        <w:rPr>
          <w:rFonts w:ascii="arial" w:hAnsi="arial"/>
          <w:sz w:val="20"/>
        </w:rPr>
      </w:pPr>
      <w:r>
        <w:rPr>
          <w:rFonts w:ascii="arial" w:hAnsi="arial"/>
          <w:sz w:val="20"/>
        </w:rPr>
        <w:t xml:space="preserve">We are focused on identifying ways to reduce our impact on the environment through improvements in how we supply, design, build and maintain our restaurants. We continue working to reduce the energy consumption in our restaurants and our restaurant support center. We have and are continuing to roll out various green initiatives in our restaurants and restaurant support center in order to reduce energy and resource consumption, including efficient plumbing, automatic light switches, HVAC controls that coordinate with kitchen equipment to maximize efficiency, and other measures. We have also been aggressive about replacing traditional lighting with compact florescent lighting wherever practicable. In addition, our IHOP® and Applebees® Restaurant Support Center is housed in a LEED Certified building. </w:t>
      </w:r>
    </w:p>
    <w:p>
      <w:pPr>
        <w:pStyle w:val="TextBody"/>
        <w:spacing w:before="120" w:after="0"/>
        <w:jc w:val="left"/>
        <w:rPr>
          <w:rFonts w:ascii="arial" w:hAnsi="arial"/>
          <w:sz w:val="20"/>
        </w:rPr>
      </w:pPr>
      <w:r>
        <w:rPr>
          <w:rFonts w:ascii="arial" w:hAnsi="arial"/>
          <w:sz w:val="20"/>
        </w:rPr>
        <w:t xml:space="preserve">We source a large amount of paper and plastic goods for our restaurants and choose recycled materials when feasible. We are working towards reducing the amount of polystyrene used in our to go orders and replacing these packaging products with recyclable packaging. We have removed 76% of all Styrofoam packaging products used in our IHOP locations.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14    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CORPORATE GOVERNANCE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A number of our environmental programs focus on reducing waste generated by our operations. We continue to look for ways to eliminate, reuse or recycle potential waste. One example is the regular recycling of used cooking oil at many of our restaurants. </w:t>
      </w:r>
    </w:p>
    <w:p>
      <w:pPr>
        <w:pStyle w:val="TextBody"/>
        <w:spacing w:before="240" w:after="0"/>
        <w:jc w:val="left"/>
        <w:rPr>
          <w:rFonts w:ascii="arial" w:hAnsi="arial"/>
          <w:b/>
          <w:sz w:val="20"/>
        </w:rPr>
      </w:pPr>
      <w:r>
        <w:rPr>
          <w:rFonts w:ascii="arial" w:hAnsi="arial"/>
          <w:b/>
          <w:sz w:val="20"/>
        </w:rPr>
        <w:t xml:space="preserve">Valuing our team members. </w:t>
      </w:r>
    </w:p>
    <w:p>
      <w:pPr>
        <w:pStyle w:val="TextBody"/>
        <w:spacing w:before="0" w:after="0"/>
        <w:jc w:val="left"/>
        <w:rPr>
          <w:rFonts w:ascii="arial" w:hAnsi="arial"/>
          <w:sz w:val="20"/>
        </w:rPr>
      </w:pPr>
      <w:r>
        <w:rPr>
          <w:rFonts w:ascii="arial" w:hAnsi="arial"/>
          <w:sz w:val="20"/>
        </w:rPr>
        <w:t xml:space="preserve">We view our employees as one of the three core strategic pillars of our businessPeople, Brand, and Growth. We believe that hiring, developing, and retaining team members is critically important to our operations and that our corporate responsibility begins with our team members. </w:t>
      </w:r>
    </w:p>
    <w:p>
      <w:pPr>
        <w:pStyle w:val="TextBody"/>
        <w:spacing w:before="120" w:after="0"/>
        <w:jc w:val="left"/>
        <w:rPr>
          <w:rFonts w:ascii="arial" w:hAnsi="arial"/>
          <w:sz w:val="20"/>
        </w:rPr>
      </w:pPr>
      <w:r>
        <w:rPr>
          <w:rFonts w:ascii="arial" w:hAnsi="arial"/>
          <w:sz w:val="20"/>
        </w:rPr>
        <w:t xml:space="preserve">At Dine, we also believe the power to meaningfully impact the people and communities we serve is realized when each team member is personally and professionally fulfilled. One of our primary focuses is to ensure the health and well-being of our team members. Our Total Rewards Program plays a big part in our commitment to creating an environment of well-being. We believe that when team members are supported with the resources they need to care for themselves and their loved ones, they are able to be at their best. We have a consistent and fair compensation program that reflects our pay-for-performance philosophy and rewards our team members for their contributions to our success. We offer comprehensive health and protection benefits that support our team members and their families overall well-being. We also contribute to programs that provide our team members with financial security, now and in the future. We offer other rewards that focus on recognition, career building, health and wellness, time-off benefits, and other perks that are designed to make our peoples experience as team members productive and fun. </w:t>
      </w:r>
    </w:p>
    <w:p>
      <w:pPr>
        <w:pStyle w:val="TextBody"/>
        <w:spacing w:before="120" w:after="0"/>
        <w:jc w:val="left"/>
        <w:rPr>
          <w:rFonts w:ascii="arial" w:hAnsi="arial"/>
          <w:sz w:val="20"/>
        </w:rPr>
      </w:pPr>
      <w:r>
        <w:rPr>
          <w:rFonts w:ascii="arial" w:hAnsi="arial"/>
          <w:sz w:val="20"/>
        </w:rPr>
        <w:t xml:space="preserve">We assess our culture and listen to our workforce through periodic employee engagement surveys. Various policy changes have been made or been influenced by the feedback we receive from our employees. </w:t>
      </w:r>
    </w:p>
    <w:p>
      <w:pPr>
        <w:pStyle w:val="TextBody"/>
        <w:spacing w:before="120" w:after="0"/>
        <w:jc w:val="left"/>
        <w:rPr>
          <w:rFonts w:ascii="arial" w:hAnsi="arial"/>
          <w:sz w:val="20"/>
        </w:rPr>
      </w:pPr>
      <w:r>
        <w:rPr>
          <w:rFonts w:ascii="arial" w:hAnsi="arial"/>
          <w:sz w:val="20"/>
        </w:rPr>
        <w:t xml:space="preserve">We are focused on a comprehensive approach to diversity and representation across leadership, team members, franchisees, partners, and the community. We embrace our personal differenceswhether it be race, gender, age, religion, culture, ethnicity, sexual orientation, veteran status, national origin, or physical abilityand the benefits that an array of backgrounds, cultures and thinking styles bring to our organization. We are committed to sustaining an environment that accepts, includes, and engages everyone in our workforce and encourages open dialogue, empowerment, and a sense of belonging. While the world and our business change rapidly, our management believes that respecting individual differences will continue to be essential to our long-term success.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15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DIRECTOR COMPENSATION</w:t>
            </w:r>
          </w:p>
        </w:tc>
      </w:tr>
    </w:tbl>
    <w:p>
      <w:pPr>
        <w:pStyle w:val="TextBody"/>
        <w:spacing w:before="0" w:after="0"/>
        <w:jc w:val="left"/>
        <w:rPr/>
      </w:pPr>
      <w:r>
        <w:rPr/>
        <w:t> </w:t>
      </w:r>
    </w:p>
    <w:p>
      <w:pPr>
        <w:pStyle w:val="TextBody"/>
        <w:spacing w:before="0" w:after="0"/>
        <w:jc w:val="left"/>
        <w:rPr>
          <w:rFonts w:ascii="arial" w:hAnsi="arial"/>
          <w:b/>
          <w:sz w:val="42"/>
        </w:rPr>
      </w:pPr>
      <w:bookmarkStart w:id="21" w:name="toc116694_19"/>
      <w:bookmarkEnd w:id="21"/>
      <w:r>
        <w:rPr>
          <w:rFonts w:ascii="arial" w:hAnsi="arial"/>
          <w:b/>
          <w:sz w:val="42"/>
        </w:rPr>
        <w:t xml:space="preserve">DIRECTOR COMPENSATION </w:t>
      </w:r>
    </w:p>
    <w:p>
      <w:pPr>
        <w:pStyle w:val="TextBody"/>
        <w:spacing w:before="360" w:after="0"/>
        <w:jc w:val="left"/>
        <w:rPr>
          <w:rFonts w:ascii="arial" w:hAnsi="arial"/>
          <w:sz w:val="20"/>
        </w:rPr>
      </w:pPr>
      <w:r>
        <w:rPr>
          <w:rFonts w:ascii="arial" w:hAnsi="arial"/>
          <w:sz w:val="20"/>
        </w:rPr>
        <w:t xml:space="preserve">Generally, the Corporation does not pay directors who are also employees of the Corporation additional compensation for their service on the Board of Directors. Compensation for non-employee directors is comprised of a cash component and an equity component. Cash compensation for non-employee directors includes retainers for serving as a member of the Board of Directors and for serving as a member and/or chair of a Board of Directors committee and as the Chairman of the Board of Directors. </w:t>
      </w:r>
    </w:p>
    <w:p>
      <w:pPr>
        <w:pStyle w:val="TextBody"/>
        <w:spacing w:before="120" w:after="0"/>
        <w:jc w:val="left"/>
        <w:rPr>
          <w:rFonts w:ascii="arial" w:hAnsi="arial"/>
          <w:sz w:val="20"/>
        </w:rPr>
      </w:pPr>
      <w:r>
        <w:rPr>
          <w:rFonts w:ascii="arial" w:hAnsi="arial"/>
          <w:sz w:val="20"/>
        </w:rPr>
        <w:t xml:space="preserve">During 2020, non-employee directors were entitled to receive $70,000 as an annual cash retainer for serving as a member of the Board of Directors. In addition, depending on their roles, non-employee directors were entitled to receive: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0"/>
        <w:gridCol w:w="204"/>
        <w:gridCol w:w="9384"/>
      </w:tblGrid>
      <w:tr>
        <w:trPr/>
        <w:tc>
          <w:tcPr>
            <w:tcW w:w="40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arial" w:hAnsi="arial"/>
                <w:sz w:val="20"/>
              </w:rPr>
            </w:pPr>
            <w:r>
              <w:rPr>
                <w:rFonts w:ascii="arial" w:hAnsi="arial"/>
                <w:sz w:val="20"/>
              </w:rPr>
              <w:t xml:space="preserve">$125,000 as an annual retainer for the Chairman of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2"/>
        <w:gridCol w:w="205"/>
        <w:gridCol w:w="9382"/>
      </w:tblGrid>
      <w:tr>
        <w:trPr/>
        <w:tc>
          <w:tcPr>
            <w:tcW w:w="406"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arial" w:hAnsi="arial"/>
                <w:sz w:val="20"/>
              </w:rPr>
            </w:pPr>
            <w:r>
              <w:rPr>
                <w:rFonts w:ascii="arial" w:hAnsi="arial"/>
                <w:sz w:val="20"/>
              </w:rPr>
              <w:t xml:space="preserve">$15,000, $12,500, and $7,500, respectively, as an annual retainer for the chairs of the Audit Committee, Compensation Committee, and Nominating and Corporate Governance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2"/>
        <w:gridCol w:w="205"/>
        <w:gridCol w:w="9382"/>
      </w:tblGrid>
      <w:tr>
        <w:trPr/>
        <w:tc>
          <w:tcPr>
            <w:tcW w:w="406"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arial" w:hAnsi="arial"/>
                <w:sz w:val="20"/>
              </w:rPr>
            </w:pPr>
            <w:r>
              <w:rPr>
                <w:rFonts w:ascii="arial" w:hAnsi="arial"/>
                <w:sz w:val="20"/>
              </w:rPr>
              <w:t xml:space="preserve">$12,500, $10,000, and $7,500, respectively, as an annual retainer for the members of the Audit Committee, Compensation Committee, and Nominating and Corporate Governance Committee;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$1,500 per meeting beyond the eighth meeting attended for each director who serves on a standing committee that meets more than eight times per year. </w:t>
            </w:r>
          </w:p>
        </w:tc>
      </w:tr>
    </w:tbl>
    <w:p>
      <w:pPr>
        <w:pStyle w:val="TextBody"/>
        <w:spacing w:before="120" w:after="0"/>
        <w:jc w:val="left"/>
        <w:rPr>
          <w:rFonts w:ascii="arial" w:hAnsi="arial"/>
          <w:sz w:val="20"/>
        </w:rPr>
      </w:pPr>
      <w:r>
        <w:rPr>
          <w:rFonts w:ascii="arial" w:hAnsi="arial"/>
          <w:sz w:val="20"/>
        </w:rPr>
        <w:t xml:space="preserve">On August 6, 2020, our Board of Directors increased the annual committee retainer for members of the Nominating and Corporate Governance Committee from $7,500 to $10,000 and increased the annual committee chair retainer for the Chair of the Nominating and Corporate Governance Committee from $7,500 to $12,500, in each case effective as of January 1, 2021. </w:t>
      </w:r>
    </w:p>
    <w:p>
      <w:pPr>
        <w:pStyle w:val="TextBody"/>
        <w:spacing w:before="120" w:after="0"/>
        <w:jc w:val="left"/>
        <w:rPr>
          <w:rFonts w:ascii="arial" w:hAnsi="arial"/>
          <w:sz w:val="20"/>
        </w:rPr>
      </w:pPr>
      <w:r>
        <w:rPr>
          <w:rFonts w:ascii="arial" w:hAnsi="arial"/>
          <w:sz w:val="20"/>
        </w:rPr>
        <w:t xml:space="preserve">The Corporation also reimburses each of the directors for reasonable out-of-pocket expenses incurred for attendance at Board of Directors and committee meetings and other corporate events. </w:t>
      </w:r>
    </w:p>
    <w:p>
      <w:pPr>
        <w:pStyle w:val="TextBody"/>
        <w:spacing w:before="120" w:after="0"/>
        <w:jc w:val="left"/>
        <w:rPr>
          <w:rFonts w:ascii="arial" w:hAnsi="arial"/>
          <w:sz w:val="20"/>
        </w:rPr>
      </w:pPr>
      <w:r>
        <w:rPr>
          <w:rFonts w:ascii="arial" w:hAnsi="arial"/>
          <w:sz w:val="20"/>
        </w:rPr>
        <w:t xml:space="preserve">Under the Corporations equity plan, non-employee directors may receive periodic grants of non-qualified stock options (NQSOs), restricted stock awards (RSAs), restricted stock units (RSUs), stock appreciation rights (SARs) or performance unit awards. In February 2020, equity awards valued at approximately $105,000 in the form of RSUs were granted to each non-employee director under the 2019 Stock Incentive Plan. Consistent with the 2019 non-employee director compensation program, annual equity awards granted to non-employee directors are subject to a one-year cliff vesting from the date of grant. In the event a director retires from the Board of Directors after completing five years of service, all of the directors then-outstanding RSUs will vest. To the extent the Corporation declares dividends, non-employee directors receive dividend equivalent rights in the form of additional RSUs in lieu of receiving cash dividends based upon the number of RSUs held by the director at the time of the dividend record dates. Dividend equivalent rights are subject to the same vesting restrictions as the underlying RSUs. </w:t>
      </w:r>
    </w:p>
    <w:p>
      <w:pPr>
        <w:pStyle w:val="TextBody"/>
        <w:spacing w:before="120" w:after="0"/>
        <w:jc w:val="left"/>
        <w:rPr>
          <w:rFonts w:ascii="arial" w:hAnsi="arial"/>
          <w:sz w:val="20"/>
        </w:rPr>
      </w:pPr>
      <w:r>
        <w:rPr>
          <w:rFonts w:ascii="arial" w:hAnsi="arial"/>
          <w:sz w:val="20"/>
        </w:rPr>
        <w:t xml:space="preserve">Directors are eligible to defer up to 100% of their annual Board of Directors retainer and committee fees and equity award compensation pursuant to the Dine Brands Global, Inc. Nonqualified Deferred Compensation Plan (the Deferred Compensation Plan). </w:t>
      </w:r>
    </w:p>
    <w:p>
      <w:pPr>
        <w:pStyle w:val="TextBody"/>
        <w:spacing w:before="360" w:after="0"/>
        <w:jc w:val="left"/>
        <w:rPr>
          <w:rFonts w:ascii="arial" w:hAnsi="arial"/>
          <w:b/>
          <w:color w:val="CF0A2C"/>
          <w:sz w:val="28"/>
        </w:rPr>
      </w:pPr>
      <w:bookmarkStart w:id="22" w:name="toc116694_20"/>
      <w:bookmarkEnd w:id="22"/>
      <w:r>
        <w:rPr>
          <w:rFonts w:ascii="arial" w:hAnsi="arial"/>
          <w:b/>
          <w:color w:val="CF0A2C"/>
          <w:sz w:val="28"/>
        </w:rPr>
        <w:t xml:space="preserve">Stock Ownership Guidelines </w:t>
      </w:r>
    </w:p>
    <w:p>
      <w:pPr>
        <w:pStyle w:val="TextBody"/>
        <w:spacing w:before="120" w:after="0"/>
        <w:jc w:val="left"/>
        <w:rPr>
          <w:rFonts w:ascii="arial" w:hAnsi="arial"/>
          <w:sz w:val="20"/>
        </w:rPr>
      </w:pPr>
      <w:r>
        <w:rPr>
          <w:rFonts w:ascii="arial" w:hAnsi="arial"/>
          <w:sz w:val="20"/>
        </w:rPr>
        <w:t xml:space="preserve">Non-employee directors are subject to stock ownership guidelines whereby each director is expected to hold the lesser of 7,000 shares of Common Stock or Common Stock with a value of at least five times the amount of the Board of Directors annual retainer (currently, $350,000). Directors are expected to meet the ownership guidelines within five years of joining the Board of Directors. Upon review by the Compensation Committee in 2020, all directors met, were on track to meet, or exceeded the ownership guidelines.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16    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DIRECTOR COMPENSATION    </w:t>
            </w:r>
          </w:p>
        </w:tc>
      </w:tr>
    </w:tbl>
    <w:p>
      <w:pPr>
        <w:pStyle w:val="TextBody"/>
        <w:spacing w:before="0" w:after="0"/>
        <w:jc w:val="left"/>
        <w:rPr/>
      </w:pPr>
      <w:r>
        <w:rPr/>
        <w:t> </w:t>
      </w:r>
    </w:p>
    <w:p>
      <w:pPr>
        <w:pStyle w:val="TextBody"/>
        <w:spacing w:before="0" w:after="0"/>
        <w:jc w:val="left"/>
        <w:rPr>
          <w:rFonts w:ascii="arial" w:hAnsi="arial"/>
          <w:b/>
          <w:color w:val="CF0A2C"/>
          <w:sz w:val="28"/>
        </w:rPr>
      </w:pPr>
      <w:bookmarkStart w:id="23" w:name="toc116694_21"/>
      <w:bookmarkEnd w:id="23"/>
      <w:r>
        <w:rPr>
          <w:rFonts w:ascii="arial" w:hAnsi="arial"/>
          <w:b/>
          <w:color w:val="CF0A2C"/>
          <w:sz w:val="28"/>
        </w:rPr>
        <w:t xml:space="preserve">Director Compensation Table for 2020 </w:t>
      </w:r>
    </w:p>
    <w:p>
      <w:pPr>
        <w:pStyle w:val="TextBody"/>
        <w:spacing w:before="120" w:after="0"/>
        <w:jc w:val="left"/>
        <w:rPr>
          <w:rFonts w:ascii="arial" w:hAnsi="arial"/>
          <w:sz w:val="20"/>
        </w:rPr>
      </w:pPr>
      <w:r>
        <w:rPr>
          <w:rFonts w:ascii="arial" w:hAnsi="arial"/>
          <w:sz w:val="20"/>
        </w:rPr>
        <w:t xml:space="preserve">The following table sets forth certain information regarding the compensation earned or paid in cash and stock awards granted to each non-employee director who served on the Board of Directors in 2020. Mr. Joyce did not receive any additional compensation for his service as a director in 2020. Please see the 2020 Summary Compensation Table for the compensation received by Mr. Joyce in his capacity as Chief Executive Officer.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223"/>
        <w:gridCol w:w="271"/>
        <w:gridCol w:w="1653"/>
        <w:gridCol w:w="399"/>
        <w:gridCol w:w="60"/>
        <w:gridCol w:w="800"/>
        <w:gridCol w:w="290"/>
        <w:gridCol w:w="526"/>
        <w:gridCol w:w="60"/>
        <w:gridCol w:w="936"/>
        <w:gridCol w:w="170"/>
      </w:tblGrid>
      <w:tr>
        <w:trPr/>
        <w:tc>
          <w:tcPr>
            <w:tcW w:w="422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4223" w:type="dxa"/>
            <w:tcBorders/>
            <w:shd w:fill="CF0A2C" w:val="clear"/>
            <w:vAlign w:val="center"/>
          </w:tcPr>
          <w:p>
            <w:pPr>
              <w:pStyle w:val="TableContents"/>
              <w:spacing w:before="0" w:after="283"/>
              <w:rPr>
                <w:sz w:val="4"/>
                <w:szCs w:val="4"/>
              </w:rPr>
            </w:pPr>
            <w:r>
              <w:rPr>
                <w:sz w:val="4"/>
                <w:szCs w:val="4"/>
              </w:rPr>
            </w:r>
          </w:p>
        </w:tc>
        <w:tc>
          <w:tcPr>
            <w:tcW w:w="1924" w:type="dxa"/>
            <w:gridSpan w:val="2"/>
            <w:tcBorders/>
            <w:shd w:fill="CF0A2C" w:val="clear"/>
            <w:vAlign w:val="center"/>
          </w:tcPr>
          <w:p>
            <w:pPr>
              <w:pStyle w:val="TableContents"/>
              <w:spacing w:before="0" w:after="283"/>
              <w:rPr>
                <w:sz w:val="4"/>
                <w:szCs w:val="4"/>
              </w:rPr>
            </w:pPr>
            <w:r>
              <w:rPr>
                <w:sz w:val="4"/>
                <w:szCs w:val="4"/>
              </w:rPr>
            </w:r>
          </w:p>
        </w:tc>
        <w:tc>
          <w:tcPr>
            <w:tcW w:w="1549" w:type="dxa"/>
            <w:gridSpan w:val="4"/>
            <w:tcBorders/>
            <w:shd w:fill="CF0A2C" w:val="clear"/>
            <w:vAlign w:val="center"/>
          </w:tcPr>
          <w:p>
            <w:pPr>
              <w:pStyle w:val="TableContents"/>
              <w:spacing w:before="0" w:after="283"/>
              <w:rPr>
                <w:sz w:val="4"/>
                <w:szCs w:val="4"/>
              </w:rPr>
            </w:pPr>
            <w:r>
              <w:rPr>
                <w:sz w:val="4"/>
                <w:szCs w:val="4"/>
              </w:rPr>
            </w:r>
          </w:p>
        </w:tc>
        <w:tc>
          <w:tcPr>
            <w:tcW w:w="1692" w:type="dxa"/>
            <w:gridSpan w:val="4"/>
            <w:tcBorders/>
            <w:shd w:fill="CF0A2C" w:val="clear"/>
            <w:vAlign w:val="center"/>
          </w:tcPr>
          <w:p>
            <w:pPr>
              <w:pStyle w:val="TableContents"/>
              <w:spacing w:before="0" w:after="283"/>
              <w:rPr>
                <w:sz w:val="4"/>
                <w:szCs w:val="4"/>
              </w:rPr>
            </w:pPr>
            <w:r>
              <w:rPr>
                <w:sz w:val="4"/>
                <w:szCs w:val="4"/>
              </w:rPr>
            </w:r>
          </w:p>
        </w:tc>
      </w:tr>
      <w:tr>
        <w:trPr/>
        <w:tc>
          <w:tcPr>
            <w:tcW w:w="4223"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271" w:type="dxa"/>
            <w:tcBorders/>
            <w:shd w:fill="CF0A2C" w:val="clear"/>
            <w:vAlign w:val="bottom"/>
          </w:tcPr>
          <w:p>
            <w:pPr>
              <w:pStyle w:val="TableContents"/>
              <w:spacing w:before="0" w:after="283"/>
              <w:rPr/>
            </w:pPr>
            <w:r>
              <w:rPr/>
              <w:t>    </w:t>
            </w:r>
          </w:p>
        </w:tc>
        <w:tc>
          <w:tcPr>
            <w:tcW w:w="1653" w:type="dxa"/>
            <w:tcBorders/>
            <w:shd w:fill="CF0A2C" w:val="clear"/>
            <w:vAlign w:val="bottom"/>
          </w:tcPr>
          <w:p>
            <w:pPr>
              <w:pStyle w:val="TableContents"/>
              <w:spacing w:before="0" w:after="283"/>
              <w:jc w:val="center"/>
              <w:rPr>
                <w:b/>
                <w:color w:val="FFFFFF"/>
              </w:rPr>
            </w:pPr>
            <w:r>
              <w:rPr>
                <w:b/>
                <w:color w:val="FFFFFF"/>
              </w:rPr>
              <w:t>Fees Earned or</w:t>
              <w:br/>
              <w:t>Paid in Cash</w:t>
              <w:br/>
              <w:t>($)</w:t>
            </w:r>
          </w:p>
        </w:tc>
        <w:tc>
          <w:tcPr>
            <w:tcW w:w="399" w:type="dxa"/>
            <w:tcBorders/>
            <w:shd w:fill="CF0A2C" w:val="clear"/>
            <w:vAlign w:val="bottom"/>
          </w:tcPr>
          <w:p>
            <w:pPr>
              <w:pStyle w:val="TableContents"/>
              <w:spacing w:before="0" w:after="283"/>
              <w:rPr/>
            </w:pPr>
            <w:r>
              <w:rPr/>
              <w:t>    </w:t>
            </w:r>
          </w:p>
        </w:tc>
        <w:tc>
          <w:tcPr>
            <w:tcW w:w="860" w:type="dxa"/>
            <w:gridSpan w:val="2"/>
            <w:tcBorders/>
            <w:shd w:fill="CF0A2C" w:val="clear"/>
            <w:vAlign w:val="bottom"/>
          </w:tcPr>
          <w:p>
            <w:pPr>
              <w:pStyle w:val="TableContents"/>
              <w:spacing w:before="0" w:after="283"/>
              <w:jc w:val="center"/>
              <w:rPr>
                <w:b/>
                <w:color w:val="FFFFFF"/>
              </w:rPr>
            </w:pPr>
            <w:r>
              <w:rPr>
                <w:b/>
                <w:color w:val="FFFFFF"/>
              </w:rPr>
              <w:t>Stock</w:t>
              <w:br/>
              <w:t>Awards</w:t>
              <w:br/>
              <w:t>($)(1)(2)</w:t>
            </w:r>
          </w:p>
        </w:tc>
        <w:tc>
          <w:tcPr>
            <w:tcW w:w="290" w:type="dxa"/>
            <w:tcBorders/>
            <w:shd w:fill="CF0A2C" w:val="clear"/>
            <w:vAlign w:val="bottom"/>
          </w:tcPr>
          <w:p>
            <w:pPr>
              <w:pStyle w:val="TableContents"/>
              <w:spacing w:before="0" w:after="283"/>
              <w:rPr/>
            </w:pPr>
            <w:r>
              <w:rPr/>
              <w:t> </w:t>
            </w:r>
          </w:p>
        </w:tc>
        <w:tc>
          <w:tcPr>
            <w:tcW w:w="526" w:type="dxa"/>
            <w:tcBorders/>
            <w:shd w:fill="CF0A2C" w:val="clear"/>
            <w:vAlign w:val="bottom"/>
          </w:tcPr>
          <w:p>
            <w:pPr>
              <w:pStyle w:val="TableContents"/>
              <w:spacing w:before="0" w:after="283"/>
              <w:rPr/>
            </w:pPr>
            <w:r>
              <w:rPr/>
              <w:t>    </w:t>
            </w:r>
          </w:p>
        </w:tc>
        <w:tc>
          <w:tcPr>
            <w:tcW w:w="996" w:type="dxa"/>
            <w:gridSpan w:val="2"/>
            <w:tcBorders/>
            <w:shd w:fill="CF0A2C" w:val="clear"/>
            <w:vAlign w:val="bottom"/>
          </w:tcPr>
          <w:p>
            <w:pPr>
              <w:pStyle w:val="TableContents"/>
              <w:spacing w:before="0" w:after="283"/>
              <w:jc w:val="center"/>
              <w:rPr>
                <w:b/>
                <w:color w:val="FFFFFF"/>
              </w:rPr>
            </w:pPr>
            <w:r>
              <w:rPr>
                <w:b/>
                <w:color w:val="FFFFFF"/>
              </w:rPr>
              <w:t>Total</w:t>
              <w:br/>
              <w:t>($)</w:t>
            </w:r>
          </w:p>
        </w:tc>
        <w:tc>
          <w:tcPr>
            <w:tcW w:w="170" w:type="dxa"/>
            <w:tcBorders/>
            <w:shd w:fill="CF0A2C" w:val="clear"/>
            <w:vAlign w:val="bottom"/>
          </w:tcPr>
          <w:p>
            <w:pPr>
              <w:pStyle w:val="TableContents"/>
              <w:spacing w:before="0" w:after="283"/>
              <w:rPr/>
            </w:pPr>
            <w:r>
              <w:rPr/>
              <w:t> </w:t>
            </w:r>
          </w:p>
        </w:tc>
      </w:tr>
      <w:tr>
        <w:trPr>
          <w:trHeight w:val="75" w:hRule="atLeast"/>
        </w:trPr>
        <w:tc>
          <w:tcPr>
            <w:tcW w:w="4223" w:type="dxa"/>
            <w:tcBorders/>
            <w:shd w:fill="E5E5E5" w:val="clear"/>
            <w:vAlign w:val="center"/>
          </w:tcPr>
          <w:p>
            <w:pPr>
              <w:pStyle w:val="TableContents"/>
              <w:spacing w:before="0" w:after="283"/>
              <w:rPr>
                <w:sz w:val="4"/>
                <w:szCs w:val="4"/>
              </w:rPr>
            </w:pPr>
            <w:r>
              <w:rPr>
                <w:sz w:val="4"/>
                <w:szCs w:val="4"/>
              </w:rPr>
            </w:r>
          </w:p>
        </w:tc>
        <w:tc>
          <w:tcPr>
            <w:tcW w:w="1924" w:type="dxa"/>
            <w:gridSpan w:val="2"/>
            <w:tcBorders/>
            <w:shd w:fill="E5E5E5" w:val="clear"/>
            <w:vAlign w:val="center"/>
          </w:tcPr>
          <w:p>
            <w:pPr>
              <w:pStyle w:val="TableContents"/>
              <w:spacing w:before="0" w:after="283"/>
              <w:rPr>
                <w:sz w:val="4"/>
                <w:szCs w:val="4"/>
              </w:rPr>
            </w:pPr>
            <w:r>
              <w:rPr>
                <w:sz w:val="4"/>
                <w:szCs w:val="4"/>
              </w:rPr>
            </w:r>
          </w:p>
        </w:tc>
        <w:tc>
          <w:tcPr>
            <w:tcW w:w="1549" w:type="dxa"/>
            <w:gridSpan w:val="4"/>
            <w:tcBorders/>
            <w:shd w:fill="E5E5E5" w:val="clear"/>
            <w:vAlign w:val="center"/>
          </w:tcPr>
          <w:p>
            <w:pPr>
              <w:pStyle w:val="TableContents"/>
              <w:spacing w:before="0" w:after="283"/>
              <w:rPr>
                <w:sz w:val="4"/>
                <w:szCs w:val="4"/>
              </w:rPr>
            </w:pPr>
            <w:r>
              <w:rPr>
                <w:sz w:val="4"/>
                <w:szCs w:val="4"/>
              </w:rPr>
            </w:r>
          </w:p>
        </w:tc>
        <w:tc>
          <w:tcPr>
            <w:tcW w:w="1692" w:type="dxa"/>
            <w:gridSpan w:val="4"/>
            <w:tcBorders/>
            <w:shd w:fill="E5E5E5" w:val="clear"/>
            <w:vAlign w:val="center"/>
          </w:tcPr>
          <w:p>
            <w:pPr>
              <w:pStyle w:val="TableContents"/>
              <w:spacing w:before="0" w:after="283"/>
              <w:rPr>
                <w:sz w:val="4"/>
                <w:szCs w:val="4"/>
              </w:rPr>
            </w:pPr>
            <w:r>
              <w:rPr>
                <w:sz w:val="4"/>
                <w:szCs w:val="4"/>
              </w:rPr>
            </w:r>
          </w:p>
        </w:tc>
      </w:tr>
      <w:tr>
        <w:trPr/>
        <w:tc>
          <w:tcPr>
            <w:tcW w:w="4223" w:type="dxa"/>
            <w:tcBorders/>
            <w:shd w:fill="E5E5E5" w:val="clear"/>
          </w:tcPr>
          <w:p>
            <w:pPr>
              <w:pStyle w:val="TableContents"/>
              <w:spacing w:before="0" w:after="0"/>
              <w:rPr>
                <w:rFonts w:ascii="arial" w:hAnsi="arial"/>
                <w:sz w:val="20"/>
              </w:rPr>
            </w:pPr>
            <w:r>
              <w:rPr>
                <w:rFonts w:ascii="arial" w:hAnsi="arial"/>
                <w:sz w:val="20"/>
              </w:rPr>
              <w:t>Howard M. Berk</w:t>
            </w:r>
          </w:p>
        </w:tc>
        <w:tc>
          <w:tcPr>
            <w:tcW w:w="271" w:type="dxa"/>
            <w:tcBorders/>
            <w:shd w:fill="E5E5E5" w:val="clear"/>
            <w:vAlign w:val="bottom"/>
          </w:tcPr>
          <w:p>
            <w:pPr>
              <w:pStyle w:val="TableContents"/>
              <w:spacing w:before="0" w:after="283"/>
              <w:rPr/>
            </w:pPr>
            <w:r>
              <w:rPr/>
              <w:t>    </w:t>
            </w:r>
          </w:p>
        </w:tc>
        <w:tc>
          <w:tcPr>
            <w:tcW w:w="1653" w:type="dxa"/>
            <w:tcBorders/>
            <w:shd w:fill="E5E5E5" w:val="clear"/>
            <w:vAlign w:val="bottom"/>
          </w:tcPr>
          <w:p>
            <w:pPr>
              <w:pStyle w:val="TableContents"/>
              <w:spacing w:before="0" w:after="283"/>
              <w:jc w:val="center"/>
              <w:rPr/>
            </w:pPr>
            <w:r>
              <w:rPr/>
              <w:t>  </w:t>
            </w:r>
            <w:r>
              <w:rPr/>
              <w:t>92,500</w:t>
            </w:r>
          </w:p>
        </w:tc>
        <w:tc>
          <w:tcPr>
            <w:tcW w:w="39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105,040</w:t>
            </w:r>
          </w:p>
        </w:tc>
        <w:tc>
          <w:tcPr>
            <w:tcW w:w="290" w:type="dxa"/>
            <w:tcBorders/>
            <w:shd w:fill="E5E5E5" w:val="clear"/>
            <w:vAlign w:val="bottom"/>
          </w:tcPr>
          <w:p>
            <w:pPr>
              <w:pStyle w:val="TableContents"/>
              <w:spacing w:before="0" w:after="283"/>
              <w:rPr/>
            </w:pPr>
            <w:r>
              <w:rPr/>
              <w:t> </w:t>
            </w:r>
          </w:p>
        </w:tc>
        <w:tc>
          <w:tcPr>
            <w:tcW w:w="526"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36" w:type="dxa"/>
            <w:tcBorders/>
            <w:shd w:fill="E5E5E5" w:val="clear"/>
            <w:vAlign w:val="bottom"/>
          </w:tcPr>
          <w:p>
            <w:pPr>
              <w:pStyle w:val="TableContents"/>
              <w:spacing w:before="0" w:after="283"/>
              <w:jc w:val="right"/>
              <w:rPr/>
            </w:pPr>
            <w:r>
              <w:rPr/>
              <w:t>197,540  </w:t>
            </w:r>
          </w:p>
        </w:tc>
        <w:tc>
          <w:tcPr>
            <w:tcW w:w="170" w:type="dxa"/>
            <w:tcBorders/>
            <w:shd w:fill="E5E5E5" w:val="clear"/>
            <w:vAlign w:val="bottom"/>
          </w:tcPr>
          <w:p>
            <w:pPr>
              <w:pStyle w:val="TableContents"/>
              <w:spacing w:before="0" w:after="283"/>
              <w:rPr/>
            </w:pPr>
            <w:r>
              <w:rPr/>
              <w:t> </w:t>
            </w:r>
          </w:p>
        </w:tc>
      </w:tr>
      <w:tr>
        <w:trPr>
          <w:trHeight w:val="75" w:hRule="atLeast"/>
        </w:trPr>
        <w:tc>
          <w:tcPr>
            <w:tcW w:w="4223" w:type="dxa"/>
            <w:tcBorders/>
            <w:shd w:fill="auto" w:val="clear"/>
            <w:vAlign w:val="center"/>
          </w:tcPr>
          <w:p>
            <w:pPr>
              <w:pStyle w:val="TableContents"/>
              <w:spacing w:before="0" w:after="283"/>
              <w:rPr>
                <w:sz w:val="4"/>
                <w:szCs w:val="4"/>
              </w:rPr>
            </w:pPr>
            <w:r>
              <w:rPr>
                <w:sz w:val="4"/>
                <w:szCs w:val="4"/>
              </w:rPr>
            </w:r>
          </w:p>
        </w:tc>
        <w:tc>
          <w:tcPr>
            <w:tcW w:w="1924" w:type="dxa"/>
            <w:gridSpan w:val="2"/>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c>
          <w:tcPr>
            <w:tcW w:w="1692" w:type="dxa"/>
            <w:gridSpan w:val="4"/>
            <w:tcBorders/>
            <w:shd w:fill="auto" w:val="clear"/>
            <w:vAlign w:val="center"/>
          </w:tcPr>
          <w:p>
            <w:pPr>
              <w:pStyle w:val="TableContents"/>
              <w:spacing w:before="0" w:after="283"/>
              <w:rPr>
                <w:sz w:val="4"/>
                <w:szCs w:val="4"/>
              </w:rPr>
            </w:pPr>
            <w:r>
              <w:rPr>
                <w:sz w:val="4"/>
                <w:szCs w:val="4"/>
              </w:rPr>
            </w:r>
          </w:p>
        </w:tc>
      </w:tr>
      <w:tr>
        <w:trPr/>
        <w:tc>
          <w:tcPr>
            <w:tcW w:w="4223" w:type="dxa"/>
            <w:tcBorders/>
            <w:shd w:fill="auto" w:val="clear"/>
          </w:tcPr>
          <w:p>
            <w:pPr>
              <w:pStyle w:val="TableContents"/>
              <w:spacing w:before="0" w:after="0"/>
              <w:rPr>
                <w:rFonts w:ascii="arial" w:hAnsi="arial"/>
                <w:sz w:val="20"/>
              </w:rPr>
            </w:pPr>
            <w:r>
              <w:rPr>
                <w:rFonts w:ascii="arial" w:hAnsi="arial"/>
                <w:sz w:val="20"/>
              </w:rPr>
              <w:t>Daniel J. Brestle</w:t>
            </w:r>
          </w:p>
        </w:tc>
        <w:tc>
          <w:tcPr>
            <w:tcW w:w="271" w:type="dxa"/>
            <w:tcBorders/>
            <w:shd w:fill="auto" w:val="clear"/>
            <w:vAlign w:val="bottom"/>
          </w:tcPr>
          <w:p>
            <w:pPr>
              <w:pStyle w:val="TableContents"/>
              <w:spacing w:before="0" w:after="283"/>
              <w:rPr/>
            </w:pPr>
            <w:r>
              <w:rPr/>
              <w:t>    </w:t>
            </w:r>
          </w:p>
        </w:tc>
        <w:tc>
          <w:tcPr>
            <w:tcW w:w="1653" w:type="dxa"/>
            <w:tcBorders/>
            <w:shd w:fill="auto" w:val="clear"/>
            <w:vAlign w:val="bottom"/>
          </w:tcPr>
          <w:p>
            <w:pPr>
              <w:pStyle w:val="TableContents"/>
              <w:spacing w:before="0" w:after="283"/>
              <w:jc w:val="center"/>
              <w:rPr/>
            </w:pPr>
            <w:r>
              <w:rPr/>
              <w:t>  </w:t>
            </w:r>
            <w:r>
              <w:rPr/>
              <w:t>92,500</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105,040</w:t>
            </w:r>
          </w:p>
        </w:tc>
        <w:tc>
          <w:tcPr>
            <w:tcW w:w="29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197,540  </w:t>
            </w:r>
          </w:p>
        </w:tc>
        <w:tc>
          <w:tcPr>
            <w:tcW w:w="170" w:type="dxa"/>
            <w:tcBorders/>
            <w:shd w:fill="auto" w:val="clear"/>
            <w:vAlign w:val="bottom"/>
          </w:tcPr>
          <w:p>
            <w:pPr>
              <w:pStyle w:val="TableContents"/>
              <w:spacing w:before="0" w:after="283"/>
              <w:rPr/>
            </w:pPr>
            <w:r>
              <w:rPr/>
              <w:t> </w:t>
            </w:r>
          </w:p>
        </w:tc>
      </w:tr>
      <w:tr>
        <w:trPr>
          <w:trHeight w:val="75" w:hRule="atLeast"/>
        </w:trPr>
        <w:tc>
          <w:tcPr>
            <w:tcW w:w="4223" w:type="dxa"/>
            <w:tcBorders/>
            <w:shd w:fill="E5E5E5" w:val="clear"/>
            <w:vAlign w:val="center"/>
          </w:tcPr>
          <w:p>
            <w:pPr>
              <w:pStyle w:val="TableContents"/>
              <w:spacing w:before="0" w:after="283"/>
              <w:rPr>
                <w:sz w:val="4"/>
                <w:szCs w:val="4"/>
              </w:rPr>
            </w:pPr>
            <w:r>
              <w:rPr>
                <w:sz w:val="4"/>
                <w:szCs w:val="4"/>
              </w:rPr>
            </w:r>
          </w:p>
        </w:tc>
        <w:tc>
          <w:tcPr>
            <w:tcW w:w="1924" w:type="dxa"/>
            <w:gridSpan w:val="2"/>
            <w:tcBorders/>
            <w:shd w:fill="E5E5E5" w:val="clear"/>
            <w:vAlign w:val="center"/>
          </w:tcPr>
          <w:p>
            <w:pPr>
              <w:pStyle w:val="TableContents"/>
              <w:spacing w:before="0" w:after="283"/>
              <w:rPr>
                <w:sz w:val="4"/>
                <w:szCs w:val="4"/>
              </w:rPr>
            </w:pPr>
            <w:r>
              <w:rPr>
                <w:sz w:val="4"/>
                <w:szCs w:val="4"/>
              </w:rPr>
            </w:r>
          </w:p>
        </w:tc>
        <w:tc>
          <w:tcPr>
            <w:tcW w:w="1549" w:type="dxa"/>
            <w:gridSpan w:val="4"/>
            <w:tcBorders/>
            <w:shd w:fill="E5E5E5" w:val="clear"/>
            <w:vAlign w:val="center"/>
          </w:tcPr>
          <w:p>
            <w:pPr>
              <w:pStyle w:val="TableContents"/>
              <w:spacing w:before="0" w:after="283"/>
              <w:rPr>
                <w:sz w:val="4"/>
                <w:szCs w:val="4"/>
              </w:rPr>
            </w:pPr>
            <w:r>
              <w:rPr>
                <w:sz w:val="4"/>
                <w:szCs w:val="4"/>
              </w:rPr>
            </w:r>
          </w:p>
        </w:tc>
        <w:tc>
          <w:tcPr>
            <w:tcW w:w="1692" w:type="dxa"/>
            <w:gridSpan w:val="4"/>
            <w:tcBorders/>
            <w:shd w:fill="E5E5E5" w:val="clear"/>
            <w:vAlign w:val="center"/>
          </w:tcPr>
          <w:p>
            <w:pPr>
              <w:pStyle w:val="TableContents"/>
              <w:spacing w:before="0" w:after="283"/>
              <w:rPr>
                <w:sz w:val="4"/>
                <w:szCs w:val="4"/>
              </w:rPr>
            </w:pPr>
            <w:r>
              <w:rPr>
                <w:sz w:val="4"/>
                <w:szCs w:val="4"/>
              </w:rPr>
            </w:r>
          </w:p>
        </w:tc>
      </w:tr>
      <w:tr>
        <w:trPr/>
        <w:tc>
          <w:tcPr>
            <w:tcW w:w="4223" w:type="dxa"/>
            <w:tcBorders/>
            <w:shd w:fill="E5E5E5" w:val="clear"/>
          </w:tcPr>
          <w:p>
            <w:pPr>
              <w:pStyle w:val="TableContents"/>
              <w:spacing w:before="0" w:after="0"/>
              <w:rPr>
                <w:rFonts w:ascii="arial" w:hAnsi="arial"/>
                <w:sz w:val="20"/>
              </w:rPr>
            </w:pPr>
            <w:r>
              <w:rPr>
                <w:rFonts w:ascii="arial" w:hAnsi="arial"/>
                <w:sz w:val="20"/>
              </w:rPr>
              <w:t>Susan M. Collyns(3)</w:t>
            </w:r>
          </w:p>
        </w:tc>
        <w:tc>
          <w:tcPr>
            <w:tcW w:w="271" w:type="dxa"/>
            <w:tcBorders/>
            <w:shd w:fill="E5E5E5" w:val="clear"/>
            <w:vAlign w:val="bottom"/>
          </w:tcPr>
          <w:p>
            <w:pPr>
              <w:pStyle w:val="TableContents"/>
              <w:spacing w:before="0" w:after="283"/>
              <w:rPr/>
            </w:pPr>
            <w:r>
              <w:rPr/>
              <w:t>    </w:t>
            </w:r>
          </w:p>
        </w:tc>
        <w:tc>
          <w:tcPr>
            <w:tcW w:w="1653" w:type="dxa"/>
            <w:tcBorders/>
            <w:shd w:fill="E5E5E5" w:val="clear"/>
            <w:vAlign w:val="bottom"/>
          </w:tcPr>
          <w:p>
            <w:pPr>
              <w:pStyle w:val="TableContents"/>
              <w:spacing w:before="0" w:after="283"/>
              <w:jc w:val="center"/>
              <w:rPr/>
            </w:pPr>
            <w:r>
              <w:rPr/>
              <w:t>  </w:t>
            </w:r>
            <w:r>
              <w:rPr/>
              <w:t>82,500</w:t>
            </w:r>
          </w:p>
        </w:tc>
        <w:tc>
          <w:tcPr>
            <w:tcW w:w="39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43,759</w:t>
            </w:r>
          </w:p>
        </w:tc>
        <w:tc>
          <w:tcPr>
            <w:tcW w:w="290" w:type="dxa"/>
            <w:tcBorders/>
            <w:shd w:fill="E5E5E5" w:val="clear"/>
            <w:vAlign w:val="bottom"/>
          </w:tcPr>
          <w:p>
            <w:pPr>
              <w:pStyle w:val="TableContents"/>
              <w:spacing w:before="0" w:after="283"/>
              <w:rPr/>
            </w:pPr>
            <w:r>
              <w:rPr/>
              <w:t> </w:t>
            </w:r>
          </w:p>
        </w:tc>
        <w:tc>
          <w:tcPr>
            <w:tcW w:w="526"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36" w:type="dxa"/>
            <w:tcBorders/>
            <w:shd w:fill="E5E5E5" w:val="clear"/>
            <w:vAlign w:val="bottom"/>
          </w:tcPr>
          <w:p>
            <w:pPr>
              <w:pStyle w:val="TableContents"/>
              <w:spacing w:before="0" w:after="283"/>
              <w:jc w:val="right"/>
              <w:rPr/>
            </w:pPr>
            <w:r>
              <w:rPr/>
              <w:t>126,259  </w:t>
            </w:r>
          </w:p>
        </w:tc>
        <w:tc>
          <w:tcPr>
            <w:tcW w:w="170" w:type="dxa"/>
            <w:tcBorders/>
            <w:shd w:fill="E5E5E5" w:val="clear"/>
            <w:vAlign w:val="bottom"/>
          </w:tcPr>
          <w:p>
            <w:pPr>
              <w:pStyle w:val="TableContents"/>
              <w:spacing w:before="0" w:after="283"/>
              <w:rPr/>
            </w:pPr>
            <w:r>
              <w:rPr/>
              <w:t> </w:t>
            </w:r>
          </w:p>
        </w:tc>
      </w:tr>
      <w:tr>
        <w:trPr>
          <w:trHeight w:val="75" w:hRule="atLeast"/>
        </w:trPr>
        <w:tc>
          <w:tcPr>
            <w:tcW w:w="4223" w:type="dxa"/>
            <w:tcBorders/>
            <w:shd w:fill="auto" w:val="clear"/>
            <w:vAlign w:val="center"/>
          </w:tcPr>
          <w:p>
            <w:pPr>
              <w:pStyle w:val="TableContents"/>
              <w:spacing w:before="0" w:after="283"/>
              <w:rPr>
                <w:sz w:val="4"/>
                <w:szCs w:val="4"/>
              </w:rPr>
            </w:pPr>
            <w:r>
              <w:rPr>
                <w:sz w:val="4"/>
                <w:szCs w:val="4"/>
              </w:rPr>
            </w:r>
          </w:p>
        </w:tc>
        <w:tc>
          <w:tcPr>
            <w:tcW w:w="1924" w:type="dxa"/>
            <w:gridSpan w:val="2"/>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c>
          <w:tcPr>
            <w:tcW w:w="1692" w:type="dxa"/>
            <w:gridSpan w:val="4"/>
            <w:tcBorders/>
            <w:shd w:fill="auto" w:val="clear"/>
            <w:vAlign w:val="center"/>
          </w:tcPr>
          <w:p>
            <w:pPr>
              <w:pStyle w:val="TableContents"/>
              <w:spacing w:before="0" w:after="283"/>
              <w:rPr>
                <w:sz w:val="4"/>
                <w:szCs w:val="4"/>
              </w:rPr>
            </w:pPr>
            <w:r>
              <w:rPr>
                <w:sz w:val="4"/>
                <w:szCs w:val="4"/>
              </w:rPr>
            </w:r>
          </w:p>
        </w:tc>
      </w:tr>
      <w:tr>
        <w:trPr/>
        <w:tc>
          <w:tcPr>
            <w:tcW w:w="4223" w:type="dxa"/>
            <w:tcBorders/>
            <w:shd w:fill="auto" w:val="clear"/>
          </w:tcPr>
          <w:p>
            <w:pPr>
              <w:pStyle w:val="TableContents"/>
              <w:spacing w:before="0" w:after="0"/>
              <w:rPr>
                <w:rFonts w:ascii="arial" w:hAnsi="arial"/>
                <w:sz w:val="20"/>
              </w:rPr>
            </w:pPr>
            <w:r>
              <w:rPr>
                <w:rFonts w:ascii="arial" w:hAnsi="arial"/>
                <w:sz w:val="20"/>
              </w:rPr>
              <w:t>Richard J. Dahl</w:t>
            </w:r>
          </w:p>
        </w:tc>
        <w:tc>
          <w:tcPr>
            <w:tcW w:w="271" w:type="dxa"/>
            <w:tcBorders/>
            <w:shd w:fill="auto" w:val="clear"/>
            <w:vAlign w:val="bottom"/>
          </w:tcPr>
          <w:p>
            <w:pPr>
              <w:pStyle w:val="TableContents"/>
              <w:spacing w:before="0" w:after="283"/>
              <w:rPr/>
            </w:pPr>
            <w:r>
              <w:rPr/>
              <w:t>    </w:t>
            </w:r>
          </w:p>
        </w:tc>
        <w:tc>
          <w:tcPr>
            <w:tcW w:w="1653" w:type="dxa"/>
            <w:tcBorders/>
            <w:shd w:fill="auto" w:val="clear"/>
            <w:vAlign w:val="bottom"/>
          </w:tcPr>
          <w:p>
            <w:pPr>
              <w:pStyle w:val="TableContents"/>
              <w:spacing w:before="0" w:after="283"/>
              <w:jc w:val="center"/>
              <w:rPr/>
            </w:pPr>
            <w:r>
              <w:rPr/>
              <w:t>215,000</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105,040</w:t>
            </w:r>
          </w:p>
        </w:tc>
        <w:tc>
          <w:tcPr>
            <w:tcW w:w="29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320,040  </w:t>
            </w:r>
          </w:p>
        </w:tc>
        <w:tc>
          <w:tcPr>
            <w:tcW w:w="170" w:type="dxa"/>
            <w:tcBorders/>
            <w:shd w:fill="auto" w:val="clear"/>
            <w:vAlign w:val="bottom"/>
          </w:tcPr>
          <w:p>
            <w:pPr>
              <w:pStyle w:val="TableContents"/>
              <w:spacing w:before="0" w:after="283"/>
              <w:rPr/>
            </w:pPr>
            <w:r>
              <w:rPr/>
              <w:t> </w:t>
            </w:r>
          </w:p>
        </w:tc>
      </w:tr>
      <w:tr>
        <w:trPr>
          <w:trHeight w:val="75" w:hRule="atLeast"/>
        </w:trPr>
        <w:tc>
          <w:tcPr>
            <w:tcW w:w="4223" w:type="dxa"/>
            <w:tcBorders/>
            <w:shd w:fill="E5E5E5" w:val="clear"/>
            <w:vAlign w:val="center"/>
          </w:tcPr>
          <w:p>
            <w:pPr>
              <w:pStyle w:val="TableContents"/>
              <w:spacing w:before="0" w:after="283"/>
              <w:rPr>
                <w:sz w:val="4"/>
                <w:szCs w:val="4"/>
              </w:rPr>
            </w:pPr>
            <w:r>
              <w:rPr>
                <w:sz w:val="4"/>
                <w:szCs w:val="4"/>
              </w:rPr>
            </w:r>
          </w:p>
        </w:tc>
        <w:tc>
          <w:tcPr>
            <w:tcW w:w="1924" w:type="dxa"/>
            <w:gridSpan w:val="2"/>
            <w:tcBorders/>
            <w:shd w:fill="E5E5E5" w:val="clear"/>
            <w:vAlign w:val="center"/>
          </w:tcPr>
          <w:p>
            <w:pPr>
              <w:pStyle w:val="TableContents"/>
              <w:spacing w:before="0" w:after="283"/>
              <w:rPr>
                <w:sz w:val="4"/>
                <w:szCs w:val="4"/>
              </w:rPr>
            </w:pPr>
            <w:r>
              <w:rPr>
                <w:sz w:val="4"/>
                <w:szCs w:val="4"/>
              </w:rPr>
            </w:r>
          </w:p>
        </w:tc>
        <w:tc>
          <w:tcPr>
            <w:tcW w:w="1549" w:type="dxa"/>
            <w:gridSpan w:val="4"/>
            <w:tcBorders/>
            <w:shd w:fill="E5E5E5" w:val="clear"/>
            <w:vAlign w:val="center"/>
          </w:tcPr>
          <w:p>
            <w:pPr>
              <w:pStyle w:val="TableContents"/>
              <w:spacing w:before="0" w:after="283"/>
              <w:rPr>
                <w:sz w:val="4"/>
                <w:szCs w:val="4"/>
              </w:rPr>
            </w:pPr>
            <w:r>
              <w:rPr>
                <w:sz w:val="4"/>
                <w:szCs w:val="4"/>
              </w:rPr>
            </w:r>
          </w:p>
        </w:tc>
        <w:tc>
          <w:tcPr>
            <w:tcW w:w="1692" w:type="dxa"/>
            <w:gridSpan w:val="4"/>
            <w:tcBorders/>
            <w:shd w:fill="E5E5E5" w:val="clear"/>
            <w:vAlign w:val="center"/>
          </w:tcPr>
          <w:p>
            <w:pPr>
              <w:pStyle w:val="TableContents"/>
              <w:spacing w:before="0" w:after="283"/>
              <w:rPr>
                <w:sz w:val="4"/>
                <w:szCs w:val="4"/>
              </w:rPr>
            </w:pPr>
            <w:r>
              <w:rPr>
                <w:sz w:val="4"/>
                <w:szCs w:val="4"/>
              </w:rPr>
            </w:r>
          </w:p>
        </w:tc>
      </w:tr>
      <w:tr>
        <w:trPr/>
        <w:tc>
          <w:tcPr>
            <w:tcW w:w="4223" w:type="dxa"/>
            <w:tcBorders/>
            <w:shd w:fill="E5E5E5" w:val="clear"/>
          </w:tcPr>
          <w:p>
            <w:pPr>
              <w:pStyle w:val="TableContents"/>
              <w:spacing w:before="0" w:after="0"/>
              <w:rPr>
                <w:rFonts w:ascii="arial" w:hAnsi="arial"/>
                <w:sz w:val="20"/>
              </w:rPr>
            </w:pPr>
            <w:r>
              <w:rPr>
                <w:rFonts w:ascii="arial" w:hAnsi="arial"/>
                <w:sz w:val="20"/>
              </w:rPr>
              <w:t>Michael C. Hyter(4)</w:t>
            </w:r>
          </w:p>
        </w:tc>
        <w:tc>
          <w:tcPr>
            <w:tcW w:w="271" w:type="dxa"/>
            <w:tcBorders/>
            <w:shd w:fill="E5E5E5" w:val="clear"/>
            <w:vAlign w:val="bottom"/>
          </w:tcPr>
          <w:p>
            <w:pPr>
              <w:pStyle w:val="TableContents"/>
              <w:spacing w:before="0" w:after="283"/>
              <w:rPr/>
            </w:pPr>
            <w:r>
              <w:rPr/>
              <w:t>    </w:t>
            </w:r>
          </w:p>
        </w:tc>
        <w:tc>
          <w:tcPr>
            <w:tcW w:w="1653" w:type="dxa"/>
            <w:tcBorders/>
            <w:shd w:fill="E5E5E5" w:val="clear"/>
            <w:vAlign w:val="bottom"/>
          </w:tcPr>
          <w:p>
            <w:pPr>
              <w:pStyle w:val="TableContents"/>
              <w:spacing w:before="0" w:after="283"/>
              <w:jc w:val="center"/>
              <w:rPr/>
            </w:pPr>
            <w:r>
              <w:rPr/>
              <w:t>  </w:t>
            </w:r>
            <w:r>
              <w:rPr/>
              <w:t>37,693</w:t>
            </w:r>
          </w:p>
        </w:tc>
        <w:tc>
          <w:tcPr>
            <w:tcW w:w="39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105,004</w:t>
            </w:r>
          </w:p>
        </w:tc>
        <w:tc>
          <w:tcPr>
            <w:tcW w:w="290" w:type="dxa"/>
            <w:tcBorders/>
            <w:shd w:fill="E5E5E5" w:val="clear"/>
            <w:vAlign w:val="bottom"/>
          </w:tcPr>
          <w:p>
            <w:pPr>
              <w:pStyle w:val="TableContents"/>
              <w:spacing w:before="0" w:after="283"/>
              <w:rPr/>
            </w:pPr>
            <w:r>
              <w:rPr/>
              <w:t> </w:t>
            </w:r>
          </w:p>
        </w:tc>
        <w:tc>
          <w:tcPr>
            <w:tcW w:w="526"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36" w:type="dxa"/>
            <w:tcBorders/>
            <w:shd w:fill="E5E5E5" w:val="clear"/>
            <w:vAlign w:val="bottom"/>
          </w:tcPr>
          <w:p>
            <w:pPr>
              <w:pStyle w:val="TableContents"/>
              <w:spacing w:before="0" w:after="283"/>
              <w:jc w:val="right"/>
              <w:rPr/>
            </w:pPr>
            <w:r>
              <w:rPr/>
              <w:t>142,697  </w:t>
            </w:r>
          </w:p>
        </w:tc>
        <w:tc>
          <w:tcPr>
            <w:tcW w:w="170" w:type="dxa"/>
            <w:tcBorders/>
            <w:shd w:fill="E5E5E5" w:val="clear"/>
            <w:vAlign w:val="bottom"/>
          </w:tcPr>
          <w:p>
            <w:pPr>
              <w:pStyle w:val="TableContents"/>
              <w:spacing w:before="0" w:after="283"/>
              <w:rPr/>
            </w:pPr>
            <w:r>
              <w:rPr/>
              <w:t> </w:t>
            </w:r>
          </w:p>
        </w:tc>
      </w:tr>
      <w:tr>
        <w:trPr>
          <w:trHeight w:val="75" w:hRule="atLeast"/>
        </w:trPr>
        <w:tc>
          <w:tcPr>
            <w:tcW w:w="4223" w:type="dxa"/>
            <w:tcBorders/>
            <w:shd w:fill="auto" w:val="clear"/>
            <w:vAlign w:val="center"/>
          </w:tcPr>
          <w:p>
            <w:pPr>
              <w:pStyle w:val="TableContents"/>
              <w:spacing w:before="0" w:after="283"/>
              <w:rPr>
                <w:sz w:val="4"/>
                <w:szCs w:val="4"/>
              </w:rPr>
            </w:pPr>
            <w:r>
              <w:rPr>
                <w:sz w:val="4"/>
                <w:szCs w:val="4"/>
              </w:rPr>
            </w:r>
          </w:p>
        </w:tc>
        <w:tc>
          <w:tcPr>
            <w:tcW w:w="1924" w:type="dxa"/>
            <w:gridSpan w:val="2"/>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c>
          <w:tcPr>
            <w:tcW w:w="1692" w:type="dxa"/>
            <w:gridSpan w:val="4"/>
            <w:tcBorders/>
            <w:shd w:fill="auto" w:val="clear"/>
            <w:vAlign w:val="center"/>
          </w:tcPr>
          <w:p>
            <w:pPr>
              <w:pStyle w:val="TableContents"/>
              <w:spacing w:before="0" w:after="283"/>
              <w:rPr>
                <w:sz w:val="4"/>
                <w:szCs w:val="4"/>
              </w:rPr>
            </w:pPr>
            <w:r>
              <w:rPr>
                <w:sz w:val="4"/>
                <w:szCs w:val="4"/>
              </w:rPr>
            </w:r>
          </w:p>
        </w:tc>
      </w:tr>
      <w:tr>
        <w:trPr/>
        <w:tc>
          <w:tcPr>
            <w:tcW w:w="4223" w:type="dxa"/>
            <w:tcBorders/>
            <w:shd w:fill="auto" w:val="clear"/>
          </w:tcPr>
          <w:p>
            <w:pPr>
              <w:pStyle w:val="TableContents"/>
              <w:spacing w:before="0" w:after="0"/>
              <w:rPr>
                <w:rFonts w:ascii="arial" w:hAnsi="arial"/>
                <w:sz w:val="20"/>
              </w:rPr>
            </w:pPr>
            <w:r>
              <w:rPr>
                <w:rFonts w:ascii="arial" w:hAnsi="arial"/>
                <w:sz w:val="20"/>
              </w:rPr>
              <w:t>Larry A. Kay</w:t>
            </w:r>
          </w:p>
        </w:tc>
        <w:tc>
          <w:tcPr>
            <w:tcW w:w="271" w:type="dxa"/>
            <w:tcBorders/>
            <w:shd w:fill="auto" w:val="clear"/>
            <w:vAlign w:val="bottom"/>
          </w:tcPr>
          <w:p>
            <w:pPr>
              <w:pStyle w:val="TableContents"/>
              <w:spacing w:before="0" w:after="283"/>
              <w:rPr/>
            </w:pPr>
            <w:r>
              <w:rPr/>
              <w:t>    </w:t>
            </w:r>
          </w:p>
        </w:tc>
        <w:tc>
          <w:tcPr>
            <w:tcW w:w="1653" w:type="dxa"/>
            <w:tcBorders/>
            <w:shd w:fill="auto" w:val="clear"/>
            <w:vAlign w:val="bottom"/>
          </w:tcPr>
          <w:p>
            <w:pPr>
              <w:pStyle w:val="TableContents"/>
              <w:spacing w:before="0" w:after="283"/>
              <w:jc w:val="center"/>
              <w:rPr/>
            </w:pPr>
            <w:r>
              <w:rPr/>
              <w:t>  </w:t>
            </w:r>
            <w:r>
              <w:rPr/>
              <w:t>77,500</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105,040</w:t>
            </w:r>
          </w:p>
        </w:tc>
        <w:tc>
          <w:tcPr>
            <w:tcW w:w="29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182,540  </w:t>
            </w:r>
          </w:p>
        </w:tc>
        <w:tc>
          <w:tcPr>
            <w:tcW w:w="170" w:type="dxa"/>
            <w:tcBorders/>
            <w:shd w:fill="auto" w:val="clear"/>
            <w:vAlign w:val="bottom"/>
          </w:tcPr>
          <w:p>
            <w:pPr>
              <w:pStyle w:val="TableContents"/>
              <w:spacing w:before="0" w:after="283"/>
              <w:rPr/>
            </w:pPr>
            <w:r>
              <w:rPr/>
              <w:t> </w:t>
            </w:r>
          </w:p>
        </w:tc>
      </w:tr>
      <w:tr>
        <w:trPr>
          <w:trHeight w:val="75" w:hRule="atLeast"/>
        </w:trPr>
        <w:tc>
          <w:tcPr>
            <w:tcW w:w="4223" w:type="dxa"/>
            <w:tcBorders/>
            <w:shd w:fill="E5E5E5" w:val="clear"/>
            <w:vAlign w:val="center"/>
          </w:tcPr>
          <w:p>
            <w:pPr>
              <w:pStyle w:val="TableContents"/>
              <w:spacing w:before="0" w:after="283"/>
              <w:rPr>
                <w:sz w:val="4"/>
                <w:szCs w:val="4"/>
              </w:rPr>
            </w:pPr>
            <w:r>
              <w:rPr>
                <w:sz w:val="4"/>
                <w:szCs w:val="4"/>
              </w:rPr>
            </w:r>
          </w:p>
        </w:tc>
        <w:tc>
          <w:tcPr>
            <w:tcW w:w="1924" w:type="dxa"/>
            <w:gridSpan w:val="2"/>
            <w:tcBorders/>
            <w:shd w:fill="E5E5E5" w:val="clear"/>
            <w:vAlign w:val="center"/>
          </w:tcPr>
          <w:p>
            <w:pPr>
              <w:pStyle w:val="TableContents"/>
              <w:spacing w:before="0" w:after="283"/>
              <w:rPr>
                <w:sz w:val="4"/>
                <w:szCs w:val="4"/>
              </w:rPr>
            </w:pPr>
            <w:r>
              <w:rPr>
                <w:sz w:val="4"/>
                <w:szCs w:val="4"/>
              </w:rPr>
            </w:r>
          </w:p>
        </w:tc>
        <w:tc>
          <w:tcPr>
            <w:tcW w:w="1549" w:type="dxa"/>
            <w:gridSpan w:val="4"/>
            <w:tcBorders/>
            <w:shd w:fill="E5E5E5" w:val="clear"/>
            <w:vAlign w:val="center"/>
          </w:tcPr>
          <w:p>
            <w:pPr>
              <w:pStyle w:val="TableContents"/>
              <w:spacing w:before="0" w:after="283"/>
              <w:rPr>
                <w:sz w:val="4"/>
                <w:szCs w:val="4"/>
              </w:rPr>
            </w:pPr>
            <w:r>
              <w:rPr>
                <w:sz w:val="4"/>
                <w:szCs w:val="4"/>
              </w:rPr>
            </w:r>
          </w:p>
        </w:tc>
        <w:tc>
          <w:tcPr>
            <w:tcW w:w="1692" w:type="dxa"/>
            <w:gridSpan w:val="4"/>
            <w:tcBorders/>
            <w:shd w:fill="E5E5E5" w:val="clear"/>
            <w:vAlign w:val="center"/>
          </w:tcPr>
          <w:p>
            <w:pPr>
              <w:pStyle w:val="TableContents"/>
              <w:spacing w:before="0" w:after="283"/>
              <w:rPr>
                <w:sz w:val="4"/>
                <w:szCs w:val="4"/>
              </w:rPr>
            </w:pPr>
            <w:r>
              <w:rPr>
                <w:sz w:val="4"/>
                <w:szCs w:val="4"/>
              </w:rPr>
            </w:r>
          </w:p>
        </w:tc>
      </w:tr>
      <w:tr>
        <w:trPr/>
        <w:tc>
          <w:tcPr>
            <w:tcW w:w="4223" w:type="dxa"/>
            <w:tcBorders/>
            <w:shd w:fill="E5E5E5" w:val="clear"/>
          </w:tcPr>
          <w:p>
            <w:pPr>
              <w:pStyle w:val="TableContents"/>
              <w:spacing w:before="0" w:after="0"/>
              <w:rPr>
                <w:rFonts w:ascii="arial" w:hAnsi="arial"/>
                <w:sz w:val="20"/>
              </w:rPr>
            </w:pPr>
            <w:r>
              <w:rPr>
                <w:rFonts w:ascii="arial" w:hAnsi="arial"/>
                <w:sz w:val="20"/>
              </w:rPr>
              <w:t>Caroline W. Nahas</w:t>
            </w:r>
          </w:p>
        </w:tc>
        <w:tc>
          <w:tcPr>
            <w:tcW w:w="271" w:type="dxa"/>
            <w:tcBorders/>
            <w:shd w:fill="E5E5E5" w:val="clear"/>
            <w:vAlign w:val="bottom"/>
          </w:tcPr>
          <w:p>
            <w:pPr>
              <w:pStyle w:val="TableContents"/>
              <w:spacing w:before="0" w:after="283"/>
              <w:rPr/>
            </w:pPr>
            <w:r>
              <w:rPr/>
              <w:t>    </w:t>
            </w:r>
          </w:p>
        </w:tc>
        <w:tc>
          <w:tcPr>
            <w:tcW w:w="1653" w:type="dxa"/>
            <w:tcBorders/>
            <w:shd w:fill="E5E5E5" w:val="clear"/>
            <w:vAlign w:val="bottom"/>
          </w:tcPr>
          <w:p>
            <w:pPr>
              <w:pStyle w:val="TableContents"/>
              <w:spacing w:before="0" w:after="283"/>
              <w:jc w:val="center"/>
              <w:rPr/>
            </w:pPr>
            <w:r>
              <w:rPr/>
              <w:t>  </w:t>
            </w:r>
            <w:r>
              <w:rPr/>
              <w:t>95,000</w:t>
            </w:r>
          </w:p>
        </w:tc>
        <w:tc>
          <w:tcPr>
            <w:tcW w:w="39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105,040</w:t>
            </w:r>
          </w:p>
        </w:tc>
        <w:tc>
          <w:tcPr>
            <w:tcW w:w="290" w:type="dxa"/>
            <w:tcBorders/>
            <w:shd w:fill="E5E5E5" w:val="clear"/>
            <w:vAlign w:val="bottom"/>
          </w:tcPr>
          <w:p>
            <w:pPr>
              <w:pStyle w:val="TableContents"/>
              <w:spacing w:before="0" w:after="283"/>
              <w:rPr/>
            </w:pPr>
            <w:r>
              <w:rPr/>
              <w:t> </w:t>
            </w:r>
          </w:p>
        </w:tc>
        <w:tc>
          <w:tcPr>
            <w:tcW w:w="526"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36" w:type="dxa"/>
            <w:tcBorders/>
            <w:shd w:fill="E5E5E5" w:val="clear"/>
            <w:vAlign w:val="bottom"/>
          </w:tcPr>
          <w:p>
            <w:pPr>
              <w:pStyle w:val="TableContents"/>
              <w:spacing w:before="0" w:after="283"/>
              <w:jc w:val="right"/>
              <w:rPr/>
            </w:pPr>
            <w:r>
              <w:rPr/>
              <w:t>200,040  </w:t>
            </w:r>
          </w:p>
        </w:tc>
        <w:tc>
          <w:tcPr>
            <w:tcW w:w="170" w:type="dxa"/>
            <w:tcBorders/>
            <w:shd w:fill="E5E5E5" w:val="clear"/>
            <w:vAlign w:val="bottom"/>
          </w:tcPr>
          <w:p>
            <w:pPr>
              <w:pStyle w:val="TableContents"/>
              <w:spacing w:before="0" w:after="283"/>
              <w:rPr/>
            </w:pPr>
            <w:r>
              <w:rPr/>
              <w:t> </w:t>
            </w:r>
          </w:p>
        </w:tc>
      </w:tr>
      <w:tr>
        <w:trPr>
          <w:trHeight w:val="75" w:hRule="atLeast"/>
        </w:trPr>
        <w:tc>
          <w:tcPr>
            <w:tcW w:w="4223" w:type="dxa"/>
            <w:tcBorders/>
            <w:shd w:fill="auto" w:val="clear"/>
            <w:vAlign w:val="center"/>
          </w:tcPr>
          <w:p>
            <w:pPr>
              <w:pStyle w:val="TableContents"/>
              <w:spacing w:before="0" w:after="283"/>
              <w:rPr>
                <w:sz w:val="4"/>
                <w:szCs w:val="4"/>
              </w:rPr>
            </w:pPr>
            <w:r>
              <w:rPr>
                <w:sz w:val="4"/>
                <w:szCs w:val="4"/>
              </w:rPr>
            </w:r>
          </w:p>
        </w:tc>
        <w:tc>
          <w:tcPr>
            <w:tcW w:w="1924" w:type="dxa"/>
            <w:gridSpan w:val="2"/>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c>
          <w:tcPr>
            <w:tcW w:w="1692" w:type="dxa"/>
            <w:gridSpan w:val="4"/>
            <w:tcBorders/>
            <w:shd w:fill="auto" w:val="clear"/>
            <w:vAlign w:val="center"/>
          </w:tcPr>
          <w:p>
            <w:pPr>
              <w:pStyle w:val="TableContents"/>
              <w:spacing w:before="0" w:after="283"/>
              <w:rPr>
                <w:sz w:val="4"/>
                <w:szCs w:val="4"/>
              </w:rPr>
            </w:pPr>
            <w:r>
              <w:rPr>
                <w:sz w:val="4"/>
                <w:szCs w:val="4"/>
              </w:rPr>
            </w:r>
          </w:p>
        </w:tc>
      </w:tr>
      <w:tr>
        <w:trPr/>
        <w:tc>
          <w:tcPr>
            <w:tcW w:w="4223" w:type="dxa"/>
            <w:tcBorders/>
            <w:shd w:fill="auto" w:val="clear"/>
          </w:tcPr>
          <w:p>
            <w:pPr>
              <w:pStyle w:val="TableContents"/>
              <w:spacing w:before="0" w:after="0"/>
              <w:rPr>
                <w:rFonts w:ascii="arial" w:hAnsi="arial"/>
                <w:sz w:val="20"/>
              </w:rPr>
            </w:pPr>
            <w:r>
              <w:rPr>
                <w:rFonts w:ascii="arial" w:hAnsi="arial"/>
                <w:sz w:val="20"/>
              </w:rPr>
              <w:t>Douglas M. Pasquale</w:t>
            </w:r>
          </w:p>
        </w:tc>
        <w:tc>
          <w:tcPr>
            <w:tcW w:w="271" w:type="dxa"/>
            <w:tcBorders/>
            <w:shd w:fill="auto" w:val="clear"/>
            <w:vAlign w:val="bottom"/>
          </w:tcPr>
          <w:p>
            <w:pPr>
              <w:pStyle w:val="TableContents"/>
              <w:spacing w:before="0" w:after="283"/>
              <w:rPr/>
            </w:pPr>
            <w:r>
              <w:rPr/>
              <w:t>    </w:t>
            </w:r>
          </w:p>
        </w:tc>
        <w:tc>
          <w:tcPr>
            <w:tcW w:w="1653" w:type="dxa"/>
            <w:tcBorders/>
            <w:shd w:fill="auto" w:val="clear"/>
            <w:vAlign w:val="bottom"/>
          </w:tcPr>
          <w:p>
            <w:pPr>
              <w:pStyle w:val="TableContents"/>
              <w:spacing w:before="0" w:after="283"/>
              <w:jc w:val="center"/>
              <w:rPr/>
            </w:pPr>
            <w:r>
              <w:rPr/>
              <w:t>  </w:t>
            </w:r>
            <w:r>
              <w:rPr/>
              <w:t>97,500</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105,040</w:t>
            </w:r>
          </w:p>
        </w:tc>
        <w:tc>
          <w:tcPr>
            <w:tcW w:w="29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202,540  </w:t>
            </w:r>
          </w:p>
        </w:tc>
        <w:tc>
          <w:tcPr>
            <w:tcW w:w="170" w:type="dxa"/>
            <w:tcBorders/>
            <w:shd w:fill="auto" w:val="clear"/>
            <w:vAlign w:val="bottom"/>
          </w:tcPr>
          <w:p>
            <w:pPr>
              <w:pStyle w:val="TableContents"/>
              <w:spacing w:before="0" w:after="283"/>
              <w:rPr/>
            </w:pPr>
            <w:r>
              <w:rPr/>
              <w:t> </w:t>
            </w:r>
          </w:p>
        </w:tc>
      </w:tr>
      <w:tr>
        <w:trPr>
          <w:trHeight w:val="75" w:hRule="atLeast"/>
        </w:trPr>
        <w:tc>
          <w:tcPr>
            <w:tcW w:w="4223" w:type="dxa"/>
            <w:tcBorders/>
            <w:shd w:fill="E5E5E5" w:val="clear"/>
            <w:vAlign w:val="center"/>
          </w:tcPr>
          <w:p>
            <w:pPr>
              <w:pStyle w:val="TableContents"/>
              <w:spacing w:before="0" w:after="283"/>
              <w:rPr>
                <w:sz w:val="4"/>
                <w:szCs w:val="4"/>
              </w:rPr>
            </w:pPr>
            <w:r>
              <w:rPr>
                <w:sz w:val="4"/>
                <w:szCs w:val="4"/>
              </w:rPr>
            </w:r>
          </w:p>
        </w:tc>
        <w:tc>
          <w:tcPr>
            <w:tcW w:w="1924" w:type="dxa"/>
            <w:gridSpan w:val="2"/>
            <w:tcBorders/>
            <w:shd w:fill="E5E5E5" w:val="clear"/>
            <w:vAlign w:val="center"/>
          </w:tcPr>
          <w:p>
            <w:pPr>
              <w:pStyle w:val="TableContents"/>
              <w:spacing w:before="0" w:after="283"/>
              <w:rPr>
                <w:sz w:val="4"/>
                <w:szCs w:val="4"/>
              </w:rPr>
            </w:pPr>
            <w:r>
              <w:rPr>
                <w:sz w:val="4"/>
                <w:szCs w:val="4"/>
              </w:rPr>
            </w:r>
          </w:p>
        </w:tc>
        <w:tc>
          <w:tcPr>
            <w:tcW w:w="1549" w:type="dxa"/>
            <w:gridSpan w:val="4"/>
            <w:tcBorders/>
            <w:shd w:fill="E5E5E5" w:val="clear"/>
            <w:vAlign w:val="center"/>
          </w:tcPr>
          <w:p>
            <w:pPr>
              <w:pStyle w:val="TableContents"/>
              <w:spacing w:before="0" w:after="283"/>
              <w:rPr>
                <w:sz w:val="4"/>
                <w:szCs w:val="4"/>
              </w:rPr>
            </w:pPr>
            <w:r>
              <w:rPr>
                <w:sz w:val="4"/>
                <w:szCs w:val="4"/>
              </w:rPr>
            </w:r>
          </w:p>
        </w:tc>
        <w:tc>
          <w:tcPr>
            <w:tcW w:w="1692" w:type="dxa"/>
            <w:gridSpan w:val="4"/>
            <w:tcBorders/>
            <w:shd w:fill="E5E5E5" w:val="clear"/>
            <w:vAlign w:val="center"/>
          </w:tcPr>
          <w:p>
            <w:pPr>
              <w:pStyle w:val="TableContents"/>
              <w:spacing w:before="0" w:after="283"/>
              <w:rPr>
                <w:sz w:val="4"/>
                <w:szCs w:val="4"/>
              </w:rPr>
            </w:pPr>
            <w:r>
              <w:rPr>
                <w:sz w:val="4"/>
                <w:szCs w:val="4"/>
              </w:rPr>
            </w:r>
          </w:p>
        </w:tc>
      </w:tr>
      <w:tr>
        <w:trPr/>
        <w:tc>
          <w:tcPr>
            <w:tcW w:w="4223" w:type="dxa"/>
            <w:tcBorders/>
            <w:shd w:fill="E5E5E5" w:val="clear"/>
          </w:tcPr>
          <w:p>
            <w:pPr>
              <w:pStyle w:val="TableContents"/>
              <w:spacing w:before="0" w:after="0"/>
              <w:rPr>
                <w:rFonts w:ascii="arial" w:hAnsi="arial"/>
                <w:sz w:val="20"/>
              </w:rPr>
            </w:pPr>
            <w:r>
              <w:rPr>
                <w:rFonts w:ascii="arial" w:hAnsi="arial"/>
                <w:sz w:val="20"/>
              </w:rPr>
              <w:t>Gilbert T. Ray</w:t>
            </w:r>
          </w:p>
        </w:tc>
        <w:tc>
          <w:tcPr>
            <w:tcW w:w="271" w:type="dxa"/>
            <w:tcBorders/>
            <w:shd w:fill="E5E5E5" w:val="clear"/>
            <w:vAlign w:val="bottom"/>
          </w:tcPr>
          <w:p>
            <w:pPr>
              <w:pStyle w:val="TableContents"/>
              <w:spacing w:before="0" w:after="283"/>
              <w:rPr/>
            </w:pPr>
            <w:r>
              <w:rPr/>
              <w:t>    </w:t>
            </w:r>
          </w:p>
        </w:tc>
        <w:tc>
          <w:tcPr>
            <w:tcW w:w="1653" w:type="dxa"/>
            <w:tcBorders/>
            <w:shd w:fill="E5E5E5" w:val="clear"/>
            <w:vAlign w:val="bottom"/>
          </w:tcPr>
          <w:p>
            <w:pPr>
              <w:pStyle w:val="TableContents"/>
              <w:spacing w:before="0" w:after="283"/>
              <w:jc w:val="center"/>
              <w:rPr/>
            </w:pPr>
            <w:r>
              <w:rPr/>
              <w:t>  </w:t>
            </w:r>
            <w:r>
              <w:rPr/>
              <w:t>82,500</w:t>
            </w:r>
          </w:p>
        </w:tc>
        <w:tc>
          <w:tcPr>
            <w:tcW w:w="399"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105,040</w:t>
            </w:r>
          </w:p>
        </w:tc>
        <w:tc>
          <w:tcPr>
            <w:tcW w:w="290" w:type="dxa"/>
            <w:tcBorders/>
            <w:shd w:fill="E5E5E5" w:val="clear"/>
            <w:vAlign w:val="bottom"/>
          </w:tcPr>
          <w:p>
            <w:pPr>
              <w:pStyle w:val="TableContents"/>
              <w:spacing w:before="0" w:after="283"/>
              <w:rPr/>
            </w:pPr>
            <w:r>
              <w:rPr/>
              <w:t> </w:t>
            </w:r>
          </w:p>
        </w:tc>
        <w:tc>
          <w:tcPr>
            <w:tcW w:w="526"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36" w:type="dxa"/>
            <w:tcBorders/>
            <w:shd w:fill="E5E5E5" w:val="clear"/>
            <w:vAlign w:val="bottom"/>
          </w:tcPr>
          <w:p>
            <w:pPr>
              <w:pStyle w:val="TableContents"/>
              <w:spacing w:before="0" w:after="283"/>
              <w:jc w:val="right"/>
              <w:rPr/>
            </w:pPr>
            <w:r>
              <w:rPr/>
              <w:t>187,540  </w:t>
            </w:r>
          </w:p>
        </w:tc>
        <w:tc>
          <w:tcPr>
            <w:tcW w:w="170" w:type="dxa"/>
            <w:tcBorders/>
            <w:shd w:fill="E5E5E5" w:val="clear"/>
            <w:vAlign w:val="bottom"/>
          </w:tcPr>
          <w:p>
            <w:pPr>
              <w:pStyle w:val="TableContents"/>
              <w:spacing w:before="0" w:after="283"/>
              <w:rPr/>
            </w:pPr>
            <w:r>
              <w:rPr/>
              <w:t> </w:t>
            </w:r>
          </w:p>
        </w:tc>
      </w:tr>
      <w:tr>
        <w:trPr>
          <w:trHeight w:val="75" w:hRule="atLeast"/>
        </w:trPr>
        <w:tc>
          <w:tcPr>
            <w:tcW w:w="4223" w:type="dxa"/>
            <w:tcBorders/>
            <w:shd w:fill="auto" w:val="clear"/>
            <w:vAlign w:val="center"/>
          </w:tcPr>
          <w:p>
            <w:pPr>
              <w:pStyle w:val="TableContents"/>
              <w:spacing w:before="0" w:after="283"/>
              <w:rPr>
                <w:sz w:val="4"/>
                <w:szCs w:val="4"/>
              </w:rPr>
            </w:pPr>
            <w:r>
              <w:rPr>
                <w:sz w:val="4"/>
                <w:szCs w:val="4"/>
              </w:rPr>
            </w:r>
          </w:p>
        </w:tc>
        <w:tc>
          <w:tcPr>
            <w:tcW w:w="1924" w:type="dxa"/>
            <w:gridSpan w:val="2"/>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c>
          <w:tcPr>
            <w:tcW w:w="1692" w:type="dxa"/>
            <w:gridSpan w:val="4"/>
            <w:tcBorders/>
            <w:shd w:fill="auto" w:val="clear"/>
            <w:vAlign w:val="center"/>
          </w:tcPr>
          <w:p>
            <w:pPr>
              <w:pStyle w:val="TableContents"/>
              <w:spacing w:before="0" w:after="283"/>
              <w:rPr>
                <w:sz w:val="4"/>
                <w:szCs w:val="4"/>
              </w:rPr>
            </w:pPr>
            <w:r>
              <w:rPr>
                <w:sz w:val="4"/>
                <w:szCs w:val="4"/>
              </w:rPr>
            </w:r>
          </w:p>
        </w:tc>
      </w:tr>
      <w:tr>
        <w:trPr/>
        <w:tc>
          <w:tcPr>
            <w:tcW w:w="4223" w:type="dxa"/>
            <w:tcBorders/>
            <w:shd w:fill="auto" w:val="clear"/>
          </w:tcPr>
          <w:p>
            <w:pPr>
              <w:pStyle w:val="TableContents"/>
              <w:spacing w:before="0" w:after="0"/>
              <w:rPr>
                <w:rFonts w:ascii="arial" w:hAnsi="arial"/>
                <w:sz w:val="20"/>
              </w:rPr>
            </w:pPr>
            <w:r>
              <w:rPr>
                <w:rFonts w:ascii="arial" w:hAnsi="arial"/>
                <w:sz w:val="20"/>
              </w:rPr>
              <w:t>Lilian C. Tomovich</w:t>
            </w:r>
          </w:p>
        </w:tc>
        <w:tc>
          <w:tcPr>
            <w:tcW w:w="271" w:type="dxa"/>
            <w:tcBorders/>
            <w:shd w:fill="auto" w:val="clear"/>
            <w:vAlign w:val="bottom"/>
          </w:tcPr>
          <w:p>
            <w:pPr>
              <w:pStyle w:val="TableContents"/>
              <w:spacing w:before="0" w:after="283"/>
              <w:rPr/>
            </w:pPr>
            <w:r>
              <w:rPr/>
              <w:t>    </w:t>
            </w:r>
          </w:p>
        </w:tc>
        <w:tc>
          <w:tcPr>
            <w:tcW w:w="1653" w:type="dxa"/>
            <w:tcBorders/>
            <w:shd w:fill="auto" w:val="clear"/>
            <w:vAlign w:val="bottom"/>
          </w:tcPr>
          <w:p>
            <w:pPr>
              <w:pStyle w:val="TableContents"/>
              <w:spacing w:before="0" w:after="283"/>
              <w:jc w:val="center"/>
              <w:rPr/>
            </w:pPr>
            <w:r>
              <w:rPr/>
              <w:t>  </w:t>
            </w:r>
            <w:r>
              <w:rPr/>
              <w:t>77,500</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105,040</w:t>
            </w:r>
          </w:p>
        </w:tc>
        <w:tc>
          <w:tcPr>
            <w:tcW w:w="29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182,540  </w:t>
            </w:r>
          </w:p>
        </w:tc>
        <w:tc>
          <w:tcPr>
            <w:tcW w:w="170"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amounts reflect the aggregate grant date fair value computed in accordance with Financial Accounting Standards Boards Accounting Standards Codification Topic 718, </w:t>
            </w:r>
            <w:r>
              <w:rPr>
                <w:rFonts w:ascii="arial" w:hAnsi="arial"/>
                <w:i/>
                <w:sz w:val="17"/>
              </w:rPr>
              <w:t>CompensationStock Compensation</w:t>
            </w:r>
            <w:r>
              <w:rPr>
                <w:rFonts w:ascii="arial" w:hAnsi="arial"/>
                <w:sz w:val="17"/>
              </w:rPr>
              <w:t xml:space="preserve"> (FASB ASC Topic 718). See Note 14 to the Consolidated Financial Statements in the Corporations annual report on Form 10-K for the fiscal year ended December 31, 2020 for information regarding assumptions underlying the valuation of equity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The following table sets forth the number of RSUs held by each non-employee director during 2020 and which were outstanding at December 31, 2020.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320"/>
        <w:gridCol w:w="572"/>
        <w:gridCol w:w="91"/>
        <w:gridCol w:w="1894"/>
        <w:gridCol w:w="62"/>
      </w:tblGrid>
      <w:tr>
        <w:trPr/>
        <w:tc>
          <w:tcPr>
            <w:tcW w:w="432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320" w:type="dxa"/>
            <w:tcBorders>
              <w:bottom w:val="single" w:sz="2" w:space="0" w:color="CF0A2C"/>
            </w:tcBorders>
            <w:shd w:fill="auto" w:val="clear"/>
            <w:tcMar>
              <w:bottom w:w="28" w:type="dxa"/>
            </w:tcMar>
            <w:vAlign w:val="bottom"/>
          </w:tcPr>
          <w:p>
            <w:pPr>
              <w:pStyle w:val="TableContents"/>
              <w:spacing w:before="0" w:after="0"/>
              <w:rPr>
                <w:rFonts w:ascii="arial" w:hAnsi="arial"/>
                <w:b/>
                <w:sz w:val="16"/>
              </w:rPr>
            </w:pPr>
            <w:r>
              <w:rPr>
                <w:rFonts w:ascii="arial" w:hAnsi="arial"/>
                <w:b/>
                <w:sz w:val="16"/>
              </w:rPr>
              <w:t>Name</w:t>
            </w:r>
          </w:p>
        </w:tc>
        <w:tc>
          <w:tcPr>
            <w:tcW w:w="572" w:type="dxa"/>
            <w:tcBorders>
              <w:bottom w:val="single" w:sz="2" w:space="0" w:color="CF0A2C"/>
            </w:tcBorders>
            <w:shd w:fill="auto" w:val="clear"/>
            <w:tcMar>
              <w:bottom w:w="28" w:type="dxa"/>
            </w:tcMar>
            <w:vAlign w:val="bottom"/>
          </w:tcPr>
          <w:p>
            <w:pPr>
              <w:pStyle w:val="TableContents"/>
              <w:spacing w:before="0" w:after="283"/>
              <w:rPr/>
            </w:pPr>
            <w:r>
              <w:rPr/>
              <w:t>  </w:t>
            </w:r>
          </w:p>
        </w:tc>
        <w:tc>
          <w:tcPr>
            <w:tcW w:w="1985" w:type="dxa"/>
            <w:gridSpan w:val="2"/>
            <w:tcBorders>
              <w:bottom w:val="single" w:sz="2" w:space="0" w:color="CF0A2C"/>
            </w:tcBorders>
            <w:shd w:fill="auto" w:val="clear"/>
            <w:tcMar>
              <w:bottom w:w="28" w:type="dxa"/>
            </w:tcMar>
            <w:vAlign w:val="bottom"/>
          </w:tcPr>
          <w:p>
            <w:pPr>
              <w:pStyle w:val="TableContents"/>
              <w:spacing w:before="0" w:after="283"/>
              <w:jc w:val="right"/>
              <w:rPr>
                <w:b/>
              </w:rPr>
            </w:pPr>
            <w:r>
              <w:rPr>
                <w:b/>
              </w:rPr>
              <w:t>Stock Awards</w:t>
              <w:br/>
              <w:t>Outstanding at</w:t>
              <w:br/>
              <w:t>December 31, 2020</w:t>
              <w:br/>
              <w:t>(#)</w:t>
            </w:r>
          </w:p>
        </w:tc>
        <w:tc>
          <w:tcPr>
            <w:tcW w:w="62" w:type="dxa"/>
            <w:tcBorders>
              <w:bottom w:val="single" w:sz="2" w:space="0" w:color="CF0A2C"/>
            </w:tcBorders>
            <w:shd w:fill="auto" w:val="clear"/>
            <w:tcMar>
              <w:bottom w:w="28" w:type="dxa"/>
            </w:tcMar>
            <w:vAlign w:val="bottom"/>
          </w:tcPr>
          <w:p>
            <w:pPr>
              <w:pStyle w:val="TableContents"/>
              <w:spacing w:before="0" w:after="283"/>
              <w:rPr/>
            </w:pPr>
            <w:r>
              <w:rPr/>
              <w:t> </w:t>
            </w:r>
          </w:p>
        </w:tc>
      </w:tr>
      <w:tr>
        <w:trPr>
          <w:trHeight w:val="75" w:hRule="atLeast"/>
        </w:trPr>
        <w:tc>
          <w:tcPr>
            <w:tcW w:w="4320" w:type="dxa"/>
            <w:tcBorders/>
            <w:shd w:fill="E5E5E5" w:val="clear"/>
            <w:vAlign w:val="center"/>
          </w:tcPr>
          <w:p>
            <w:pPr>
              <w:pStyle w:val="TableContents"/>
              <w:spacing w:before="0" w:after="283"/>
              <w:rPr>
                <w:sz w:val="4"/>
                <w:szCs w:val="4"/>
              </w:rPr>
            </w:pPr>
            <w:r>
              <w:rPr>
                <w:sz w:val="4"/>
                <w:szCs w:val="4"/>
              </w:rPr>
            </w:r>
          </w:p>
        </w:tc>
        <w:tc>
          <w:tcPr>
            <w:tcW w:w="2619" w:type="dxa"/>
            <w:gridSpan w:val="4"/>
            <w:tcBorders/>
            <w:shd w:fill="E5E5E5" w:val="clear"/>
            <w:vAlign w:val="center"/>
          </w:tcPr>
          <w:p>
            <w:pPr>
              <w:pStyle w:val="TableContents"/>
              <w:spacing w:before="0" w:after="283"/>
              <w:rPr>
                <w:sz w:val="4"/>
                <w:szCs w:val="4"/>
              </w:rPr>
            </w:pPr>
            <w:r>
              <w:rPr>
                <w:sz w:val="4"/>
                <w:szCs w:val="4"/>
              </w:rPr>
            </w:r>
          </w:p>
        </w:tc>
      </w:tr>
      <w:tr>
        <w:trPr/>
        <w:tc>
          <w:tcPr>
            <w:tcW w:w="4320" w:type="dxa"/>
            <w:tcBorders/>
            <w:shd w:fill="E5E5E5" w:val="clear"/>
          </w:tcPr>
          <w:p>
            <w:pPr>
              <w:pStyle w:val="TableContents"/>
              <w:spacing w:before="0" w:after="0"/>
              <w:rPr>
                <w:rFonts w:ascii="arial" w:hAnsi="arial"/>
                <w:sz w:val="16"/>
              </w:rPr>
            </w:pPr>
            <w:r>
              <w:rPr>
                <w:rFonts w:ascii="arial" w:hAnsi="arial"/>
                <w:sz w:val="16"/>
              </w:rPr>
              <w:t>Howard M. Berk</w:t>
            </w:r>
          </w:p>
        </w:tc>
        <w:tc>
          <w:tcPr>
            <w:tcW w:w="572"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894" w:type="dxa"/>
            <w:tcBorders/>
            <w:shd w:fill="E5E5E5" w:val="clear"/>
            <w:vAlign w:val="bottom"/>
          </w:tcPr>
          <w:p>
            <w:pPr>
              <w:pStyle w:val="TableContents"/>
              <w:spacing w:before="0" w:after="283"/>
              <w:jc w:val="right"/>
              <w:rPr/>
            </w:pPr>
            <w:r>
              <w:rPr/>
              <w:t>2,942           </w:t>
            </w:r>
          </w:p>
        </w:tc>
        <w:tc>
          <w:tcPr>
            <w:tcW w:w="62" w:type="dxa"/>
            <w:tcBorders/>
            <w:shd w:fill="E5E5E5" w:val="clear"/>
            <w:vAlign w:val="bottom"/>
          </w:tcPr>
          <w:p>
            <w:pPr>
              <w:pStyle w:val="TableContents"/>
              <w:spacing w:before="0" w:after="283"/>
              <w:rPr/>
            </w:pPr>
            <w:r>
              <w:rPr/>
              <w:t> </w:t>
            </w:r>
          </w:p>
        </w:tc>
      </w:tr>
      <w:tr>
        <w:trPr>
          <w:trHeight w:val="75" w:hRule="atLeast"/>
        </w:trPr>
        <w:tc>
          <w:tcPr>
            <w:tcW w:w="4320" w:type="dxa"/>
            <w:tcBorders/>
            <w:shd w:fill="auto" w:val="clear"/>
            <w:vAlign w:val="center"/>
          </w:tcPr>
          <w:p>
            <w:pPr>
              <w:pStyle w:val="TableContents"/>
              <w:spacing w:before="0" w:after="283"/>
              <w:rPr>
                <w:sz w:val="4"/>
                <w:szCs w:val="4"/>
              </w:rPr>
            </w:pPr>
            <w:r>
              <w:rPr>
                <w:sz w:val="4"/>
                <w:szCs w:val="4"/>
              </w:rPr>
            </w:r>
          </w:p>
        </w:tc>
        <w:tc>
          <w:tcPr>
            <w:tcW w:w="2619" w:type="dxa"/>
            <w:gridSpan w:val="4"/>
            <w:tcBorders/>
            <w:shd w:fill="auto" w:val="clear"/>
            <w:vAlign w:val="center"/>
          </w:tcPr>
          <w:p>
            <w:pPr>
              <w:pStyle w:val="TableContents"/>
              <w:spacing w:before="0" w:after="283"/>
              <w:rPr>
                <w:sz w:val="4"/>
                <w:szCs w:val="4"/>
              </w:rPr>
            </w:pPr>
            <w:r>
              <w:rPr>
                <w:sz w:val="4"/>
                <w:szCs w:val="4"/>
              </w:rPr>
            </w:r>
          </w:p>
        </w:tc>
      </w:tr>
      <w:tr>
        <w:trPr/>
        <w:tc>
          <w:tcPr>
            <w:tcW w:w="4320" w:type="dxa"/>
            <w:tcBorders/>
            <w:shd w:fill="auto" w:val="clear"/>
          </w:tcPr>
          <w:p>
            <w:pPr>
              <w:pStyle w:val="TableContents"/>
              <w:spacing w:before="0" w:after="0"/>
              <w:rPr>
                <w:rFonts w:ascii="arial" w:hAnsi="arial"/>
                <w:sz w:val="16"/>
              </w:rPr>
            </w:pPr>
            <w:r>
              <w:rPr>
                <w:rFonts w:ascii="arial" w:hAnsi="arial"/>
                <w:sz w:val="16"/>
              </w:rPr>
              <w:t>Daniel J. Brestle</w:t>
            </w:r>
          </w:p>
        </w:tc>
        <w:tc>
          <w:tcPr>
            <w:tcW w:w="5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894" w:type="dxa"/>
            <w:tcBorders/>
            <w:shd w:fill="auto" w:val="clear"/>
            <w:vAlign w:val="bottom"/>
          </w:tcPr>
          <w:p>
            <w:pPr>
              <w:pStyle w:val="TableContents"/>
              <w:spacing w:before="0" w:after="283"/>
              <w:jc w:val="right"/>
              <w:rPr/>
            </w:pPr>
            <w:r>
              <w:rPr/>
              <w:t>2,942           </w:t>
            </w:r>
          </w:p>
        </w:tc>
        <w:tc>
          <w:tcPr>
            <w:tcW w:w="62" w:type="dxa"/>
            <w:tcBorders/>
            <w:shd w:fill="auto" w:val="clear"/>
            <w:vAlign w:val="bottom"/>
          </w:tcPr>
          <w:p>
            <w:pPr>
              <w:pStyle w:val="TableContents"/>
              <w:spacing w:before="0" w:after="283"/>
              <w:rPr/>
            </w:pPr>
            <w:r>
              <w:rPr/>
              <w:t> </w:t>
            </w:r>
          </w:p>
        </w:tc>
      </w:tr>
      <w:tr>
        <w:trPr>
          <w:trHeight w:val="75" w:hRule="atLeast"/>
        </w:trPr>
        <w:tc>
          <w:tcPr>
            <w:tcW w:w="4320" w:type="dxa"/>
            <w:tcBorders/>
            <w:shd w:fill="E5E5E5" w:val="clear"/>
            <w:vAlign w:val="center"/>
          </w:tcPr>
          <w:p>
            <w:pPr>
              <w:pStyle w:val="TableContents"/>
              <w:spacing w:before="0" w:after="283"/>
              <w:rPr>
                <w:sz w:val="4"/>
                <w:szCs w:val="4"/>
              </w:rPr>
            </w:pPr>
            <w:r>
              <w:rPr>
                <w:sz w:val="4"/>
                <w:szCs w:val="4"/>
              </w:rPr>
            </w:r>
          </w:p>
        </w:tc>
        <w:tc>
          <w:tcPr>
            <w:tcW w:w="2619" w:type="dxa"/>
            <w:gridSpan w:val="4"/>
            <w:tcBorders/>
            <w:shd w:fill="E5E5E5" w:val="clear"/>
            <w:vAlign w:val="center"/>
          </w:tcPr>
          <w:p>
            <w:pPr>
              <w:pStyle w:val="TableContents"/>
              <w:spacing w:before="0" w:after="283"/>
              <w:rPr>
                <w:sz w:val="4"/>
                <w:szCs w:val="4"/>
              </w:rPr>
            </w:pPr>
            <w:r>
              <w:rPr>
                <w:sz w:val="4"/>
                <w:szCs w:val="4"/>
              </w:rPr>
            </w:r>
          </w:p>
        </w:tc>
      </w:tr>
      <w:tr>
        <w:trPr/>
        <w:tc>
          <w:tcPr>
            <w:tcW w:w="4320" w:type="dxa"/>
            <w:tcBorders/>
            <w:shd w:fill="E5E5E5" w:val="clear"/>
          </w:tcPr>
          <w:p>
            <w:pPr>
              <w:pStyle w:val="TableContents"/>
              <w:spacing w:before="0" w:after="0"/>
              <w:rPr>
                <w:rFonts w:ascii="arial" w:hAnsi="arial"/>
                <w:sz w:val="16"/>
              </w:rPr>
            </w:pPr>
            <w:r>
              <w:rPr>
                <w:rFonts w:ascii="arial" w:hAnsi="arial"/>
                <w:sz w:val="16"/>
              </w:rPr>
              <w:t>Susan M. Collyns</w:t>
            </w:r>
          </w:p>
        </w:tc>
        <w:tc>
          <w:tcPr>
            <w:tcW w:w="572"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894" w:type="dxa"/>
            <w:tcBorders/>
            <w:shd w:fill="E5E5E5" w:val="clear"/>
            <w:vAlign w:val="bottom"/>
          </w:tcPr>
          <w:p>
            <w:pPr>
              <w:pStyle w:val="TableContents"/>
              <w:spacing w:before="0" w:after="283"/>
              <w:jc w:val="right"/>
              <w:rPr/>
            </w:pPr>
            <w:r>
              <w:rPr/>
              <w:t>521           </w:t>
            </w:r>
          </w:p>
        </w:tc>
        <w:tc>
          <w:tcPr>
            <w:tcW w:w="62" w:type="dxa"/>
            <w:tcBorders/>
            <w:shd w:fill="E5E5E5" w:val="clear"/>
            <w:vAlign w:val="bottom"/>
          </w:tcPr>
          <w:p>
            <w:pPr>
              <w:pStyle w:val="TableContents"/>
              <w:spacing w:before="0" w:after="283"/>
              <w:rPr/>
            </w:pPr>
            <w:r>
              <w:rPr/>
              <w:t> </w:t>
            </w:r>
          </w:p>
        </w:tc>
      </w:tr>
      <w:tr>
        <w:trPr>
          <w:trHeight w:val="75" w:hRule="atLeast"/>
        </w:trPr>
        <w:tc>
          <w:tcPr>
            <w:tcW w:w="4320" w:type="dxa"/>
            <w:tcBorders/>
            <w:shd w:fill="auto" w:val="clear"/>
            <w:vAlign w:val="center"/>
          </w:tcPr>
          <w:p>
            <w:pPr>
              <w:pStyle w:val="TableContents"/>
              <w:spacing w:before="0" w:after="283"/>
              <w:rPr>
                <w:sz w:val="4"/>
                <w:szCs w:val="4"/>
              </w:rPr>
            </w:pPr>
            <w:r>
              <w:rPr>
                <w:sz w:val="4"/>
                <w:szCs w:val="4"/>
              </w:rPr>
            </w:r>
          </w:p>
        </w:tc>
        <w:tc>
          <w:tcPr>
            <w:tcW w:w="2619" w:type="dxa"/>
            <w:gridSpan w:val="4"/>
            <w:tcBorders/>
            <w:shd w:fill="auto" w:val="clear"/>
            <w:vAlign w:val="center"/>
          </w:tcPr>
          <w:p>
            <w:pPr>
              <w:pStyle w:val="TableContents"/>
              <w:spacing w:before="0" w:after="283"/>
              <w:rPr>
                <w:sz w:val="4"/>
                <w:szCs w:val="4"/>
              </w:rPr>
            </w:pPr>
            <w:r>
              <w:rPr>
                <w:sz w:val="4"/>
                <w:szCs w:val="4"/>
              </w:rPr>
            </w:r>
          </w:p>
        </w:tc>
      </w:tr>
      <w:tr>
        <w:trPr/>
        <w:tc>
          <w:tcPr>
            <w:tcW w:w="4320" w:type="dxa"/>
            <w:tcBorders/>
            <w:shd w:fill="auto" w:val="clear"/>
          </w:tcPr>
          <w:p>
            <w:pPr>
              <w:pStyle w:val="TableContents"/>
              <w:spacing w:before="0" w:after="0"/>
              <w:rPr>
                <w:rFonts w:ascii="arial" w:hAnsi="arial"/>
                <w:sz w:val="16"/>
              </w:rPr>
            </w:pPr>
            <w:r>
              <w:rPr>
                <w:rFonts w:ascii="arial" w:hAnsi="arial"/>
                <w:sz w:val="16"/>
              </w:rPr>
              <w:t>Richard J. Dahl</w:t>
            </w:r>
          </w:p>
        </w:tc>
        <w:tc>
          <w:tcPr>
            <w:tcW w:w="5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894" w:type="dxa"/>
            <w:tcBorders/>
            <w:shd w:fill="auto" w:val="clear"/>
            <w:vAlign w:val="bottom"/>
          </w:tcPr>
          <w:p>
            <w:pPr>
              <w:pStyle w:val="TableContents"/>
              <w:spacing w:before="0" w:after="283"/>
              <w:jc w:val="right"/>
              <w:rPr/>
            </w:pPr>
            <w:r>
              <w:rPr/>
              <w:t>2,942           </w:t>
            </w:r>
          </w:p>
        </w:tc>
        <w:tc>
          <w:tcPr>
            <w:tcW w:w="62" w:type="dxa"/>
            <w:tcBorders/>
            <w:shd w:fill="auto" w:val="clear"/>
            <w:vAlign w:val="bottom"/>
          </w:tcPr>
          <w:p>
            <w:pPr>
              <w:pStyle w:val="TableContents"/>
              <w:spacing w:before="0" w:after="283"/>
              <w:rPr/>
            </w:pPr>
            <w:r>
              <w:rPr/>
              <w:t> </w:t>
            </w:r>
          </w:p>
        </w:tc>
      </w:tr>
      <w:tr>
        <w:trPr>
          <w:trHeight w:val="75" w:hRule="atLeast"/>
        </w:trPr>
        <w:tc>
          <w:tcPr>
            <w:tcW w:w="4320" w:type="dxa"/>
            <w:tcBorders/>
            <w:shd w:fill="E5E5E5" w:val="clear"/>
            <w:vAlign w:val="center"/>
          </w:tcPr>
          <w:p>
            <w:pPr>
              <w:pStyle w:val="TableContents"/>
              <w:spacing w:before="0" w:after="283"/>
              <w:rPr>
                <w:sz w:val="4"/>
                <w:szCs w:val="4"/>
              </w:rPr>
            </w:pPr>
            <w:r>
              <w:rPr>
                <w:sz w:val="4"/>
                <w:szCs w:val="4"/>
              </w:rPr>
            </w:r>
          </w:p>
        </w:tc>
        <w:tc>
          <w:tcPr>
            <w:tcW w:w="2619" w:type="dxa"/>
            <w:gridSpan w:val="4"/>
            <w:tcBorders/>
            <w:shd w:fill="E5E5E5" w:val="clear"/>
            <w:vAlign w:val="center"/>
          </w:tcPr>
          <w:p>
            <w:pPr>
              <w:pStyle w:val="TableContents"/>
              <w:spacing w:before="0" w:after="283"/>
              <w:rPr>
                <w:sz w:val="4"/>
                <w:szCs w:val="4"/>
              </w:rPr>
            </w:pPr>
            <w:r>
              <w:rPr>
                <w:sz w:val="4"/>
                <w:szCs w:val="4"/>
              </w:rPr>
            </w:r>
          </w:p>
        </w:tc>
      </w:tr>
      <w:tr>
        <w:trPr/>
        <w:tc>
          <w:tcPr>
            <w:tcW w:w="4320" w:type="dxa"/>
            <w:tcBorders/>
            <w:shd w:fill="E5E5E5" w:val="clear"/>
          </w:tcPr>
          <w:p>
            <w:pPr>
              <w:pStyle w:val="TableContents"/>
              <w:spacing w:before="0" w:after="0"/>
              <w:rPr>
                <w:rFonts w:ascii="arial" w:hAnsi="arial"/>
                <w:sz w:val="16"/>
              </w:rPr>
            </w:pPr>
            <w:r>
              <w:rPr>
                <w:rFonts w:ascii="arial" w:hAnsi="arial"/>
                <w:sz w:val="16"/>
              </w:rPr>
              <w:t>Michael C. Hyter</w:t>
            </w:r>
          </w:p>
        </w:tc>
        <w:tc>
          <w:tcPr>
            <w:tcW w:w="572"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894" w:type="dxa"/>
            <w:tcBorders/>
            <w:shd w:fill="E5E5E5" w:val="clear"/>
            <w:vAlign w:val="bottom"/>
          </w:tcPr>
          <w:p>
            <w:pPr>
              <w:pStyle w:val="TableContents"/>
              <w:spacing w:before="0" w:after="283"/>
              <w:jc w:val="right"/>
              <w:rPr/>
            </w:pPr>
            <w:r>
              <w:rPr/>
              <w:t>2,989           </w:t>
            </w:r>
          </w:p>
        </w:tc>
        <w:tc>
          <w:tcPr>
            <w:tcW w:w="62" w:type="dxa"/>
            <w:tcBorders/>
            <w:shd w:fill="E5E5E5" w:val="clear"/>
            <w:vAlign w:val="bottom"/>
          </w:tcPr>
          <w:p>
            <w:pPr>
              <w:pStyle w:val="TableContents"/>
              <w:spacing w:before="0" w:after="283"/>
              <w:rPr/>
            </w:pPr>
            <w:r>
              <w:rPr/>
              <w:t> </w:t>
            </w:r>
          </w:p>
        </w:tc>
      </w:tr>
      <w:tr>
        <w:trPr>
          <w:trHeight w:val="75" w:hRule="atLeast"/>
        </w:trPr>
        <w:tc>
          <w:tcPr>
            <w:tcW w:w="4320" w:type="dxa"/>
            <w:tcBorders/>
            <w:shd w:fill="auto" w:val="clear"/>
            <w:vAlign w:val="center"/>
          </w:tcPr>
          <w:p>
            <w:pPr>
              <w:pStyle w:val="TableContents"/>
              <w:spacing w:before="0" w:after="283"/>
              <w:rPr>
                <w:sz w:val="4"/>
                <w:szCs w:val="4"/>
              </w:rPr>
            </w:pPr>
            <w:r>
              <w:rPr>
                <w:sz w:val="4"/>
                <w:szCs w:val="4"/>
              </w:rPr>
            </w:r>
          </w:p>
        </w:tc>
        <w:tc>
          <w:tcPr>
            <w:tcW w:w="2619" w:type="dxa"/>
            <w:gridSpan w:val="4"/>
            <w:tcBorders/>
            <w:shd w:fill="auto" w:val="clear"/>
            <w:vAlign w:val="center"/>
          </w:tcPr>
          <w:p>
            <w:pPr>
              <w:pStyle w:val="TableContents"/>
              <w:spacing w:before="0" w:after="283"/>
              <w:rPr>
                <w:sz w:val="4"/>
                <w:szCs w:val="4"/>
              </w:rPr>
            </w:pPr>
            <w:r>
              <w:rPr>
                <w:sz w:val="4"/>
                <w:szCs w:val="4"/>
              </w:rPr>
            </w:r>
          </w:p>
        </w:tc>
      </w:tr>
      <w:tr>
        <w:trPr/>
        <w:tc>
          <w:tcPr>
            <w:tcW w:w="4320" w:type="dxa"/>
            <w:tcBorders/>
            <w:shd w:fill="auto" w:val="clear"/>
          </w:tcPr>
          <w:p>
            <w:pPr>
              <w:pStyle w:val="TableContents"/>
              <w:spacing w:before="0" w:after="0"/>
              <w:rPr>
                <w:rFonts w:ascii="arial" w:hAnsi="arial"/>
                <w:sz w:val="16"/>
              </w:rPr>
            </w:pPr>
            <w:r>
              <w:rPr>
                <w:rFonts w:ascii="arial" w:hAnsi="arial"/>
                <w:sz w:val="16"/>
              </w:rPr>
              <w:t>Larry A. Kay</w:t>
            </w:r>
          </w:p>
        </w:tc>
        <w:tc>
          <w:tcPr>
            <w:tcW w:w="5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894" w:type="dxa"/>
            <w:tcBorders/>
            <w:shd w:fill="auto" w:val="clear"/>
            <w:vAlign w:val="bottom"/>
          </w:tcPr>
          <w:p>
            <w:pPr>
              <w:pStyle w:val="TableContents"/>
              <w:spacing w:before="0" w:after="283"/>
              <w:jc w:val="right"/>
              <w:rPr/>
            </w:pPr>
            <w:r>
              <w:rPr/>
              <w:t>2,942           </w:t>
            </w:r>
          </w:p>
        </w:tc>
        <w:tc>
          <w:tcPr>
            <w:tcW w:w="62" w:type="dxa"/>
            <w:tcBorders/>
            <w:shd w:fill="auto" w:val="clear"/>
            <w:vAlign w:val="bottom"/>
          </w:tcPr>
          <w:p>
            <w:pPr>
              <w:pStyle w:val="TableContents"/>
              <w:spacing w:before="0" w:after="283"/>
              <w:rPr/>
            </w:pPr>
            <w:r>
              <w:rPr/>
              <w:t> </w:t>
            </w:r>
          </w:p>
        </w:tc>
      </w:tr>
      <w:tr>
        <w:trPr>
          <w:trHeight w:val="75" w:hRule="atLeast"/>
        </w:trPr>
        <w:tc>
          <w:tcPr>
            <w:tcW w:w="4320" w:type="dxa"/>
            <w:tcBorders/>
            <w:shd w:fill="E5E5E5" w:val="clear"/>
            <w:vAlign w:val="center"/>
          </w:tcPr>
          <w:p>
            <w:pPr>
              <w:pStyle w:val="TableContents"/>
              <w:spacing w:before="0" w:after="283"/>
              <w:rPr>
                <w:sz w:val="4"/>
                <w:szCs w:val="4"/>
              </w:rPr>
            </w:pPr>
            <w:r>
              <w:rPr>
                <w:sz w:val="4"/>
                <w:szCs w:val="4"/>
              </w:rPr>
            </w:r>
          </w:p>
        </w:tc>
        <w:tc>
          <w:tcPr>
            <w:tcW w:w="2619" w:type="dxa"/>
            <w:gridSpan w:val="4"/>
            <w:tcBorders/>
            <w:shd w:fill="E5E5E5" w:val="clear"/>
            <w:vAlign w:val="center"/>
          </w:tcPr>
          <w:p>
            <w:pPr>
              <w:pStyle w:val="TableContents"/>
              <w:spacing w:before="0" w:after="283"/>
              <w:rPr>
                <w:sz w:val="4"/>
                <w:szCs w:val="4"/>
              </w:rPr>
            </w:pPr>
            <w:r>
              <w:rPr>
                <w:sz w:val="4"/>
                <w:szCs w:val="4"/>
              </w:rPr>
            </w:r>
          </w:p>
        </w:tc>
      </w:tr>
      <w:tr>
        <w:trPr/>
        <w:tc>
          <w:tcPr>
            <w:tcW w:w="4320" w:type="dxa"/>
            <w:tcBorders/>
            <w:shd w:fill="E5E5E5" w:val="clear"/>
          </w:tcPr>
          <w:p>
            <w:pPr>
              <w:pStyle w:val="TableContents"/>
              <w:spacing w:before="0" w:after="0"/>
              <w:rPr>
                <w:rFonts w:ascii="arial" w:hAnsi="arial"/>
                <w:sz w:val="16"/>
              </w:rPr>
            </w:pPr>
            <w:r>
              <w:rPr>
                <w:rFonts w:ascii="arial" w:hAnsi="arial"/>
                <w:sz w:val="16"/>
              </w:rPr>
              <w:t>Caroline W. Nahas</w:t>
            </w:r>
          </w:p>
        </w:tc>
        <w:tc>
          <w:tcPr>
            <w:tcW w:w="572"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894" w:type="dxa"/>
            <w:tcBorders/>
            <w:shd w:fill="E5E5E5" w:val="clear"/>
            <w:vAlign w:val="bottom"/>
          </w:tcPr>
          <w:p>
            <w:pPr>
              <w:pStyle w:val="TableContents"/>
              <w:spacing w:before="0" w:after="283"/>
              <w:jc w:val="right"/>
              <w:rPr/>
            </w:pPr>
            <w:r>
              <w:rPr/>
              <w:t>4,079           </w:t>
            </w:r>
          </w:p>
        </w:tc>
        <w:tc>
          <w:tcPr>
            <w:tcW w:w="62" w:type="dxa"/>
            <w:tcBorders/>
            <w:shd w:fill="E5E5E5" w:val="clear"/>
            <w:vAlign w:val="bottom"/>
          </w:tcPr>
          <w:p>
            <w:pPr>
              <w:pStyle w:val="TableContents"/>
              <w:spacing w:before="0" w:after="283"/>
              <w:rPr/>
            </w:pPr>
            <w:r>
              <w:rPr/>
              <w:t> </w:t>
            </w:r>
          </w:p>
        </w:tc>
      </w:tr>
      <w:tr>
        <w:trPr>
          <w:trHeight w:val="75" w:hRule="atLeast"/>
        </w:trPr>
        <w:tc>
          <w:tcPr>
            <w:tcW w:w="4320" w:type="dxa"/>
            <w:tcBorders/>
            <w:shd w:fill="auto" w:val="clear"/>
            <w:vAlign w:val="center"/>
          </w:tcPr>
          <w:p>
            <w:pPr>
              <w:pStyle w:val="TableContents"/>
              <w:spacing w:before="0" w:after="283"/>
              <w:rPr>
                <w:sz w:val="4"/>
                <w:szCs w:val="4"/>
              </w:rPr>
            </w:pPr>
            <w:r>
              <w:rPr>
                <w:sz w:val="4"/>
                <w:szCs w:val="4"/>
              </w:rPr>
            </w:r>
          </w:p>
        </w:tc>
        <w:tc>
          <w:tcPr>
            <w:tcW w:w="2619" w:type="dxa"/>
            <w:gridSpan w:val="4"/>
            <w:tcBorders/>
            <w:shd w:fill="auto" w:val="clear"/>
            <w:vAlign w:val="center"/>
          </w:tcPr>
          <w:p>
            <w:pPr>
              <w:pStyle w:val="TableContents"/>
              <w:spacing w:before="0" w:after="283"/>
              <w:rPr>
                <w:sz w:val="4"/>
                <w:szCs w:val="4"/>
              </w:rPr>
            </w:pPr>
            <w:r>
              <w:rPr>
                <w:sz w:val="4"/>
                <w:szCs w:val="4"/>
              </w:rPr>
            </w:r>
          </w:p>
        </w:tc>
      </w:tr>
      <w:tr>
        <w:trPr/>
        <w:tc>
          <w:tcPr>
            <w:tcW w:w="4320" w:type="dxa"/>
            <w:tcBorders/>
            <w:shd w:fill="auto" w:val="clear"/>
          </w:tcPr>
          <w:p>
            <w:pPr>
              <w:pStyle w:val="TableContents"/>
              <w:spacing w:before="0" w:after="0"/>
              <w:rPr>
                <w:rFonts w:ascii="arial" w:hAnsi="arial"/>
                <w:sz w:val="16"/>
              </w:rPr>
            </w:pPr>
            <w:r>
              <w:rPr>
                <w:rFonts w:ascii="arial" w:hAnsi="arial"/>
                <w:sz w:val="16"/>
              </w:rPr>
              <w:t>Douglas M. Pasquale</w:t>
            </w:r>
          </w:p>
        </w:tc>
        <w:tc>
          <w:tcPr>
            <w:tcW w:w="5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894" w:type="dxa"/>
            <w:tcBorders/>
            <w:shd w:fill="auto" w:val="clear"/>
            <w:vAlign w:val="bottom"/>
          </w:tcPr>
          <w:p>
            <w:pPr>
              <w:pStyle w:val="TableContents"/>
              <w:spacing w:before="0" w:after="283"/>
              <w:jc w:val="right"/>
              <w:rPr/>
            </w:pPr>
            <w:r>
              <w:rPr/>
              <w:t>2,942           </w:t>
            </w:r>
          </w:p>
        </w:tc>
        <w:tc>
          <w:tcPr>
            <w:tcW w:w="62" w:type="dxa"/>
            <w:tcBorders/>
            <w:shd w:fill="auto" w:val="clear"/>
            <w:vAlign w:val="bottom"/>
          </w:tcPr>
          <w:p>
            <w:pPr>
              <w:pStyle w:val="TableContents"/>
              <w:spacing w:before="0" w:after="283"/>
              <w:rPr/>
            </w:pPr>
            <w:r>
              <w:rPr/>
              <w:t> </w:t>
            </w:r>
          </w:p>
        </w:tc>
      </w:tr>
      <w:tr>
        <w:trPr>
          <w:trHeight w:val="75" w:hRule="atLeast"/>
        </w:trPr>
        <w:tc>
          <w:tcPr>
            <w:tcW w:w="4320" w:type="dxa"/>
            <w:tcBorders/>
            <w:shd w:fill="E5E5E5" w:val="clear"/>
            <w:vAlign w:val="center"/>
          </w:tcPr>
          <w:p>
            <w:pPr>
              <w:pStyle w:val="TableContents"/>
              <w:spacing w:before="0" w:after="283"/>
              <w:rPr>
                <w:sz w:val="4"/>
                <w:szCs w:val="4"/>
              </w:rPr>
            </w:pPr>
            <w:r>
              <w:rPr>
                <w:sz w:val="4"/>
                <w:szCs w:val="4"/>
              </w:rPr>
            </w:r>
          </w:p>
        </w:tc>
        <w:tc>
          <w:tcPr>
            <w:tcW w:w="2619" w:type="dxa"/>
            <w:gridSpan w:val="4"/>
            <w:tcBorders/>
            <w:shd w:fill="E5E5E5" w:val="clear"/>
            <w:vAlign w:val="center"/>
          </w:tcPr>
          <w:p>
            <w:pPr>
              <w:pStyle w:val="TableContents"/>
              <w:spacing w:before="0" w:after="283"/>
              <w:rPr>
                <w:sz w:val="4"/>
                <w:szCs w:val="4"/>
              </w:rPr>
            </w:pPr>
            <w:r>
              <w:rPr>
                <w:sz w:val="4"/>
                <w:szCs w:val="4"/>
              </w:rPr>
            </w:r>
          </w:p>
        </w:tc>
      </w:tr>
      <w:tr>
        <w:trPr/>
        <w:tc>
          <w:tcPr>
            <w:tcW w:w="4320" w:type="dxa"/>
            <w:tcBorders/>
            <w:shd w:fill="E5E5E5" w:val="clear"/>
          </w:tcPr>
          <w:p>
            <w:pPr>
              <w:pStyle w:val="TableContents"/>
              <w:spacing w:before="0" w:after="0"/>
              <w:rPr>
                <w:rFonts w:ascii="arial" w:hAnsi="arial"/>
                <w:sz w:val="16"/>
              </w:rPr>
            </w:pPr>
            <w:r>
              <w:rPr>
                <w:rFonts w:ascii="arial" w:hAnsi="arial"/>
                <w:sz w:val="16"/>
              </w:rPr>
              <w:t>Gilbert T. Ray</w:t>
            </w:r>
          </w:p>
        </w:tc>
        <w:tc>
          <w:tcPr>
            <w:tcW w:w="572"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894" w:type="dxa"/>
            <w:tcBorders/>
            <w:shd w:fill="E5E5E5" w:val="clear"/>
            <w:vAlign w:val="bottom"/>
          </w:tcPr>
          <w:p>
            <w:pPr>
              <w:pStyle w:val="TableContents"/>
              <w:spacing w:before="0" w:after="283"/>
              <w:jc w:val="right"/>
              <w:rPr/>
            </w:pPr>
            <w:r>
              <w:rPr/>
              <w:t>2,942           </w:t>
            </w:r>
          </w:p>
        </w:tc>
        <w:tc>
          <w:tcPr>
            <w:tcW w:w="62" w:type="dxa"/>
            <w:tcBorders/>
            <w:shd w:fill="E5E5E5" w:val="clear"/>
            <w:vAlign w:val="bottom"/>
          </w:tcPr>
          <w:p>
            <w:pPr>
              <w:pStyle w:val="TableContents"/>
              <w:spacing w:before="0" w:after="283"/>
              <w:rPr/>
            </w:pPr>
            <w:r>
              <w:rPr/>
              <w:t> </w:t>
            </w:r>
          </w:p>
        </w:tc>
      </w:tr>
      <w:tr>
        <w:trPr>
          <w:trHeight w:val="75" w:hRule="atLeast"/>
        </w:trPr>
        <w:tc>
          <w:tcPr>
            <w:tcW w:w="4320" w:type="dxa"/>
            <w:tcBorders/>
            <w:shd w:fill="auto" w:val="clear"/>
            <w:vAlign w:val="center"/>
          </w:tcPr>
          <w:p>
            <w:pPr>
              <w:pStyle w:val="TableContents"/>
              <w:spacing w:before="0" w:after="283"/>
              <w:rPr>
                <w:sz w:val="4"/>
                <w:szCs w:val="4"/>
              </w:rPr>
            </w:pPr>
            <w:r>
              <w:rPr>
                <w:sz w:val="4"/>
                <w:szCs w:val="4"/>
              </w:rPr>
            </w:r>
          </w:p>
        </w:tc>
        <w:tc>
          <w:tcPr>
            <w:tcW w:w="2619" w:type="dxa"/>
            <w:gridSpan w:val="4"/>
            <w:tcBorders/>
            <w:shd w:fill="auto" w:val="clear"/>
            <w:vAlign w:val="center"/>
          </w:tcPr>
          <w:p>
            <w:pPr>
              <w:pStyle w:val="TableContents"/>
              <w:spacing w:before="0" w:after="283"/>
              <w:rPr>
                <w:sz w:val="4"/>
                <w:szCs w:val="4"/>
              </w:rPr>
            </w:pPr>
            <w:r>
              <w:rPr>
                <w:sz w:val="4"/>
                <w:szCs w:val="4"/>
              </w:rPr>
            </w:r>
          </w:p>
        </w:tc>
      </w:tr>
      <w:tr>
        <w:trPr/>
        <w:tc>
          <w:tcPr>
            <w:tcW w:w="4320" w:type="dxa"/>
            <w:tcBorders/>
            <w:shd w:fill="auto" w:val="clear"/>
          </w:tcPr>
          <w:p>
            <w:pPr>
              <w:pStyle w:val="TableContents"/>
              <w:spacing w:before="0" w:after="0"/>
              <w:rPr>
                <w:rFonts w:ascii="arial" w:hAnsi="arial"/>
                <w:sz w:val="16"/>
              </w:rPr>
            </w:pPr>
            <w:r>
              <w:rPr>
                <w:rFonts w:ascii="arial" w:hAnsi="arial"/>
                <w:sz w:val="16"/>
              </w:rPr>
              <w:t>Lilian C. Tomovich</w:t>
            </w:r>
          </w:p>
        </w:tc>
        <w:tc>
          <w:tcPr>
            <w:tcW w:w="5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894" w:type="dxa"/>
            <w:tcBorders/>
            <w:shd w:fill="auto" w:val="clear"/>
            <w:vAlign w:val="bottom"/>
          </w:tcPr>
          <w:p>
            <w:pPr>
              <w:pStyle w:val="TableContents"/>
              <w:spacing w:before="0" w:after="283"/>
              <w:jc w:val="right"/>
              <w:rPr/>
            </w:pPr>
            <w:r>
              <w:rPr/>
              <w:t>2,942           </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Ms. Collyns was appointed as a director on August 1, 2019. Ms. Collyns 2020 equity award was prorated for the period of time Ms. Collyns served as a director during 2019.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Mr. Hyter was appointed as a director on July 14, 2020. Mr. Hyters retainer fees were prorated for the period of time Mr. Hyter served as a director during 2020.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17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SECURITY OWNERSHIP OF CERTAIN BENEFICIAL OWNERS AND MANAGEMENT</w:t>
            </w:r>
          </w:p>
        </w:tc>
      </w:tr>
    </w:tbl>
    <w:p>
      <w:pPr>
        <w:pStyle w:val="TextBody"/>
        <w:spacing w:before="0" w:after="0"/>
        <w:jc w:val="left"/>
        <w:rPr/>
      </w:pPr>
      <w:r>
        <w:rPr/>
        <w:t> </w:t>
      </w:r>
    </w:p>
    <w:p>
      <w:pPr>
        <w:pStyle w:val="TextBody"/>
        <w:spacing w:before="0" w:after="0"/>
        <w:jc w:val="left"/>
        <w:rPr>
          <w:rFonts w:ascii="arial" w:hAnsi="arial"/>
          <w:b/>
          <w:sz w:val="42"/>
        </w:rPr>
      </w:pPr>
      <w:bookmarkStart w:id="24" w:name="toc116694_22"/>
      <w:bookmarkEnd w:id="24"/>
      <w:r>
        <w:rPr>
          <w:rFonts w:ascii="arial" w:hAnsi="arial"/>
          <w:b/>
          <w:sz w:val="42"/>
        </w:rPr>
        <w:t xml:space="preserve">SECURITY OWNERSHIP OF CERTAIN BENEFICIAL OWNERS AND MANAGEMENT </w:t>
      </w:r>
    </w:p>
    <w:p>
      <w:pPr>
        <w:pStyle w:val="TextBody"/>
        <w:spacing w:before="360" w:after="0"/>
        <w:jc w:val="left"/>
        <w:rPr>
          <w:rFonts w:ascii="arial" w:hAnsi="arial"/>
          <w:b/>
          <w:color w:val="CF0A2C"/>
          <w:sz w:val="28"/>
        </w:rPr>
      </w:pPr>
      <w:r>
        <w:rPr>
          <w:rFonts w:ascii="arial" w:hAnsi="arial"/>
          <w:b/>
          <w:color w:val="CF0A2C"/>
          <w:sz w:val="28"/>
        </w:rPr>
        <w:t xml:space="preserve">Security Ownership of Certain Beneficial Owners </w:t>
      </w:r>
    </w:p>
    <w:p>
      <w:pPr>
        <w:pStyle w:val="TextBody"/>
        <w:spacing w:before="120" w:after="0"/>
        <w:jc w:val="left"/>
        <w:rPr>
          <w:rFonts w:ascii="arial" w:hAnsi="arial"/>
          <w:sz w:val="20"/>
        </w:rPr>
      </w:pPr>
      <w:r>
        <w:rPr>
          <w:rFonts w:ascii="arial" w:hAnsi="arial"/>
          <w:sz w:val="20"/>
        </w:rPr>
        <w:t xml:space="preserve">The following table sets forth information regarding beneficial ownership of more than 5% of the outstanding shares of any class of the Corporations voting securities, which information is derived solely from certain SEC filings available as of March 17, 2021, as noted below. The percentages of Common Stock ownership have been calculated based upon 17,057,786 shares of Common Stock outstanding as of March 17,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304"/>
        <w:gridCol w:w="144"/>
        <w:gridCol w:w="60"/>
        <w:gridCol w:w="998"/>
        <w:gridCol w:w="427"/>
        <w:gridCol w:w="227"/>
        <w:gridCol w:w="60"/>
        <w:gridCol w:w="701"/>
        <w:gridCol w:w="284"/>
      </w:tblGrid>
      <w:tr>
        <w:trPr/>
        <w:tc>
          <w:tcPr>
            <w:tcW w:w="730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7304" w:type="dxa"/>
            <w:tcBorders/>
            <w:shd w:fill="CF0A2C" w:val="clear"/>
            <w:vAlign w:val="center"/>
          </w:tcPr>
          <w:p>
            <w:pPr>
              <w:pStyle w:val="TableContents"/>
              <w:spacing w:before="0" w:after="283"/>
              <w:rPr>
                <w:sz w:val="4"/>
                <w:szCs w:val="4"/>
              </w:rPr>
            </w:pPr>
            <w:r>
              <w:rPr>
                <w:sz w:val="4"/>
                <w:szCs w:val="4"/>
              </w:rPr>
            </w:r>
          </w:p>
        </w:tc>
        <w:tc>
          <w:tcPr>
            <w:tcW w:w="2901" w:type="dxa"/>
            <w:gridSpan w:val="8"/>
            <w:tcBorders/>
            <w:shd w:fill="CF0A2C" w:val="clear"/>
            <w:vAlign w:val="center"/>
          </w:tcPr>
          <w:p>
            <w:pPr>
              <w:pStyle w:val="TableContents"/>
              <w:spacing w:before="0" w:after="283"/>
              <w:rPr>
                <w:sz w:val="4"/>
                <w:szCs w:val="4"/>
              </w:rPr>
            </w:pPr>
            <w:r>
              <w:rPr>
                <w:sz w:val="4"/>
                <w:szCs w:val="4"/>
              </w:rPr>
            </w:r>
          </w:p>
        </w:tc>
      </w:tr>
      <w:tr>
        <w:trPr/>
        <w:tc>
          <w:tcPr>
            <w:tcW w:w="7304" w:type="dxa"/>
            <w:tcBorders/>
            <w:shd w:fill="CF0A2C" w:val="clear"/>
            <w:vAlign w:val="bottom"/>
          </w:tcPr>
          <w:p>
            <w:pPr>
              <w:pStyle w:val="TableContents"/>
              <w:spacing w:before="0" w:after="283"/>
              <w:rPr/>
            </w:pPr>
            <w:r>
              <w:rPr/>
              <w:t> </w:t>
            </w:r>
          </w:p>
        </w:tc>
        <w:tc>
          <w:tcPr>
            <w:tcW w:w="144" w:type="dxa"/>
            <w:tcBorders>
              <w:bottom w:val="single" w:sz="2" w:space="0" w:color="FFFFFF"/>
            </w:tcBorders>
            <w:shd w:fill="CF0A2C" w:val="clear"/>
            <w:tcMar>
              <w:bottom w:w="28" w:type="dxa"/>
            </w:tcMar>
            <w:vAlign w:val="bottom"/>
          </w:tcPr>
          <w:p>
            <w:pPr>
              <w:pStyle w:val="TableContents"/>
              <w:spacing w:before="0" w:after="283"/>
              <w:rPr/>
            </w:pPr>
            <w:r>
              <w:rPr/>
              <w:t>  </w:t>
            </w:r>
          </w:p>
        </w:tc>
        <w:tc>
          <w:tcPr>
            <w:tcW w:w="2473" w:type="dxa"/>
            <w:gridSpan w:val="6"/>
            <w:tcBorders>
              <w:bottom w:val="single" w:sz="2" w:space="0" w:color="FFFFFF"/>
            </w:tcBorders>
            <w:shd w:fill="CF0A2C" w:val="clear"/>
            <w:tcMar>
              <w:bottom w:w="28" w:type="dxa"/>
            </w:tcMar>
            <w:vAlign w:val="bottom"/>
          </w:tcPr>
          <w:p>
            <w:pPr>
              <w:pStyle w:val="TableContents"/>
              <w:spacing w:before="0" w:after="20"/>
              <w:jc w:val="center"/>
              <w:rPr>
                <w:rFonts w:ascii="arial" w:hAnsi="arial"/>
                <w:b/>
                <w:color w:val="FFFFFF"/>
                <w:sz w:val="16"/>
              </w:rPr>
            </w:pPr>
            <w:r>
              <w:rPr>
                <w:rFonts w:ascii="arial" w:hAnsi="arial"/>
                <w:b/>
                <w:color w:val="FFFFFF"/>
                <w:sz w:val="16"/>
              </w:rPr>
              <w:t>Shares of Common</w:t>
              <w:br/>
              <w:t>Stock Beneficially</w:t>
              <w:br/>
              <w:t>Owned</w:t>
            </w:r>
          </w:p>
        </w:tc>
        <w:tc>
          <w:tcPr>
            <w:tcW w:w="284" w:type="dxa"/>
            <w:tcBorders>
              <w:bottom w:val="single" w:sz="2" w:space="0" w:color="FFFFFF"/>
            </w:tcBorders>
            <w:shd w:fill="CF0A2C" w:val="clear"/>
            <w:tcMar>
              <w:bottom w:w="28" w:type="dxa"/>
            </w:tcMar>
            <w:vAlign w:val="bottom"/>
          </w:tcPr>
          <w:p>
            <w:pPr>
              <w:pStyle w:val="TableContents"/>
              <w:spacing w:before="0" w:after="283"/>
              <w:rPr/>
            </w:pPr>
            <w:r>
              <w:rPr/>
              <w:t> </w:t>
            </w:r>
          </w:p>
        </w:tc>
      </w:tr>
      <w:tr>
        <w:trPr>
          <w:trHeight w:val="75" w:hRule="atLeast"/>
        </w:trPr>
        <w:tc>
          <w:tcPr>
            <w:tcW w:w="7304" w:type="dxa"/>
            <w:tcBorders/>
            <w:shd w:fill="CF0A2C" w:val="clear"/>
            <w:vAlign w:val="center"/>
          </w:tcPr>
          <w:p>
            <w:pPr>
              <w:pStyle w:val="TableContents"/>
              <w:spacing w:before="0" w:after="283"/>
              <w:rPr>
                <w:sz w:val="4"/>
                <w:szCs w:val="4"/>
              </w:rPr>
            </w:pPr>
            <w:r>
              <w:rPr>
                <w:sz w:val="4"/>
                <w:szCs w:val="4"/>
              </w:rPr>
            </w:r>
          </w:p>
        </w:tc>
        <w:tc>
          <w:tcPr>
            <w:tcW w:w="1629" w:type="dxa"/>
            <w:gridSpan w:val="4"/>
            <w:tcBorders/>
            <w:shd w:fill="CF0A2C" w:val="clear"/>
            <w:vAlign w:val="center"/>
          </w:tcPr>
          <w:p>
            <w:pPr>
              <w:pStyle w:val="TableContents"/>
              <w:spacing w:before="0" w:after="283"/>
              <w:rPr>
                <w:sz w:val="4"/>
                <w:szCs w:val="4"/>
              </w:rPr>
            </w:pPr>
            <w:r>
              <w:rPr>
                <w:sz w:val="4"/>
                <w:szCs w:val="4"/>
              </w:rPr>
            </w:r>
          </w:p>
        </w:tc>
        <w:tc>
          <w:tcPr>
            <w:tcW w:w="1272" w:type="dxa"/>
            <w:gridSpan w:val="4"/>
            <w:tcBorders/>
            <w:shd w:fill="CF0A2C" w:val="clear"/>
            <w:vAlign w:val="center"/>
          </w:tcPr>
          <w:p>
            <w:pPr>
              <w:pStyle w:val="TableContents"/>
              <w:spacing w:before="0" w:after="283"/>
              <w:rPr>
                <w:sz w:val="4"/>
                <w:szCs w:val="4"/>
              </w:rPr>
            </w:pPr>
            <w:r>
              <w:rPr>
                <w:sz w:val="4"/>
                <w:szCs w:val="4"/>
              </w:rPr>
            </w:r>
          </w:p>
        </w:tc>
      </w:tr>
      <w:tr>
        <w:trPr/>
        <w:tc>
          <w:tcPr>
            <w:tcW w:w="7304"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 and Address of Beneficial Owner</w:t>
            </w:r>
          </w:p>
          <w:p>
            <w:pPr>
              <w:pStyle w:val="TableContents"/>
              <w:spacing w:before="0" w:after="20"/>
              <w:rPr/>
            </w:pPr>
            <w:r>
              <w:rPr/>
              <w:t> </w:t>
            </w:r>
          </w:p>
        </w:tc>
        <w:tc>
          <w:tcPr>
            <w:tcW w:w="144" w:type="dxa"/>
            <w:tcBorders/>
            <w:shd w:fill="CF0A2C" w:val="clear"/>
            <w:vAlign w:val="bottom"/>
          </w:tcPr>
          <w:p>
            <w:pPr>
              <w:pStyle w:val="TableContents"/>
              <w:spacing w:before="0" w:after="283"/>
              <w:rPr/>
            </w:pPr>
            <w:r>
              <w:rPr/>
              <w:t>  </w:t>
            </w:r>
          </w:p>
        </w:tc>
        <w:tc>
          <w:tcPr>
            <w:tcW w:w="1058" w:type="dxa"/>
            <w:gridSpan w:val="2"/>
            <w:tcBorders/>
            <w:shd w:fill="CF0A2C"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Number</w:t>
            </w:r>
          </w:p>
          <w:p>
            <w:pPr>
              <w:pStyle w:val="TableContents"/>
              <w:spacing w:before="0" w:after="20"/>
              <w:jc w:val="left"/>
              <w:rPr/>
            </w:pPr>
            <w:r>
              <w:rPr/>
              <w:t> </w:t>
            </w:r>
          </w:p>
        </w:tc>
        <w:tc>
          <w:tcPr>
            <w:tcW w:w="427" w:type="dxa"/>
            <w:tcBorders/>
            <w:shd w:fill="CF0A2C" w:val="clear"/>
            <w:vAlign w:val="bottom"/>
          </w:tcPr>
          <w:p>
            <w:pPr>
              <w:pStyle w:val="TableContents"/>
              <w:spacing w:before="0" w:after="283"/>
              <w:rPr/>
            </w:pPr>
            <w:r>
              <w:rPr/>
              <w:t> </w:t>
            </w:r>
          </w:p>
        </w:tc>
        <w:tc>
          <w:tcPr>
            <w:tcW w:w="227" w:type="dxa"/>
            <w:tcBorders/>
            <w:shd w:fill="CF0A2C" w:val="clear"/>
            <w:vAlign w:val="bottom"/>
          </w:tcPr>
          <w:p>
            <w:pPr>
              <w:pStyle w:val="TableContents"/>
              <w:spacing w:before="0" w:after="283"/>
              <w:rPr/>
            </w:pPr>
            <w:r>
              <w:rPr/>
              <w:t>  </w:t>
            </w:r>
          </w:p>
        </w:tc>
        <w:tc>
          <w:tcPr>
            <w:tcW w:w="761" w:type="dxa"/>
            <w:gridSpan w:val="2"/>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Percent</w:t>
            </w:r>
          </w:p>
          <w:p>
            <w:pPr>
              <w:pStyle w:val="TableContents"/>
              <w:spacing w:before="0" w:after="20"/>
              <w:jc w:val="left"/>
              <w:rPr/>
            </w:pPr>
            <w:r>
              <w:rPr/>
              <w:t> </w:t>
            </w:r>
          </w:p>
        </w:tc>
        <w:tc>
          <w:tcPr>
            <w:tcW w:w="284" w:type="dxa"/>
            <w:tcBorders/>
            <w:shd w:fill="CF0A2C" w:val="clear"/>
            <w:vAlign w:val="bottom"/>
          </w:tcPr>
          <w:p>
            <w:pPr>
              <w:pStyle w:val="TableContents"/>
              <w:spacing w:before="0" w:after="283"/>
              <w:rPr/>
            </w:pPr>
            <w:r>
              <w:rPr/>
              <w:t> </w:t>
            </w:r>
          </w:p>
        </w:tc>
      </w:tr>
      <w:tr>
        <w:trPr>
          <w:trHeight w:val="75" w:hRule="atLeast"/>
        </w:trPr>
        <w:tc>
          <w:tcPr>
            <w:tcW w:w="7304" w:type="dxa"/>
            <w:tcBorders/>
            <w:shd w:fill="E5E5E5" w:val="clear"/>
            <w:vAlign w:val="center"/>
          </w:tcPr>
          <w:p>
            <w:pPr>
              <w:pStyle w:val="TableContents"/>
              <w:spacing w:before="0" w:after="283"/>
              <w:rPr>
                <w:sz w:val="4"/>
                <w:szCs w:val="4"/>
              </w:rPr>
            </w:pPr>
            <w:r>
              <w:rPr>
                <w:sz w:val="4"/>
                <w:szCs w:val="4"/>
              </w:rPr>
            </w:r>
          </w:p>
        </w:tc>
        <w:tc>
          <w:tcPr>
            <w:tcW w:w="1629" w:type="dxa"/>
            <w:gridSpan w:val="4"/>
            <w:tcBorders/>
            <w:shd w:fill="E5E5E5" w:val="clear"/>
            <w:vAlign w:val="center"/>
          </w:tcPr>
          <w:p>
            <w:pPr>
              <w:pStyle w:val="TableContents"/>
              <w:spacing w:before="0" w:after="283"/>
              <w:rPr>
                <w:sz w:val="4"/>
                <w:szCs w:val="4"/>
              </w:rPr>
            </w:pPr>
            <w:r>
              <w:rPr>
                <w:sz w:val="4"/>
                <w:szCs w:val="4"/>
              </w:rPr>
            </w:r>
          </w:p>
        </w:tc>
        <w:tc>
          <w:tcPr>
            <w:tcW w:w="1272" w:type="dxa"/>
            <w:gridSpan w:val="4"/>
            <w:tcBorders/>
            <w:shd w:fill="E5E5E5" w:val="clear"/>
            <w:vAlign w:val="center"/>
          </w:tcPr>
          <w:p>
            <w:pPr>
              <w:pStyle w:val="TableContents"/>
              <w:spacing w:before="0" w:after="283"/>
              <w:rPr>
                <w:sz w:val="4"/>
                <w:szCs w:val="4"/>
              </w:rPr>
            </w:pPr>
            <w:r>
              <w:rPr>
                <w:sz w:val="4"/>
                <w:szCs w:val="4"/>
              </w:rPr>
            </w:r>
          </w:p>
        </w:tc>
      </w:tr>
      <w:tr>
        <w:trPr/>
        <w:tc>
          <w:tcPr>
            <w:tcW w:w="7304" w:type="dxa"/>
            <w:tcBorders/>
            <w:shd w:fill="E5E5E5" w:val="clear"/>
          </w:tcPr>
          <w:p>
            <w:pPr>
              <w:pStyle w:val="TableContents"/>
              <w:spacing w:before="0" w:after="0"/>
              <w:rPr>
                <w:rFonts w:ascii="arial" w:hAnsi="arial"/>
                <w:sz w:val="20"/>
              </w:rPr>
            </w:pPr>
            <w:r>
              <w:rPr>
                <w:rFonts w:ascii="arial" w:hAnsi="arial"/>
                <w:sz w:val="20"/>
              </w:rPr>
              <w:t>BlackRock, Inc.</w:t>
            </w:r>
          </w:p>
          <w:p>
            <w:pPr>
              <w:pStyle w:val="TableContents"/>
              <w:spacing w:before="0" w:after="0"/>
              <w:rPr>
                <w:rFonts w:ascii="arial" w:hAnsi="arial"/>
                <w:sz w:val="20"/>
              </w:rPr>
            </w:pPr>
            <w:r>
              <w:rPr>
                <w:rFonts w:ascii="arial" w:hAnsi="arial"/>
                <w:sz w:val="20"/>
              </w:rPr>
              <w:t>55 East 52nd Street</w:t>
            </w:r>
          </w:p>
          <w:p>
            <w:pPr>
              <w:pStyle w:val="TableContents"/>
              <w:spacing w:before="0" w:after="20"/>
              <w:rPr>
                <w:rFonts w:ascii="arial" w:hAnsi="arial"/>
                <w:sz w:val="20"/>
              </w:rPr>
            </w:pPr>
            <w:r>
              <w:rPr>
                <w:rFonts w:ascii="arial" w:hAnsi="arial"/>
                <w:sz w:val="20"/>
              </w:rPr>
              <w:t>New York, NY 10055</w:t>
            </w:r>
          </w:p>
        </w:tc>
        <w:tc>
          <w:tcPr>
            <w:tcW w:w="144" w:type="dxa"/>
            <w:tcBorders/>
            <w:shd w:fill="E5E5E5" w:val="clear"/>
            <w:vAlign w:val="bottom"/>
          </w:tcPr>
          <w:p>
            <w:pPr>
              <w:pStyle w:val="TableContents"/>
              <w:spacing w:before="0" w:after="283"/>
              <w:rPr/>
            </w:pPr>
            <w:r>
              <w:rPr/>
              <w:t>  </w:t>
            </w:r>
          </w:p>
        </w:tc>
        <w:tc>
          <w:tcPr>
            <w:tcW w:w="60" w:type="dxa"/>
            <w:tcBorders/>
            <w:shd w:fill="E5E5E5" w:val="clear"/>
          </w:tcPr>
          <w:p>
            <w:pPr>
              <w:pStyle w:val="TableContents"/>
              <w:spacing w:before="0" w:after="283"/>
              <w:rPr/>
            </w:pPr>
            <w:r>
              <w:rPr/>
              <w:t> </w:t>
            </w:r>
          </w:p>
        </w:tc>
        <w:tc>
          <w:tcPr>
            <w:tcW w:w="998" w:type="dxa"/>
            <w:tcBorders/>
            <w:shd w:fill="E5E5E5" w:val="clear"/>
          </w:tcPr>
          <w:p>
            <w:pPr>
              <w:pStyle w:val="TableContents"/>
              <w:spacing w:before="0" w:after="283"/>
              <w:jc w:val="right"/>
              <w:rPr/>
            </w:pPr>
            <w:r>
              <w:rPr/>
              <w:t>2,700,171</w:t>
            </w:r>
          </w:p>
        </w:tc>
        <w:tc>
          <w:tcPr>
            <w:tcW w:w="427" w:type="dxa"/>
            <w:tcBorders/>
            <w:shd w:fill="E5E5E5" w:val="clear"/>
          </w:tcPr>
          <w:p>
            <w:pPr>
              <w:pStyle w:val="TableContents"/>
              <w:spacing w:before="0" w:after="283"/>
              <w:rPr/>
            </w:pPr>
            <w:r>
              <w:rPr/>
              <w:t>(1) </w:t>
            </w:r>
          </w:p>
        </w:tc>
        <w:tc>
          <w:tcPr>
            <w:tcW w:w="227" w:type="dxa"/>
            <w:tcBorders/>
            <w:shd w:fill="E5E5E5" w:val="clear"/>
            <w:vAlign w:val="bottom"/>
          </w:tcPr>
          <w:p>
            <w:pPr>
              <w:pStyle w:val="TableContents"/>
              <w:spacing w:before="0" w:after="283"/>
              <w:rPr/>
            </w:pPr>
            <w:r>
              <w:rPr/>
              <w:t>  </w:t>
            </w:r>
          </w:p>
        </w:tc>
        <w:tc>
          <w:tcPr>
            <w:tcW w:w="60" w:type="dxa"/>
            <w:tcBorders/>
            <w:shd w:fill="E5E5E5" w:val="clear"/>
          </w:tcPr>
          <w:p>
            <w:pPr>
              <w:pStyle w:val="TableContents"/>
              <w:spacing w:before="0" w:after="283"/>
              <w:rPr/>
            </w:pPr>
            <w:r>
              <w:rPr/>
              <w:t> </w:t>
            </w:r>
          </w:p>
        </w:tc>
        <w:tc>
          <w:tcPr>
            <w:tcW w:w="701" w:type="dxa"/>
            <w:tcBorders/>
            <w:shd w:fill="E5E5E5" w:val="clear"/>
          </w:tcPr>
          <w:p>
            <w:pPr>
              <w:pStyle w:val="TableContents"/>
              <w:spacing w:before="0" w:after="283"/>
              <w:jc w:val="right"/>
              <w:rPr/>
            </w:pPr>
            <w:r>
              <w:rPr/>
              <w:t>15.83%</w:t>
            </w:r>
          </w:p>
        </w:tc>
        <w:tc>
          <w:tcPr>
            <w:tcW w:w="284" w:type="dxa"/>
            <w:tcBorders/>
            <w:shd w:fill="E5E5E5" w:val="clear"/>
          </w:tcPr>
          <w:p>
            <w:pPr>
              <w:pStyle w:val="TableContents"/>
              <w:spacing w:before="0" w:after="283"/>
              <w:rPr/>
            </w:pPr>
            <w:r>
              <w:rPr/>
              <w:t> </w:t>
            </w:r>
          </w:p>
        </w:tc>
      </w:tr>
      <w:tr>
        <w:trPr>
          <w:trHeight w:val="75" w:hRule="atLeast"/>
        </w:trPr>
        <w:tc>
          <w:tcPr>
            <w:tcW w:w="7304" w:type="dxa"/>
            <w:tcBorders/>
            <w:shd w:fill="auto" w:val="clear"/>
            <w:vAlign w:val="center"/>
          </w:tcPr>
          <w:p>
            <w:pPr>
              <w:pStyle w:val="TableContents"/>
              <w:spacing w:before="0" w:after="283"/>
              <w:rPr>
                <w:sz w:val="4"/>
                <w:szCs w:val="4"/>
              </w:rPr>
            </w:pPr>
            <w:r>
              <w:rPr>
                <w:sz w:val="4"/>
                <w:szCs w:val="4"/>
              </w:rPr>
            </w:r>
          </w:p>
        </w:tc>
        <w:tc>
          <w:tcPr>
            <w:tcW w:w="1629" w:type="dxa"/>
            <w:gridSpan w:val="4"/>
            <w:tcBorders/>
            <w:shd w:fill="auto" w:val="clear"/>
            <w:vAlign w:val="center"/>
          </w:tcPr>
          <w:p>
            <w:pPr>
              <w:pStyle w:val="TableContents"/>
              <w:spacing w:before="0" w:after="283"/>
              <w:rPr>
                <w:sz w:val="4"/>
                <w:szCs w:val="4"/>
              </w:rPr>
            </w:pPr>
            <w:r>
              <w:rPr>
                <w:sz w:val="4"/>
                <w:szCs w:val="4"/>
              </w:rPr>
            </w:r>
          </w:p>
        </w:tc>
        <w:tc>
          <w:tcPr>
            <w:tcW w:w="1272" w:type="dxa"/>
            <w:gridSpan w:val="4"/>
            <w:tcBorders/>
            <w:shd w:fill="auto" w:val="clear"/>
            <w:vAlign w:val="center"/>
          </w:tcPr>
          <w:p>
            <w:pPr>
              <w:pStyle w:val="TableContents"/>
              <w:spacing w:before="0" w:after="283"/>
              <w:rPr>
                <w:sz w:val="4"/>
                <w:szCs w:val="4"/>
              </w:rPr>
            </w:pPr>
            <w:r>
              <w:rPr>
                <w:sz w:val="4"/>
                <w:szCs w:val="4"/>
              </w:rPr>
            </w:r>
          </w:p>
        </w:tc>
      </w:tr>
      <w:tr>
        <w:trPr/>
        <w:tc>
          <w:tcPr>
            <w:tcW w:w="7304" w:type="dxa"/>
            <w:tcBorders/>
            <w:shd w:fill="auto" w:val="clear"/>
          </w:tcPr>
          <w:p>
            <w:pPr>
              <w:pStyle w:val="TableContents"/>
              <w:spacing w:before="0" w:after="0"/>
              <w:rPr>
                <w:rFonts w:ascii="arial" w:hAnsi="arial"/>
                <w:sz w:val="20"/>
              </w:rPr>
            </w:pPr>
            <w:r>
              <w:rPr>
                <w:rFonts w:ascii="arial" w:hAnsi="arial"/>
                <w:sz w:val="20"/>
              </w:rPr>
              <w:t>The Vanguard Group</w:t>
            </w:r>
          </w:p>
          <w:p>
            <w:pPr>
              <w:pStyle w:val="TableContents"/>
              <w:spacing w:before="0" w:after="0"/>
              <w:rPr>
                <w:rFonts w:ascii="arial" w:hAnsi="arial"/>
                <w:sz w:val="20"/>
              </w:rPr>
            </w:pPr>
            <w:r>
              <w:rPr>
                <w:rFonts w:ascii="arial" w:hAnsi="arial"/>
                <w:sz w:val="20"/>
              </w:rPr>
              <w:t>100 Vanguard Blvd.</w:t>
            </w:r>
          </w:p>
          <w:p>
            <w:pPr>
              <w:pStyle w:val="TableContents"/>
              <w:spacing w:before="0" w:after="20"/>
              <w:rPr>
                <w:rFonts w:ascii="arial" w:hAnsi="arial"/>
                <w:sz w:val="20"/>
              </w:rPr>
            </w:pPr>
            <w:r>
              <w:rPr>
                <w:rFonts w:ascii="arial" w:hAnsi="arial"/>
                <w:sz w:val="20"/>
              </w:rPr>
              <w:t>Malvern, PA 19355</w:t>
            </w:r>
          </w:p>
        </w:tc>
        <w:tc>
          <w:tcPr>
            <w:tcW w:w="14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98" w:type="dxa"/>
            <w:tcBorders/>
            <w:shd w:fill="auto" w:val="clear"/>
          </w:tcPr>
          <w:p>
            <w:pPr>
              <w:pStyle w:val="TableContents"/>
              <w:spacing w:before="0" w:after="283"/>
              <w:jc w:val="right"/>
              <w:rPr/>
            </w:pPr>
            <w:r>
              <w:rPr/>
              <w:t>1,738,153</w:t>
            </w:r>
          </w:p>
        </w:tc>
        <w:tc>
          <w:tcPr>
            <w:tcW w:w="427" w:type="dxa"/>
            <w:tcBorders/>
            <w:shd w:fill="auto" w:val="clear"/>
          </w:tcPr>
          <w:p>
            <w:pPr>
              <w:pStyle w:val="TableContents"/>
              <w:spacing w:before="0" w:after="283"/>
              <w:rPr/>
            </w:pPr>
            <w:r>
              <w:rPr/>
              <w:t>(2) </w:t>
            </w:r>
          </w:p>
        </w:tc>
        <w:tc>
          <w:tcPr>
            <w:tcW w:w="227"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701" w:type="dxa"/>
            <w:tcBorders/>
            <w:shd w:fill="auto" w:val="clear"/>
          </w:tcPr>
          <w:p>
            <w:pPr>
              <w:pStyle w:val="TableContents"/>
              <w:spacing w:before="0" w:after="283"/>
              <w:jc w:val="right"/>
              <w:rPr/>
            </w:pPr>
            <w:r>
              <w:rPr/>
              <w:t>10.19%</w:t>
            </w:r>
          </w:p>
        </w:tc>
        <w:tc>
          <w:tcPr>
            <w:tcW w:w="284" w:type="dxa"/>
            <w:tcBorders/>
            <w:shd w:fill="auto" w:val="clear"/>
          </w:tcPr>
          <w:p>
            <w:pPr>
              <w:pStyle w:val="TableContents"/>
              <w:spacing w:before="0" w:after="283"/>
              <w:rPr/>
            </w:pPr>
            <w:r>
              <w:rPr/>
              <w:t> </w:t>
            </w:r>
          </w:p>
        </w:tc>
      </w:tr>
      <w:tr>
        <w:trPr>
          <w:trHeight w:val="75" w:hRule="atLeast"/>
        </w:trPr>
        <w:tc>
          <w:tcPr>
            <w:tcW w:w="7304" w:type="dxa"/>
            <w:tcBorders/>
            <w:shd w:fill="E5E5E5" w:val="clear"/>
            <w:vAlign w:val="center"/>
          </w:tcPr>
          <w:p>
            <w:pPr>
              <w:pStyle w:val="TableContents"/>
              <w:spacing w:before="0" w:after="283"/>
              <w:rPr>
                <w:sz w:val="4"/>
                <w:szCs w:val="4"/>
              </w:rPr>
            </w:pPr>
            <w:r>
              <w:rPr>
                <w:sz w:val="4"/>
                <w:szCs w:val="4"/>
              </w:rPr>
            </w:r>
          </w:p>
        </w:tc>
        <w:tc>
          <w:tcPr>
            <w:tcW w:w="1629" w:type="dxa"/>
            <w:gridSpan w:val="4"/>
            <w:tcBorders/>
            <w:shd w:fill="E5E5E5" w:val="clear"/>
            <w:vAlign w:val="center"/>
          </w:tcPr>
          <w:p>
            <w:pPr>
              <w:pStyle w:val="TableContents"/>
              <w:spacing w:before="0" w:after="283"/>
              <w:rPr>
                <w:sz w:val="4"/>
                <w:szCs w:val="4"/>
              </w:rPr>
            </w:pPr>
            <w:r>
              <w:rPr>
                <w:sz w:val="4"/>
                <w:szCs w:val="4"/>
              </w:rPr>
            </w:r>
          </w:p>
        </w:tc>
        <w:tc>
          <w:tcPr>
            <w:tcW w:w="1272" w:type="dxa"/>
            <w:gridSpan w:val="4"/>
            <w:tcBorders/>
            <w:shd w:fill="E5E5E5" w:val="clear"/>
            <w:vAlign w:val="center"/>
          </w:tcPr>
          <w:p>
            <w:pPr>
              <w:pStyle w:val="TableContents"/>
              <w:spacing w:before="0" w:after="283"/>
              <w:rPr>
                <w:sz w:val="4"/>
                <w:szCs w:val="4"/>
              </w:rPr>
            </w:pPr>
            <w:r>
              <w:rPr>
                <w:sz w:val="4"/>
                <w:szCs w:val="4"/>
              </w:rPr>
            </w:r>
          </w:p>
        </w:tc>
      </w:tr>
      <w:tr>
        <w:trPr/>
        <w:tc>
          <w:tcPr>
            <w:tcW w:w="7304" w:type="dxa"/>
            <w:tcBorders/>
            <w:shd w:fill="E5E5E5" w:val="clear"/>
          </w:tcPr>
          <w:p>
            <w:pPr>
              <w:pStyle w:val="TableContents"/>
              <w:spacing w:before="0" w:after="0"/>
              <w:rPr>
                <w:rFonts w:ascii="arial" w:hAnsi="arial"/>
                <w:sz w:val="20"/>
              </w:rPr>
            </w:pPr>
            <w:r>
              <w:rPr>
                <w:rFonts w:ascii="arial" w:hAnsi="arial"/>
                <w:sz w:val="20"/>
              </w:rPr>
              <w:t>Wells Fargo &amp; Company</w:t>
            </w:r>
          </w:p>
          <w:p>
            <w:pPr>
              <w:pStyle w:val="TableContents"/>
              <w:spacing w:before="0" w:after="0"/>
              <w:rPr>
                <w:rFonts w:ascii="arial" w:hAnsi="arial"/>
                <w:sz w:val="20"/>
              </w:rPr>
            </w:pPr>
            <w:r>
              <w:rPr>
                <w:rFonts w:ascii="arial" w:hAnsi="arial"/>
                <w:sz w:val="20"/>
              </w:rPr>
              <w:t>420 Montgomery Street</w:t>
            </w:r>
          </w:p>
          <w:p>
            <w:pPr>
              <w:pStyle w:val="TableContents"/>
              <w:spacing w:before="0" w:after="20"/>
              <w:rPr>
                <w:rFonts w:ascii="arial" w:hAnsi="arial"/>
                <w:sz w:val="20"/>
              </w:rPr>
            </w:pPr>
            <w:r>
              <w:rPr>
                <w:rFonts w:ascii="arial" w:hAnsi="arial"/>
                <w:sz w:val="20"/>
              </w:rPr>
              <w:t>San Francisco, CA 94163</w:t>
            </w:r>
          </w:p>
        </w:tc>
        <w:tc>
          <w:tcPr>
            <w:tcW w:w="144" w:type="dxa"/>
            <w:tcBorders/>
            <w:shd w:fill="E5E5E5" w:val="clear"/>
            <w:vAlign w:val="bottom"/>
          </w:tcPr>
          <w:p>
            <w:pPr>
              <w:pStyle w:val="TableContents"/>
              <w:spacing w:before="0" w:after="283"/>
              <w:rPr/>
            </w:pPr>
            <w:r>
              <w:rPr/>
              <w:t>  </w:t>
            </w:r>
          </w:p>
        </w:tc>
        <w:tc>
          <w:tcPr>
            <w:tcW w:w="60" w:type="dxa"/>
            <w:tcBorders/>
            <w:shd w:fill="E5E5E5" w:val="clear"/>
          </w:tcPr>
          <w:p>
            <w:pPr>
              <w:pStyle w:val="TableContents"/>
              <w:spacing w:before="0" w:after="283"/>
              <w:rPr/>
            </w:pPr>
            <w:r>
              <w:rPr/>
              <w:t> </w:t>
            </w:r>
          </w:p>
        </w:tc>
        <w:tc>
          <w:tcPr>
            <w:tcW w:w="998" w:type="dxa"/>
            <w:tcBorders/>
            <w:shd w:fill="E5E5E5" w:val="clear"/>
          </w:tcPr>
          <w:p>
            <w:pPr>
              <w:pStyle w:val="TableContents"/>
              <w:spacing w:before="0" w:after="283"/>
              <w:jc w:val="right"/>
              <w:rPr/>
            </w:pPr>
            <w:r>
              <w:rPr/>
              <w:t>1,105,343</w:t>
            </w:r>
          </w:p>
        </w:tc>
        <w:tc>
          <w:tcPr>
            <w:tcW w:w="427" w:type="dxa"/>
            <w:tcBorders/>
            <w:shd w:fill="E5E5E5" w:val="clear"/>
          </w:tcPr>
          <w:p>
            <w:pPr>
              <w:pStyle w:val="TableContents"/>
              <w:spacing w:before="0" w:after="283"/>
              <w:rPr/>
            </w:pPr>
            <w:r>
              <w:rPr/>
              <w:t>(3) </w:t>
            </w:r>
          </w:p>
        </w:tc>
        <w:tc>
          <w:tcPr>
            <w:tcW w:w="227" w:type="dxa"/>
            <w:tcBorders/>
            <w:shd w:fill="E5E5E5" w:val="clear"/>
            <w:vAlign w:val="bottom"/>
          </w:tcPr>
          <w:p>
            <w:pPr>
              <w:pStyle w:val="TableContents"/>
              <w:spacing w:before="0" w:after="283"/>
              <w:rPr/>
            </w:pPr>
            <w:r>
              <w:rPr/>
              <w:t>  </w:t>
            </w:r>
          </w:p>
        </w:tc>
        <w:tc>
          <w:tcPr>
            <w:tcW w:w="60" w:type="dxa"/>
            <w:tcBorders/>
            <w:shd w:fill="E5E5E5" w:val="clear"/>
          </w:tcPr>
          <w:p>
            <w:pPr>
              <w:pStyle w:val="TableContents"/>
              <w:spacing w:before="0" w:after="283"/>
              <w:rPr/>
            </w:pPr>
            <w:r>
              <w:rPr/>
              <w:t> </w:t>
            </w:r>
          </w:p>
        </w:tc>
        <w:tc>
          <w:tcPr>
            <w:tcW w:w="701" w:type="dxa"/>
            <w:tcBorders/>
            <w:shd w:fill="E5E5E5" w:val="clear"/>
          </w:tcPr>
          <w:p>
            <w:pPr>
              <w:pStyle w:val="TableContents"/>
              <w:spacing w:before="0" w:after="283"/>
              <w:jc w:val="right"/>
              <w:rPr/>
            </w:pPr>
            <w:r>
              <w:rPr/>
              <w:t>6.48%</w:t>
            </w:r>
          </w:p>
        </w:tc>
        <w:tc>
          <w:tcPr>
            <w:tcW w:w="284" w:type="dxa"/>
            <w:tcBorders/>
            <w:shd w:fill="E5E5E5" w:val="clear"/>
          </w:tcPr>
          <w:p>
            <w:pPr>
              <w:pStyle w:val="TableContents"/>
              <w:spacing w:before="0" w:after="283"/>
              <w:rPr/>
            </w:pPr>
            <w:r>
              <w:rPr/>
              <w:t> </w:t>
            </w:r>
          </w:p>
        </w:tc>
      </w:tr>
      <w:tr>
        <w:trPr>
          <w:trHeight w:val="75" w:hRule="atLeast"/>
        </w:trPr>
        <w:tc>
          <w:tcPr>
            <w:tcW w:w="7304" w:type="dxa"/>
            <w:tcBorders/>
            <w:shd w:fill="auto" w:val="clear"/>
            <w:vAlign w:val="center"/>
          </w:tcPr>
          <w:p>
            <w:pPr>
              <w:pStyle w:val="TableContents"/>
              <w:spacing w:before="0" w:after="283"/>
              <w:rPr>
                <w:sz w:val="4"/>
                <w:szCs w:val="4"/>
              </w:rPr>
            </w:pPr>
            <w:r>
              <w:rPr>
                <w:sz w:val="4"/>
                <w:szCs w:val="4"/>
              </w:rPr>
            </w:r>
          </w:p>
        </w:tc>
        <w:tc>
          <w:tcPr>
            <w:tcW w:w="1629" w:type="dxa"/>
            <w:gridSpan w:val="4"/>
            <w:tcBorders/>
            <w:shd w:fill="auto" w:val="clear"/>
            <w:vAlign w:val="center"/>
          </w:tcPr>
          <w:p>
            <w:pPr>
              <w:pStyle w:val="TableContents"/>
              <w:spacing w:before="0" w:after="283"/>
              <w:rPr>
                <w:sz w:val="4"/>
                <w:szCs w:val="4"/>
              </w:rPr>
            </w:pPr>
            <w:r>
              <w:rPr>
                <w:sz w:val="4"/>
                <w:szCs w:val="4"/>
              </w:rPr>
            </w:r>
          </w:p>
        </w:tc>
        <w:tc>
          <w:tcPr>
            <w:tcW w:w="1272" w:type="dxa"/>
            <w:gridSpan w:val="4"/>
            <w:tcBorders/>
            <w:shd w:fill="auto" w:val="clear"/>
            <w:vAlign w:val="center"/>
          </w:tcPr>
          <w:p>
            <w:pPr>
              <w:pStyle w:val="TableContents"/>
              <w:spacing w:before="0" w:after="283"/>
              <w:rPr>
                <w:sz w:val="4"/>
                <w:szCs w:val="4"/>
              </w:rPr>
            </w:pPr>
            <w:r>
              <w:rPr>
                <w:sz w:val="4"/>
                <w:szCs w:val="4"/>
              </w:rPr>
            </w:r>
          </w:p>
        </w:tc>
      </w:tr>
      <w:tr>
        <w:trPr/>
        <w:tc>
          <w:tcPr>
            <w:tcW w:w="7304" w:type="dxa"/>
            <w:tcBorders/>
            <w:shd w:fill="auto" w:val="clear"/>
          </w:tcPr>
          <w:p>
            <w:pPr>
              <w:pStyle w:val="TableContents"/>
              <w:spacing w:before="0" w:after="0"/>
              <w:rPr>
                <w:rFonts w:ascii="arial" w:hAnsi="arial"/>
                <w:sz w:val="20"/>
              </w:rPr>
            </w:pPr>
            <w:r>
              <w:rPr>
                <w:rFonts w:ascii="arial" w:hAnsi="arial"/>
                <w:sz w:val="20"/>
              </w:rPr>
              <w:t>North Peak Capital Management, LLC</w:t>
            </w:r>
          </w:p>
          <w:p>
            <w:pPr>
              <w:pStyle w:val="TableContents"/>
              <w:spacing w:before="0" w:after="0"/>
              <w:rPr>
                <w:rFonts w:ascii="arial" w:hAnsi="arial"/>
                <w:sz w:val="20"/>
              </w:rPr>
            </w:pPr>
            <w:r>
              <w:rPr>
                <w:rFonts w:ascii="arial" w:hAnsi="arial"/>
                <w:sz w:val="20"/>
              </w:rPr>
              <w:t>155 East 44th Street, 5th Floor</w:t>
            </w:r>
          </w:p>
          <w:p>
            <w:pPr>
              <w:pStyle w:val="TableContents"/>
              <w:spacing w:before="0" w:after="20"/>
              <w:rPr>
                <w:rFonts w:ascii="arial" w:hAnsi="arial"/>
                <w:sz w:val="20"/>
              </w:rPr>
            </w:pPr>
            <w:r>
              <w:rPr>
                <w:rFonts w:ascii="arial" w:hAnsi="arial"/>
                <w:sz w:val="20"/>
              </w:rPr>
              <w:t>New York, NY 10017</w:t>
            </w:r>
          </w:p>
        </w:tc>
        <w:tc>
          <w:tcPr>
            <w:tcW w:w="14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98" w:type="dxa"/>
            <w:tcBorders/>
            <w:shd w:fill="auto" w:val="clear"/>
          </w:tcPr>
          <w:p>
            <w:pPr>
              <w:pStyle w:val="TableContents"/>
              <w:spacing w:before="0" w:after="283"/>
              <w:jc w:val="right"/>
              <w:rPr/>
            </w:pPr>
            <w:r>
              <w:rPr/>
              <w:t>838,874</w:t>
            </w:r>
          </w:p>
        </w:tc>
        <w:tc>
          <w:tcPr>
            <w:tcW w:w="427" w:type="dxa"/>
            <w:tcBorders/>
            <w:shd w:fill="auto" w:val="clear"/>
          </w:tcPr>
          <w:p>
            <w:pPr>
              <w:pStyle w:val="TableContents"/>
              <w:spacing w:before="0" w:after="283"/>
              <w:rPr/>
            </w:pPr>
            <w:r>
              <w:rPr/>
              <w:t>(4) </w:t>
            </w:r>
          </w:p>
        </w:tc>
        <w:tc>
          <w:tcPr>
            <w:tcW w:w="227"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701" w:type="dxa"/>
            <w:tcBorders/>
            <w:shd w:fill="auto" w:val="clear"/>
          </w:tcPr>
          <w:p>
            <w:pPr>
              <w:pStyle w:val="TableContents"/>
              <w:spacing w:before="0" w:after="283"/>
              <w:jc w:val="right"/>
              <w:rPr/>
            </w:pPr>
            <w:r>
              <w:rPr/>
              <w:t>4.92%</w:t>
            </w:r>
          </w:p>
        </w:tc>
        <w:tc>
          <w:tcPr>
            <w:tcW w:w="284" w:type="dxa"/>
            <w:tcBorders/>
            <w:shd w:fill="auto" w:val="clea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Based solely upon on a Schedule 13G filed with the SEC on January 25, 2021 by BlackRock, Inc. reporting beneficial ownership as of December 31, 2020. BlackRock, Inc. reported that it possessed sole power to vote or direct the vote with respect to 2,629,882 of these shares and sole power to dispose or direct the disposition of 2,700,171 of these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Based solely upon on a Schedule 13G/A filed with the SEC on February 10, 2021 by The Vanguard Group reporting beneficial ownership as of December 31, 2020. The Vanguard Group reported that it possessed shared power to vote or direct the vote with respect to 17,702 shares, sole power to dispose or direct the disposition of 1,707,413 shares and shared power to dispose or to direct the disposition of 30,740 of these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Based solely upon a Schedule 13G/A filed with the SEC on February 12, 2021 by Wells Fargo &amp; Company reporting beneficial ownership as of December 31, 2020. Wells Fargo &amp; Company reported that it possessed the sole power to vote or direct the vote with respect to 26,002 shares, shared power to vote or direct the vote with respect to 211,795 shares, sole power to dispose or direct the disposition of 26,002 shares and shared power to dispose or direct the disposition of 1,079,341 of these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Based solely upon a Schedule 13G filed with the SEC on January 22, 2021 by (i) North Peak Capital Management, LLC (North Peak Management), (ii) North Peak Capital GP, LLC (North Peak GP), (iii) North Peak Capital Partners, LP (Fund I), (iv) North Peak Capital Partners II, LP (Fund II), (v) Jeremy Kahan, and (v) Michael Kahan reporting beneficial ownership as of January 14, 2021. North Peak Management, North Peak GP, Jeremy Kahan and Michael Kahan reported that each possessed shared power to vote or direct the vote and shared power to dispose or direct the disposition of 838,874 shares. Fund I reported that it possessed shared power to dispose or direct the disposition of 97,309 shares. Fund II reported that it possessed shared power to dispose or direct the disposition of 741,565 shares.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18    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SECURITY OWNERSHIP OF CERTAIN BENEFICIAL OWNERS AND MANAGEMENT   </w:t>
            </w:r>
          </w:p>
        </w:tc>
      </w:tr>
    </w:tbl>
    <w:p>
      <w:pPr>
        <w:pStyle w:val="TextBody"/>
        <w:spacing w:before="0" w:after="0"/>
        <w:jc w:val="left"/>
        <w:rPr/>
      </w:pPr>
      <w:r>
        <w:rPr/>
        <w:t> </w:t>
      </w:r>
    </w:p>
    <w:p>
      <w:pPr>
        <w:pStyle w:val="TextBody"/>
        <w:spacing w:before="0" w:after="0"/>
        <w:jc w:val="left"/>
        <w:rPr>
          <w:rFonts w:ascii="arial" w:hAnsi="arial"/>
          <w:b/>
          <w:color w:val="CF0A2C"/>
          <w:sz w:val="28"/>
        </w:rPr>
      </w:pPr>
      <w:r>
        <w:rPr>
          <w:rFonts w:ascii="arial" w:hAnsi="arial"/>
          <w:b/>
          <w:color w:val="CF0A2C"/>
          <w:sz w:val="28"/>
        </w:rPr>
        <w:t xml:space="preserve">Security Ownership of Management </w:t>
      </w:r>
    </w:p>
    <w:p>
      <w:pPr>
        <w:pStyle w:val="TextBody"/>
        <w:spacing w:before="120" w:after="0"/>
        <w:jc w:val="left"/>
        <w:rPr>
          <w:rFonts w:ascii="arial" w:hAnsi="arial"/>
          <w:sz w:val="20"/>
        </w:rPr>
      </w:pPr>
      <w:r>
        <w:rPr>
          <w:rFonts w:ascii="arial" w:hAnsi="arial"/>
          <w:sz w:val="20"/>
        </w:rPr>
        <w:t xml:space="preserve">The following table sets forth, as of March 17, 2021, the beneficial ownership of the Corporations Common Stock, including shares as to which a right to acquire ownership exists within the meaning of Rule 13d-3(d)(1) under the Securities Exchange Act of 1934, as amended (the Exchange Act), within 60 days of March 17, 2021, of each director, each nominee for election as director, each named executive officer and all directors and executive officers of the Corporation, as a group. The percentages of ownership have been calculated based upon 17,057,786 shares of Common Stock outstanding as of March 17,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65"/>
        <w:gridCol w:w="180"/>
        <w:gridCol w:w="65"/>
        <w:gridCol w:w="885"/>
        <w:gridCol w:w="662"/>
        <w:gridCol w:w="127"/>
        <w:gridCol w:w="85"/>
        <w:gridCol w:w="974"/>
        <w:gridCol w:w="164"/>
        <w:gridCol w:w="217"/>
        <w:gridCol w:w="91"/>
        <w:gridCol w:w="1231"/>
        <w:gridCol w:w="200"/>
        <w:gridCol w:w="291"/>
        <w:gridCol w:w="146"/>
        <w:gridCol w:w="1527"/>
        <w:gridCol w:w="295"/>
      </w:tblGrid>
      <w:tr>
        <w:trPr/>
        <w:tc>
          <w:tcPr>
            <w:tcW w:w="306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3065" w:type="dxa"/>
            <w:tcBorders/>
            <w:shd w:fill="CF0A2C" w:val="clear"/>
            <w:vAlign w:val="center"/>
          </w:tcPr>
          <w:p>
            <w:pPr>
              <w:pStyle w:val="TableContents"/>
              <w:spacing w:before="0" w:after="283"/>
              <w:rPr>
                <w:sz w:val="4"/>
                <w:szCs w:val="4"/>
              </w:rPr>
            </w:pPr>
            <w:r>
              <w:rPr>
                <w:sz w:val="4"/>
                <w:szCs w:val="4"/>
              </w:rPr>
            </w:r>
          </w:p>
        </w:tc>
        <w:tc>
          <w:tcPr>
            <w:tcW w:w="3142" w:type="dxa"/>
            <w:gridSpan w:val="8"/>
            <w:tcBorders/>
            <w:shd w:fill="CF0A2C" w:val="clear"/>
            <w:vAlign w:val="center"/>
          </w:tcPr>
          <w:p>
            <w:pPr>
              <w:pStyle w:val="TableContents"/>
              <w:spacing w:before="0" w:after="283"/>
              <w:rPr>
                <w:sz w:val="4"/>
                <w:szCs w:val="4"/>
              </w:rPr>
            </w:pPr>
            <w:r>
              <w:rPr>
                <w:sz w:val="4"/>
                <w:szCs w:val="4"/>
              </w:rPr>
            </w:r>
          </w:p>
        </w:tc>
        <w:tc>
          <w:tcPr>
            <w:tcW w:w="1739" w:type="dxa"/>
            <w:gridSpan w:val="4"/>
            <w:tcBorders/>
            <w:shd w:fill="CF0A2C" w:val="clear"/>
            <w:vAlign w:val="center"/>
          </w:tcPr>
          <w:p>
            <w:pPr>
              <w:pStyle w:val="TableContents"/>
              <w:spacing w:before="0" w:after="283"/>
              <w:rPr>
                <w:sz w:val="4"/>
                <w:szCs w:val="4"/>
              </w:rPr>
            </w:pPr>
            <w:r>
              <w:rPr>
                <w:sz w:val="4"/>
                <w:szCs w:val="4"/>
              </w:rPr>
            </w:r>
          </w:p>
        </w:tc>
        <w:tc>
          <w:tcPr>
            <w:tcW w:w="2259" w:type="dxa"/>
            <w:gridSpan w:val="4"/>
            <w:tcBorders/>
            <w:shd w:fill="CF0A2C" w:val="clear"/>
            <w:vAlign w:val="center"/>
          </w:tcPr>
          <w:p>
            <w:pPr>
              <w:pStyle w:val="TableContents"/>
              <w:spacing w:before="0" w:after="283"/>
              <w:rPr>
                <w:sz w:val="4"/>
                <w:szCs w:val="4"/>
              </w:rPr>
            </w:pPr>
            <w:r>
              <w:rPr>
                <w:sz w:val="4"/>
                <w:szCs w:val="4"/>
              </w:rPr>
            </w:r>
          </w:p>
        </w:tc>
      </w:tr>
      <w:tr>
        <w:trPr/>
        <w:tc>
          <w:tcPr>
            <w:tcW w:w="3065" w:type="dxa"/>
            <w:tcBorders/>
            <w:shd w:fill="CF0A2C" w:val="clear"/>
            <w:vAlign w:val="bottom"/>
          </w:tcPr>
          <w:p>
            <w:pPr>
              <w:pStyle w:val="TableContents"/>
              <w:spacing w:before="0" w:after="283"/>
              <w:rPr/>
            </w:pPr>
            <w:r>
              <w:rPr/>
              <w:t> </w:t>
            </w:r>
          </w:p>
        </w:tc>
        <w:tc>
          <w:tcPr>
            <w:tcW w:w="180" w:type="dxa"/>
            <w:tcBorders>
              <w:bottom w:val="single" w:sz="2" w:space="0" w:color="FFFFFF"/>
            </w:tcBorders>
            <w:shd w:fill="CF0A2C" w:val="clear"/>
            <w:tcMar>
              <w:bottom w:w="28" w:type="dxa"/>
            </w:tcMar>
            <w:vAlign w:val="bottom"/>
          </w:tcPr>
          <w:p>
            <w:pPr>
              <w:pStyle w:val="TableContents"/>
              <w:spacing w:before="0" w:after="283"/>
              <w:rPr/>
            </w:pPr>
            <w:r>
              <w:rPr/>
              <w:t>  </w:t>
            </w:r>
          </w:p>
        </w:tc>
        <w:tc>
          <w:tcPr>
            <w:tcW w:w="2798" w:type="dxa"/>
            <w:gridSpan w:val="6"/>
            <w:tcBorders>
              <w:bottom w:val="single" w:sz="2" w:space="0" w:color="FFFFFF"/>
            </w:tcBorders>
            <w:shd w:fill="CF0A2C" w:val="clear"/>
            <w:tcMar>
              <w:bottom w:w="28" w:type="dxa"/>
            </w:tcMar>
            <w:vAlign w:val="bottom"/>
          </w:tcPr>
          <w:p>
            <w:pPr>
              <w:pStyle w:val="TableContents"/>
              <w:spacing w:before="0" w:after="0"/>
              <w:jc w:val="center"/>
              <w:rPr>
                <w:rFonts w:ascii="arial" w:hAnsi="arial"/>
                <w:b/>
                <w:color w:val="FFFFFF"/>
                <w:sz w:val="16"/>
              </w:rPr>
            </w:pPr>
            <w:r>
              <w:rPr>
                <w:rFonts w:ascii="arial" w:hAnsi="arial"/>
                <w:b/>
                <w:color w:val="FFFFFF"/>
                <w:sz w:val="16"/>
              </w:rPr>
              <w:t>Amount and Nature of</w:t>
              <w:br/>
              <w:t>Beneficial Ownership</w:t>
            </w:r>
          </w:p>
          <w:p>
            <w:pPr>
              <w:pStyle w:val="TableContents"/>
              <w:spacing w:before="0" w:after="20"/>
              <w:jc w:val="left"/>
              <w:rPr/>
            </w:pPr>
            <w:r>
              <w:rPr/>
              <w:t> </w:t>
            </w:r>
          </w:p>
        </w:tc>
        <w:tc>
          <w:tcPr>
            <w:tcW w:w="164" w:type="dxa"/>
            <w:tcBorders>
              <w:bottom w:val="single" w:sz="2" w:space="0" w:color="FFFFFF"/>
            </w:tcBorders>
            <w:shd w:fill="CF0A2C" w:val="clear"/>
            <w:tcMar>
              <w:bottom w:w="28" w:type="dxa"/>
            </w:tcMar>
            <w:vAlign w:val="bottom"/>
          </w:tcPr>
          <w:p>
            <w:pPr>
              <w:pStyle w:val="TableContents"/>
              <w:spacing w:before="0" w:after="283"/>
              <w:rPr/>
            </w:pPr>
            <w:r>
              <w:rPr/>
              <w:t> </w:t>
            </w:r>
          </w:p>
        </w:tc>
        <w:tc>
          <w:tcPr>
            <w:tcW w:w="217" w:type="dxa"/>
            <w:tcBorders/>
            <w:shd w:fill="CF0A2C" w:val="clear"/>
            <w:vAlign w:val="bottom"/>
          </w:tcPr>
          <w:p>
            <w:pPr>
              <w:pStyle w:val="TableContents"/>
              <w:spacing w:before="0" w:after="283"/>
              <w:rPr/>
            </w:pPr>
            <w:r>
              <w:rPr/>
              <w:t>  </w:t>
            </w:r>
          </w:p>
        </w:tc>
        <w:tc>
          <w:tcPr>
            <w:tcW w:w="1322" w:type="dxa"/>
            <w:gridSpan w:val="2"/>
            <w:tcBorders/>
            <w:shd w:fill="CF0A2C" w:val="clear"/>
            <w:vAlign w:val="bottom"/>
          </w:tcPr>
          <w:p>
            <w:pPr>
              <w:pStyle w:val="TableContents"/>
              <w:spacing w:before="0" w:after="283"/>
              <w:rPr/>
            </w:pPr>
            <w:r>
              <w:rPr/>
              <w:t> </w:t>
            </w:r>
          </w:p>
        </w:tc>
        <w:tc>
          <w:tcPr>
            <w:tcW w:w="200" w:type="dxa"/>
            <w:tcBorders/>
            <w:shd w:fill="CF0A2C" w:val="clear"/>
            <w:vAlign w:val="bottom"/>
          </w:tcPr>
          <w:p>
            <w:pPr>
              <w:pStyle w:val="TableContents"/>
              <w:spacing w:before="0" w:after="283"/>
              <w:rPr/>
            </w:pPr>
            <w:r>
              <w:rPr/>
              <w:t> </w:t>
            </w:r>
          </w:p>
        </w:tc>
        <w:tc>
          <w:tcPr>
            <w:tcW w:w="291" w:type="dxa"/>
            <w:tcBorders/>
            <w:shd w:fill="CF0A2C" w:val="clear"/>
            <w:vAlign w:val="bottom"/>
          </w:tcPr>
          <w:p>
            <w:pPr>
              <w:pStyle w:val="TableContents"/>
              <w:spacing w:before="0" w:after="283"/>
              <w:rPr/>
            </w:pPr>
            <w:r>
              <w:rPr/>
              <w:t>  </w:t>
            </w:r>
          </w:p>
        </w:tc>
        <w:tc>
          <w:tcPr>
            <w:tcW w:w="1673" w:type="dxa"/>
            <w:gridSpan w:val="2"/>
            <w:tcBorders/>
            <w:shd w:fill="CF0A2C" w:val="clear"/>
            <w:vAlign w:val="bottom"/>
          </w:tcPr>
          <w:p>
            <w:pPr>
              <w:pStyle w:val="TableContents"/>
              <w:spacing w:before="0" w:after="283"/>
              <w:rPr/>
            </w:pPr>
            <w:r>
              <w:rPr/>
              <w:t> </w:t>
            </w:r>
          </w:p>
        </w:tc>
        <w:tc>
          <w:tcPr>
            <w:tcW w:w="295" w:type="dxa"/>
            <w:tcBorders/>
            <w:shd w:fill="CF0A2C" w:val="clear"/>
            <w:vAlign w:val="bottom"/>
          </w:tcPr>
          <w:p>
            <w:pPr>
              <w:pStyle w:val="TableContents"/>
              <w:spacing w:before="0" w:after="283"/>
              <w:rPr/>
            </w:pPr>
            <w:r>
              <w:rPr/>
              <w:t> </w:t>
            </w:r>
          </w:p>
        </w:tc>
      </w:tr>
      <w:tr>
        <w:trPr>
          <w:trHeight w:val="75" w:hRule="atLeast"/>
        </w:trPr>
        <w:tc>
          <w:tcPr>
            <w:tcW w:w="3065" w:type="dxa"/>
            <w:tcBorders/>
            <w:shd w:fill="CF0A2C" w:val="clear"/>
            <w:vAlign w:val="center"/>
          </w:tcPr>
          <w:p>
            <w:pPr>
              <w:pStyle w:val="TableContents"/>
              <w:spacing w:before="0" w:after="283"/>
              <w:rPr>
                <w:sz w:val="4"/>
                <w:szCs w:val="4"/>
              </w:rPr>
            </w:pPr>
            <w:r>
              <w:rPr>
                <w:sz w:val="4"/>
                <w:szCs w:val="4"/>
              </w:rPr>
            </w:r>
          </w:p>
        </w:tc>
        <w:tc>
          <w:tcPr>
            <w:tcW w:w="1792" w:type="dxa"/>
            <w:gridSpan w:val="4"/>
            <w:tcBorders/>
            <w:shd w:fill="CF0A2C" w:val="clear"/>
            <w:vAlign w:val="center"/>
          </w:tcPr>
          <w:p>
            <w:pPr>
              <w:pStyle w:val="TableContents"/>
              <w:spacing w:before="0" w:after="283"/>
              <w:rPr>
                <w:sz w:val="4"/>
                <w:szCs w:val="4"/>
              </w:rPr>
            </w:pPr>
            <w:r>
              <w:rPr>
                <w:sz w:val="4"/>
                <w:szCs w:val="4"/>
              </w:rPr>
            </w:r>
          </w:p>
        </w:tc>
        <w:tc>
          <w:tcPr>
            <w:tcW w:w="1350" w:type="dxa"/>
            <w:gridSpan w:val="4"/>
            <w:tcBorders/>
            <w:shd w:fill="CF0A2C" w:val="clear"/>
            <w:vAlign w:val="center"/>
          </w:tcPr>
          <w:p>
            <w:pPr>
              <w:pStyle w:val="TableContents"/>
              <w:spacing w:before="0" w:after="283"/>
              <w:rPr>
                <w:sz w:val="4"/>
                <w:szCs w:val="4"/>
              </w:rPr>
            </w:pPr>
            <w:r>
              <w:rPr>
                <w:sz w:val="4"/>
                <w:szCs w:val="4"/>
              </w:rPr>
            </w:r>
          </w:p>
        </w:tc>
        <w:tc>
          <w:tcPr>
            <w:tcW w:w="1739" w:type="dxa"/>
            <w:gridSpan w:val="4"/>
            <w:tcBorders/>
            <w:shd w:fill="CF0A2C" w:val="clear"/>
            <w:vAlign w:val="center"/>
          </w:tcPr>
          <w:p>
            <w:pPr>
              <w:pStyle w:val="TableContents"/>
              <w:spacing w:before="0" w:after="283"/>
              <w:rPr>
                <w:sz w:val="4"/>
                <w:szCs w:val="4"/>
              </w:rPr>
            </w:pPr>
            <w:r>
              <w:rPr>
                <w:sz w:val="4"/>
                <w:szCs w:val="4"/>
              </w:rPr>
            </w:r>
          </w:p>
        </w:tc>
        <w:tc>
          <w:tcPr>
            <w:tcW w:w="2259" w:type="dxa"/>
            <w:gridSpan w:val="4"/>
            <w:tcBorders/>
            <w:shd w:fill="CF0A2C" w:val="clear"/>
            <w:vAlign w:val="center"/>
          </w:tcPr>
          <w:p>
            <w:pPr>
              <w:pStyle w:val="TableContents"/>
              <w:spacing w:before="0" w:after="283"/>
              <w:rPr>
                <w:sz w:val="4"/>
                <w:szCs w:val="4"/>
              </w:rPr>
            </w:pPr>
            <w:r>
              <w:rPr>
                <w:sz w:val="4"/>
                <w:szCs w:val="4"/>
              </w:rPr>
            </w:r>
          </w:p>
        </w:tc>
      </w:tr>
      <w:tr>
        <w:trPr/>
        <w:tc>
          <w:tcPr>
            <w:tcW w:w="3065"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180" w:type="dxa"/>
            <w:tcBorders/>
            <w:shd w:fill="CF0A2C" w:val="clear"/>
            <w:vAlign w:val="bottom"/>
          </w:tcPr>
          <w:p>
            <w:pPr>
              <w:pStyle w:val="TableContents"/>
              <w:spacing w:before="0" w:after="283"/>
              <w:rPr/>
            </w:pPr>
            <w:r>
              <w:rPr/>
              <w:t>  </w:t>
            </w:r>
          </w:p>
        </w:tc>
        <w:tc>
          <w:tcPr>
            <w:tcW w:w="950" w:type="dxa"/>
            <w:gridSpan w:val="2"/>
            <w:tcBorders/>
            <w:shd w:fill="CF0A2C" w:val="clear"/>
            <w:vAlign w:val="bottom"/>
          </w:tcPr>
          <w:p>
            <w:pPr>
              <w:pStyle w:val="TableContents"/>
              <w:spacing w:before="0" w:after="20"/>
              <w:jc w:val="center"/>
              <w:rPr>
                <w:rFonts w:ascii="arial" w:hAnsi="arial"/>
                <w:b/>
                <w:color w:val="FFFFFF"/>
                <w:sz w:val="16"/>
              </w:rPr>
            </w:pPr>
            <w:r>
              <w:rPr>
                <w:rFonts w:ascii="arial" w:hAnsi="arial"/>
                <w:b/>
                <w:color w:val="FFFFFF"/>
                <w:sz w:val="16"/>
              </w:rPr>
              <w:t>Shares</w:t>
              <w:br/>
              <w:t>Beneficially</w:t>
              <w:br/>
              <w:t>Owned(1)</w:t>
            </w:r>
          </w:p>
        </w:tc>
        <w:tc>
          <w:tcPr>
            <w:tcW w:w="662" w:type="dxa"/>
            <w:tcBorders/>
            <w:shd w:fill="CF0A2C" w:val="clear"/>
            <w:vAlign w:val="bottom"/>
          </w:tcPr>
          <w:p>
            <w:pPr>
              <w:pStyle w:val="TableContents"/>
              <w:spacing w:before="0" w:after="283"/>
              <w:rPr/>
            </w:pPr>
            <w:r>
              <w:rPr/>
              <w:t> </w:t>
            </w:r>
          </w:p>
        </w:tc>
        <w:tc>
          <w:tcPr>
            <w:tcW w:w="127" w:type="dxa"/>
            <w:tcBorders/>
            <w:shd w:fill="CF0A2C" w:val="clear"/>
            <w:vAlign w:val="bottom"/>
          </w:tcPr>
          <w:p>
            <w:pPr>
              <w:pStyle w:val="TableContents"/>
              <w:spacing w:before="0" w:after="283"/>
              <w:rPr/>
            </w:pPr>
            <w:r>
              <w:rPr/>
              <w:t> </w:t>
            </w:r>
          </w:p>
        </w:tc>
        <w:tc>
          <w:tcPr>
            <w:tcW w:w="1059" w:type="dxa"/>
            <w:gridSpan w:val="2"/>
            <w:tcBorders/>
            <w:shd w:fill="CF0A2C" w:val="clear"/>
            <w:vAlign w:val="bottom"/>
          </w:tcPr>
          <w:p>
            <w:pPr>
              <w:pStyle w:val="TableContents"/>
              <w:spacing w:before="0" w:after="283"/>
              <w:jc w:val="center"/>
              <w:rPr>
                <w:b/>
                <w:color w:val="FFFFFF"/>
              </w:rPr>
            </w:pPr>
            <w:r>
              <w:rPr>
                <w:b/>
                <w:color w:val="FFFFFF"/>
              </w:rPr>
              <w:t>Unvested</w:t>
              <w:br/>
              <w:t>Restricted</w:t>
              <w:br/>
              <w:t>Shares(2)</w:t>
            </w:r>
          </w:p>
        </w:tc>
        <w:tc>
          <w:tcPr>
            <w:tcW w:w="164" w:type="dxa"/>
            <w:tcBorders/>
            <w:shd w:fill="CF0A2C" w:val="clear"/>
            <w:vAlign w:val="bottom"/>
          </w:tcPr>
          <w:p>
            <w:pPr>
              <w:pStyle w:val="TableContents"/>
              <w:spacing w:before="0" w:after="283"/>
              <w:rPr/>
            </w:pPr>
            <w:r>
              <w:rPr/>
              <w:t> </w:t>
            </w:r>
          </w:p>
        </w:tc>
        <w:tc>
          <w:tcPr>
            <w:tcW w:w="217" w:type="dxa"/>
            <w:tcBorders/>
            <w:shd w:fill="CF0A2C" w:val="clear"/>
            <w:vAlign w:val="bottom"/>
          </w:tcPr>
          <w:p>
            <w:pPr>
              <w:pStyle w:val="TableContents"/>
              <w:spacing w:before="0" w:after="283"/>
              <w:rPr/>
            </w:pPr>
            <w:r>
              <w:rPr/>
              <w:t>  </w:t>
            </w:r>
          </w:p>
        </w:tc>
        <w:tc>
          <w:tcPr>
            <w:tcW w:w="1322" w:type="dxa"/>
            <w:gridSpan w:val="2"/>
            <w:tcBorders/>
            <w:shd w:fill="CF0A2C" w:val="clear"/>
            <w:vAlign w:val="bottom"/>
          </w:tcPr>
          <w:p>
            <w:pPr>
              <w:pStyle w:val="TableContents"/>
              <w:spacing w:before="0" w:after="283"/>
              <w:jc w:val="center"/>
              <w:rPr>
                <w:b/>
                <w:color w:val="FFFFFF"/>
              </w:rPr>
            </w:pPr>
            <w:r>
              <w:rPr>
                <w:b/>
                <w:color w:val="FFFFFF"/>
              </w:rPr>
              <w:t>Total Shares</w:t>
              <w:br/>
              <w:t>Beneficially</w:t>
              <w:br/>
              <w:t>Owned</w:t>
            </w:r>
          </w:p>
        </w:tc>
        <w:tc>
          <w:tcPr>
            <w:tcW w:w="200" w:type="dxa"/>
            <w:tcBorders/>
            <w:shd w:fill="CF0A2C" w:val="clear"/>
            <w:vAlign w:val="bottom"/>
          </w:tcPr>
          <w:p>
            <w:pPr>
              <w:pStyle w:val="TableContents"/>
              <w:spacing w:before="0" w:after="283"/>
              <w:rPr/>
            </w:pPr>
            <w:r>
              <w:rPr/>
              <w:t> </w:t>
            </w:r>
          </w:p>
        </w:tc>
        <w:tc>
          <w:tcPr>
            <w:tcW w:w="291" w:type="dxa"/>
            <w:tcBorders/>
            <w:shd w:fill="CF0A2C" w:val="clear"/>
            <w:vAlign w:val="bottom"/>
          </w:tcPr>
          <w:p>
            <w:pPr>
              <w:pStyle w:val="TableContents"/>
              <w:spacing w:before="0" w:after="283"/>
              <w:rPr/>
            </w:pPr>
            <w:r>
              <w:rPr/>
              <w:t>  </w:t>
            </w:r>
          </w:p>
        </w:tc>
        <w:tc>
          <w:tcPr>
            <w:tcW w:w="1673" w:type="dxa"/>
            <w:gridSpan w:val="2"/>
            <w:tcBorders/>
            <w:shd w:fill="CF0A2C" w:val="clear"/>
            <w:vAlign w:val="bottom"/>
          </w:tcPr>
          <w:p>
            <w:pPr>
              <w:pStyle w:val="TableContents"/>
              <w:spacing w:before="0" w:after="283"/>
              <w:jc w:val="center"/>
              <w:rPr>
                <w:b/>
                <w:color w:val="FFFFFF"/>
              </w:rPr>
            </w:pPr>
            <w:r>
              <w:rPr>
                <w:b/>
                <w:color w:val="FFFFFF"/>
              </w:rPr>
              <w:t>Percent of Class</w:t>
            </w:r>
          </w:p>
        </w:tc>
        <w:tc>
          <w:tcPr>
            <w:tcW w:w="295" w:type="dxa"/>
            <w:tcBorders/>
            <w:shd w:fill="CF0A2C" w:val="clear"/>
            <w:vAlign w:val="bottom"/>
          </w:tcPr>
          <w:p>
            <w:pPr>
              <w:pStyle w:val="TableContents"/>
              <w:spacing w:before="0" w:after="283"/>
              <w:rPr/>
            </w:pPr>
            <w:r>
              <w:rPr/>
              <w:t> </w:t>
            </w:r>
          </w:p>
        </w:tc>
      </w:tr>
      <w:tr>
        <w:trPr>
          <w:trHeight w:val="75" w:hRule="atLeast"/>
        </w:trPr>
        <w:tc>
          <w:tcPr>
            <w:tcW w:w="3065" w:type="dxa"/>
            <w:tcBorders/>
            <w:shd w:fill="E5E5E5" w:val="clear"/>
            <w:vAlign w:val="center"/>
          </w:tcPr>
          <w:p>
            <w:pPr>
              <w:pStyle w:val="TableContents"/>
              <w:spacing w:before="0" w:after="283"/>
              <w:rPr>
                <w:sz w:val="4"/>
                <w:szCs w:val="4"/>
              </w:rPr>
            </w:pPr>
            <w:r>
              <w:rPr>
                <w:sz w:val="4"/>
                <w:szCs w:val="4"/>
              </w:rPr>
            </w:r>
          </w:p>
        </w:tc>
        <w:tc>
          <w:tcPr>
            <w:tcW w:w="1792" w:type="dxa"/>
            <w:gridSpan w:val="4"/>
            <w:tcBorders/>
            <w:shd w:fill="E5E5E5" w:val="clear"/>
            <w:vAlign w:val="center"/>
          </w:tcPr>
          <w:p>
            <w:pPr>
              <w:pStyle w:val="TableContents"/>
              <w:spacing w:before="0" w:after="283"/>
              <w:rPr>
                <w:sz w:val="4"/>
                <w:szCs w:val="4"/>
              </w:rPr>
            </w:pPr>
            <w:r>
              <w:rPr>
                <w:sz w:val="4"/>
                <w:szCs w:val="4"/>
              </w:rPr>
            </w:r>
          </w:p>
        </w:tc>
        <w:tc>
          <w:tcPr>
            <w:tcW w:w="1350" w:type="dxa"/>
            <w:gridSpan w:val="4"/>
            <w:tcBorders/>
            <w:shd w:fill="E5E5E5" w:val="clear"/>
            <w:vAlign w:val="center"/>
          </w:tcPr>
          <w:p>
            <w:pPr>
              <w:pStyle w:val="TableContents"/>
              <w:spacing w:before="0" w:after="283"/>
              <w:rPr>
                <w:sz w:val="4"/>
                <w:szCs w:val="4"/>
              </w:rPr>
            </w:pPr>
            <w:r>
              <w:rPr>
                <w:sz w:val="4"/>
                <w:szCs w:val="4"/>
              </w:rPr>
            </w:r>
          </w:p>
        </w:tc>
        <w:tc>
          <w:tcPr>
            <w:tcW w:w="1739" w:type="dxa"/>
            <w:gridSpan w:val="4"/>
            <w:tcBorders/>
            <w:shd w:fill="E5E5E5" w:val="clear"/>
            <w:vAlign w:val="center"/>
          </w:tcPr>
          <w:p>
            <w:pPr>
              <w:pStyle w:val="TableContents"/>
              <w:spacing w:before="0" w:after="283"/>
              <w:rPr>
                <w:sz w:val="4"/>
                <w:szCs w:val="4"/>
              </w:rPr>
            </w:pPr>
            <w:r>
              <w:rPr>
                <w:sz w:val="4"/>
                <w:szCs w:val="4"/>
              </w:rPr>
            </w:r>
          </w:p>
        </w:tc>
        <w:tc>
          <w:tcPr>
            <w:tcW w:w="2259" w:type="dxa"/>
            <w:gridSpan w:val="4"/>
            <w:tcBorders/>
            <w:shd w:fill="E5E5E5" w:val="clear"/>
            <w:vAlign w:val="center"/>
          </w:tcPr>
          <w:p>
            <w:pPr>
              <w:pStyle w:val="TableContents"/>
              <w:spacing w:before="0" w:after="283"/>
              <w:rPr>
                <w:sz w:val="4"/>
                <w:szCs w:val="4"/>
              </w:rPr>
            </w:pPr>
            <w:r>
              <w:rPr>
                <w:sz w:val="4"/>
                <w:szCs w:val="4"/>
              </w:rPr>
            </w:r>
          </w:p>
        </w:tc>
      </w:tr>
      <w:tr>
        <w:trPr/>
        <w:tc>
          <w:tcPr>
            <w:tcW w:w="3065" w:type="dxa"/>
            <w:tcBorders/>
            <w:shd w:fill="E5E5E5" w:val="clear"/>
          </w:tcPr>
          <w:p>
            <w:pPr>
              <w:pStyle w:val="TableContents"/>
              <w:spacing w:before="0" w:after="0"/>
              <w:rPr>
                <w:rFonts w:ascii="arial" w:hAnsi="arial"/>
                <w:sz w:val="20"/>
              </w:rPr>
            </w:pPr>
            <w:r>
              <w:rPr>
                <w:rFonts w:ascii="arial" w:hAnsi="arial"/>
                <w:sz w:val="20"/>
              </w:rPr>
              <w:t>Howard M. Berk</w:t>
            </w:r>
          </w:p>
        </w:tc>
        <w:tc>
          <w:tcPr>
            <w:tcW w:w="18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85" w:type="dxa"/>
            <w:tcBorders/>
            <w:shd w:fill="E5E5E5" w:val="clear"/>
            <w:vAlign w:val="bottom"/>
          </w:tcPr>
          <w:p>
            <w:pPr>
              <w:pStyle w:val="TableContents"/>
              <w:spacing w:before="0" w:after="283"/>
              <w:jc w:val="right"/>
              <w:rPr/>
            </w:pPr>
            <w:r>
              <w:rPr/>
              <w:t>31,865</w:t>
            </w:r>
          </w:p>
        </w:tc>
        <w:tc>
          <w:tcPr>
            <w:tcW w:w="662" w:type="dxa"/>
            <w:tcBorders/>
            <w:shd w:fill="E5E5E5" w:val="clear"/>
            <w:vAlign w:val="bottom"/>
          </w:tcPr>
          <w:p>
            <w:pPr>
              <w:pStyle w:val="TableContents"/>
              <w:spacing w:before="0" w:after="283"/>
              <w:rPr/>
            </w:pPr>
            <w:r>
              <w:rPr/>
              <w:t>(3)(4) </w:t>
            </w:r>
          </w:p>
        </w:tc>
        <w:tc>
          <w:tcPr>
            <w:tcW w:w="127"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74" w:type="dxa"/>
            <w:tcBorders/>
            <w:shd w:fill="E5E5E5" w:val="clear"/>
            <w:vAlign w:val="bottom"/>
          </w:tcPr>
          <w:p>
            <w:pPr>
              <w:pStyle w:val="TableContents"/>
              <w:spacing w:before="0" w:after="283"/>
              <w:jc w:val="right"/>
              <w:rPr/>
            </w:pPr>
            <w:r>
              <w:rPr/>
              <w:t></w:t>
            </w:r>
          </w:p>
        </w:tc>
        <w:tc>
          <w:tcPr>
            <w:tcW w:w="164" w:type="dxa"/>
            <w:tcBorders/>
            <w:shd w:fill="E5E5E5" w:val="clear"/>
            <w:vAlign w:val="bottom"/>
          </w:tcPr>
          <w:p>
            <w:pPr>
              <w:pStyle w:val="TableContents"/>
              <w:spacing w:before="0" w:after="283"/>
              <w:rPr/>
            </w:pPr>
            <w:r>
              <w:rPr/>
              <w:t> </w:t>
            </w:r>
          </w:p>
        </w:tc>
        <w:tc>
          <w:tcPr>
            <w:tcW w:w="217"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231" w:type="dxa"/>
            <w:tcBorders/>
            <w:shd w:fill="E5E5E5" w:val="clear"/>
            <w:vAlign w:val="bottom"/>
          </w:tcPr>
          <w:p>
            <w:pPr>
              <w:pStyle w:val="TableContents"/>
              <w:spacing w:before="0" w:after="283"/>
              <w:jc w:val="right"/>
              <w:rPr/>
            </w:pPr>
            <w:r>
              <w:rPr/>
              <w:t>31,865</w:t>
            </w:r>
          </w:p>
        </w:tc>
        <w:tc>
          <w:tcPr>
            <w:tcW w:w="200" w:type="dxa"/>
            <w:tcBorders/>
            <w:shd w:fill="E5E5E5" w:val="clear"/>
            <w:vAlign w:val="bottom"/>
          </w:tcPr>
          <w:p>
            <w:pPr>
              <w:pStyle w:val="TableContents"/>
              <w:spacing w:before="0" w:after="283"/>
              <w:rPr/>
            </w:pPr>
            <w:r>
              <w:rPr/>
              <w:t> </w:t>
            </w:r>
          </w:p>
        </w:tc>
        <w:tc>
          <w:tcPr>
            <w:tcW w:w="29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527" w:type="dxa"/>
            <w:tcBorders/>
            <w:shd w:fill="E5E5E5" w:val="clear"/>
            <w:vAlign w:val="bottom"/>
          </w:tcPr>
          <w:p>
            <w:pPr>
              <w:pStyle w:val="TableContents"/>
              <w:spacing w:before="0" w:after="283"/>
              <w:jc w:val="right"/>
              <w:rPr/>
            </w:pPr>
            <w:r>
              <w:rPr/>
              <w:t>*        </w:t>
            </w:r>
          </w:p>
        </w:tc>
        <w:tc>
          <w:tcPr>
            <w:tcW w:w="295" w:type="dxa"/>
            <w:tcBorders/>
            <w:shd w:fill="E5E5E5" w:val="clear"/>
            <w:vAlign w:val="bottom"/>
          </w:tcPr>
          <w:p>
            <w:pPr>
              <w:pStyle w:val="TableContents"/>
              <w:spacing w:before="0" w:after="283"/>
              <w:rPr/>
            </w:pPr>
            <w:r>
              <w:rPr/>
              <w:t> </w:t>
            </w:r>
          </w:p>
        </w:tc>
      </w:tr>
      <w:tr>
        <w:trPr>
          <w:trHeight w:val="75" w:hRule="atLeast"/>
        </w:trPr>
        <w:tc>
          <w:tcPr>
            <w:tcW w:w="3065"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350" w:type="dxa"/>
            <w:gridSpan w:val="4"/>
            <w:tcBorders/>
            <w:shd w:fill="auto" w:val="clear"/>
            <w:vAlign w:val="center"/>
          </w:tcPr>
          <w:p>
            <w:pPr>
              <w:pStyle w:val="TableContents"/>
              <w:spacing w:before="0" w:after="283"/>
              <w:rPr>
                <w:sz w:val="4"/>
                <w:szCs w:val="4"/>
              </w:rPr>
            </w:pPr>
            <w:r>
              <w:rPr>
                <w:sz w:val="4"/>
                <w:szCs w:val="4"/>
              </w:rPr>
            </w:r>
          </w:p>
        </w:tc>
        <w:tc>
          <w:tcPr>
            <w:tcW w:w="1739" w:type="dxa"/>
            <w:gridSpan w:val="4"/>
            <w:tcBorders/>
            <w:shd w:fill="auto" w:val="clear"/>
            <w:vAlign w:val="center"/>
          </w:tcPr>
          <w:p>
            <w:pPr>
              <w:pStyle w:val="TableContents"/>
              <w:spacing w:before="0" w:after="283"/>
              <w:rPr>
                <w:sz w:val="4"/>
                <w:szCs w:val="4"/>
              </w:rPr>
            </w:pPr>
            <w:r>
              <w:rPr>
                <w:sz w:val="4"/>
                <w:szCs w:val="4"/>
              </w:rPr>
            </w:r>
          </w:p>
        </w:tc>
        <w:tc>
          <w:tcPr>
            <w:tcW w:w="2259" w:type="dxa"/>
            <w:gridSpan w:val="4"/>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arial" w:hAnsi="arial"/>
                <w:sz w:val="20"/>
              </w:rPr>
            </w:pPr>
            <w:r>
              <w:rPr>
                <w:rFonts w:ascii="arial" w:hAnsi="arial"/>
                <w:sz w:val="20"/>
              </w:rPr>
              <w:t>Daniel J. Brestle</w:t>
            </w:r>
          </w:p>
        </w:tc>
        <w:tc>
          <w:tcPr>
            <w:tcW w:w="1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25,865</w:t>
            </w:r>
          </w:p>
        </w:tc>
        <w:tc>
          <w:tcPr>
            <w:tcW w:w="662" w:type="dxa"/>
            <w:tcBorders/>
            <w:shd w:fill="auto" w:val="clear"/>
            <w:vAlign w:val="bottom"/>
          </w:tcPr>
          <w:p>
            <w:pPr>
              <w:pStyle w:val="TableContents"/>
              <w:spacing w:before="0" w:after="283"/>
              <w:rPr/>
            </w:pPr>
            <w:r>
              <w:rPr/>
              <w:t>(3) </w:t>
            </w:r>
          </w:p>
        </w:tc>
        <w:tc>
          <w:tcPr>
            <w:tcW w:w="12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6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25,865</w:t>
            </w:r>
          </w:p>
        </w:tc>
        <w:tc>
          <w:tcPr>
            <w:tcW w:w="20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27" w:type="dxa"/>
            <w:tcBorders/>
            <w:shd w:fill="auto" w:val="clear"/>
            <w:vAlign w:val="bottom"/>
          </w:tcPr>
          <w:p>
            <w:pPr>
              <w:pStyle w:val="TableContents"/>
              <w:spacing w:before="0" w:after="283"/>
              <w:jc w:val="right"/>
              <w:rPr/>
            </w:pPr>
            <w:r>
              <w:rPr/>
              <w:t>*        </w:t>
            </w:r>
          </w:p>
        </w:tc>
        <w:tc>
          <w:tcPr>
            <w:tcW w:w="295" w:type="dxa"/>
            <w:tcBorders/>
            <w:shd w:fill="auto" w:val="clear"/>
            <w:vAlign w:val="bottom"/>
          </w:tcPr>
          <w:p>
            <w:pPr>
              <w:pStyle w:val="TableContents"/>
              <w:spacing w:before="0" w:after="283"/>
              <w:rPr/>
            </w:pPr>
            <w:r>
              <w:rPr/>
              <w:t> </w:t>
            </w:r>
          </w:p>
        </w:tc>
      </w:tr>
      <w:tr>
        <w:trPr>
          <w:trHeight w:val="75" w:hRule="atLeast"/>
        </w:trPr>
        <w:tc>
          <w:tcPr>
            <w:tcW w:w="3065" w:type="dxa"/>
            <w:tcBorders/>
            <w:shd w:fill="E5E5E5" w:val="clear"/>
            <w:vAlign w:val="center"/>
          </w:tcPr>
          <w:p>
            <w:pPr>
              <w:pStyle w:val="TableContents"/>
              <w:spacing w:before="0" w:after="283"/>
              <w:rPr>
                <w:sz w:val="4"/>
                <w:szCs w:val="4"/>
              </w:rPr>
            </w:pPr>
            <w:r>
              <w:rPr>
                <w:sz w:val="4"/>
                <w:szCs w:val="4"/>
              </w:rPr>
            </w:r>
          </w:p>
        </w:tc>
        <w:tc>
          <w:tcPr>
            <w:tcW w:w="1792" w:type="dxa"/>
            <w:gridSpan w:val="4"/>
            <w:tcBorders/>
            <w:shd w:fill="E5E5E5" w:val="clear"/>
            <w:vAlign w:val="center"/>
          </w:tcPr>
          <w:p>
            <w:pPr>
              <w:pStyle w:val="TableContents"/>
              <w:spacing w:before="0" w:after="283"/>
              <w:rPr>
                <w:sz w:val="4"/>
                <w:szCs w:val="4"/>
              </w:rPr>
            </w:pPr>
            <w:r>
              <w:rPr>
                <w:sz w:val="4"/>
                <w:szCs w:val="4"/>
              </w:rPr>
            </w:r>
          </w:p>
        </w:tc>
        <w:tc>
          <w:tcPr>
            <w:tcW w:w="1350" w:type="dxa"/>
            <w:gridSpan w:val="4"/>
            <w:tcBorders/>
            <w:shd w:fill="E5E5E5" w:val="clear"/>
            <w:vAlign w:val="center"/>
          </w:tcPr>
          <w:p>
            <w:pPr>
              <w:pStyle w:val="TableContents"/>
              <w:spacing w:before="0" w:after="283"/>
              <w:rPr>
                <w:sz w:val="4"/>
                <w:szCs w:val="4"/>
              </w:rPr>
            </w:pPr>
            <w:r>
              <w:rPr>
                <w:sz w:val="4"/>
                <w:szCs w:val="4"/>
              </w:rPr>
            </w:r>
          </w:p>
        </w:tc>
        <w:tc>
          <w:tcPr>
            <w:tcW w:w="1739" w:type="dxa"/>
            <w:gridSpan w:val="4"/>
            <w:tcBorders/>
            <w:shd w:fill="E5E5E5" w:val="clear"/>
            <w:vAlign w:val="center"/>
          </w:tcPr>
          <w:p>
            <w:pPr>
              <w:pStyle w:val="TableContents"/>
              <w:spacing w:before="0" w:after="283"/>
              <w:rPr>
                <w:sz w:val="4"/>
                <w:szCs w:val="4"/>
              </w:rPr>
            </w:pPr>
            <w:r>
              <w:rPr>
                <w:sz w:val="4"/>
                <w:szCs w:val="4"/>
              </w:rPr>
            </w:r>
          </w:p>
        </w:tc>
        <w:tc>
          <w:tcPr>
            <w:tcW w:w="2259" w:type="dxa"/>
            <w:gridSpan w:val="4"/>
            <w:tcBorders/>
            <w:shd w:fill="E5E5E5" w:val="clear"/>
            <w:vAlign w:val="center"/>
          </w:tcPr>
          <w:p>
            <w:pPr>
              <w:pStyle w:val="TableContents"/>
              <w:spacing w:before="0" w:after="283"/>
              <w:rPr>
                <w:sz w:val="4"/>
                <w:szCs w:val="4"/>
              </w:rPr>
            </w:pPr>
            <w:r>
              <w:rPr>
                <w:sz w:val="4"/>
                <w:szCs w:val="4"/>
              </w:rPr>
            </w:r>
          </w:p>
        </w:tc>
      </w:tr>
      <w:tr>
        <w:trPr/>
        <w:tc>
          <w:tcPr>
            <w:tcW w:w="3065" w:type="dxa"/>
            <w:tcBorders/>
            <w:shd w:fill="E5E5E5" w:val="clear"/>
          </w:tcPr>
          <w:p>
            <w:pPr>
              <w:pStyle w:val="TableContents"/>
              <w:spacing w:before="0" w:after="0"/>
              <w:rPr>
                <w:rFonts w:ascii="arial" w:hAnsi="arial"/>
                <w:sz w:val="20"/>
              </w:rPr>
            </w:pPr>
            <w:r>
              <w:rPr>
                <w:rFonts w:ascii="arial" w:hAnsi="arial"/>
                <w:sz w:val="20"/>
              </w:rPr>
              <w:t>Susan M. Collyns</w:t>
            </w:r>
          </w:p>
        </w:tc>
        <w:tc>
          <w:tcPr>
            <w:tcW w:w="18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85" w:type="dxa"/>
            <w:tcBorders/>
            <w:shd w:fill="E5E5E5" w:val="clear"/>
            <w:vAlign w:val="bottom"/>
          </w:tcPr>
          <w:p>
            <w:pPr>
              <w:pStyle w:val="TableContents"/>
              <w:spacing w:before="0" w:after="283"/>
              <w:jc w:val="right"/>
              <w:rPr/>
            </w:pPr>
            <w:r>
              <w:rPr/>
              <w:t>1,839</w:t>
            </w:r>
          </w:p>
        </w:tc>
        <w:tc>
          <w:tcPr>
            <w:tcW w:w="662"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74" w:type="dxa"/>
            <w:tcBorders/>
            <w:shd w:fill="E5E5E5" w:val="clear"/>
            <w:vAlign w:val="bottom"/>
          </w:tcPr>
          <w:p>
            <w:pPr>
              <w:pStyle w:val="TableContents"/>
              <w:spacing w:before="0" w:after="283"/>
              <w:jc w:val="right"/>
              <w:rPr/>
            </w:pPr>
            <w:r>
              <w:rPr/>
              <w:t></w:t>
            </w:r>
          </w:p>
        </w:tc>
        <w:tc>
          <w:tcPr>
            <w:tcW w:w="164" w:type="dxa"/>
            <w:tcBorders/>
            <w:shd w:fill="E5E5E5" w:val="clear"/>
            <w:vAlign w:val="bottom"/>
          </w:tcPr>
          <w:p>
            <w:pPr>
              <w:pStyle w:val="TableContents"/>
              <w:spacing w:before="0" w:after="283"/>
              <w:rPr/>
            </w:pPr>
            <w:r>
              <w:rPr/>
              <w:t> </w:t>
            </w:r>
          </w:p>
        </w:tc>
        <w:tc>
          <w:tcPr>
            <w:tcW w:w="217"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231" w:type="dxa"/>
            <w:tcBorders/>
            <w:shd w:fill="E5E5E5" w:val="clear"/>
            <w:vAlign w:val="bottom"/>
          </w:tcPr>
          <w:p>
            <w:pPr>
              <w:pStyle w:val="TableContents"/>
              <w:spacing w:before="0" w:after="283"/>
              <w:jc w:val="right"/>
              <w:rPr/>
            </w:pPr>
            <w:r>
              <w:rPr/>
              <w:t>1,839</w:t>
            </w:r>
          </w:p>
        </w:tc>
        <w:tc>
          <w:tcPr>
            <w:tcW w:w="200" w:type="dxa"/>
            <w:tcBorders/>
            <w:shd w:fill="E5E5E5" w:val="clear"/>
            <w:vAlign w:val="bottom"/>
          </w:tcPr>
          <w:p>
            <w:pPr>
              <w:pStyle w:val="TableContents"/>
              <w:spacing w:before="0" w:after="283"/>
              <w:rPr/>
            </w:pPr>
            <w:r>
              <w:rPr/>
              <w:t> </w:t>
            </w:r>
          </w:p>
        </w:tc>
        <w:tc>
          <w:tcPr>
            <w:tcW w:w="29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527" w:type="dxa"/>
            <w:tcBorders/>
            <w:shd w:fill="E5E5E5" w:val="clear"/>
            <w:vAlign w:val="bottom"/>
          </w:tcPr>
          <w:p>
            <w:pPr>
              <w:pStyle w:val="TableContents"/>
              <w:spacing w:before="0" w:after="283"/>
              <w:jc w:val="right"/>
              <w:rPr/>
            </w:pPr>
            <w:r>
              <w:rPr/>
              <w:t>*        </w:t>
            </w:r>
          </w:p>
        </w:tc>
        <w:tc>
          <w:tcPr>
            <w:tcW w:w="295" w:type="dxa"/>
            <w:tcBorders/>
            <w:shd w:fill="E5E5E5" w:val="clear"/>
            <w:vAlign w:val="bottom"/>
          </w:tcPr>
          <w:p>
            <w:pPr>
              <w:pStyle w:val="TableContents"/>
              <w:spacing w:before="0" w:after="283"/>
              <w:rPr/>
            </w:pPr>
            <w:r>
              <w:rPr/>
              <w:t> </w:t>
            </w:r>
          </w:p>
        </w:tc>
      </w:tr>
      <w:tr>
        <w:trPr>
          <w:trHeight w:val="75" w:hRule="atLeast"/>
        </w:trPr>
        <w:tc>
          <w:tcPr>
            <w:tcW w:w="3065"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350" w:type="dxa"/>
            <w:gridSpan w:val="4"/>
            <w:tcBorders/>
            <w:shd w:fill="auto" w:val="clear"/>
            <w:vAlign w:val="center"/>
          </w:tcPr>
          <w:p>
            <w:pPr>
              <w:pStyle w:val="TableContents"/>
              <w:spacing w:before="0" w:after="283"/>
              <w:rPr>
                <w:sz w:val="4"/>
                <w:szCs w:val="4"/>
              </w:rPr>
            </w:pPr>
            <w:r>
              <w:rPr>
                <w:sz w:val="4"/>
                <w:szCs w:val="4"/>
              </w:rPr>
            </w:r>
          </w:p>
        </w:tc>
        <w:tc>
          <w:tcPr>
            <w:tcW w:w="1739" w:type="dxa"/>
            <w:gridSpan w:val="4"/>
            <w:tcBorders/>
            <w:shd w:fill="auto" w:val="clear"/>
            <w:vAlign w:val="center"/>
          </w:tcPr>
          <w:p>
            <w:pPr>
              <w:pStyle w:val="TableContents"/>
              <w:spacing w:before="0" w:after="283"/>
              <w:rPr>
                <w:sz w:val="4"/>
                <w:szCs w:val="4"/>
              </w:rPr>
            </w:pPr>
            <w:r>
              <w:rPr>
                <w:sz w:val="4"/>
                <w:szCs w:val="4"/>
              </w:rPr>
            </w:r>
          </w:p>
        </w:tc>
        <w:tc>
          <w:tcPr>
            <w:tcW w:w="2259" w:type="dxa"/>
            <w:gridSpan w:val="4"/>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arial" w:hAnsi="arial"/>
                <w:sz w:val="20"/>
              </w:rPr>
            </w:pPr>
            <w:r>
              <w:rPr>
                <w:rFonts w:ascii="arial" w:hAnsi="arial"/>
                <w:sz w:val="20"/>
              </w:rPr>
              <w:t>Richard J. Dahl</w:t>
            </w:r>
          </w:p>
        </w:tc>
        <w:tc>
          <w:tcPr>
            <w:tcW w:w="1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78,457</w:t>
            </w:r>
          </w:p>
        </w:tc>
        <w:tc>
          <w:tcPr>
            <w:tcW w:w="662" w:type="dxa"/>
            <w:tcBorders/>
            <w:shd w:fill="auto" w:val="clear"/>
            <w:vAlign w:val="bottom"/>
          </w:tcPr>
          <w:p>
            <w:pPr>
              <w:pStyle w:val="TableContents"/>
              <w:spacing w:before="0" w:after="283"/>
              <w:rPr/>
            </w:pPr>
            <w:r>
              <w:rPr/>
              <w:t>(3)(5) </w:t>
            </w:r>
          </w:p>
        </w:tc>
        <w:tc>
          <w:tcPr>
            <w:tcW w:w="12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6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78,457</w:t>
            </w:r>
          </w:p>
        </w:tc>
        <w:tc>
          <w:tcPr>
            <w:tcW w:w="20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27" w:type="dxa"/>
            <w:tcBorders/>
            <w:shd w:fill="auto" w:val="clear"/>
            <w:vAlign w:val="bottom"/>
          </w:tcPr>
          <w:p>
            <w:pPr>
              <w:pStyle w:val="TableContents"/>
              <w:spacing w:before="0" w:after="283"/>
              <w:jc w:val="right"/>
              <w:rPr/>
            </w:pPr>
            <w:r>
              <w:rPr/>
              <w:t>*        </w:t>
            </w:r>
          </w:p>
        </w:tc>
        <w:tc>
          <w:tcPr>
            <w:tcW w:w="295" w:type="dxa"/>
            <w:tcBorders/>
            <w:shd w:fill="auto" w:val="clear"/>
            <w:vAlign w:val="bottom"/>
          </w:tcPr>
          <w:p>
            <w:pPr>
              <w:pStyle w:val="TableContents"/>
              <w:spacing w:before="0" w:after="283"/>
              <w:rPr/>
            </w:pPr>
            <w:r>
              <w:rPr/>
              <w:t> </w:t>
            </w:r>
          </w:p>
        </w:tc>
      </w:tr>
      <w:tr>
        <w:trPr>
          <w:trHeight w:val="75" w:hRule="atLeast"/>
        </w:trPr>
        <w:tc>
          <w:tcPr>
            <w:tcW w:w="3065" w:type="dxa"/>
            <w:tcBorders/>
            <w:shd w:fill="E5E5E5" w:val="clear"/>
            <w:vAlign w:val="center"/>
          </w:tcPr>
          <w:p>
            <w:pPr>
              <w:pStyle w:val="TableContents"/>
              <w:spacing w:before="0" w:after="283"/>
              <w:rPr>
                <w:sz w:val="4"/>
                <w:szCs w:val="4"/>
              </w:rPr>
            </w:pPr>
            <w:r>
              <w:rPr>
                <w:sz w:val="4"/>
                <w:szCs w:val="4"/>
              </w:rPr>
            </w:r>
          </w:p>
        </w:tc>
        <w:tc>
          <w:tcPr>
            <w:tcW w:w="1792" w:type="dxa"/>
            <w:gridSpan w:val="4"/>
            <w:tcBorders/>
            <w:shd w:fill="E5E5E5" w:val="clear"/>
            <w:vAlign w:val="center"/>
          </w:tcPr>
          <w:p>
            <w:pPr>
              <w:pStyle w:val="TableContents"/>
              <w:spacing w:before="0" w:after="283"/>
              <w:rPr>
                <w:sz w:val="4"/>
                <w:szCs w:val="4"/>
              </w:rPr>
            </w:pPr>
            <w:r>
              <w:rPr>
                <w:sz w:val="4"/>
                <w:szCs w:val="4"/>
              </w:rPr>
            </w:r>
          </w:p>
        </w:tc>
        <w:tc>
          <w:tcPr>
            <w:tcW w:w="1350" w:type="dxa"/>
            <w:gridSpan w:val="4"/>
            <w:tcBorders/>
            <w:shd w:fill="E5E5E5" w:val="clear"/>
            <w:vAlign w:val="center"/>
          </w:tcPr>
          <w:p>
            <w:pPr>
              <w:pStyle w:val="TableContents"/>
              <w:spacing w:before="0" w:after="283"/>
              <w:rPr>
                <w:sz w:val="4"/>
                <w:szCs w:val="4"/>
              </w:rPr>
            </w:pPr>
            <w:r>
              <w:rPr>
                <w:sz w:val="4"/>
                <w:szCs w:val="4"/>
              </w:rPr>
            </w:r>
          </w:p>
        </w:tc>
        <w:tc>
          <w:tcPr>
            <w:tcW w:w="1739" w:type="dxa"/>
            <w:gridSpan w:val="4"/>
            <w:tcBorders/>
            <w:shd w:fill="E5E5E5" w:val="clear"/>
            <w:vAlign w:val="center"/>
          </w:tcPr>
          <w:p>
            <w:pPr>
              <w:pStyle w:val="TableContents"/>
              <w:spacing w:before="0" w:after="283"/>
              <w:rPr>
                <w:sz w:val="4"/>
                <w:szCs w:val="4"/>
              </w:rPr>
            </w:pPr>
            <w:r>
              <w:rPr>
                <w:sz w:val="4"/>
                <w:szCs w:val="4"/>
              </w:rPr>
            </w:r>
          </w:p>
        </w:tc>
        <w:tc>
          <w:tcPr>
            <w:tcW w:w="2259" w:type="dxa"/>
            <w:gridSpan w:val="4"/>
            <w:tcBorders/>
            <w:shd w:fill="E5E5E5" w:val="clear"/>
            <w:vAlign w:val="center"/>
          </w:tcPr>
          <w:p>
            <w:pPr>
              <w:pStyle w:val="TableContents"/>
              <w:spacing w:before="0" w:after="283"/>
              <w:rPr>
                <w:sz w:val="4"/>
                <w:szCs w:val="4"/>
              </w:rPr>
            </w:pPr>
            <w:r>
              <w:rPr>
                <w:sz w:val="4"/>
                <w:szCs w:val="4"/>
              </w:rPr>
            </w:r>
          </w:p>
        </w:tc>
      </w:tr>
      <w:tr>
        <w:trPr/>
        <w:tc>
          <w:tcPr>
            <w:tcW w:w="3065" w:type="dxa"/>
            <w:tcBorders/>
            <w:shd w:fill="E5E5E5" w:val="clear"/>
          </w:tcPr>
          <w:p>
            <w:pPr>
              <w:pStyle w:val="TableContents"/>
              <w:spacing w:before="0" w:after="0"/>
              <w:rPr>
                <w:rFonts w:ascii="arial" w:hAnsi="arial"/>
                <w:sz w:val="20"/>
              </w:rPr>
            </w:pPr>
            <w:r>
              <w:rPr>
                <w:rFonts w:ascii="arial" w:hAnsi="arial"/>
                <w:sz w:val="20"/>
              </w:rPr>
              <w:t>Michael C. Hyter</w:t>
            </w:r>
          </w:p>
        </w:tc>
        <w:tc>
          <w:tcPr>
            <w:tcW w:w="18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85" w:type="dxa"/>
            <w:tcBorders/>
            <w:shd w:fill="E5E5E5" w:val="clear"/>
            <w:vAlign w:val="bottom"/>
          </w:tcPr>
          <w:p>
            <w:pPr>
              <w:pStyle w:val="TableContents"/>
              <w:spacing w:before="0" w:after="283"/>
              <w:jc w:val="right"/>
              <w:rPr/>
            </w:pPr>
            <w:r>
              <w:rPr/>
              <w:t></w:t>
            </w:r>
          </w:p>
        </w:tc>
        <w:tc>
          <w:tcPr>
            <w:tcW w:w="662"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74" w:type="dxa"/>
            <w:tcBorders/>
            <w:shd w:fill="E5E5E5" w:val="clear"/>
            <w:vAlign w:val="bottom"/>
          </w:tcPr>
          <w:p>
            <w:pPr>
              <w:pStyle w:val="TableContents"/>
              <w:spacing w:before="0" w:after="283"/>
              <w:jc w:val="right"/>
              <w:rPr/>
            </w:pPr>
            <w:r>
              <w:rPr/>
              <w:t></w:t>
            </w:r>
          </w:p>
        </w:tc>
        <w:tc>
          <w:tcPr>
            <w:tcW w:w="164" w:type="dxa"/>
            <w:tcBorders/>
            <w:shd w:fill="E5E5E5" w:val="clear"/>
            <w:vAlign w:val="bottom"/>
          </w:tcPr>
          <w:p>
            <w:pPr>
              <w:pStyle w:val="TableContents"/>
              <w:spacing w:before="0" w:after="283"/>
              <w:rPr/>
            </w:pPr>
            <w:r>
              <w:rPr/>
              <w:t> </w:t>
            </w:r>
          </w:p>
        </w:tc>
        <w:tc>
          <w:tcPr>
            <w:tcW w:w="217"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231" w:type="dxa"/>
            <w:tcBorders/>
            <w:shd w:fill="E5E5E5" w:val="clear"/>
            <w:vAlign w:val="bottom"/>
          </w:tcPr>
          <w:p>
            <w:pPr>
              <w:pStyle w:val="TableContents"/>
              <w:spacing w:before="0" w:after="283"/>
              <w:jc w:val="right"/>
              <w:rPr/>
            </w:pPr>
            <w:r>
              <w:rPr/>
              <w:t></w:t>
            </w:r>
          </w:p>
        </w:tc>
        <w:tc>
          <w:tcPr>
            <w:tcW w:w="200" w:type="dxa"/>
            <w:tcBorders/>
            <w:shd w:fill="E5E5E5" w:val="clear"/>
            <w:vAlign w:val="bottom"/>
          </w:tcPr>
          <w:p>
            <w:pPr>
              <w:pStyle w:val="TableContents"/>
              <w:spacing w:before="0" w:after="283"/>
              <w:rPr/>
            </w:pPr>
            <w:r>
              <w:rPr/>
              <w:t> </w:t>
            </w:r>
          </w:p>
        </w:tc>
        <w:tc>
          <w:tcPr>
            <w:tcW w:w="29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527" w:type="dxa"/>
            <w:tcBorders/>
            <w:shd w:fill="E5E5E5" w:val="clear"/>
            <w:vAlign w:val="bottom"/>
          </w:tcPr>
          <w:p>
            <w:pPr>
              <w:pStyle w:val="TableContents"/>
              <w:spacing w:before="0" w:after="283"/>
              <w:jc w:val="right"/>
              <w:rPr/>
            </w:pPr>
            <w:r>
              <w:rPr/>
              <w:t>*        </w:t>
            </w:r>
          </w:p>
        </w:tc>
        <w:tc>
          <w:tcPr>
            <w:tcW w:w="295" w:type="dxa"/>
            <w:tcBorders/>
            <w:shd w:fill="E5E5E5" w:val="clear"/>
            <w:vAlign w:val="bottom"/>
          </w:tcPr>
          <w:p>
            <w:pPr>
              <w:pStyle w:val="TableContents"/>
              <w:spacing w:before="0" w:after="283"/>
              <w:rPr/>
            </w:pPr>
            <w:r>
              <w:rPr/>
              <w:t> </w:t>
            </w:r>
          </w:p>
        </w:tc>
      </w:tr>
      <w:tr>
        <w:trPr>
          <w:trHeight w:val="75" w:hRule="atLeast"/>
        </w:trPr>
        <w:tc>
          <w:tcPr>
            <w:tcW w:w="3065"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350" w:type="dxa"/>
            <w:gridSpan w:val="4"/>
            <w:tcBorders/>
            <w:shd w:fill="auto" w:val="clear"/>
            <w:vAlign w:val="center"/>
          </w:tcPr>
          <w:p>
            <w:pPr>
              <w:pStyle w:val="TableContents"/>
              <w:spacing w:before="0" w:after="283"/>
              <w:rPr>
                <w:sz w:val="4"/>
                <w:szCs w:val="4"/>
              </w:rPr>
            </w:pPr>
            <w:r>
              <w:rPr>
                <w:sz w:val="4"/>
                <w:szCs w:val="4"/>
              </w:rPr>
            </w:r>
          </w:p>
        </w:tc>
        <w:tc>
          <w:tcPr>
            <w:tcW w:w="1739" w:type="dxa"/>
            <w:gridSpan w:val="4"/>
            <w:tcBorders/>
            <w:shd w:fill="auto" w:val="clear"/>
            <w:vAlign w:val="center"/>
          </w:tcPr>
          <w:p>
            <w:pPr>
              <w:pStyle w:val="TableContents"/>
              <w:spacing w:before="0" w:after="283"/>
              <w:rPr>
                <w:sz w:val="4"/>
                <w:szCs w:val="4"/>
              </w:rPr>
            </w:pPr>
            <w:r>
              <w:rPr>
                <w:sz w:val="4"/>
                <w:szCs w:val="4"/>
              </w:rPr>
            </w:r>
          </w:p>
        </w:tc>
        <w:tc>
          <w:tcPr>
            <w:tcW w:w="2259" w:type="dxa"/>
            <w:gridSpan w:val="4"/>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arial" w:hAnsi="arial"/>
                <w:sz w:val="20"/>
              </w:rPr>
            </w:pPr>
            <w:r>
              <w:rPr>
                <w:rFonts w:ascii="arial" w:hAnsi="arial"/>
                <w:sz w:val="20"/>
              </w:rPr>
              <w:t>Larry A. Kay</w:t>
            </w:r>
          </w:p>
        </w:tc>
        <w:tc>
          <w:tcPr>
            <w:tcW w:w="1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24,023</w:t>
            </w:r>
          </w:p>
        </w:tc>
        <w:tc>
          <w:tcPr>
            <w:tcW w:w="662" w:type="dxa"/>
            <w:tcBorders/>
            <w:shd w:fill="auto" w:val="clear"/>
            <w:vAlign w:val="bottom"/>
          </w:tcPr>
          <w:p>
            <w:pPr>
              <w:pStyle w:val="TableContents"/>
              <w:spacing w:before="0" w:after="283"/>
              <w:rPr/>
            </w:pPr>
            <w:r>
              <w:rPr/>
              <w:t>(3)(6) </w:t>
            </w:r>
          </w:p>
        </w:tc>
        <w:tc>
          <w:tcPr>
            <w:tcW w:w="12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6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24,023</w:t>
            </w:r>
          </w:p>
        </w:tc>
        <w:tc>
          <w:tcPr>
            <w:tcW w:w="20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27" w:type="dxa"/>
            <w:tcBorders/>
            <w:shd w:fill="auto" w:val="clear"/>
            <w:vAlign w:val="bottom"/>
          </w:tcPr>
          <w:p>
            <w:pPr>
              <w:pStyle w:val="TableContents"/>
              <w:spacing w:before="0" w:after="283"/>
              <w:jc w:val="right"/>
              <w:rPr/>
            </w:pPr>
            <w:r>
              <w:rPr/>
              <w:t>*        </w:t>
            </w:r>
          </w:p>
        </w:tc>
        <w:tc>
          <w:tcPr>
            <w:tcW w:w="295" w:type="dxa"/>
            <w:tcBorders/>
            <w:shd w:fill="auto" w:val="clear"/>
            <w:vAlign w:val="bottom"/>
          </w:tcPr>
          <w:p>
            <w:pPr>
              <w:pStyle w:val="TableContents"/>
              <w:spacing w:before="0" w:after="283"/>
              <w:rPr/>
            </w:pPr>
            <w:r>
              <w:rPr/>
              <w:t> </w:t>
            </w:r>
          </w:p>
        </w:tc>
      </w:tr>
      <w:tr>
        <w:trPr>
          <w:trHeight w:val="75" w:hRule="atLeast"/>
        </w:trPr>
        <w:tc>
          <w:tcPr>
            <w:tcW w:w="3065" w:type="dxa"/>
            <w:tcBorders/>
            <w:shd w:fill="E5E5E5" w:val="clear"/>
            <w:vAlign w:val="center"/>
          </w:tcPr>
          <w:p>
            <w:pPr>
              <w:pStyle w:val="TableContents"/>
              <w:spacing w:before="0" w:after="283"/>
              <w:rPr>
                <w:sz w:val="4"/>
                <w:szCs w:val="4"/>
              </w:rPr>
            </w:pPr>
            <w:r>
              <w:rPr>
                <w:sz w:val="4"/>
                <w:szCs w:val="4"/>
              </w:rPr>
            </w:r>
          </w:p>
        </w:tc>
        <w:tc>
          <w:tcPr>
            <w:tcW w:w="1792" w:type="dxa"/>
            <w:gridSpan w:val="4"/>
            <w:tcBorders/>
            <w:shd w:fill="E5E5E5" w:val="clear"/>
            <w:vAlign w:val="center"/>
          </w:tcPr>
          <w:p>
            <w:pPr>
              <w:pStyle w:val="TableContents"/>
              <w:spacing w:before="0" w:after="283"/>
              <w:rPr>
                <w:sz w:val="4"/>
                <w:szCs w:val="4"/>
              </w:rPr>
            </w:pPr>
            <w:r>
              <w:rPr>
                <w:sz w:val="4"/>
                <w:szCs w:val="4"/>
              </w:rPr>
            </w:r>
          </w:p>
        </w:tc>
        <w:tc>
          <w:tcPr>
            <w:tcW w:w="1350" w:type="dxa"/>
            <w:gridSpan w:val="4"/>
            <w:tcBorders/>
            <w:shd w:fill="E5E5E5" w:val="clear"/>
            <w:vAlign w:val="center"/>
          </w:tcPr>
          <w:p>
            <w:pPr>
              <w:pStyle w:val="TableContents"/>
              <w:spacing w:before="0" w:after="283"/>
              <w:rPr>
                <w:sz w:val="4"/>
                <w:szCs w:val="4"/>
              </w:rPr>
            </w:pPr>
            <w:r>
              <w:rPr>
                <w:sz w:val="4"/>
                <w:szCs w:val="4"/>
              </w:rPr>
            </w:r>
          </w:p>
        </w:tc>
        <w:tc>
          <w:tcPr>
            <w:tcW w:w="1739" w:type="dxa"/>
            <w:gridSpan w:val="4"/>
            <w:tcBorders/>
            <w:shd w:fill="E5E5E5" w:val="clear"/>
            <w:vAlign w:val="center"/>
          </w:tcPr>
          <w:p>
            <w:pPr>
              <w:pStyle w:val="TableContents"/>
              <w:spacing w:before="0" w:after="283"/>
              <w:rPr>
                <w:sz w:val="4"/>
                <w:szCs w:val="4"/>
              </w:rPr>
            </w:pPr>
            <w:r>
              <w:rPr>
                <w:sz w:val="4"/>
                <w:szCs w:val="4"/>
              </w:rPr>
            </w:r>
          </w:p>
        </w:tc>
        <w:tc>
          <w:tcPr>
            <w:tcW w:w="2259" w:type="dxa"/>
            <w:gridSpan w:val="4"/>
            <w:tcBorders/>
            <w:shd w:fill="E5E5E5" w:val="clear"/>
            <w:vAlign w:val="center"/>
          </w:tcPr>
          <w:p>
            <w:pPr>
              <w:pStyle w:val="TableContents"/>
              <w:spacing w:before="0" w:after="283"/>
              <w:rPr>
                <w:sz w:val="4"/>
                <w:szCs w:val="4"/>
              </w:rPr>
            </w:pPr>
            <w:r>
              <w:rPr>
                <w:sz w:val="4"/>
                <w:szCs w:val="4"/>
              </w:rPr>
            </w:r>
          </w:p>
        </w:tc>
      </w:tr>
      <w:tr>
        <w:trPr/>
        <w:tc>
          <w:tcPr>
            <w:tcW w:w="3065" w:type="dxa"/>
            <w:tcBorders/>
            <w:shd w:fill="E5E5E5" w:val="clear"/>
          </w:tcPr>
          <w:p>
            <w:pPr>
              <w:pStyle w:val="TableContents"/>
              <w:spacing w:before="0" w:after="0"/>
              <w:rPr>
                <w:rFonts w:ascii="arial" w:hAnsi="arial"/>
                <w:sz w:val="20"/>
              </w:rPr>
            </w:pPr>
            <w:r>
              <w:rPr>
                <w:rFonts w:ascii="arial" w:hAnsi="arial"/>
                <w:sz w:val="20"/>
              </w:rPr>
              <w:t>Caroline W. Nahas</w:t>
            </w:r>
          </w:p>
        </w:tc>
        <w:tc>
          <w:tcPr>
            <w:tcW w:w="18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85" w:type="dxa"/>
            <w:tcBorders/>
            <w:shd w:fill="E5E5E5" w:val="clear"/>
            <w:vAlign w:val="bottom"/>
          </w:tcPr>
          <w:p>
            <w:pPr>
              <w:pStyle w:val="TableContents"/>
              <w:spacing w:before="0" w:after="283"/>
              <w:jc w:val="right"/>
              <w:rPr/>
            </w:pPr>
            <w:r>
              <w:rPr/>
              <w:t>32,505</w:t>
            </w:r>
          </w:p>
        </w:tc>
        <w:tc>
          <w:tcPr>
            <w:tcW w:w="662" w:type="dxa"/>
            <w:tcBorders/>
            <w:shd w:fill="E5E5E5" w:val="clear"/>
            <w:vAlign w:val="bottom"/>
          </w:tcPr>
          <w:p>
            <w:pPr>
              <w:pStyle w:val="TableContents"/>
              <w:spacing w:before="0" w:after="283"/>
              <w:rPr/>
            </w:pPr>
            <w:r>
              <w:rPr/>
              <w:t>(3) </w:t>
            </w:r>
          </w:p>
        </w:tc>
        <w:tc>
          <w:tcPr>
            <w:tcW w:w="127"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74" w:type="dxa"/>
            <w:tcBorders/>
            <w:shd w:fill="E5E5E5" w:val="clear"/>
            <w:vAlign w:val="bottom"/>
          </w:tcPr>
          <w:p>
            <w:pPr>
              <w:pStyle w:val="TableContents"/>
              <w:spacing w:before="0" w:after="283"/>
              <w:jc w:val="right"/>
              <w:rPr/>
            </w:pPr>
            <w:r>
              <w:rPr/>
              <w:t></w:t>
            </w:r>
          </w:p>
        </w:tc>
        <w:tc>
          <w:tcPr>
            <w:tcW w:w="164" w:type="dxa"/>
            <w:tcBorders/>
            <w:shd w:fill="E5E5E5" w:val="clear"/>
            <w:vAlign w:val="bottom"/>
          </w:tcPr>
          <w:p>
            <w:pPr>
              <w:pStyle w:val="TableContents"/>
              <w:spacing w:before="0" w:after="283"/>
              <w:rPr/>
            </w:pPr>
            <w:r>
              <w:rPr/>
              <w:t> </w:t>
            </w:r>
          </w:p>
        </w:tc>
        <w:tc>
          <w:tcPr>
            <w:tcW w:w="217"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231" w:type="dxa"/>
            <w:tcBorders/>
            <w:shd w:fill="E5E5E5" w:val="clear"/>
            <w:vAlign w:val="bottom"/>
          </w:tcPr>
          <w:p>
            <w:pPr>
              <w:pStyle w:val="TableContents"/>
              <w:spacing w:before="0" w:after="283"/>
              <w:jc w:val="right"/>
              <w:rPr/>
            </w:pPr>
            <w:r>
              <w:rPr/>
              <w:t>32,505</w:t>
            </w:r>
          </w:p>
        </w:tc>
        <w:tc>
          <w:tcPr>
            <w:tcW w:w="200" w:type="dxa"/>
            <w:tcBorders/>
            <w:shd w:fill="E5E5E5" w:val="clear"/>
            <w:vAlign w:val="bottom"/>
          </w:tcPr>
          <w:p>
            <w:pPr>
              <w:pStyle w:val="TableContents"/>
              <w:spacing w:before="0" w:after="283"/>
              <w:rPr/>
            </w:pPr>
            <w:r>
              <w:rPr/>
              <w:t> </w:t>
            </w:r>
          </w:p>
        </w:tc>
        <w:tc>
          <w:tcPr>
            <w:tcW w:w="29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527" w:type="dxa"/>
            <w:tcBorders/>
            <w:shd w:fill="E5E5E5" w:val="clear"/>
            <w:vAlign w:val="bottom"/>
          </w:tcPr>
          <w:p>
            <w:pPr>
              <w:pStyle w:val="TableContents"/>
              <w:spacing w:before="0" w:after="283"/>
              <w:jc w:val="right"/>
              <w:rPr/>
            </w:pPr>
            <w:r>
              <w:rPr/>
              <w:t>*        </w:t>
            </w:r>
          </w:p>
        </w:tc>
        <w:tc>
          <w:tcPr>
            <w:tcW w:w="295" w:type="dxa"/>
            <w:tcBorders/>
            <w:shd w:fill="E5E5E5" w:val="clear"/>
            <w:vAlign w:val="bottom"/>
          </w:tcPr>
          <w:p>
            <w:pPr>
              <w:pStyle w:val="TableContents"/>
              <w:spacing w:before="0" w:after="283"/>
              <w:rPr/>
            </w:pPr>
            <w:r>
              <w:rPr/>
              <w:t> </w:t>
            </w:r>
          </w:p>
        </w:tc>
      </w:tr>
      <w:tr>
        <w:trPr>
          <w:trHeight w:val="75" w:hRule="atLeast"/>
        </w:trPr>
        <w:tc>
          <w:tcPr>
            <w:tcW w:w="3065"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350" w:type="dxa"/>
            <w:gridSpan w:val="4"/>
            <w:tcBorders/>
            <w:shd w:fill="auto" w:val="clear"/>
            <w:vAlign w:val="center"/>
          </w:tcPr>
          <w:p>
            <w:pPr>
              <w:pStyle w:val="TableContents"/>
              <w:spacing w:before="0" w:after="283"/>
              <w:rPr>
                <w:sz w:val="4"/>
                <w:szCs w:val="4"/>
              </w:rPr>
            </w:pPr>
            <w:r>
              <w:rPr>
                <w:sz w:val="4"/>
                <w:szCs w:val="4"/>
              </w:rPr>
            </w:r>
          </w:p>
        </w:tc>
        <w:tc>
          <w:tcPr>
            <w:tcW w:w="1739" w:type="dxa"/>
            <w:gridSpan w:val="4"/>
            <w:tcBorders/>
            <w:shd w:fill="auto" w:val="clear"/>
            <w:vAlign w:val="center"/>
          </w:tcPr>
          <w:p>
            <w:pPr>
              <w:pStyle w:val="TableContents"/>
              <w:spacing w:before="0" w:after="283"/>
              <w:rPr>
                <w:sz w:val="4"/>
                <w:szCs w:val="4"/>
              </w:rPr>
            </w:pPr>
            <w:r>
              <w:rPr>
                <w:sz w:val="4"/>
                <w:szCs w:val="4"/>
              </w:rPr>
            </w:r>
          </w:p>
        </w:tc>
        <w:tc>
          <w:tcPr>
            <w:tcW w:w="2259" w:type="dxa"/>
            <w:gridSpan w:val="4"/>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arial" w:hAnsi="arial"/>
                <w:sz w:val="20"/>
              </w:rPr>
            </w:pPr>
            <w:r>
              <w:rPr>
                <w:rFonts w:ascii="arial" w:hAnsi="arial"/>
                <w:sz w:val="20"/>
              </w:rPr>
              <w:t>Douglas M. Pasquale</w:t>
            </w:r>
          </w:p>
        </w:tc>
        <w:tc>
          <w:tcPr>
            <w:tcW w:w="1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14,023</w:t>
            </w:r>
          </w:p>
        </w:tc>
        <w:tc>
          <w:tcPr>
            <w:tcW w:w="662" w:type="dxa"/>
            <w:tcBorders/>
            <w:shd w:fill="auto" w:val="clear"/>
            <w:vAlign w:val="bottom"/>
          </w:tcPr>
          <w:p>
            <w:pPr>
              <w:pStyle w:val="TableContents"/>
              <w:spacing w:before="0" w:after="283"/>
              <w:rPr/>
            </w:pPr>
            <w:r>
              <w:rPr/>
              <w:t>(3)(7) </w:t>
            </w:r>
          </w:p>
        </w:tc>
        <w:tc>
          <w:tcPr>
            <w:tcW w:w="12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6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14,023</w:t>
            </w:r>
          </w:p>
        </w:tc>
        <w:tc>
          <w:tcPr>
            <w:tcW w:w="20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27" w:type="dxa"/>
            <w:tcBorders/>
            <w:shd w:fill="auto" w:val="clear"/>
            <w:vAlign w:val="bottom"/>
          </w:tcPr>
          <w:p>
            <w:pPr>
              <w:pStyle w:val="TableContents"/>
              <w:spacing w:before="0" w:after="283"/>
              <w:jc w:val="right"/>
              <w:rPr/>
            </w:pPr>
            <w:r>
              <w:rPr/>
              <w:t>*        </w:t>
            </w:r>
          </w:p>
        </w:tc>
        <w:tc>
          <w:tcPr>
            <w:tcW w:w="295" w:type="dxa"/>
            <w:tcBorders/>
            <w:shd w:fill="auto" w:val="clear"/>
            <w:vAlign w:val="bottom"/>
          </w:tcPr>
          <w:p>
            <w:pPr>
              <w:pStyle w:val="TableContents"/>
              <w:spacing w:before="0" w:after="283"/>
              <w:rPr/>
            </w:pPr>
            <w:r>
              <w:rPr/>
              <w:t> </w:t>
            </w:r>
          </w:p>
        </w:tc>
      </w:tr>
      <w:tr>
        <w:trPr>
          <w:trHeight w:val="75" w:hRule="atLeast"/>
        </w:trPr>
        <w:tc>
          <w:tcPr>
            <w:tcW w:w="3065" w:type="dxa"/>
            <w:tcBorders/>
            <w:shd w:fill="E5E5E5" w:val="clear"/>
            <w:vAlign w:val="center"/>
          </w:tcPr>
          <w:p>
            <w:pPr>
              <w:pStyle w:val="TableContents"/>
              <w:spacing w:before="0" w:after="283"/>
              <w:rPr>
                <w:sz w:val="4"/>
                <w:szCs w:val="4"/>
              </w:rPr>
            </w:pPr>
            <w:r>
              <w:rPr>
                <w:sz w:val="4"/>
                <w:szCs w:val="4"/>
              </w:rPr>
            </w:r>
          </w:p>
        </w:tc>
        <w:tc>
          <w:tcPr>
            <w:tcW w:w="1792" w:type="dxa"/>
            <w:gridSpan w:val="4"/>
            <w:tcBorders/>
            <w:shd w:fill="E5E5E5" w:val="clear"/>
            <w:vAlign w:val="center"/>
          </w:tcPr>
          <w:p>
            <w:pPr>
              <w:pStyle w:val="TableContents"/>
              <w:spacing w:before="0" w:after="283"/>
              <w:rPr>
                <w:sz w:val="4"/>
                <w:szCs w:val="4"/>
              </w:rPr>
            </w:pPr>
            <w:r>
              <w:rPr>
                <w:sz w:val="4"/>
                <w:szCs w:val="4"/>
              </w:rPr>
            </w:r>
          </w:p>
        </w:tc>
        <w:tc>
          <w:tcPr>
            <w:tcW w:w="1350" w:type="dxa"/>
            <w:gridSpan w:val="4"/>
            <w:tcBorders/>
            <w:shd w:fill="E5E5E5" w:val="clear"/>
            <w:vAlign w:val="center"/>
          </w:tcPr>
          <w:p>
            <w:pPr>
              <w:pStyle w:val="TableContents"/>
              <w:spacing w:before="0" w:after="283"/>
              <w:rPr>
                <w:sz w:val="4"/>
                <w:szCs w:val="4"/>
              </w:rPr>
            </w:pPr>
            <w:r>
              <w:rPr>
                <w:sz w:val="4"/>
                <w:szCs w:val="4"/>
              </w:rPr>
            </w:r>
          </w:p>
        </w:tc>
        <w:tc>
          <w:tcPr>
            <w:tcW w:w="1739" w:type="dxa"/>
            <w:gridSpan w:val="4"/>
            <w:tcBorders/>
            <w:shd w:fill="E5E5E5" w:val="clear"/>
            <w:vAlign w:val="center"/>
          </w:tcPr>
          <w:p>
            <w:pPr>
              <w:pStyle w:val="TableContents"/>
              <w:spacing w:before="0" w:after="283"/>
              <w:rPr>
                <w:sz w:val="4"/>
                <w:szCs w:val="4"/>
              </w:rPr>
            </w:pPr>
            <w:r>
              <w:rPr>
                <w:sz w:val="4"/>
                <w:szCs w:val="4"/>
              </w:rPr>
            </w:r>
          </w:p>
        </w:tc>
        <w:tc>
          <w:tcPr>
            <w:tcW w:w="2259" w:type="dxa"/>
            <w:gridSpan w:val="4"/>
            <w:tcBorders/>
            <w:shd w:fill="E5E5E5" w:val="clear"/>
            <w:vAlign w:val="center"/>
          </w:tcPr>
          <w:p>
            <w:pPr>
              <w:pStyle w:val="TableContents"/>
              <w:spacing w:before="0" w:after="283"/>
              <w:rPr>
                <w:sz w:val="4"/>
                <w:szCs w:val="4"/>
              </w:rPr>
            </w:pPr>
            <w:r>
              <w:rPr>
                <w:sz w:val="4"/>
                <w:szCs w:val="4"/>
              </w:rPr>
            </w:r>
          </w:p>
        </w:tc>
      </w:tr>
      <w:tr>
        <w:trPr/>
        <w:tc>
          <w:tcPr>
            <w:tcW w:w="3065" w:type="dxa"/>
            <w:tcBorders/>
            <w:shd w:fill="E5E5E5" w:val="clear"/>
          </w:tcPr>
          <w:p>
            <w:pPr>
              <w:pStyle w:val="TableContents"/>
              <w:spacing w:before="0" w:after="0"/>
              <w:rPr>
                <w:rFonts w:ascii="arial" w:hAnsi="arial"/>
                <w:sz w:val="20"/>
              </w:rPr>
            </w:pPr>
            <w:r>
              <w:rPr>
                <w:rFonts w:ascii="arial" w:hAnsi="arial"/>
                <w:sz w:val="20"/>
              </w:rPr>
              <w:t>Gilbert T. Ray</w:t>
            </w:r>
          </w:p>
        </w:tc>
        <w:tc>
          <w:tcPr>
            <w:tcW w:w="18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85" w:type="dxa"/>
            <w:tcBorders/>
            <w:shd w:fill="E5E5E5" w:val="clear"/>
            <w:vAlign w:val="bottom"/>
          </w:tcPr>
          <w:p>
            <w:pPr>
              <w:pStyle w:val="TableContents"/>
              <w:spacing w:before="0" w:after="283"/>
              <w:jc w:val="right"/>
              <w:rPr/>
            </w:pPr>
            <w:r>
              <w:rPr/>
              <w:t>15,933</w:t>
            </w:r>
          </w:p>
        </w:tc>
        <w:tc>
          <w:tcPr>
            <w:tcW w:w="662" w:type="dxa"/>
            <w:tcBorders/>
            <w:shd w:fill="E5E5E5" w:val="clear"/>
            <w:vAlign w:val="bottom"/>
          </w:tcPr>
          <w:p>
            <w:pPr>
              <w:pStyle w:val="TableContents"/>
              <w:spacing w:before="0" w:after="283"/>
              <w:rPr/>
            </w:pPr>
            <w:r>
              <w:rPr/>
              <w:t>(3) </w:t>
            </w:r>
          </w:p>
        </w:tc>
        <w:tc>
          <w:tcPr>
            <w:tcW w:w="127"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74" w:type="dxa"/>
            <w:tcBorders/>
            <w:shd w:fill="E5E5E5" w:val="clear"/>
            <w:vAlign w:val="bottom"/>
          </w:tcPr>
          <w:p>
            <w:pPr>
              <w:pStyle w:val="TableContents"/>
              <w:spacing w:before="0" w:after="283"/>
              <w:jc w:val="right"/>
              <w:rPr/>
            </w:pPr>
            <w:r>
              <w:rPr/>
              <w:t></w:t>
            </w:r>
          </w:p>
        </w:tc>
        <w:tc>
          <w:tcPr>
            <w:tcW w:w="164" w:type="dxa"/>
            <w:tcBorders/>
            <w:shd w:fill="E5E5E5" w:val="clear"/>
            <w:vAlign w:val="bottom"/>
          </w:tcPr>
          <w:p>
            <w:pPr>
              <w:pStyle w:val="TableContents"/>
              <w:spacing w:before="0" w:after="283"/>
              <w:rPr/>
            </w:pPr>
            <w:r>
              <w:rPr/>
              <w:t> </w:t>
            </w:r>
          </w:p>
        </w:tc>
        <w:tc>
          <w:tcPr>
            <w:tcW w:w="217"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231" w:type="dxa"/>
            <w:tcBorders/>
            <w:shd w:fill="E5E5E5" w:val="clear"/>
            <w:vAlign w:val="bottom"/>
          </w:tcPr>
          <w:p>
            <w:pPr>
              <w:pStyle w:val="TableContents"/>
              <w:spacing w:before="0" w:after="283"/>
              <w:jc w:val="right"/>
              <w:rPr/>
            </w:pPr>
            <w:r>
              <w:rPr/>
              <w:t>15,933</w:t>
            </w:r>
          </w:p>
        </w:tc>
        <w:tc>
          <w:tcPr>
            <w:tcW w:w="200" w:type="dxa"/>
            <w:tcBorders/>
            <w:shd w:fill="E5E5E5" w:val="clear"/>
            <w:vAlign w:val="bottom"/>
          </w:tcPr>
          <w:p>
            <w:pPr>
              <w:pStyle w:val="TableContents"/>
              <w:spacing w:before="0" w:after="283"/>
              <w:rPr/>
            </w:pPr>
            <w:r>
              <w:rPr/>
              <w:t> </w:t>
            </w:r>
          </w:p>
        </w:tc>
        <w:tc>
          <w:tcPr>
            <w:tcW w:w="29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527" w:type="dxa"/>
            <w:tcBorders/>
            <w:shd w:fill="E5E5E5" w:val="clear"/>
            <w:vAlign w:val="bottom"/>
          </w:tcPr>
          <w:p>
            <w:pPr>
              <w:pStyle w:val="TableContents"/>
              <w:spacing w:before="0" w:after="283"/>
              <w:jc w:val="right"/>
              <w:rPr/>
            </w:pPr>
            <w:r>
              <w:rPr/>
              <w:t>*        </w:t>
            </w:r>
          </w:p>
        </w:tc>
        <w:tc>
          <w:tcPr>
            <w:tcW w:w="295" w:type="dxa"/>
            <w:tcBorders/>
            <w:shd w:fill="E5E5E5" w:val="clear"/>
            <w:vAlign w:val="bottom"/>
          </w:tcPr>
          <w:p>
            <w:pPr>
              <w:pStyle w:val="TableContents"/>
              <w:spacing w:before="0" w:after="283"/>
              <w:rPr/>
            </w:pPr>
            <w:r>
              <w:rPr/>
              <w:t> </w:t>
            </w:r>
          </w:p>
        </w:tc>
      </w:tr>
      <w:tr>
        <w:trPr>
          <w:trHeight w:val="75" w:hRule="atLeast"/>
        </w:trPr>
        <w:tc>
          <w:tcPr>
            <w:tcW w:w="3065"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350" w:type="dxa"/>
            <w:gridSpan w:val="4"/>
            <w:tcBorders/>
            <w:shd w:fill="auto" w:val="clear"/>
            <w:vAlign w:val="center"/>
          </w:tcPr>
          <w:p>
            <w:pPr>
              <w:pStyle w:val="TableContents"/>
              <w:spacing w:before="0" w:after="283"/>
              <w:rPr>
                <w:sz w:val="4"/>
                <w:szCs w:val="4"/>
              </w:rPr>
            </w:pPr>
            <w:r>
              <w:rPr>
                <w:sz w:val="4"/>
                <w:szCs w:val="4"/>
              </w:rPr>
            </w:r>
          </w:p>
        </w:tc>
        <w:tc>
          <w:tcPr>
            <w:tcW w:w="1739" w:type="dxa"/>
            <w:gridSpan w:val="4"/>
            <w:tcBorders/>
            <w:shd w:fill="auto" w:val="clear"/>
            <w:vAlign w:val="center"/>
          </w:tcPr>
          <w:p>
            <w:pPr>
              <w:pStyle w:val="TableContents"/>
              <w:spacing w:before="0" w:after="283"/>
              <w:rPr>
                <w:sz w:val="4"/>
                <w:szCs w:val="4"/>
              </w:rPr>
            </w:pPr>
            <w:r>
              <w:rPr>
                <w:sz w:val="4"/>
                <w:szCs w:val="4"/>
              </w:rPr>
            </w:r>
          </w:p>
        </w:tc>
        <w:tc>
          <w:tcPr>
            <w:tcW w:w="2259" w:type="dxa"/>
            <w:gridSpan w:val="4"/>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arial" w:hAnsi="arial"/>
                <w:sz w:val="20"/>
              </w:rPr>
            </w:pPr>
            <w:r>
              <w:rPr>
                <w:rFonts w:ascii="arial" w:hAnsi="arial"/>
                <w:sz w:val="20"/>
              </w:rPr>
              <w:t>Lilian C. Tomovich</w:t>
            </w:r>
          </w:p>
        </w:tc>
        <w:tc>
          <w:tcPr>
            <w:tcW w:w="1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5,612</w:t>
            </w:r>
          </w:p>
        </w:tc>
        <w:tc>
          <w:tcPr>
            <w:tcW w:w="66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w:t>
            </w:r>
          </w:p>
        </w:tc>
        <w:tc>
          <w:tcPr>
            <w:tcW w:w="16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5,612</w:t>
            </w:r>
          </w:p>
        </w:tc>
        <w:tc>
          <w:tcPr>
            <w:tcW w:w="20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27" w:type="dxa"/>
            <w:tcBorders/>
            <w:shd w:fill="auto" w:val="clear"/>
            <w:vAlign w:val="bottom"/>
          </w:tcPr>
          <w:p>
            <w:pPr>
              <w:pStyle w:val="TableContents"/>
              <w:spacing w:before="0" w:after="283"/>
              <w:jc w:val="right"/>
              <w:rPr/>
            </w:pPr>
            <w:r>
              <w:rPr/>
              <w:t>*        </w:t>
            </w:r>
          </w:p>
        </w:tc>
        <w:tc>
          <w:tcPr>
            <w:tcW w:w="295" w:type="dxa"/>
            <w:tcBorders/>
            <w:shd w:fill="auto" w:val="clear"/>
            <w:vAlign w:val="bottom"/>
          </w:tcPr>
          <w:p>
            <w:pPr>
              <w:pStyle w:val="TableContents"/>
              <w:spacing w:before="0" w:after="283"/>
              <w:rPr/>
            </w:pPr>
            <w:r>
              <w:rPr/>
              <w:t> </w:t>
            </w:r>
          </w:p>
        </w:tc>
      </w:tr>
      <w:tr>
        <w:trPr>
          <w:trHeight w:val="75" w:hRule="atLeast"/>
        </w:trPr>
        <w:tc>
          <w:tcPr>
            <w:tcW w:w="3065" w:type="dxa"/>
            <w:tcBorders/>
            <w:shd w:fill="E5E5E5" w:val="clear"/>
            <w:vAlign w:val="center"/>
          </w:tcPr>
          <w:p>
            <w:pPr>
              <w:pStyle w:val="TableContents"/>
              <w:spacing w:before="0" w:after="283"/>
              <w:rPr>
                <w:sz w:val="4"/>
                <w:szCs w:val="4"/>
              </w:rPr>
            </w:pPr>
            <w:r>
              <w:rPr>
                <w:sz w:val="4"/>
                <w:szCs w:val="4"/>
              </w:rPr>
            </w:r>
          </w:p>
        </w:tc>
        <w:tc>
          <w:tcPr>
            <w:tcW w:w="1792" w:type="dxa"/>
            <w:gridSpan w:val="4"/>
            <w:tcBorders/>
            <w:shd w:fill="E5E5E5" w:val="clear"/>
            <w:vAlign w:val="center"/>
          </w:tcPr>
          <w:p>
            <w:pPr>
              <w:pStyle w:val="TableContents"/>
              <w:spacing w:before="0" w:after="283"/>
              <w:rPr>
                <w:sz w:val="4"/>
                <w:szCs w:val="4"/>
              </w:rPr>
            </w:pPr>
            <w:r>
              <w:rPr>
                <w:sz w:val="4"/>
                <w:szCs w:val="4"/>
              </w:rPr>
            </w:r>
          </w:p>
        </w:tc>
        <w:tc>
          <w:tcPr>
            <w:tcW w:w="1350" w:type="dxa"/>
            <w:gridSpan w:val="4"/>
            <w:tcBorders/>
            <w:shd w:fill="E5E5E5" w:val="clear"/>
            <w:vAlign w:val="center"/>
          </w:tcPr>
          <w:p>
            <w:pPr>
              <w:pStyle w:val="TableContents"/>
              <w:spacing w:before="0" w:after="283"/>
              <w:rPr>
                <w:sz w:val="4"/>
                <w:szCs w:val="4"/>
              </w:rPr>
            </w:pPr>
            <w:r>
              <w:rPr>
                <w:sz w:val="4"/>
                <w:szCs w:val="4"/>
              </w:rPr>
            </w:r>
          </w:p>
        </w:tc>
        <w:tc>
          <w:tcPr>
            <w:tcW w:w="1739" w:type="dxa"/>
            <w:gridSpan w:val="4"/>
            <w:tcBorders/>
            <w:shd w:fill="E5E5E5" w:val="clear"/>
            <w:vAlign w:val="center"/>
          </w:tcPr>
          <w:p>
            <w:pPr>
              <w:pStyle w:val="TableContents"/>
              <w:spacing w:before="0" w:after="283"/>
              <w:rPr>
                <w:sz w:val="4"/>
                <w:szCs w:val="4"/>
              </w:rPr>
            </w:pPr>
            <w:r>
              <w:rPr>
                <w:sz w:val="4"/>
                <w:szCs w:val="4"/>
              </w:rPr>
            </w:r>
          </w:p>
        </w:tc>
        <w:tc>
          <w:tcPr>
            <w:tcW w:w="2259" w:type="dxa"/>
            <w:gridSpan w:val="4"/>
            <w:tcBorders/>
            <w:shd w:fill="E5E5E5" w:val="clear"/>
            <w:vAlign w:val="center"/>
          </w:tcPr>
          <w:p>
            <w:pPr>
              <w:pStyle w:val="TableContents"/>
              <w:spacing w:before="0" w:after="283"/>
              <w:rPr>
                <w:sz w:val="4"/>
                <w:szCs w:val="4"/>
              </w:rPr>
            </w:pPr>
            <w:r>
              <w:rPr>
                <w:sz w:val="4"/>
                <w:szCs w:val="4"/>
              </w:rPr>
            </w:r>
          </w:p>
        </w:tc>
      </w:tr>
      <w:tr>
        <w:trPr/>
        <w:tc>
          <w:tcPr>
            <w:tcW w:w="3065" w:type="dxa"/>
            <w:tcBorders/>
            <w:shd w:fill="E5E5E5" w:val="clear"/>
          </w:tcPr>
          <w:p>
            <w:pPr>
              <w:pStyle w:val="TableContents"/>
              <w:spacing w:before="0" w:after="0"/>
              <w:rPr>
                <w:rFonts w:ascii="arial" w:hAnsi="arial"/>
                <w:sz w:val="20"/>
              </w:rPr>
            </w:pPr>
            <w:r>
              <w:rPr>
                <w:rFonts w:ascii="arial" w:hAnsi="arial"/>
                <w:sz w:val="20"/>
              </w:rPr>
              <w:t>John W. Peyton</w:t>
            </w:r>
          </w:p>
        </w:tc>
        <w:tc>
          <w:tcPr>
            <w:tcW w:w="18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85" w:type="dxa"/>
            <w:tcBorders/>
            <w:shd w:fill="E5E5E5" w:val="clear"/>
            <w:vAlign w:val="bottom"/>
          </w:tcPr>
          <w:p>
            <w:pPr>
              <w:pStyle w:val="TableContents"/>
              <w:spacing w:before="0" w:after="283"/>
              <w:jc w:val="right"/>
              <w:rPr/>
            </w:pPr>
            <w:r>
              <w:rPr/>
              <w:t></w:t>
            </w:r>
          </w:p>
        </w:tc>
        <w:tc>
          <w:tcPr>
            <w:tcW w:w="662"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74" w:type="dxa"/>
            <w:tcBorders/>
            <w:shd w:fill="E5E5E5" w:val="clear"/>
            <w:vAlign w:val="bottom"/>
          </w:tcPr>
          <w:p>
            <w:pPr>
              <w:pStyle w:val="TableContents"/>
              <w:spacing w:before="0" w:after="283"/>
              <w:jc w:val="right"/>
              <w:rPr/>
            </w:pPr>
            <w:r>
              <w:rPr/>
              <w:t>14,011</w:t>
            </w:r>
          </w:p>
        </w:tc>
        <w:tc>
          <w:tcPr>
            <w:tcW w:w="164" w:type="dxa"/>
            <w:tcBorders/>
            <w:shd w:fill="E5E5E5" w:val="clear"/>
            <w:vAlign w:val="bottom"/>
          </w:tcPr>
          <w:p>
            <w:pPr>
              <w:pStyle w:val="TableContents"/>
              <w:spacing w:before="0" w:after="283"/>
              <w:rPr/>
            </w:pPr>
            <w:r>
              <w:rPr/>
              <w:t> </w:t>
            </w:r>
          </w:p>
        </w:tc>
        <w:tc>
          <w:tcPr>
            <w:tcW w:w="217"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231" w:type="dxa"/>
            <w:tcBorders/>
            <w:shd w:fill="E5E5E5" w:val="clear"/>
            <w:vAlign w:val="bottom"/>
          </w:tcPr>
          <w:p>
            <w:pPr>
              <w:pStyle w:val="TableContents"/>
              <w:spacing w:before="0" w:after="283"/>
              <w:jc w:val="right"/>
              <w:rPr/>
            </w:pPr>
            <w:r>
              <w:rPr/>
              <w:t>14,011</w:t>
            </w:r>
          </w:p>
        </w:tc>
        <w:tc>
          <w:tcPr>
            <w:tcW w:w="200" w:type="dxa"/>
            <w:tcBorders/>
            <w:shd w:fill="E5E5E5" w:val="clear"/>
            <w:vAlign w:val="bottom"/>
          </w:tcPr>
          <w:p>
            <w:pPr>
              <w:pStyle w:val="TableContents"/>
              <w:spacing w:before="0" w:after="283"/>
              <w:rPr/>
            </w:pPr>
            <w:r>
              <w:rPr/>
              <w:t> </w:t>
            </w:r>
          </w:p>
        </w:tc>
        <w:tc>
          <w:tcPr>
            <w:tcW w:w="29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527" w:type="dxa"/>
            <w:tcBorders/>
            <w:shd w:fill="E5E5E5" w:val="clear"/>
            <w:vAlign w:val="bottom"/>
          </w:tcPr>
          <w:p>
            <w:pPr>
              <w:pStyle w:val="TableContents"/>
              <w:spacing w:before="0" w:after="283"/>
              <w:jc w:val="right"/>
              <w:rPr/>
            </w:pPr>
            <w:r>
              <w:rPr/>
              <w:t>*        </w:t>
            </w:r>
          </w:p>
        </w:tc>
        <w:tc>
          <w:tcPr>
            <w:tcW w:w="295" w:type="dxa"/>
            <w:tcBorders/>
            <w:shd w:fill="E5E5E5" w:val="clear"/>
            <w:vAlign w:val="bottom"/>
          </w:tcPr>
          <w:p>
            <w:pPr>
              <w:pStyle w:val="TableContents"/>
              <w:spacing w:before="0" w:after="283"/>
              <w:rPr/>
            </w:pPr>
            <w:r>
              <w:rPr/>
              <w:t> </w:t>
            </w:r>
          </w:p>
        </w:tc>
      </w:tr>
      <w:tr>
        <w:trPr>
          <w:trHeight w:val="75" w:hRule="atLeast"/>
        </w:trPr>
        <w:tc>
          <w:tcPr>
            <w:tcW w:w="3065"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350" w:type="dxa"/>
            <w:gridSpan w:val="4"/>
            <w:tcBorders/>
            <w:shd w:fill="auto" w:val="clear"/>
            <w:vAlign w:val="center"/>
          </w:tcPr>
          <w:p>
            <w:pPr>
              <w:pStyle w:val="TableContents"/>
              <w:spacing w:before="0" w:after="283"/>
              <w:rPr>
                <w:sz w:val="4"/>
                <w:szCs w:val="4"/>
              </w:rPr>
            </w:pPr>
            <w:r>
              <w:rPr>
                <w:sz w:val="4"/>
                <w:szCs w:val="4"/>
              </w:rPr>
            </w:r>
          </w:p>
        </w:tc>
        <w:tc>
          <w:tcPr>
            <w:tcW w:w="1739" w:type="dxa"/>
            <w:gridSpan w:val="4"/>
            <w:tcBorders/>
            <w:shd w:fill="auto" w:val="clear"/>
            <w:vAlign w:val="center"/>
          </w:tcPr>
          <w:p>
            <w:pPr>
              <w:pStyle w:val="TableContents"/>
              <w:spacing w:before="0" w:after="283"/>
              <w:rPr>
                <w:sz w:val="4"/>
                <w:szCs w:val="4"/>
              </w:rPr>
            </w:pPr>
            <w:r>
              <w:rPr>
                <w:sz w:val="4"/>
                <w:szCs w:val="4"/>
              </w:rPr>
            </w:r>
          </w:p>
        </w:tc>
        <w:tc>
          <w:tcPr>
            <w:tcW w:w="2259" w:type="dxa"/>
            <w:gridSpan w:val="4"/>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arial" w:hAnsi="arial"/>
                <w:sz w:val="20"/>
              </w:rPr>
            </w:pPr>
            <w:r>
              <w:rPr>
                <w:rFonts w:ascii="arial" w:hAnsi="arial"/>
                <w:sz w:val="20"/>
              </w:rPr>
              <w:t>Allison Hall</w:t>
            </w:r>
          </w:p>
        </w:tc>
        <w:tc>
          <w:tcPr>
            <w:tcW w:w="1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2,222</w:t>
            </w:r>
          </w:p>
        </w:tc>
        <w:tc>
          <w:tcPr>
            <w:tcW w:w="66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8996</w:t>
            </w:r>
          </w:p>
        </w:tc>
        <w:tc>
          <w:tcPr>
            <w:tcW w:w="16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11,218</w:t>
            </w:r>
          </w:p>
        </w:tc>
        <w:tc>
          <w:tcPr>
            <w:tcW w:w="20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27" w:type="dxa"/>
            <w:tcBorders/>
            <w:shd w:fill="auto" w:val="clear"/>
            <w:vAlign w:val="bottom"/>
          </w:tcPr>
          <w:p>
            <w:pPr>
              <w:pStyle w:val="TableContents"/>
              <w:spacing w:before="0" w:after="283"/>
              <w:jc w:val="right"/>
              <w:rPr/>
            </w:pPr>
            <w:r>
              <w:rPr/>
              <w:t>*        </w:t>
            </w:r>
          </w:p>
        </w:tc>
        <w:tc>
          <w:tcPr>
            <w:tcW w:w="295" w:type="dxa"/>
            <w:tcBorders/>
            <w:shd w:fill="auto" w:val="clear"/>
            <w:vAlign w:val="bottom"/>
          </w:tcPr>
          <w:p>
            <w:pPr>
              <w:pStyle w:val="TableContents"/>
              <w:spacing w:before="0" w:after="283"/>
              <w:rPr/>
            </w:pPr>
            <w:r>
              <w:rPr/>
              <w:t> </w:t>
            </w:r>
          </w:p>
        </w:tc>
      </w:tr>
      <w:tr>
        <w:trPr>
          <w:trHeight w:val="75" w:hRule="atLeast"/>
        </w:trPr>
        <w:tc>
          <w:tcPr>
            <w:tcW w:w="3065" w:type="dxa"/>
            <w:tcBorders/>
            <w:shd w:fill="E5E5E5" w:val="clear"/>
            <w:vAlign w:val="center"/>
          </w:tcPr>
          <w:p>
            <w:pPr>
              <w:pStyle w:val="TableContents"/>
              <w:spacing w:before="0" w:after="283"/>
              <w:rPr>
                <w:sz w:val="4"/>
                <w:szCs w:val="4"/>
              </w:rPr>
            </w:pPr>
            <w:r>
              <w:rPr>
                <w:sz w:val="4"/>
                <w:szCs w:val="4"/>
              </w:rPr>
            </w:r>
          </w:p>
        </w:tc>
        <w:tc>
          <w:tcPr>
            <w:tcW w:w="1792" w:type="dxa"/>
            <w:gridSpan w:val="4"/>
            <w:tcBorders/>
            <w:shd w:fill="E5E5E5" w:val="clear"/>
            <w:vAlign w:val="center"/>
          </w:tcPr>
          <w:p>
            <w:pPr>
              <w:pStyle w:val="TableContents"/>
              <w:spacing w:before="0" w:after="283"/>
              <w:rPr>
                <w:sz w:val="4"/>
                <w:szCs w:val="4"/>
              </w:rPr>
            </w:pPr>
            <w:r>
              <w:rPr>
                <w:sz w:val="4"/>
                <w:szCs w:val="4"/>
              </w:rPr>
            </w:r>
          </w:p>
        </w:tc>
        <w:tc>
          <w:tcPr>
            <w:tcW w:w="1350" w:type="dxa"/>
            <w:gridSpan w:val="4"/>
            <w:tcBorders/>
            <w:shd w:fill="E5E5E5" w:val="clear"/>
            <w:vAlign w:val="center"/>
          </w:tcPr>
          <w:p>
            <w:pPr>
              <w:pStyle w:val="TableContents"/>
              <w:spacing w:before="0" w:after="283"/>
              <w:rPr>
                <w:sz w:val="4"/>
                <w:szCs w:val="4"/>
              </w:rPr>
            </w:pPr>
            <w:r>
              <w:rPr>
                <w:sz w:val="4"/>
                <w:szCs w:val="4"/>
              </w:rPr>
            </w:r>
          </w:p>
        </w:tc>
        <w:tc>
          <w:tcPr>
            <w:tcW w:w="1739" w:type="dxa"/>
            <w:gridSpan w:val="4"/>
            <w:tcBorders/>
            <w:shd w:fill="E5E5E5" w:val="clear"/>
            <w:vAlign w:val="center"/>
          </w:tcPr>
          <w:p>
            <w:pPr>
              <w:pStyle w:val="TableContents"/>
              <w:spacing w:before="0" w:after="283"/>
              <w:rPr>
                <w:sz w:val="4"/>
                <w:szCs w:val="4"/>
              </w:rPr>
            </w:pPr>
            <w:r>
              <w:rPr>
                <w:sz w:val="4"/>
                <w:szCs w:val="4"/>
              </w:rPr>
            </w:r>
          </w:p>
        </w:tc>
        <w:tc>
          <w:tcPr>
            <w:tcW w:w="2259" w:type="dxa"/>
            <w:gridSpan w:val="4"/>
            <w:tcBorders/>
            <w:shd w:fill="E5E5E5" w:val="clear"/>
            <w:vAlign w:val="center"/>
          </w:tcPr>
          <w:p>
            <w:pPr>
              <w:pStyle w:val="TableContents"/>
              <w:spacing w:before="0" w:after="283"/>
              <w:rPr>
                <w:sz w:val="4"/>
                <w:szCs w:val="4"/>
              </w:rPr>
            </w:pPr>
            <w:r>
              <w:rPr>
                <w:sz w:val="4"/>
                <w:szCs w:val="4"/>
              </w:rPr>
            </w:r>
          </w:p>
        </w:tc>
      </w:tr>
      <w:tr>
        <w:trPr/>
        <w:tc>
          <w:tcPr>
            <w:tcW w:w="3065" w:type="dxa"/>
            <w:tcBorders/>
            <w:shd w:fill="E5E5E5" w:val="clear"/>
          </w:tcPr>
          <w:p>
            <w:pPr>
              <w:pStyle w:val="TableContents"/>
              <w:spacing w:before="0" w:after="0"/>
              <w:rPr>
                <w:rFonts w:ascii="arial" w:hAnsi="arial"/>
                <w:sz w:val="20"/>
              </w:rPr>
            </w:pPr>
            <w:r>
              <w:rPr>
                <w:rFonts w:ascii="arial" w:hAnsi="arial"/>
                <w:sz w:val="20"/>
              </w:rPr>
              <w:t>Jay D. Johns</w:t>
            </w:r>
          </w:p>
        </w:tc>
        <w:tc>
          <w:tcPr>
            <w:tcW w:w="18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85" w:type="dxa"/>
            <w:tcBorders/>
            <w:shd w:fill="E5E5E5" w:val="clear"/>
            <w:vAlign w:val="bottom"/>
          </w:tcPr>
          <w:p>
            <w:pPr>
              <w:pStyle w:val="TableContents"/>
              <w:spacing w:before="0" w:after="283"/>
              <w:jc w:val="right"/>
              <w:rPr/>
            </w:pPr>
            <w:r>
              <w:rPr/>
              <w:t>19,703</w:t>
            </w:r>
          </w:p>
        </w:tc>
        <w:tc>
          <w:tcPr>
            <w:tcW w:w="662"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74" w:type="dxa"/>
            <w:tcBorders/>
            <w:shd w:fill="E5E5E5" w:val="clear"/>
            <w:vAlign w:val="bottom"/>
          </w:tcPr>
          <w:p>
            <w:pPr>
              <w:pStyle w:val="TableContents"/>
              <w:spacing w:before="0" w:after="283"/>
              <w:jc w:val="right"/>
              <w:rPr/>
            </w:pPr>
            <w:r>
              <w:rPr/>
              <w:t>18,083</w:t>
            </w:r>
          </w:p>
        </w:tc>
        <w:tc>
          <w:tcPr>
            <w:tcW w:w="164" w:type="dxa"/>
            <w:tcBorders/>
            <w:shd w:fill="E5E5E5" w:val="clear"/>
            <w:vAlign w:val="bottom"/>
          </w:tcPr>
          <w:p>
            <w:pPr>
              <w:pStyle w:val="TableContents"/>
              <w:spacing w:before="0" w:after="283"/>
              <w:rPr/>
            </w:pPr>
            <w:r>
              <w:rPr/>
              <w:t> </w:t>
            </w:r>
          </w:p>
        </w:tc>
        <w:tc>
          <w:tcPr>
            <w:tcW w:w="217"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231" w:type="dxa"/>
            <w:tcBorders/>
            <w:shd w:fill="E5E5E5" w:val="clear"/>
            <w:vAlign w:val="bottom"/>
          </w:tcPr>
          <w:p>
            <w:pPr>
              <w:pStyle w:val="TableContents"/>
              <w:spacing w:before="0" w:after="283"/>
              <w:jc w:val="right"/>
              <w:rPr/>
            </w:pPr>
            <w:r>
              <w:rPr/>
              <w:t>37,786</w:t>
            </w:r>
          </w:p>
        </w:tc>
        <w:tc>
          <w:tcPr>
            <w:tcW w:w="200" w:type="dxa"/>
            <w:tcBorders/>
            <w:shd w:fill="E5E5E5" w:val="clear"/>
            <w:vAlign w:val="bottom"/>
          </w:tcPr>
          <w:p>
            <w:pPr>
              <w:pStyle w:val="TableContents"/>
              <w:spacing w:before="0" w:after="283"/>
              <w:rPr/>
            </w:pPr>
            <w:r>
              <w:rPr/>
              <w:t> </w:t>
            </w:r>
          </w:p>
        </w:tc>
        <w:tc>
          <w:tcPr>
            <w:tcW w:w="29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527" w:type="dxa"/>
            <w:tcBorders/>
            <w:shd w:fill="E5E5E5" w:val="clear"/>
            <w:vAlign w:val="bottom"/>
          </w:tcPr>
          <w:p>
            <w:pPr>
              <w:pStyle w:val="TableContents"/>
              <w:spacing w:before="0" w:after="283"/>
              <w:jc w:val="right"/>
              <w:rPr/>
            </w:pPr>
            <w:r>
              <w:rPr/>
              <w:t>*        </w:t>
            </w:r>
          </w:p>
        </w:tc>
        <w:tc>
          <w:tcPr>
            <w:tcW w:w="295" w:type="dxa"/>
            <w:tcBorders/>
            <w:shd w:fill="E5E5E5" w:val="clear"/>
            <w:vAlign w:val="bottom"/>
          </w:tcPr>
          <w:p>
            <w:pPr>
              <w:pStyle w:val="TableContents"/>
              <w:spacing w:before="0" w:after="283"/>
              <w:rPr/>
            </w:pPr>
            <w:r>
              <w:rPr/>
              <w:t> </w:t>
            </w:r>
          </w:p>
        </w:tc>
      </w:tr>
      <w:tr>
        <w:trPr>
          <w:trHeight w:val="75" w:hRule="atLeast"/>
        </w:trPr>
        <w:tc>
          <w:tcPr>
            <w:tcW w:w="3065"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350" w:type="dxa"/>
            <w:gridSpan w:val="4"/>
            <w:tcBorders/>
            <w:shd w:fill="auto" w:val="clear"/>
            <w:vAlign w:val="center"/>
          </w:tcPr>
          <w:p>
            <w:pPr>
              <w:pStyle w:val="TableContents"/>
              <w:spacing w:before="0" w:after="283"/>
              <w:rPr>
                <w:sz w:val="4"/>
                <w:szCs w:val="4"/>
              </w:rPr>
            </w:pPr>
            <w:r>
              <w:rPr>
                <w:sz w:val="4"/>
                <w:szCs w:val="4"/>
              </w:rPr>
            </w:r>
          </w:p>
        </w:tc>
        <w:tc>
          <w:tcPr>
            <w:tcW w:w="1739" w:type="dxa"/>
            <w:gridSpan w:val="4"/>
            <w:tcBorders/>
            <w:shd w:fill="auto" w:val="clear"/>
            <w:vAlign w:val="center"/>
          </w:tcPr>
          <w:p>
            <w:pPr>
              <w:pStyle w:val="TableContents"/>
              <w:spacing w:before="0" w:after="283"/>
              <w:rPr>
                <w:sz w:val="4"/>
                <w:szCs w:val="4"/>
              </w:rPr>
            </w:pPr>
            <w:r>
              <w:rPr>
                <w:sz w:val="4"/>
                <w:szCs w:val="4"/>
              </w:rPr>
            </w:r>
          </w:p>
        </w:tc>
        <w:tc>
          <w:tcPr>
            <w:tcW w:w="2259" w:type="dxa"/>
            <w:gridSpan w:val="4"/>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arial" w:hAnsi="arial"/>
                <w:sz w:val="20"/>
              </w:rPr>
            </w:pPr>
            <w:r>
              <w:rPr>
                <w:rFonts w:ascii="arial" w:hAnsi="arial"/>
                <w:sz w:val="20"/>
              </w:rPr>
              <w:t>John C. Cywinski</w:t>
            </w:r>
          </w:p>
        </w:tc>
        <w:tc>
          <w:tcPr>
            <w:tcW w:w="1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121,880</w:t>
            </w:r>
          </w:p>
        </w:tc>
        <w:tc>
          <w:tcPr>
            <w:tcW w:w="66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10,707</w:t>
            </w:r>
          </w:p>
        </w:tc>
        <w:tc>
          <w:tcPr>
            <w:tcW w:w="16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132,587</w:t>
            </w:r>
          </w:p>
        </w:tc>
        <w:tc>
          <w:tcPr>
            <w:tcW w:w="20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27" w:type="dxa"/>
            <w:tcBorders/>
            <w:shd w:fill="auto" w:val="clear"/>
            <w:vAlign w:val="bottom"/>
          </w:tcPr>
          <w:p>
            <w:pPr>
              <w:pStyle w:val="TableContents"/>
              <w:spacing w:before="0" w:after="283"/>
              <w:jc w:val="right"/>
              <w:rPr/>
            </w:pPr>
            <w:r>
              <w:rPr/>
              <w:t>*        </w:t>
            </w:r>
          </w:p>
        </w:tc>
        <w:tc>
          <w:tcPr>
            <w:tcW w:w="295" w:type="dxa"/>
            <w:tcBorders/>
            <w:shd w:fill="auto" w:val="clear"/>
            <w:vAlign w:val="bottom"/>
          </w:tcPr>
          <w:p>
            <w:pPr>
              <w:pStyle w:val="TableContents"/>
              <w:spacing w:before="0" w:after="283"/>
              <w:rPr/>
            </w:pPr>
            <w:r>
              <w:rPr/>
              <w:t> </w:t>
            </w:r>
          </w:p>
        </w:tc>
      </w:tr>
      <w:tr>
        <w:trPr>
          <w:trHeight w:val="75" w:hRule="atLeast"/>
        </w:trPr>
        <w:tc>
          <w:tcPr>
            <w:tcW w:w="3065" w:type="dxa"/>
            <w:tcBorders/>
            <w:shd w:fill="E5E5E5" w:val="clear"/>
            <w:vAlign w:val="center"/>
          </w:tcPr>
          <w:p>
            <w:pPr>
              <w:pStyle w:val="TableContents"/>
              <w:spacing w:before="0" w:after="283"/>
              <w:rPr>
                <w:sz w:val="4"/>
                <w:szCs w:val="4"/>
              </w:rPr>
            </w:pPr>
            <w:r>
              <w:rPr>
                <w:sz w:val="4"/>
                <w:szCs w:val="4"/>
              </w:rPr>
            </w:r>
          </w:p>
        </w:tc>
        <w:tc>
          <w:tcPr>
            <w:tcW w:w="1792" w:type="dxa"/>
            <w:gridSpan w:val="4"/>
            <w:tcBorders/>
            <w:shd w:fill="E5E5E5" w:val="clear"/>
            <w:vAlign w:val="center"/>
          </w:tcPr>
          <w:p>
            <w:pPr>
              <w:pStyle w:val="TableContents"/>
              <w:spacing w:before="0" w:after="283"/>
              <w:rPr>
                <w:sz w:val="4"/>
                <w:szCs w:val="4"/>
              </w:rPr>
            </w:pPr>
            <w:r>
              <w:rPr>
                <w:sz w:val="4"/>
                <w:szCs w:val="4"/>
              </w:rPr>
            </w:r>
          </w:p>
        </w:tc>
        <w:tc>
          <w:tcPr>
            <w:tcW w:w="1350" w:type="dxa"/>
            <w:gridSpan w:val="4"/>
            <w:tcBorders/>
            <w:shd w:fill="E5E5E5" w:val="clear"/>
            <w:vAlign w:val="center"/>
          </w:tcPr>
          <w:p>
            <w:pPr>
              <w:pStyle w:val="TableContents"/>
              <w:spacing w:before="0" w:after="283"/>
              <w:rPr>
                <w:sz w:val="4"/>
                <w:szCs w:val="4"/>
              </w:rPr>
            </w:pPr>
            <w:r>
              <w:rPr>
                <w:sz w:val="4"/>
                <w:szCs w:val="4"/>
              </w:rPr>
            </w:r>
          </w:p>
        </w:tc>
        <w:tc>
          <w:tcPr>
            <w:tcW w:w="1739" w:type="dxa"/>
            <w:gridSpan w:val="4"/>
            <w:tcBorders/>
            <w:shd w:fill="E5E5E5" w:val="clear"/>
            <w:vAlign w:val="center"/>
          </w:tcPr>
          <w:p>
            <w:pPr>
              <w:pStyle w:val="TableContents"/>
              <w:spacing w:before="0" w:after="283"/>
              <w:rPr>
                <w:sz w:val="4"/>
                <w:szCs w:val="4"/>
              </w:rPr>
            </w:pPr>
            <w:r>
              <w:rPr>
                <w:sz w:val="4"/>
                <w:szCs w:val="4"/>
              </w:rPr>
            </w:r>
          </w:p>
        </w:tc>
        <w:tc>
          <w:tcPr>
            <w:tcW w:w="2259" w:type="dxa"/>
            <w:gridSpan w:val="4"/>
            <w:tcBorders/>
            <w:shd w:fill="E5E5E5" w:val="clear"/>
            <w:vAlign w:val="center"/>
          </w:tcPr>
          <w:p>
            <w:pPr>
              <w:pStyle w:val="TableContents"/>
              <w:spacing w:before="0" w:after="283"/>
              <w:rPr>
                <w:sz w:val="4"/>
                <w:szCs w:val="4"/>
              </w:rPr>
            </w:pPr>
            <w:r>
              <w:rPr>
                <w:sz w:val="4"/>
                <w:szCs w:val="4"/>
              </w:rPr>
            </w:r>
          </w:p>
        </w:tc>
      </w:tr>
      <w:tr>
        <w:trPr/>
        <w:tc>
          <w:tcPr>
            <w:tcW w:w="3065" w:type="dxa"/>
            <w:tcBorders/>
            <w:shd w:fill="E5E5E5" w:val="clear"/>
          </w:tcPr>
          <w:p>
            <w:pPr>
              <w:pStyle w:val="TableContents"/>
              <w:spacing w:before="0" w:after="0"/>
              <w:rPr>
                <w:rFonts w:ascii="arial" w:hAnsi="arial"/>
                <w:sz w:val="20"/>
              </w:rPr>
            </w:pPr>
            <w:r>
              <w:rPr>
                <w:rFonts w:ascii="arial" w:hAnsi="arial"/>
                <w:sz w:val="20"/>
              </w:rPr>
              <w:t>Bryan R. Adel</w:t>
            </w:r>
          </w:p>
        </w:tc>
        <w:tc>
          <w:tcPr>
            <w:tcW w:w="18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885" w:type="dxa"/>
            <w:tcBorders/>
            <w:shd w:fill="E5E5E5" w:val="clear"/>
            <w:vAlign w:val="bottom"/>
          </w:tcPr>
          <w:p>
            <w:pPr>
              <w:pStyle w:val="TableContents"/>
              <w:spacing w:before="0" w:after="283"/>
              <w:jc w:val="right"/>
              <w:rPr/>
            </w:pPr>
            <w:r>
              <w:rPr/>
              <w:t>30,822</w:t>
            </w:r>
          </w:p>
        </w:tc>
        <w:tc>
          <w:tcPr>
            <w:tcW w:w="662" w:type="dxa"/>
            <w:tcBorders/>
            <w:shd w:fill="E5E5E5" w:val="clear"/>
            <w:vAlign w:val="bottom"/>
          </w:tcPr>
          <w:p>
            <w:pPr>
              <w:pStyle w:val="TableContents"/>
              <w:spacing w:before="0" w:after="283"/>
              <w:rPr/>
            </w:pPr>
            <w:r>
              <w:rPr/>
              <w:t> </w:t>
            </w:r>
          </w:p>
        </w:tc>
        <w:tc>
          <w:tcPr>
            <w:tcW w:w="127"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974" w:type="dxa"/>
            <w:tcBorders/>
            <w:shd w:fill="E5E5E5" w:val="clear"/>
            <w:vAlign w:val="bottom"/>
          </w:tcPr>
          <w:p>
            <w:pPr>
              <w:pStyle w:val="TableContents"/>
              <w:spacing w:before="0" w:after="283"/>
              <w:jc w:val="right"/>
              <w:rPr/>
            </w:pPr>
            <w:r>
              <w:rPr/>
              <w:t>7,454</w:t>
            </w:r>
          </w:p>
        </w:tc>
        <w:tc>
          <w:tcPr>
            <w:tcW w:w="164" w:type="dxa"/>
            <w:tcBorders/>
            <w:shd w:fill="E5E5E5" w:val="clear"/>
            <w:vAlign w:val="bottom"/>
          </w:tcPr>
          <w:p>
            <w:pPr>
              <w:pStyle w:val="TableContents"/>
              <w:spacing w:before="0" w:after="283"/>
              <w:rPr/>
            </w:pPr>
            <w:r>
              <w:rPr/>
              <w:t> </w:t>
            </w:r>
          </w:p>
        </w:tc>
        <w:tc>
          <w:tcPr>
            <w:tcW w:w="217"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1231" w:type="dxa"/>
            <w:tcBorders/>
            <w:shd w:fill="E5E5E5" w:val="clear"/>
            <w:vAlign w:val="bottom"/>
          </w:tcPr>
          <w:p>
            <w:pPr>
              <w:pStyle w:val="TableContents"/>
              <w:spacing w:before="0" w:after="283"/>
              <w:jc w:val="right"/>
              <w:rPr/>
            </w:pPr>
            <w:r>
              <w:rPr/>
              <w:t>38,276</w:t>
            </w:r>
          </w:p>
        </w:tc>
        <w:tc>
          <w:tcPr>
            <w:tcW w:w="200" w:type="dxa"/>
            <w:tcBorders/>
            <w:shd w:fill="E5E5E5" w:val="clear"/>
            <w:vAlign w:val="bottom"/>
          </w:tcPr>
          <w:p>
            <w:pPr>
              <w:pStyle w:val="TableContents"/>
              <w:spacing w:before="0" w:after="283"/>
              <w:rPr/>
            </w:pPr>
            <w:r>
              <w:rPr/>
              <w:t> </w:t>
            </w:r>
          </w:p>
        </w:tc>
        <w:tc>
          <w:tcPr>
            <w:tcW w:w="291" w:type="dxa"/>
            <w:tcBorders/>
            <w:shd w:fill="E5E5E5" w:val="clear"/>
            <w:vAlign w:val="bottom"/>
          </w:tcPr>
          <w:p>
            <w:pPr>
              <w:pStyle w:val="TableContents"/>
              <w:spacing w:before="0" w:after="283"/>
              <w:rPr/>
            </w:pPr>
            <w:r>
              <w:rPr/>
              <w:t>  </w:t>
            </w:r>
          </w:p>
        </w:tc>
        <w:tc>
          <w:tcPr>
            <w:tcW w:w="146" w:type="dxa"/>
            <w:tcBorders/>
            <w:shd w:fill="E5E5E5" w:val="clear"/>
            <w:vAlign w:val="bottom"/>
          </w:tcPr>
          <w:p>
            <w:pPr>
              <w:pStyle w:val="TableContents"/>
              <w:spacing w:before="0" w:after="283"/>
              <w:rPr/>
            </w:pPr>
            <w:r>
              <w:rPr/>
              <w:t> </w:t>
            </w:r>
          </w:p>
        </w:tc>
        <w:tc>
          <w:tcPr>
            <w:tcW w:w="1527" w:type="dxa"/>
            <w:tcBorders/>
            <w:shd w:fill="E5E5E5" w:val="clear"/>
            <w:vAlign w:val="bottom"/>
          </w:tcPr>
          <w:p>
            <w:pPr>
              <w:pStyle w:val="TableContents"/>
              <w:spacing w:before="0" w:after="283"/>
              <w:jc w:val="right"/>
              <w:rPr/>
            </w:pPr>
            <w:r>
              <w:rPr/>
              <w:t>*        </w:t>
            </w:r>
          </w:p>
        </w:tc>
        <w:tc>
          <w:tcPr>
            <w:tcW w:w="295" w:type="dxa"/>
            <w:tcBorders/>
            <w:shd w:fill="E5E5E5" w:val="clear"/>
            <w:vAlign w:val="bottom"/>
          </w:tcPr>
          <w:p>
            <w:pPr>
              <w:pStyle w:val="TableContents"/>
              <w:spacing w:before="0" w:after="283"/>
              <w:rPr/>
            </w:pPr>
            <w:r>
              <w:rPr/>
              <w:t> </w:t>
            </w:r>
          </w:p>
        </w:tc>
      </w:tr>
      <w:tr>
        <w:trPr>
          <w:trHeight w:val="75" w:hRule="atLeast"/>
        </w:trPr>
        <w:tc>
          <w:tcPr>
            <w:tcW w:w="3065"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350" w:type="dxa"/>
            <w:gridSpan w:val="4"/>
            <w:tcBorders/>
            <w:shd w:fill="auto" w:val="clear"/>
            <w:vAlign w:val="center"/>
          </w:tcPr>
          <w:p>
            <w:pPr>
              <w:pStyle w:val="TableContents"/>
              <w:spacing w:before="0" w:after="283"/>
              <w:rPr>
                <w:sz w:val="4"/>
                <w:szCs w:val="4"/>
              </w:rPr>
            </w:pPr>
            <w:r>
              <w:rPr>
                <w:sz w:val="4"/>
                <w:szCs w:val="4"/>
              </w:rPr>
            </w:r>
          </w:p>
        </w:tc>
        <w:tc>
          <w:tcPr>
            <w:tcW w:w="1739" w:type="dxa"/>
            <w:gridSpan w:val="4"/>
            <w:tcBorders/>
            <w:shd w:fill="auto" w:val="clear"/>
            <w:vAlign w:val="center"/>
          </w:tcPr>
          <w:p>
            <w:pPr>
              <w:pStyle w:val="TableContents"/>
              <w:spacing w:before="0" w:after="283"/>
              <w:rPr>
                <w:sz w:val="4"/>
                <w:szCs w:val="4"/>
              </w:rPr>
            </w:pPr>
            <w:r>
              <w:rPr>
                <w:sz w:val="4"/>
                <w:szCs w:val="4"/>
              </w:rPr>
            </w:r>
          </w:p>
        </w:tc>
        <w:tc>
          <w:tcPr>
            <w:tcW w:w="2259" w:type="dxa"/>
            <w:gridSpan w:val="4"/>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arial" w:hAnsi="arial"/>
                <w:sz w:val="20"/>
              </w:rPr>
            </w:pPr>
            <w:r>
              <w:rPr>
                <w:rFonts w:ascii="arial" w:hAnsi="arial"/>
                <w:sz w:val="20"/>
              </w:rPr>
              <w:t>All directors and executive officers as a group (15 persons)</w:t>
            </w:r>
          </w:p>
        </w:tc>
        <w:tc>
          <w:tcPr>
            <w:tcW w:w="1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404,749</w:t>
            </w:r>
          </w:p>
        </w:tc>
        <w:tc>
          <w:tcPr>
            <w:tcW w:w="66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59,251</w:t>
            </w:r>
          </w:p>
        </w:tc>
        <w:tc>
          <w:tcPr>
            <w:tcW w:w="16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464,000</w:t>
            </w:r>
          </w:p>
        </w:tc>
        <w:tc>
          <w:tcPr>
            <w:tcW w:w="20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27" w:type="dxa"/>
            <w:tcBorders/>
            <w:shd w:fill="auto" w:val="clear"/>
            <w:vAlign w:val="bottom"/>
          </w:tcPr>
          <w:p>
            <w:pPr>
              <w:pStyle w:val="TableContents"/>
              <w:spacing w:before="0" w:after="283"/>
              <w:jc w:val="right"/>
              <w:rPr/>
            </w:pPr>
            <w:r>
              <w:rPr/>
              <w:t>2.72%    </w:t>
            </w:r>
          </w:p>
        </w:tc>
        <w:tc>
          <w:tcPr>
            <w:tcW w:w="295"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Represents less than 1% of the outstanding shares of Common Stock.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19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SECURITY OWNERSHIP OF CERTAIN BENEFICIAL OWNERS AND MANAGEMENT</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None of the shares have been pledged as security. Share amounts for each of the directors, each nominee for election as director, each named executive officer and for all directors and executive officers as a group include shares subject to stock options that are exercisable within 60 days of March 17, 2021, as follows: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119"/>
        <w:gridCol w:w="285"/>
        <w:gridCol w:w="1535"/>
      </w:tblGrid>
      <w:tr>
        <w:trPr/>
        <w:tc>
          <w:tcPr>
            <w:tcW w:w="511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5119" w:type="dxa"/>
            <w:tcBorders>
              <w:bottom w:val="single" w:sz="2" w:space="0" w:color="CF0A2C"/>
            </w:tcBorders>
            <w:shd w:fill="auto" w:val="clear"/>
            <w:tcMar>
              <w:bottom w:w="28" w:type="dxa"/>
            </w:tcMar>
            <w:vAlign w:val="bottom"/>
          </w:tcPr>
          <w:p>
            <w:pPr>
              <w:pStyle w:val="TableContents"/>
              <w:spacing w:before="0" w:after="0"/>
              <w:rPr>
                <w:rFonts w:ascii="arial" w:hAnsi="arial"/>
                <w:b/>
                <w:sz w:val="16"/>
              </w:rPr>
            </w:pPr>
            <w:r>
              <w:rPr>
                <w:rFonts w:ascii="arial" w:hAnsi="arial"/>
                <w:b/>
                <w:sz w:val="16"/>
              </w:rPr>
              <w:t>Name</w:t>
            </w:r>
          </w:p>
          <w:p>
            <w:pPr>
              <w:pStyle w:val="TableContents"/>
              <w:spacing w:before="0" w:after="20"/>
              <w:rPr/>
            </w:pPr>
            <w:r>
              <w:rPr/>
              <w:t> </w:t>
            </w:r>
          </w:p>
        </w:tc>
        <w:tc>
          <w:tcPr>
            <w:tcW w:w="285" w:type="dxa"/>
            <w:tcBorders>
              <w:bottom w:val="single" w:sz="2" w:space="0" w:color="CF0A2C"/>
            </w:tcBorders>
            <w:shd w:fill="auto" w:val="clear"/>
            <w:tcMar>
              <w:bottom w:w="28" w:type="dxa"/>
            </w:tcMar>
            <w:vAlign w:val="bottom"/>
          </w:tcPr>
          <w:p>
            <w:pPr>
              <w:pStyle w:val="TableContents"/>
              <w:spacing w:before="0" w:after="283"/>
              <w:rPr/>
            </w:pPr>
            <w:r>
              <w:rPr/>
              <w:t>  </w:t>
            </w:r>
          </w:p>
        </w:tc>
        <w:tc>
          <w:tcPr>
            <w:tcW w:w="1535" w:type="dxa"/>
            <w:tcBorders>
              <w:bottom w:val="single" w:sz="2" w:space="0" w:color="CF0A2C"/>
            </w:tcBorders>
            <w:shd w:fill="auto" w:val="clear"/>
            <w:tcMar>
              <w:bottom w:w="28" w:type="dxa"/>
            </w:tcMar>
            <w:vAlign w:val="bottom"/>
          </w:tcPr>
          <w:p>
            <w:pPr>
              <w:pStyle w:val="TableContents"/>
              <w:spacing w:before="0" w:after="0"/>
              <w:jc w:val="right"/>
              <w:rPr>
                <w:rFonts w:ascii="arial" w:hAnsi="arial"/>
                <w:b/>
                <w:sz w:val="16"/>
              </w:rPr>
            </w:pPr>
            <w:r>
              <w:rPr>
                <w:rFonts w:ascii="arial" w:hAnsi="arial"/>
                <w:b/>
                <w:sz w:val="16"/>
              </w:rPr>
              <w:t>Shares Subject to  </w:t>
            </w:r>
          </w:p>
          <w:p>
            <w:pPr>
              <w:pStyle w:val="TableContents"/>
              <w:spacing w:before="0" w:after="0"/>
              <w:jc w:val="right"/>
              <w:rPr>
                <w:rFonts w:ascii="arial" w:hAnsi="arial"/>
                <w:b/>
                <w:sz w:val="16"/>
              </w:rPr>
            </w:pPr>
            <w:r>
              <w:rPr>
                <w:rFonts w:ascii="arial" w:hAnsi="arial"/>
                <w:b/>
                <w:sz w:val="16"/>
              </w:rPr>
              <w:t>Options  </w:t>
            </w:r>
          </w:p>
          <w:p>
            <w:pPr>
              <w:pStyle w:val="TableContents"/>
              <w:spacing w:before="0" w:after="20"/>
              <w:jc w:val="left"/>
              <w:rPr/>
            </w:pPr>
            <w:r>
              <w:rPr/>
              <w:t> </w:t>
            </w:r>
          </w:p>
        </w:tc>
      </w:tr>
      <w:tr>
        <w:trPr>
          <w:trHeight w:val="75" w:hRule="atLeast"/>
        </w:trPr>
        <w:tc>
          <w:tcPr>
            <w:tcW w:w="5119" w:type="dxa"/>
            <w:tcBorders/>
            <w:shd w:fill="E5E5E5" w:val="clear"/>
            <w:vAlign w:val="center"/>
          </w:tcPr>
          <w:p>
            <w:pPr>
              <w:pStyle w:val="TableContents"/>
              <w:spacing w:before="0" w:after="283"/>
              <w:rPr>
                <w:sz w:val="4"/>
                <w:szCs w:val="4"/>
              </w:rPr>
            </w:pPr>
            <w:r>
              <w:rPr>
                <w:sz w:val="4"/>
                <w:szCs w:val="4"/>
              </w:rPr>
            </w:r>
          </w:p>
        </w:tc>
        <w:tc>
          <w:tcPr>
            <w:tcW w:w="1820" w:type="dxa"/>
            <w:gridSpan w:val="2"/>
            <w:tcBorders/>
            <w:shd w:fill="E5E5E5" w:val="clear"/>
            <w:vAlign w:val="center"/>
          </w:tcPr>
          <w:p>
            <w:pPr>
              <w:pStyle w:val="TableContents"/>
              <w:spacing w:before="0" w:after="283"/>
              <w:rPr>
                <w:sz w:val="4"/>
                <w:szCs w:val="4"/>
              </w:rPr>
            </w:pPr>
            <w:r>
              <w:rPr>
                <w:sz w:val="4"/>
                <w:szCs w:val="4"/>
              </w:rPr>
            </w:r>
          </w:p>
        </w:tc>
      </w:tr>
      <w:tr>
        <w:trPr/>
        <w:tc>
          <w:tcPr>
            <w:tcW w:w="5119" w:type="dxa"/>
            <w:tcBorders/>
            <w:shd w:fill="E5E5E5" w:val="clear"/>
          </w:tcPr>
          <w:p>
            <w:pPr>
              <w:pStyle w:val="TableContents"/>
              <w:spacing w:before="0" w:after="0"/>
              <w:rPr>
                <w:rFonts w:ascii="arial" w:hAnsi="arial"/>
                <w:sz w:val="16"/>
              </w:rPr>
            </w:pPr>
            <w:r>
              <w:rPr>
                <w:rFonts w:ascii="arial" w:hAnsi="arial"/>
                <w:sz w:val="16"/>
              </w:rPr>
              <w:t>Howard M. Berk</w:t>
            </w:r>
          </w:p>
        </w:tc>
        <w:tc>
          <w:tcPr>
            <w:tcW w:w="285" w:type="dxa"/>
            <w:tcBorders/>
            <w:shd w:fill="E5E5E5" w:val="clear"/>
            <w:vAlign w:val="bottom"/>
          </w:tcPr>
          <w:p>
            <w:pPr>
              <w:pStyle w:val="TableContents"/>
              <w:spacing w:before="0" w:after="283"/>
              <w:rPr/>
            </w:pPr>
            <w:r>
              <w:rPr/>
              <w:t>  </w:t>
            </w:r>
          </w:p>
        </w:tc>
        <w:tc>
          <w:tcPr>
            <w:tcW w:w="1535" w:type="dxa"/>
            <w:tcBorders/>
            <w:shd w:fill="E5E5E5" w:val="clear"/>
            <w:vAlign w:val="bottom"/>
          </w:tcPr>
          <w:p>
            <w:pPr>
              <w:pStyle w:val="TableContents"/>
              <w:spacing w:before="0" w:after="283"/>
              <w:jc w:val="right"/>
              <w:rPr/>
            </w:pPr>
            <w:r>
              <w:rPr/>
              <w:t>  </w:t>
            </w:r>
          </w:p>
        </w:tc>
      </w:tr>
      <w:tr>
        <w:trPr>
          <w:trHeight w:val="75" w:hRule="atLeast"/>
        </w:trPr>
        <w:tc>
          <w:tcPr>
            <w:tcW w:w="5119" w:type="dxa"/>
            <w:tcBorders/>
            <w:shd w:fill="auto" w:val="clear"/>
            <w:vAlign w:val="center"/>
          </w:tcPr>
          <w:p>
            <w:pPr>
              <w:pStyle w:val="TableContents"/>
              <w:spacing w:before="0" w:after="283"/>
              <w:rPr>
                <w:sz w:val="4"/>
                <w:szCs w:val="4"/>
              </w:rPr>
            </w:pPr>
            <w:r>
              <w:rPr>
                <w:sz w:val="4"/>
                <w:szCs w:val="4"/>
              </w:rPr>
            </w:r>
          </w:p>
        </w:tc>
        <w:tc>
          <w:tcPr>
            <w:tcW w:w="1820" w:type="dxa"/>
            <w:gridSpan w:val="2"/>
            <w:tcBorders/>
            <w:shd w:fill="auto" w:val="clear"/>
            <w:vAlign w:val="center"/>
          </w:tcPr>
          <w:p>
            <w:pPr>
              <w:pStyle w:val="TableContents"/>
              <w:spacing w:before="0" w:after="283"/>
              <w:rPr>
                <w:sz w:val="4"/>
                <w:szCs w:val="4"/>
              </w:rPr>
            </w:pPr>
            <w:r>
              <w:rPr>
                <w:sz w:val="4"/>
                <w:szCs w:val="4"/>
              </w:rPr>
            </w:r>
          </w:p>
        </w:tc>
      </w:tr>
      <w:tr>
        <w:trPr/>
        <w:tc>
          <w:tcPr>
            <w:tcW w:w="5119" w:type="dxa"/>
            <w:tcBorders/>
            <w:shd w:fill="auto" w:val="clear"/>
          </w:tcPr>
          <w:p>
            <w:pPr>
              <w:pStyle w:val="TableContents"/>
              <w:spacing w:before="0" w:after="0"/>
              <w:rPr>
                <w:rFonts w:ascii="arial" w:hAnsi="arial"/>
                <w:sz w:val="16"/>
              </w:rPr>
            </w:pPr>
            <w:r>
              <w:rPr>
                <w:rFonts w:ascii="arial" w:hAnsi="arial"/>
                <w:sz w:val="16"/>
              </w:rPr>
              <w:t>Daniel J. Brestle</w:t>
            </w:r>
          </w:p>
        </w:tc>
        <w:tc>
          <w:tcPr>
            <w:tcW w:w="285"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  </w:t>
            </w:r>
          </w:p>
        </w:tc>
      </w:tr>
      <w:tr>
        <w:trPr>
          <w:trHeight w:val="75" w:hRule="atLeast"/>
        </w:trPr>
        <w:tc>
          <w:tcPr>
            <w:tcW w:w="5119" w:type="dxa"/>
            <w:tcBorders/>
            <w:shd w:fill="E5E5E5" w:val="clear"/>
            <w:vAlign w:val="center"/>
          </w:tcPr>
          <w:p>
            <w:pPr>
              <w:pStyle w:val="TableContents"/>
              <w:spacing w:before="0" w:after="283"/>
              <w:rPr>
                <w:sz w:val="4"/>
                <w:szCs w:val="4"/>
              </w:rPr>
            </w:pPr>
            <w:r>
              <w:rPr>
                <w:sz w:val="4"/>
                <w:szCs w:val="4"/>
              </w:rPr>
            </w:r>
          </w:p>
        </w:tc>
        <w:tc>
          <w:tcPr>
            <w:tcW w:w="1820" w:type="dxa"/>
            <w:gridSpan w:val="2"/>
            <w:tcBorders/>
            <w:shd w:fill="E5E5E5" w:val="clear"/>
            <w:vAlign w:val="center"/>
          </w:tcPr>
          <w:p>
            <w:pPr>
              <w:pStyle w:val="TableContents"/>
              <w:spacing w:before="0" w:after="283"/>
              <w:rPr>
                <w:sz w:val="4"/>
                <w:szCs w:val="4"/>
              </w:rPr>
            </w:pPr>
            <w:r>
              <w:rPr>
                <w:sz w:val="4"/>
                <w:szCs w:val="4"/>
              </w:rPr>
            </w:r>
          </w:p>
        </w:tc>
      </w:tr>
      <w:tr>
        <w:trPr/>
        <w:tc>
          <w:tcPr>
            <w:tcW w:w="5119" w:type="dxa"/>
            <w:tcBorders/>
            <w:shd w:fill="E5E5E5" w:val="clear"/>
          </w:tcPr>
          <w:p>
            <w:pPr>
              <w:pStyle w:val="TableContents"/>
              <w:spacing w:before="0" w:after="0"/>
              <w:rPr>
                <w:rFonts w:ascii="arial" w:hAnsi="arial"/>
                <w:sz w:val="16"/>
              </w:rPr>
            </w:pPr>
            <w:r>
              <w:rPr>
                <w:rFonts w:ascii="arial" w:hAnsi="arial"/>
                <w:sz w:val="16"/>
              </w:rPr>
              <w:t>Susan M. Collyns</w:t>
            </w:r>
          </w:p>
        </w:tc>
        <w:tc>
          <w:tcPr>
            <w:tcW w:w="285" w:type="dxa"/>
            <w:tcBorders/>
            <w:shd w:fill="E5E5E5" w:val="clear"/>
            <w:vAlign w:val="bottom"/>
          </w:tcPr>
          <w:p>
            <w:pPr>
              <w:pStyle w:val="TableContents"/>
              <w:spacing w:before="0" w:after="283"/>
              <w:rPr/>
            </w:pPr>
            <w:r>
              <w:rPr/>
              <w:t>  </w:t>
            </w:r>
          </w:p>
        </w:tc>
        <w:tc>
          <w:tcPr>
            <w:tcW w:w="1535" w:type="dxa"/>
            <w:tcBorders/>
            <w:shd w:fill="E5E5E5" w:val="clear"/>
            <w:vAlign w:val="bottom"/>
          </w:tcPr>
          <w:p>
            <w:pPr>
              <w:pStyle w:val="TableContents"/>
              <w:spacing w:before="0" w:after="283"/>
              <w:jc w:val="right"/>
              <w:rPr/>
            </w:pPr>
            <w:r>
              <w:rPr/>
              <w:t>  </w:t>
            </w:r>
          </w:p>
        </w:tc>
      </w:tr>
      <w:tr>
        <w:trPr>
          <w:trHeight w:val="75" w:hRule="atLeast"/>
        </w:trPr>
        <w:tc>
          <w:tcPr>
            <w:tcW w:w="5119" w:type="dxa"/>
            <w:tcBorders/>
            <w:shd w:fill="auto" w:val="clear"/>
            <w:vAlign w:val="center"/>
          </w:tcPr>
          <w:p>
            <w:pPr>
              <w:pStyle w:val="TableContents"/>
              <w:spacing w:before="0" w:after="283"/>
              <w:rPr>
                <w:sz w:val="4"/>
                <w:szCs w:val="4"/>
              </w:rPr>
            </w:pPr>
            <w:r>
              <w:rPr>
                <w:sz w:val="4"/>
                <w:szCs w:val="4"/>
              </w:rPr>
            </w:r>
          </w:p>
        </w:tc>
        <w:tc>
          <w:tcPr>
            <w:tcW w:w="1820" w:type="dxa"/>
            <w:gridSpan w:val="2"/>
            <w:tcBorders/>
            <w:shd w:fill="auto" w:val="clear"/>
            <w:vAlign w:val="center"/>
          </w:tcPr>
          <w:p>
            <w:pPr>
              <w:pStyle w:val="TableContents"/>
              <w:spacing w:before="0" w:after="283"/>
              <w:rPr>
                <w:sz w:val="4"/>
                <w:szCs w:val="4"/>
              </w:rPr>
            </w:pPr>
            <w:r>
              <w:rPr>
                <w:sz w:val="4"/>
                <w:szCs w:val="4"/>
              </w:rPr>
            </w:r>
          </w:p>
        </w:tc>
      </w:tr>
      <w:tr>
        <w:trPr/>
        <w:tc>
          <w:tcPr>
            <w:tcW w:w="5119" w:type="dxa"/>
            <w:tcBorders/>
            <w:shd w:fill="auto" w:val="clear"/>
          </w:tcPr>
          <w:p>
            <w:pPr>
              <w:pStyle w:val="TableContents"/>
              <w:spacing w:before="0" w:after="0"/>
              <w:rPr>
                <w:rFonts w:ascii="arial" w:hAnsi="arial"/>
                <w:sz w:val="16"/>
              </w:rPr>
            </w:pPr>
            <w:r>
              <w:rPr>
                <w:rFonts w:ascii="arial" w:hAnsi="arial"/>
                <w:sz w:val="16"/>
              </w:rPr>
              <w:t>Richard J. Dahl</w:t>
            </w:r>
          </w:p>
        </w:tc>
        <w:tc>
          <w:tcPr>
            <w:tcW w:w="285"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47,000  </w:t>
            </w:r>
          </w:p>
        </w:tc>
      </w:tr>
      <w:tr>
        <w:trPr>
          <w:trHeight w:val="75" w:hRule="atLeast"/>
        </w:trPr>
        <w:tc>
          <w:tcPr>
            <w:tcW w:w="5119" w:type="dxa"/>
            <w:tcBorders/>
            <w:shd w:fill="E5E5E5" w:val="clear"/>
            <w:vAlign w:val="center"/>
          </w:tcPr>
          <w:p>
            <w:pPr>
              <w:pStyle w:val="TableContents"/>
              <w:spacing w:before="0" w:after="283"/>
              <w:rPr>
                <w:sz w:val="4"/>
                <w:szCs w:val="4"/>
              </w:rPr>
            </w:pPr>
            <w:r>
              <w:rPr>
                <w:sz w:val="4"/>
                <w:szCs w:val="4"/>
              </w:rPr>
            </w:r>
          </w:p>
        </w:tc>
        <w:tc>
          <w:tcPr>
            <w:tcW w:w="1820" w:type="dxa"/>
            <w:gridSpan w:val="2"/>
            <w:tcBorders/>
            <w:shd w:fill="E5E5E5" w:val="clear"/>
            <w:vAlign w:val="center"/>
          </w:tcPr>
          <w:p>
            <w:pPr>
              <w:pStyle w:val="TableContents"/>
              <w:spacing w:before="0" w:after="283"/>
              <w:rPr>
                <w:sz w:val="4"/>
                <w:szCs w:val="4"/>
              </w:rPr>
            </w:pPr>
            <w:r>
              <w:rPr>
                <w:sz w:val="4"/>
                <w:szCs w:val="4"/>
              </w:rPr>
            </w:r>
          </w:p>
        </w:tc>
      </w:tr>
      <w:tr>
        <w:trPr/>
        <w:tc>
          <w:tcPr>
            <w:tcW w:w="5119" w:type="dxa"/>
            <w:tcBorders/>
            <w:shd w:fill="E5E5E5" w:val="clear"/>
          </w:tcPr>
          <w:p>
            <w:pPr>
              <w:pStyle w:val="TableContents"/>
              <w:spacing w:before="0" w:after="0"/>
              <w:rPr>
                <w:rFonts w:ascii="arial" w:hAnsi="arial"/>
                <w:sz w:val="16"/>
              </w:rPr>
            </w:pPr>
            <w:r>
              <w:rPr>
                <w:rFonts w:ascii="arial" w:hAnsi="arial"/>
                <w:sz w:val="16"/>
              </w:rPr>
              <w:t>Michael C. Hyter</w:t>
            </w:r>
          </w:p>
        </w:tc>
        <w:tc>
          <w:tcPr>
            <w:tcW w:w="285" w:type="dxa"/>
            <w:tcBorders/>
            <w:shd w:fill="E5E5E5" w:val="clear"/>
            <w:vAlign w:val="bottom"/>
          </w:tcPr>
          <w:p>
            <w:pPr>
              <w:pStyle w:val="TableContents"/>
              <w:spacing w:before="0" w:after="283"/>
              <w:rPr/>
            </w:pPr>
            <w:r>
              <w:rPr/>
              <w:t>  </w:t>
            </w:r>
          </w:p>
        </w:tc>
        <w:tc>
          <w:tcPr>
            <w:tcW w:w="1535" w:type="dxa"/>
            <w:tcBorders/>
            <w:shd w:fill="E5E5E5" w:val="clear"/>
            <w:vAlign w:val="bottom"/>
          </w:tcPr>
          <w:p>
            <w:pPr>
              <w:pStyle w:val="TableContents"/>
              <w:spacing w:before="0" w:after="283"/>
              <w:jc w:val="right"/>
              <w:rPr/>
            </w:pPr>
            <w:r>
              <w:rPr/>
              <w:t>  </w:t>
            </w:r>
          </w:p>
        </w:tc>
      </w:tr>
      <w:tr>
        <w:trPr>
          <w:trHeight w:val="75" w:hRule="atLeast"/>
        </w:trPr>
        <w:tc>
          <w:tcPr>
            <w:tcW w:w="5119" w:type="dxa"/>
            <w:tcBorders/>
            <w:shd w:fill="auto" w:val="clear"/>
            <w:vAlign w:val="center"/>
          </w:tcPr>
          <w:p>
            <w:pPr>
              <w:pStyle w:val="TableContents"/>
              <w:spacing w:before="0" w:after="283"/>
              <w:rPr>
                <w:sz w:val="4"/>
                <w:szCs w:val="4"/>
              </w:rPr>
            </w:pPr>
            <w:r>
              <w:rPr>
                <w:sz w:val="4"/>
                <w:szCs w:val="4"/>
              </w:rPr>
            </w:r>
          </w:p>
        </w:tc>
        <w:tc>
          <w:tcPr>
            <w:tcW w:w="1820" w:type="dxa"/>
            <w:gridSpan w:val="2"/>
            <w:tcBorders/>
            <w:shd w:fill="auto" w:val="clear"/>
            <w:vAlign w:val="center"/>
          </w:tcPr>
          <w:p>
            <w:pPr>
              <w:pStyle w:val="TableContents"/>
              <w:spacing w:before="0" w:after="283"/>
              <w:rPr>
                <w:sz w:val="4"/>
                <w:szCs w:val="4"/>
              </w:rPr>
            </w:pPr>
            <w:r>
              <w:rPr>
                <w:sz w:val="4"/>
                <w:szCs w:val="4"/>
              </w:rPr>
            </w:r>
          </w:p>
        </w:tc>
      </w:tr>
      <w:tr>
        <w:trPr/>
        <w:tc>
          <w:tcPr>
            <w:tcW w:w="5119" w:type="dxa"/>
            <w:tcBorders/>
            <w:shd w:fill="auto" w:val="clear"/>
          </w:tcPr>
          <w:p>
            <w:pPr>
              <w:pStyle w:val="TableContents"/>
              <w:spacing w:before="0" w:after="0"/>
              <w:rPr>
                <w:rFonts w:ascii="arial" w:hAnsi="arial"/>
                <w:sz w:val="16"/>
              </w:rPr>
            </w:pPr>
            <w:r>
              <w:rPr>
                <w:rFonts w:ascii="arial" w:hAnsi="arial"/>
                <w:sz w:val="16"/>
              </w:rPr>
              <w:t>Larry A. Kay</w:t>
            </w:r>
          </w:p>
        </w:tc>
        <w:tc>
          <w:tcPr>
            <w:tcW w:w="285"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  </w:t>
            </w:r>
          </w:p>
        </w:tc>
      </w:tr>
      <w:tr>
        <w:trPr>
          <w:trHeight w:val="75" w:hRule="atLeast"/>
        </w:trPr>
        <w:tc>
          <w:tcPr>
            <w:tcW w:w="5119" w:type="dxa"/>
            <w:tcBorders/>
            <w:shd w:fill="E5E5E5" w:val="clear"/>
            <w:vAlign w:val="center"/>
          </w:tcPr>
          <w:p>
            <w:pPr>
              <w:pStyle w:val="TableContents"/>
              <w:spacing w:before="0" w:after="283"/>
              <w:rPr>
                <w:sz w:val="4"/>
                <w:szCs w:val="4"/>
              </w:rPr>
            </w:pPr>
            <w:r>
              <w:rPr>
                <w:sz w:val="4"/>
                <w:szCs w:val="4"/>
              </w:rPr>
            </w:r>
          </w:p>
        </w:tc>
        <w:tc>
          <w:tcPr>
            <w:tcW w:w="1820" w:type="dxa"/>
            <w:gridSpan w:val="2"/>
            <w:tcBorders/>
            <w:shd w:fill="E5E5E5" w:val="clear"/>
            <w:vAlign w:val="center"/>
          </w:tcPr>
          <w:p>
            <w:pPr>
              <w:pStyle w:val="TableContents"/>
              <w:spacing w:before="0" w:after="283"/>
              <w:rPr>
                <w:sz w:val="4"/>
                <w:szCs w:val="4"/>
              </w:rPr>
            </w:pPr>
            <w:r>
              <w:rPr>
                <w:sz w:val="4"/>
                <w:szCs w:val="4"/>
              </w:rPr>
            </w:r>
          </w:p>
        </w:tc>
      </w:tr>
      <w:tr>
        <w:trPr/>
        <w:tc>
          <w:tcPr>
            <w:tcW w:w="5119" w:type="dxa"/>
            <w:tcBorders/>
            <w:shd w:fill="E5E5E5" w:val="clear"/>
          </w:tcPr>
          <w:p>
            <w:pPr>
              <w:pStyle w:val="TableContents"/>
              <w:spacing w:before="0" w:after="0"/>
              <w:rPr>
                <w:rFonts w:ascii="arial" w:hAnsi="arial"/>
                <w:sz w:val="16"/>
              </w:rPr>
            </w:pPr>
            <w:r>
              <w:rPr>
                <w:rFonts w:ascii="arial" w:hAnsi="arial"/>
                <w:sz w:val="16"/>
              </w:rPr>
              <w:t>Caroline W. Nahas</w:t>
            </w:r>
          </w:p>
        </w:tc>
        <w:tc>
          <w:tcPr>
            <w:tcW w:w="285" w:type="dxa"/>
            <w:tcBorders/>
            <w:shd w:fill="E5E5E5" w:val="clear"/>
            <w:vAlign w:val="bottom"/>
          </w:tcPr>
          <w:p>
            <w:pPr>
              <w:pStyle w:val="TableContents"/>
              <w:spacing w:before="0" w:after="283"/>
              <w:rPr/>
            </w:pPr>
            <w:r>
              <w:rPr/>
              <w:t>  </w:t>
            </w:r>
          </w:p>
        </w:tc>
        <w:tc>
          <w:tcPr>
            <w:tcW w:w="1535" w:type="dxa"/>
            <w:tcBorders/>
            <w:shd w:fill="E5E5E5" w:val="clear"/>
            <w:vAlign w:val="bottom"/>
          </w:tcPr>
          <w:p>
            <w:pPr>
              <w:pStyle w:val="TableContents"/>
              <w:spacing w:before="0" w:after="283"/>
              <w:jc w:val="right"/>
              <w:rPr/>
            </w:pPr>
            <w:r>
              <w:rPr/>
              <w:t>  </w:t>
            </w:r>
          </w:p>
        </w:tc>
      </w:tr>
      <w:tr>
        <w:trPr>
          <w:trHeight w:val="75" w:hRule="atLeast"/>
        </w:trPr>
        <w:tc>
          <w:tcPr>
            <w:tcW w:w="5119" w:type="dxa"/>
            <w:tcBorders/>
            <w:shd w:fill="auto" w:val="clear"/>
            <w:vAlign w:val="center"/>
          </w:tcPr>
          <w:p>
            <w:pPr>
              <w:pStyle w:val="TableContents"/>
              <w:spacing w:before="0" w:after="283"/>
              <w:rPr>
                <w:sz w:val="4"/>
                <w:szCs w:val="4"/>
              </w:rPr>
            </w:pPr>
            <w:r>
              <w:rPr>
                <w:sz w:val="4"/>
                <w:szCs w:val="4"/>
              </w:rPr>
            </w:r>
          </w:p>
        </w:tc>
        <w:tc>
          <w:tcPr>
            <w:tcW w:w="1820" w:type="dxa"/>
            <w:gridSpan w:val="2"/>
            <w:tcBorders/>
            <w:shd w:fill="auto" w:val="clear"/>
            <w:vAlign w:val="center"/>
          </w:tcPr>
          <w:p>
            <w:pPr>
              <w:pStyle w:val="TableContents"/>
              <w:spacing w:before="0" w:after="283"/>
              <w:rPr>
                <w:sz w:val="4"/>
                <w:szCs w:val="4"/>
              </w:rPr>
            </w:pPr>
            <w:r>
              <w:rPr>
                <w:sz w:val="4"/>
                <w:szCs w:val="4"/>
              </w:rPr>
            </w:r>
          </w:p>
        </w:tc>
      </w:tr>
      <w:tr>
        <w:trPr/>
        <w:tc>
          <w:tcPr>
            <w:tcW w:w="5119" w:type="dxa"/>
            <w:tcBorders/>
            <w:shd w:fill="auto" w:val="clear"/>
          </w:tcPr>
          <w:p>
            <w:pPr>
              <w:pStyle w:val="TableContents"/>
              <w:spacing w:before="0" w:after="0"/>
              <w:rPr>
                <w:rFonts w:ascii="arial" w:hAnsi="arial"/>
                <w:sz w:val="16"/>
              </w:rPr>
            </w:pPr>
            <w:r>
              <w:rPr>
                <w:rFonts w:ascii="arial" w:hAnsi="arial"/>
                <w:sz w:val="16"/>
              </w:rPr>
              <w:t>Douglas M. Pasquale</w:t>
            </w:r>
          </w:p>
        </w:tc>
        <w:tc>
          <w:tcPr>
            <w:tcW w:w="285"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  </w:t>
            </w:r>
          </w:p>
        </w:tc>
      </w:tr>
      <w:tr>
        <w:trPr>
          <w:trHeight w:val="75" w:hRule="atLeast"/>
        </w:trPr>
        <w:tc>
          <w:tcPr>
            <w:tcW w:w="5119" w:type="dxa"/>
            <w:tcBorders/>
            <w:shd w:fill="E5E5E5" w:val="clear"/>
            <w:vAlign w:val="center"/>
          </w:tcPr>
          <w:p>
            <w:pPr>
              <w:pStyle w:val="TableContents"/>
              <w:spacing w:before="0" w:after="283"/>
              <w:rPr>
                <w:sz w:val="4"/>
                <w:szCs w:val="4"/>
              </w:rPr>
            </w:pPr>
            <w:r>
              <w:rPr>
                <w:sz w:val="4"/>
                <w:szCs w:val="4"/>
              </w:rPr>
            </w:r>
          </w:p>
        </w:tc>
        <w:tc>
          <w:tcPr>
            <w:tcW w:w="1820" w:type="dxa"/>
            <w:gridSpan w:val="2"/>
            <w:tcBorders/>
            <w:shd w:fill="E5E5E5" w:val="clear"/>
            <w:vAlign w:val="center"/>
          </w:tcPr>
          <w:p>
            <w:pPr>
              <w:pStyle w:val="TableContents"/>
              <w:spacing w:before="0" w:after="283"/>
              <w:rPr>
                <w:sz w:val="4"/>
                <w:szCs w:val="4"/>
              </w:rPr>
            </w:pPr>
            <w:r>
              <w:rPr>
                <w:sz w:val="4"/>
                <w:szCs w:val="4"/>
              </w:rPr>
            </w:r>
          </w:p>
        </w:tc>
      </w:tr>
      <w:tr>
        <w:trPr/>
        <w:tc>
          <w:tcPr>
            <w:tcW w:w="5119" w:type="dxa"/>
            <w:tcBorders/>
            <w:shd w:fill="E5E5E5" w:val="clear"/>
          </w:tcPr>
          <w:p>
            <w:pPr>
              <w:pStyle w:val="TableContents"/>
              <w:spacing w:before="0" w:after="0"/>
              <w:rPr>
                <w:rFonts w:ascii="arial" w:hAnsi="arial"/>
                <w:sz w:val="16"/>
              </w:rPr>
            </w:pPr>
            <w:r>
              <w:rPr>
                <w:rFonts w:ascii="arial" w:hAnsi="arial"/>
                <w:sz w:val="16"/>
              </w:rPr>
              <w:t>Gilbert T. Ray</w:t>
            </w:r>
          </w:p>
        </w:tc>
        <w:tc>
          <w:tcPr>
            <w:tcW w:w="285" w:type="dxa"/>
            <w:tcBorders/>
            <w:shd w:fill="E5E5E5" w:val="clear"/>
            <w:vAlign w:val="bottom"/>
          </w:tcPr>
          <w:p>
            <w:pPr>
              <w:pStyle w:val="TableContents"/>
              <w:spacing w:before="0" w:after="283"/>
              <w:rPr/>
            </w:pPr>
            <w:r>
              <w:rPr/>
              <w:t>  </w:t>
            </w:r>
          </w:p>
        </w:tc>
        <w:tc>
          <w:tcPr>
            <w:tcW w:w="1535" w:type="dxa"/>
            <w:tcBorders/>
            <w:shd w:fill="E5E5E5" w:val="clear"/>
            <w:vAlign w:val="bottom"/>
          </w:tcPr>
          <w:p>
            <w:pPr>
              <w:pStyle w:val="TableContents"/>
              <w:spacing w:before="0" w:after="283"/>
              <w:jc w:val="right"/>
              <w:rPr/>
            </w:pPr>
            <w:r>
              <w:rPr/>
              <w:t>  </w:t>
            </w:r>
          </w:p>
        </w:tc>
      </w:tr>
      <w:tr>
        <w:trPr>
          <w:trHeight w:val="75" w:hRule="atLeast"/>
        </w:trPr>
        <w:tc>
          <w:tcPr>
            <w:tcW w:w="5119" w:type="dxa"/>
            <w:tcBorders/>
            <w:shd w:fill="auto" w:val="clear"/>
            <w:vAlign w:val="center"/>
          </w:tcPr>
          <w:p>
            <w:pPr>
              <w:pStyle w:val="TableContents"/>
              <w:spacing w:before="0" w:after="283"/>
              <w:rPr>
                <w:sz w:val="4"/>
                <w:szCs w:val="4"/>
              </w:rPr>
            </w:pPr>
            <w:r>
              <w:rPr>
                <w:sz w:val="4"/>
                <w:szCs w:val="4"/>
              </w:rPr>
            </w:r>
          </w:p>
        </w:tc>
        <w:tc>
          <w:tcPr>
            <w:tcW w:w="1820" w:type="dxa"/>
            <w:gridSpan w:val="2"/>
            <w:tcBorders/>
            <w:shd w:fill="auto" w:val="clear"/>
            <w:vAlign w:val="center"/>
          </w:tcPr>
          <w:p>
            <w:pPr>
              <w:pStyle w:val="TableContents"/>
              <w:spacing w:before="0" w:after="283"/>
              <w:rPr>
                <w:sz w:val="4"/>
                <w:szCs w:val="4"/>
              </w:rPr>
            </w:pPr>
            <w:r>
              <w:rPr>
                <w:sz w:val="4"/>
                <w:szCs w:val="4"/>
              </w:rPr>
            </w:r>
          </w:p>
        </w:tc>
      </w:tr>
      <w:tr>
        <w:trPr/>
        <w:tc>
          <w:tcPr>
            <w:tcW w:w="5119" w:type="dxa"/>
            <w:tcBorders/>
            <w:shd w:fill="auto" w:val="clear"/>
          </w:tcPr>
          <w:p>
            <w:pPr>
              <w:pStyle w:val="TableContents"/>
              <w:spacing w:before="0" w:after="0"/>
              <w:rPr>
                <w:rFonts w:ascii="arial" w:hAnsi="arial"/>
                <w:sz w:val="16"/>
              </w:rPr>
            </w:pPr>
            <w:r>
              <w:rPr>
                <w:rFonts w:ascii="arial" w:hAnsi="arial"/>
                <w:sz w:val="16"/>
              </w:rPr>
              <w:t>Lilian C. Tomovich</w:t>
            </w:r>
          </w:p>
        </w:tc>
        <w:tc>
          <w:tcPr>
            <w:tcW w:w="285"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  </w:t>
            </w:r>
          </w:p>
        </w:tc>
      </w:tr>
      <w:tr>
        <w:trPr>
          <w:trHeight w:val="75" w:hRule="atLeast"/>
        </w:trPr>
        <w:tc>
          <w:tcPr>
            <w:tcW w:w="5119" w:type="dxa"/>
            <w:tcBorders/>
            <w:shd w:fill="E5E5E5" w:val="clear"/>
            <w:vAlign w:val="center"/>
          </w:tcPr>
          <w:p>
            <w:pPr>
              <w:pStyle w:val="TableContents"/>
              <w:spacing w:before="0" w:after="283"/>
              <w:rPr>
                <w:sz w:val="4"/>
                <w:szCs w:val="4"/>
              </w:rPr>
            </w:pPr>
            <w:r>
              <w:rPr>
                <w:sz w:val="4"/>
                <w:szCs w:val="4"/>
              </w:rPr>
            </w:r>
          </w:p>
        </w:tc>
        <w:tc>
          <w:tcPr>
            <w:tcW w:w="1820" w:type="dxa"/>
            <w:gridSpan w:val="2"/>
            <w:tcBorders/>
            <w:shd w:fill="E5E5E5" w:val="clear"/>
            <w:vAlign w:val="center"/>
          </w:tcPr>
          <w:p>
            <w:pPr>
              <w:pStyle w:val="TableContents"/>
              <w:spacing w:before="0" w:after="283"/>
              <w:rPr>
                <w:sz w:val="4"/>
                <w:szCs w:val="4"/>
              </w:rPr>
            </w:pPr>
            <w:r>
              <w:rPr>
                <w:sz w:val="4"/>
                <w:szCs w:val="4"/>
              </w:rPr>
            </w:r>
          </w:p>
        </w:tc>
      </w:tr>
      <w:tr>
        <w:trPr/>
        <w:tc>
          <w:tcPr>
            <w:tcW w:w="5119" w:type="dxa"/>
            <w:tcBorders/>
            <w:shd w:fill="E5E5E5" w:val="clear"/>
          </w:tcPr>
          <w:p>
            <w:pPr>
              <w:pStyle w:val="TableContents"/>
              <w:spacing w:before="0" w:after="0"/>
              <w:rPr>
                <w:rFonts w:ascii="arial" w:hAnsi="arial"/>
                <w:sz w:val="16"/>
              </w:rPr>
            </w:pPr>
            <w:r>
              <w:rPr>
                <w:rFonts w:ascii="arial" w:hAnsi="arial"/>
                <w:sz w:val="16"/>
              </w:rPr>
              <w:t>John W. Peyton</w:t>
            </w:r>
          </w:p>
        </w:tc>
        <w:tc>
          <w:tcPr>
            <w:tcW w:w="285" w:type="dxa"/>
            <w:tcBorders/>
            <w:shd w:fill="E5E5E5" w:val="clear"/>
            <w:vAlign w:val="bottom"/>
          </w:tcPr>
          <w:p>
            <w:pPr>
              <w:pStyle w:val="TableContents"/>
              <w:spacing w:before="0" w:after="283"/>
              <w:rPr/>
            </w:pPr>
            <w:r>
              <w:rPr/>
              <w:t>  </w:t>
            </w:r>
          </w:p>
        </w:tc>
        <w:tc>
          <w:tcPr>
            <w:tcW w:w="1535" w:type="dxa"/>
            <w:tcBorders/>
            <w:shd w:fill="E5E5E5" w:val="clear"/>
            <w:vAlign w:val="bottom"/>
          </w:tcPr>
          <w:p>
            <w:pPr>
              <w:pStyle w:val="TableContents"/>
              <w:spacing w:before="0" w:after="283"/>
              <w:jc w:val="right"/>
              <w:rPr/>
            </w:pPr>
            <w:r>
              <w:rPr/>
              <w:t>  </w:t>
            </w:r>
          </w:p>
        </w:tc>
      </w:tr>
      <w:tr>
        <w:trPr>
          <w:trHeight w:val="75" w:hRule="atLeast"/>
        </w:trPr>
        <w:tc>
          <w:tcPr>
            <w:tcW w:w="5119" w:type="dxa"/>
            <w:tcBorders/>
            <w:shd w:fill="auto" w:val="clear"/>
            <w:vAlign w:val="center"/>
          </w:tcPr>
          <w:p>
            <w:pPr>
              <w:pStyle w:val="TableContents"/>
              <w:spacing w:before="0" w:after="283"/>
              <w:rPr>
                <w:sz w:val="4"/>
                <w:szCs w:val="4"/>
              </w:rPr>
            </w:pPr>
            <w:r>
              <w:rPr>
                <w:sz w:val="4"/>
                <w:szCs w:val="4"/>
              </w:rPr>
            </w:r>
          </w:p>
        </w:tc>
        <w:tc>
          <w:tcPr>
            <w:tcW w:w="1820" w:type="dxa"/>
            <w:gridSpan w:val="2"/>
            <w:tcBorders/>
            <w:shd w:fill="auto" w:val="clear"/>
            <w:vAlign w:val="center"/>
          </w:tcPr>
          <w:p>
            <w:pPr>
              <w:pStyle w:val="TableContents"/>
              <w:spacing w:before="0" w:after="283"/>
              <w:rPr>
                <w:sz w:val="4"/>
                <w:szCs w:val="4"/>
              </w:rPr>
            </w:pPr>
            <w:r>
              <w:rPr>
                <w:sz w:val="4"/>
                <w:szCs w:val="4"/>
              </w:rPr>
            </w:r>
          </w:p>
        </w:tc>
      </w:tr>
      <w:tr>
        <w:trPr/>
        <w:tc>
          <w:tcPr>
            <w:tcW w:w="5119" w:type="dxa"/>
            <w:tcBorders/>
            <w:shd w:fill="auto" w:val="clear"/>
          </w:tcPr>
          <w:p>
            <w:pPr>
              <w:pStyle w:val="TableContents"/>
              <w:spacing w:before="0" w:after="0"/>
              <w:rPr>
                <w:rFonts w:ascii="arial" w:hAnsi="arial"/>
                <w:sz w:val="16"/>
              </w:rPr>
            </w:pPr>
            <w:r>
              <w:rPr>
                <w:rFonts w:ascii="arial" w:hAnsi="arial"/>
                <w:sz w:val="16"/>
              </w:rPr>
              <w:t>Allison Hall</w:t>
            </w:r>
          </w:p>
        </w:tc>
        <w:tc>
          <w:tcPr>
            <w:tcW w:w="285"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1,758  </w:t>
            </w:r>
          </w:p>
        </w:tc>
      </w:tr>
      <w:tr>
        <w:trPr>
          <w:trHeight w:val="75" w:hRule="atLeast"/>
        </w:trPr>
        <w:tc>
          <w:tcPr>
            <w:tcW w:w="5119" w:type="dxa"/>
            <w:tcBorders/>
            <w:shd w:fill="E5E5E5" w:val="clear"/>
            <w:vAlign w:val="center"/>
          </w:tcPr>
          <w:p>
            <w:pPr>
              <w:pStyle w:val="TableContents"/>
              <w:spacing w:before="0" w:after="283"/>
              <w:rPr>
                <w:sz w:val="4"/>
                <w:szCs w:val="4"/>
              </w:rPr>
            </w:pPr>
            <w:r>
              <w:rPr>
                <w:sz w:val="4"/>
                <w:szCs w:val="4"/>
              </w:rPr>
            </w:r>
          </w:p>
        </w:tc>
        <w:tc>
          <w:tcPr>
            <w:tcW w:w="1820" w:type="dxa"/>
            <w:gridSpan w:val="2"/>
            <w:tcBorders/>
            <w:shd w:fill="E5E5E5" w:val="clear"/>
            <w:vAlign w:val="center"/>
          </w:tcPr>
          <w:p>
            <w:pPr>
              <w:pStyle w:val="TableContents"/>
              <w:spacing w:before="0" w:after="283"/>
              <w:rPr>
                <w:sz w:val="4"/>
                <w:szCs w:val="4"/>
              </w:rPr>
            </w:pPr>
            <w:r>
              <w:rPr>
                <w:sz w:val="4"/>
                <w:szCs w:val="4"/>
              </w:rPr>
            </w:r>
          </w:p>
        </w:tc>
      </w:tr>
      <w:tr>
        <w:trPr/>
        <w:tc>
          <w:tcPr>
            <w:tcW w:w="5119" w:type="dxa"/>
            <w:tcBorders/>
            <w:shd w:fill="E5E5E5" w:val="clear"/>
          </w:tcPr>
          <w:p>
            <w:pPr>
              <w:pStyle w:val="TableContents"/>
              <w:spacing w:before="0" w:after="0"/>
              <w:rPr>
                <w:rFonts w:ascii="arial" w:hAnsi="arial"/>
                <w:sz w:val="16"/>
              </w:rPr>
            </w:pPr>
            <w:r>
              <w:rPr>
                <w:rFonts w:ascii="arial" w:hAnsi="arial"/>
                <w:sz w:val="16"/>
              </w:rPr>
              <w:t>Jay D. Johns</w:t>
            </w:r>
          </w:p>
        </w:tc>
        <w:tc>
          <w:tcPr>
            <w:tcW w:w="285" w:type="dxa"/>
            <w:tcBorders/>
            <w:shd w:fill="E5E5E5" w:val="clear"/>
            <w:vAlign w:val="bottom"/>
          </w:tcPr>
          <w:p>
            <w:pPr>
              <w:pStyle w:val="TableContents"/>
              <w:spacing w:before="0" w:after="283"/>
              <w:rPr/>
            </w:pPr>
            <w:r>
              <w:rPr/>
              <w:t>  </w:t>
            </w:r>
          </w:p>
        </w:tc>
        <w:tc>
          <w:tcPr>
            <w:tcW w:w="1535" w:type="dxa"/>
            <w:tcBorders/>
            <w:shd w:fill="E5E5E5" w:val="clear"/>
            <w:vAlign w:val="bottom"/>
          </w:tcPr>
          <w:p>
            <w:pPr>
              <w:pStyle w:val="TableContents"/>
              <w:spacing w:before="0" w:after="283"/>
              <w:jc w:val="right"/>
              <w:rPr/>
            </w:pPr>
            <w:r>
              <w:rPr/>
              <w:t>18,922  </w:t>
            </w:r>
          </w:p>
        </w:tc>
      </w:tr>
      <w:tr>
        <w:trPr>
          <w:trHeight w:val="75" w:hRule="atLeast"/>
        </w:trPr>
        <w:tc>
          <w:tcPr>
            <w:tcW w:w="5119" w:type="dxa"/>
            <w:tcBorders/>
            <w:shd w:fill="auto" w:val="clear"/>
            <w:vAlign w:val="center"/>
          </w:tcPr>
          <w:p>
            <w:pPr>
              <w:pStyle w:val="TableContents"/>
              <w:spacing w:before="0" w:after="283"/>
              <w:rPr>
                <w:sz w:val="4"/>
                <w:szCs w:val="4"/>
              </w:rPr>
            </w:pPr>
            <w:r>
              <w:rPr>
                <w:sz w:val="4"/>
                <w:szCs w:val="4"/>
              </w:rPr>
            </w:r>
          </w:p>
        </w:tc>
        <w:tc>
          <w:tcPr>
            <w:tcW w:w="1820" w:type="dxa"/>
            <w:gridSpan w:val="2"/>
            <w:tcBorders/>
            <w:shd w:fill="auto" w:val="clear"/>
            <w:vAlign w:val="center"/>
          </w:tcPr>
          <w:p>
            <w:pPr>
              <w:pStyle w:val="TableContents"/>
              <w:spacing w:before="0" w:after="283"/>
              <w:rPr>
                <w:sz w:val="4"/>
                <w:szCs w:val="4"/>
              </w:rPr>
            </w:pPr>
            <w:r>
              <w:rPr>
                <w:sz w:val="4"/>
                <w:szCs w:val="4"/>
              </w:rPr>
            </w:r>
          </w:p>
        </w:tc>
      </w:tr>
      <w:tr>
        <w:trPr/>
        <w:tc>
          <w:tcPr>
            <w:tcW w:w="5119" w:type="dxa"/>
            <w:tcBorders/>
            <w:shd w:fill="auto" w:val="clear"/>
          </w:tcPr>
          <w:p>
            <w:pPr>
              <w:pStyle w:val="TableContents"/>
              <w:spacing w:before="0" w:after="0"/>
              <w:rPr>
                <w:rFonts w:ascii="arial" w:hAnsi="arial"/>
                <w:sz w:val="16"/>
              </w:rPr>
            </w:pPr>
            <w:r>
              <w:rPr>
                <w:rFonts w:ascii="arial" w:hAnsi="arial"/>
                <w:sz w:val="16"/>
              </w:rPr>
              <w:t>John C. Cywinski</w:t>
            </w:r>
          </w:p>
        </w:tc>
        <w:tc>
          <w:tcPr>
            <w:tcW w:w="285"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98,218  </w:t>
            </w:r>
          </w:p>
        </w:tc>
      </w:tr>
      <w:tr>
        <w:trPr>
          <w:trHeight w:val="75" w:hRule="atLeast"/>
        </w:trPr>
        <w:tc>
          <w:tcPr>
            <w:tcW w:w="5119" w:type="dxa"/>
            <w:tcBorders/>
            <w:shd w:fill="E5E5E5" w:val="clear"/>
            <w:vAlign w:val="center"/>
          </w:tcPr>
          <w:p>
            <w:pPr>
              <w:pStyle w:val="TableContents"/>
              <w:spacing w:before="0" w:after="283"/>
              <w:rPr>
                <w:sz w:val="4"/>
                <w:szCs w:val="4"/>
              </w:rPr>
            </w:pPr>
            <w:r>
              <w:rPr>
                <w:sz w:val="4"/>
                <w:szCs w:val="4"/>
              </w:rPr>
            </w:r>
          </w:p>
        </w:tc>
        <w:tc>
          <w:tcPr>
            <w:tcW w:w="1820" w:type="dxa"/>
            <w:gridSpan w:val="2"/>
            <w:tcBorders/>
            <w:shd w:fill="E5E5E5" w:val="clear"/>
            <w:vAlign w:val="center"/>
          </w:tcPr>
          <w:p>
            <w:pPr>
              <w:pStyle w:val="TableContents"/>
              <w:spacing w:before="0" w:after="283"/>
              <w:rPr>
                <w:sz w:val="4"/>
                <w:szCs w:val="4"/>
              </w:rPr>
            </w:pPr>
            <w:r>
              <w:rPr>
                <w:sz w:val="4"/>
                <w:szCs w:val="4"/>
              </w:rPr>
            </w:r>
          </w:p>
        </w:tc>
      </w:tr>
      <w:tr>
        <w:trPr/>
        <w:tc>
          <w:tcPr>
            <w:tcW w:w="5119" w:type="dxa"/>
            <w:tcBorders/>
            <w:shd w:fill="E5E5E5" w:val="clear"/>
          </w:tcPr>
          <w:p>
            <w:pPr>
              <w:pStyle w:val="TableContents"/>
              <w:spacing w:before="0" w:after="0"/>
              <w:rPr>
                <w:rFonts w:ascii="arial" w:hAnsi="arial"/>
                <w:sz w:val="16"/>
              </w:rPr>
            </w:pPr>
            <w:r>
              <w:rPr>
                <w:rFonts w:ascii="arial" w:hAnsi="arial"/>
                <w:sz w:val="16"/>
              </w:rPr>
              <w:t>Bryan R. Adel</w:t>
            </w:r>
          </w:p>
        </w:tc>
        <w:tc>
          <w:tcPr>
            <w:tcW w:w="285" w:type="dxa"/>
            <w:tcBorders/>
            <w:shd w:fill="E5E5E5" w:val="clear"/>
            <w:vAlign w:val="bottom"/>
          </w:tcPr>
          <w:p>
            <w:pPr>
              <w:pStyle w:val="TableContents"/>
              <w:spacing w:before="0" w:after="283"/>
              <w:rPr/>
            </w:pPr>
            <w:r>
              <w:rPr/>
              <w:t>  </w:t>
            </w:r>
          </w:p>
        </w:tc>
        <w:tc>
          <w:tcPr>
            <w:tcW w:w="1535" w:type="dxa"/>
            <w:tcBorders/>
            <w:shd w:fill="E5E5E5" w:val="clear"/>
            <w:vAlign w:val="bottom"/>
          </w:tcPr>
          <w:p>
            <w:pPr>
              <w:pStyle w:val="TableContents"/>
              <w:spacing w:before="0" w:after="283"/>
              <w:jc w:val="right"/>
              <w:rPr/>
            </w:pPr>
            <w:r>
              <w:rPr/>
              <w:t>27,231  </w:t>
            </w:r>
          </w:p>
        </w:tc>
      </w:tr>
      <w:tr>
        <w:trPr>
          <w:trHeight w:val="75" w:hRule="atLeast"/>
        </w:trPr>
        <w:tc>
          <w:tcPr>
            <w:tcW w:w="5119" w:type="dxa"/>
            <w:tcBorders/>
            <w:shd w:fill="auto" w:val="clear"/>
            <w:vAlign w:val="center"/>
          </w:tcPr>
          <w:p>
            <w:pPr>
              <w:pStyle w:val="TableContents"/>
              <w:spacing w:before="0" w:after="283"/>
              <w:rPr>
                <w:sz w:val="4"/>
                <w:szCs w:val="4"/>
              </w:rPr>
            </w:pPr>
            <w:r>
              <w:rPr>
                <w:sz w:val="4"/>
                <w:szCs w:val="4"/>
              </w:rPr>
            </w:r>
          </w:p>
        </w:tc>
        <w:tc>
          <w:tcPr>
            <w:tcW w:w="1820" w:type="dxa"/>
            <w:gridSpan w:val="2"/>
            <w:tcBorders/>
            <w:shd w:fill="auto" w:val="clear"/>
            <w:vAlign w:val="center"/>
          </w:tcPr>
          <w:p>
            <w:pPr>
              <w:pStyle w:val="TableContents"/>
              <w:spacing w:before="0" w:after="283"/>
              <w:rPr>
                <w:sz w:val="4"/>
                <w:szCs w:val="4"/>
              </w:rPr>
            </w:pPr>
            <w:r>
              <w:rPr>
                <w:sz w:val="4"/>
                <w:szCs w:val="4"/>
              </w:rPr>
            </w:r>
          </w:p>
        </w:tc>
      </w:tr>
      <w:tr>
        <w:trPr/>
        <w:tc>
          <w:tcPr>
            <w:tcW w:w="5119" w:type="dxa"/>
            <w:tcBorders/>
            <w:shd w:fill="auto" w:val="clear"/>
          </w:tcPr>
          <w:p>
            <w:pPr>
              <w:pStyle w:val="TableContents"/>
              <w:spacing w:before="0" w:after="0"/>
              <w:rPr>
                <w:rFonts w:ascii="arial" w:hAnsi="arial"/>
                <w:sz w:val="16"/>
              </w:rPr>
            </w:pPr>
            <w:r>
              <w:rPr>
                <w:rFonts w:ascii="arial" w:hAnsi="arial"/>
                <w:sz w:val="16"/>
              </w:rPr>
              <w:t>All directors and executive officers as a group (15 persons)</w:t>
            </w:r>
          </w:p>
        </w:tc>
        <w:tc>
          <w:tcPr>
            <w:tcW w:w="285"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193,129  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    </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Directors and certain executive officers also hold RSUs that are not included in the beneficial ownership table because vesting will not occur within 60 days of March 17, 2021. The amounts of RSUs held by non-employee directors as of December 31, 2020 are provided in the section of this proxy statement entitled Director Compensation and the amounts of RSUs held by executive officers are provided in the Outstanding Equity Awards at Fiscal Year-End Table.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Unvested RSAs are deemed beneficially owned because grantees of unvested RSAs under the Corporations equity compensation plans hold the sole right to vote such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Includes unvested RSUs for Mr. Berk 1,274; Mr. Brestle 1,274; Mr. Dahl 1,274; Mr. Kay 1,274; Ms. Nahas 1,274; Mr. Pasquale 1,274; and Mr. Ray 1,274. Each RSU represents a contingent right to receive one share of common stock. There are no voting rights associated with RSUs.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The amount for Mr. Berk does not include 740,545 shares of the Corporations Common Stock beneficially owned by MSD SBI, L.P. MSD Capital, L.P. is the general partner of MSD SBI, L.P. and may be deemed to beneficially own securities owned by MSD SBI, L.P. Mr. Berk is a partner of MSD Capital, L.P. and may be deemed to beneficially own securities owned by MSD Capital, L.P. Mr. Berk disclaims beneficial ownership of the shares that may be deemed to be beneficially owned by MSD Capital, L.P., except to the extent of his pecuniary interest therein.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 amount for Mr. Dahl includes 30,183 shares of Common Stock held by the Richard J. Dahl Revocable Living Trust dated 1/20/1995, of which Mr. Dahl serves as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The amount for Mr. Kay includes 12,259 shares of Common Stock held by the IRA Trustee for the benefit of Mr. Kay.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 amount for Mr. Pasquale includes 9,809 shares of Common Stock held by the Pasquale Living Trust.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20    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p>
      <w:pPr>
        <w:pStyle w:val="TextBody"/>
        <w:spacing w:before="0" w:after="0"/>
        <w:jc w:val="left"/>
        <w:rPr>
          <w:rFonts w:ascii="arial" w:hAnsi="arial"/>
          <w:b/>
          <w:sz w:val="42"/>
        </w:rPr>
      </w:pPr>
      <w:bookmarkStart w:id="25" w:name="toc116694_23"/>
      <w:bookmarkEnd w:id="25"/>
      <w:r>
        <w:rPr>
          <w:rFonts w:ascii="arial" w:hAnsi="arial"/>
          <w:b/>
          <w:sz w:val="42"/>
        </w:rPr>
        <w:t xml:space="preserve">EXECUTIVE COMPENSATION </w:t>
      </w:r>
    </w:p>
    <w:p>
      <w:pPr>
        <w:pStyle w:val="TextBody"/>
        <w:spacing w:before="360" w:after="0"/>
        <w:jc w:val="left"/>
        <w:rPr>
          <w:rFonts w:ascii="arial" w:hAnsi="arial"/>
          <w:b/>
          <w:color w:val="CF0A2C"/>
          <w:sz w:val="28"/>
        </w:rPr>
      </w:pPr>
      <w:bookmarkStart w:id="26" w:name="toc116694_24"/>
      <w:bookmarkEnd w:id="26"/>
      <w:r>
        <w:rPr>
          <w:rFonts w:ascii="arial" w:hAnsi="arial"/>
          <w:b/>
          <w:color w:val="CF0A2C"/>
          <w:sz w:val="28"/>
        </w:rPr>
        <w:t xml:space="preserve">COMPENSATION COMMITTEE REPORT </w:t>
      </w:r>
    </w:p>
    <w:p>
      <w:pPr>
        <w:pStyle w:val="TextBody"/>
        <w:spacing w:before="120" w:after="0"/>
        <w:jc w:val="left"/>
        <w:rPr>
          <w:rFonts w:ascii="arial" w:hAnsi="arial"/>
          <w:sz w:val="20"/>
        </w:rPr>
      </w:pPr>
      <w:r>
        <w:rPr>
          <w:rFonts w:ascii="arial" w:hAnsi="arial"/>
          <w:sz w:val="20"/>
        </w:rPr>
        <w:t xml:space="preserve">The Compensation Committee has reviewed and discussed the Compensation Discussion and Analysis required by Item 402(b) of Regulation S-K with management. Based on its review and discussion, the Compensation Committee recommended that the Board of Directors include the Compensation Discussion and Analysis in this proxy statement and the Corporations annual report on Form 10-K. </w:t>
      </w:r>
    </w:p>
    <w:p>
      <w:pPr>
        <w:pStyle w:val="TextBody"/>
        <w:spacing w:before="480" w:after="0"/>
        <w:jc w:val="center"/>
        <w:rPr>
          <w:rFonts w:ascii="arial" w:hAnsi="arial"/>
          <w:b/>
          <w:sz w:val="20"/>
        </w:rPr>
      </w:pPr>
      <w:r>
        <w:rPr>
          <w:rFonts w:ascii="arial" w:hAnsi="arial"/>
          <w:b/>
          <w:sz w:val="20"/>
        </w:rPr>
        <w:t xml:space="preserve">THIS REPORT IS SUBMITTED BY THE </w:t>
      </w:r>
    </w:p>
    <w:p>
      <w:pPr>
        <w:pStyle w:val="TextBody"/>
        <w:spacing w:before="0" w:after="0"/>
        <w:jc w:val="center"/>
        <w:rPr>
          <w:rFonts w:ascii="arial" w:hAnsi="arial"/>
          <w:b/>
          <w:sz w:val="20"/>
        </w:rPr>
      </w:pPr>
      <w:r>
        <w:rPr>
          <w:rFonts w:ascii="arial" w:hAnsi="arial"/>
          <w:b/>
          <w:sz w:val="20"/>
        </w:rPr>
        <w:t xml:space="preserve">COMPENSATION COMMITTEE OF THE BOARD OF DIRECTORS </w:t>
      </w:r>
    </w:p>
    <w:p>
      <w:pPr>
        <w:pStyle w:val="TextBody"/>
        <w:spacing w:before="240" w:after="0"/>
        <w:jc w:val="center"/>
        <w:rPr>
          <w:rFonts w:ascii="arial" w:hAnsi="arial"/>
          <w:sz w:val="20"/>
        </w:rPr>
      </w:pPr>
      <w:r>
        <w:rPr>
          <w:rFonts w:ascii="arial" w:hAnsi="arial"/>
          <w:sz w:val="20"/>
        </w:rPr>
        <w:t xml:space="preserve">Daniel J. Brestle (Chairman) </w:t>
      </w:r>
    </w:p>
    <w:p>
      <w:pPr>
        <w:pStyle w:val="TextBody"/>
        <w:spacing w:before="0" w:after="0"/>
        <w:jc w:val="center"/>
        <w:rPr>
          <w:rFonts w:ascii="arial" w:hAnsi="arial"/>
          <w:sz w:val="20"/>
        </w:rPr>
      </w:pPr>
      <w:r>
        <w:rPr>
          <w:rFonts w:ascii="arial" w:hAnsi="arial"/>
          <w:sz w:val="20"/>
        </w:rPr>
        <w:t xml:space="preserve">Howard M. Berk </w:t>
      </w:r>
    </w:p>
    <w:p>
      <w:pPr>
        <w:pStyle w:val="TextBody"/>
        <w:spacing w:before="0" w:after="0"/>
        <w:jc w:val="center"/>
        <w:rPr>
          <w:rFonts w:ascii="arial" w:hAnsi="arial"/>
          <w:sz w:val="20"/>
        </w:rPr>
      </w:pPr>
      <w:r>
        <w:rPr>
          <w:rFonts w:ascii="arial" w:hAnsi="arial"/>
          <w:sz w:val="20"/>
        </w:rPr>
        <w:t xml:space="preserve">Caroline W. Nahas </w:t>
      </w:r>
    </w:p>
    <w:p>
      <w:pPr>
        <w:pStyle w:val="TextBody"/>
        <w:spacing w:before="360" w:after="0"/>
        <w:jc w:val="left"/>
        <w:rPr>
          <w:rFonts w:ascii="arial" w:hAnsi="arial"/>
          <w:b/>
          <w:color w:val="CF0A2C"/>
          <w:sz w:val="28"/>
        </w:rPr>
      </w:pPr>
      <w:bookmarkStart w:id="27" w:name="toc116694_25"/>
      <w:bookmarkEnd w:id="27"/>
      <w:r>
        <w:rPr>
          <w:rFonts w:ascii="arial" w:hAnsi="arial"/>
          <w:b/>
          <w:color w:val="CF0A2C"/>
          <w:sz w:val="28"/>
        </w:rPr>
        <w:t xml:space="preserve">COMPENSATION DISCUSSION AND ANALYSIS </w:t>
      </w:r>
    </w:p>
    <w:p>
      <w:pPr>
        <w:pStyle w:val="TextBody"/>
        <w:spacing w:before="120" w:after="0"/>
        <w:jc w:val="left"/>
        <w:rPr>
          <w:rFonts w:ascii="arial" w:hAnsi="arial"/>
          <w:sz w:val="20"/>
        </w:rPr>
      </w:pPr>
      <w:r>
        <w:rPr>
          <w:rFonts w:ascii="arial" w:hAnsi="arial"/>
          <w:sz w:val="20"/>
        </w:rPr>
        <w:t xml:space="preserve">The following discussion provides an overview and analysis of the Corporations compensation programs and policies, the material compensation decisions made under those programs and policies with respect to the Corporations named executive officers (the NEOs) and the material factors that were considered in making those decisions. Following this Compensation Discussion and Analysis is a series of tables under the heading Compensation Tables containing specific data about the compensation earned by or granted to our NEOs in 2020. </w:t>
      </w:r>
    </w:p>
    <w:p>
      <w:pPr>
        <w:pStyle w:val="TextBody"/>
        <w:spacing w:before="120" w:after="0"/>
        <w:jc w:val="left"/>
        <w:rPr>
          <w:rFonts w:ascii="arial" w:hAnsi="arial"/>
          <w:sz w:val="20"/>
        </w:rPr>
      </w:pPr>
      <w:r>
        <w:rPr>
          <w:rFonts w:ascii="arial" w:hAnsi="arial"/>
          <w:sz w:val="20"/>
        </w:rPr>
        <w:t xml:space="preserve">The following executive officers were NEOs in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Chief Executive Officer, Stephen P. Joyce (through January 4,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204"/>
        <w:gridCol w:w="9387"/>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arial" w:hAnsi="arial"/>
                <w:sz w:val="20"/>
              </w:rPr>
            </w:pPr>
            <w:r>
              <w:rPr>
                <w:rFonts w:ascii="arial" w:hAnsi="arial"/>
                <w:sz w:val="20"/>
              </w:rPr>
              <w:t xml:space="preserve">Chief Financial Officer, Thomas H. Song (through January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President of the Applebees Business Unit, John C. Cywinski;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0"/>
        <w:gridCol w:w="204"/>
        <w:gridCol w:w="9384"/>
      </w:tblGrid>
      <w:tr>
        <w:trPr/>
        <w:tc>
          <w:tcPr>
            <w:tcW w:w="40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arial" w:hAnsi="arial"/>
                <w:sz w:val="20"/>
              </w:rPr>
            </w:pPr>
            <w:r>
              <w:rPr>
                <w:rFonts w:ascii="arial" w:hAnsi="arial"/>
                <w:sz w:val="20"/>
              </w:rPr>
              <w:t xml:space="preserve">President of the IHOP Business Unit, Jay D. Johns;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5"/>
        <w:gridCol w:w="203"/>
        <w:gridCol w:w="9390"/>
      </w:tblGrid>
      <w:tr>
        <w:trPr/>
        <w:tc>
          <w:tcPr>
            <w:tcW w:w="40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Senior Vice President, Legal, General Counsel and Secretary, Bryan R. Adel </w:t>
            </w:r>
          </w:p>
        </w:tc>
      </w:tr>
    </w:tbl>
    <w:p>
      <w:pPr>
        <w:pStyle w:val="TextBody"/>
        <w:spacing w:before="120" w:after="0"/>
        <w:jc w:val="left"/>
        <w:rPr>
          <w:rFonts w:ascii="arial" w:hAnsi="arial"/>
          <w:sz w:val="20"/>
        </w:rPr>
      </w:pPr>
      <w:r>
        <w:rPr>
          <w:rFonts w:ascii="arial" w:hAnsi="arial"/>
          <w:sz w:val="20"/>
        </w:rPr>
        <w:t xml:space="preserve">On January 4, 2021, our former Chief Executive Officer, Mr. Joyce, transitioned to the role of non-executive special advisor and John W. Peyton became our Chief Executive Officer. On February 16, 2021, Mr. Joyce retired from the Corporation. On January 22, 2021, our former Chief Financial Officer, Mr. Song, resigned and Allison Hall was appointed as our interim Chief Financial Officer. On March 17, 2021, we announced the upcoming retirement of Bryan R. Adel, who will be succeeded as our Senior Vice President, Legal, General Counsel and Secretary by Christine K. Son, effective April 23, 2021. Ms. Son joined the Corporation in 2011, and has served as Vice President, Deputy General Counsel and Assistant Secretary of the Corporation since 2019 and as Vice President, Associate General Counsel from 2014 to 2019. </w:t>
      </w:r>
    </w:p>
    <w:p>
      <w:pPr>
        <w:pStyle w:val="TextBody"/>
        <w:spacing w:before="240" w:after="0"/>
        <w:jc w:val="left"/>
        <w:rPr>
          <w:rFonts w:ascii="arial" w:hAnsi="arial"/>
          <w:b/>
          <w:color w:val="CF0A2C"/>
          <w:sz w:val="28"/>
        </w:rPr>
      </w:pPr>
      <w:r>
        <w:rPr>
          <w:rFonts w:ascii="arial" w:hAnsi="arial"/>
          <w:b/>
          <w:color w:val="CF0A2C"/>
          <w:sz w:val="28"/>
        </w:rPr>
        <w:t xml:space="preserve">Executive Summary </w:t>
      </w:r>
    </w:p>
    <w:p>
      <w:pPr>
        <w:pStyle w:val="TextBody"/>
        <w:spacing w:before="120" w:after="0"/>
        <w:jc w:val="left"/>
        <w:rPr>
          <w:rFonts w:ascii="arial" w:hAnsi="arial"/>
          <w:b/>
          <w:sz w:val="20"/>
        </w:rPr>
      </w:pPr>
      <w:r>
        <w:rPr>
          <w:rFonts w:ascii="arial" w:hAnsi="arial"/>
          <w:b/>
          <w:sz w:val="20"/>
        </w:rPr>
        <w:t xml:space="preserve">2020 Fiscal Year Performance Highlights and Link to Pay Decisions </w:t>
      </w:r>
    </w:p>
    <w:p>
      <w:pPr>
        <w:pStyle w:val="TextBody"/>
        <w:spacing w:before="120" w:after="0"/>
        <w:jc w:val="left"/>
        <w:rPr>
          <w:rFonts w:ascii="arial" w:hAnsi="arial"/>
          <w:sz w:val="20"/>
        </w:rPr>
      </w:pPr>
      <w:r>
        <w:rPr>
          <w:rFonts w:ascii="arial" w:hAnsi="arial"/>
          <w:sz w:val="20"/>
        </w:rPr>
        <w:t xml:space="preserve">Our compensation decisions for 2020 were driven by our overarching goal of creating long-term stockholder value and linking pay with performance. 2020 performance was significantly impacted by the COVID-19 pandemic and related governmental restrictions, which resulted in significant limitations to dine-in business, operating hours and in some cases temporary and permanent restaurant closures that significantly affected performance results. Throughout 2020, we took a number of actions to increase financial flexibility, stabilize our business and mitigate the effects of the COVID-19 pandemic on our operations,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0"/>
        <w:gridCol w:w="204"/>
        <w:gridCol w:w="9384"/>
      </w:tblGrid>
      <w:tr>
        <w:trPr/>
        <w:tc>
          <w:tcPr>
            <w:tcW w:w="40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arial" w:hAnsi="arial"/>
                <w:sz w:val="20"/>
              </w:rPr>
            </w:pPr>
            <w:r>
              <w:rPr>
                <w:rFonts w:ascii="arial" w:hAnsi="arial"/>
                <w:sz w:val="20"/>
              </w:rPr>
              <w:t xml:space="preserve">We rapidly shifted focus to our off-premise business (takeout and to-go) and instituted a variety of operational procedures to protect the health and foster the confidence of employees and guests at our restaurants.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21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COMPENSATION</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2"/>
        <w:gridCol w:w="205"/>
        <w:gridCol w:w="9382"/>
      </w:tblGrid>
      <w:tr>
        <w:trPr/>
        <w:tc>
          <w:tcPr>
            <w:tcW w:w="406"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arial" w:hAnsi="arial"/>
                <w:sz w:val="20"/>
              </w:rPr>
            </w:pPr>
            <w:r>
              <w:rPr>
                <w:rFonts w:ascii="arial" w:hAnsi="arial"/>
                <w:sz w:val="20"/>
              </w:rPr>
              <w:t xml:space="preserve">We worked with our franchisees to offer a limited menu and to modify their operating hours in a manner that optimized the functionality of their restaurants.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4"/>
        <w:gridCol w:w="9390"/>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We reduced discretionary costs. Our General &amp; Administrative expenses for the year ended December 31, 2020 were $18.0 million lower than the prior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We negotiated rent deferrals and abatements on properties we lease of approximately $11 million, primarily related to rent deferrals for properties on which IHOP restaurants are located.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We allowed franchisees to defer their 2020 unit remodel and development obligations for up to 15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We hired external consultants to work with franchisees and key franchise leaders in assessing franchisee financial health and to better understand performance variability.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We took precautionary measures to increase our financial flexibility due to the conditions caused by COVID-19 by drawing down $220 million from revolving credit facility, all of which we have repaid as of March 30,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As of December 31, 2020, excluding the $220 million we drew from our revolving credit facility, we had total cash of $236.1 million, $63.6 million above the total cash of $172.5 million as of December 31, 2019. </w:t>
            </w:r>
          </w:p>
        </w:tc>
      </w:tr>
    </w:tbl>
    <w:p>
      <w:pPr>
        <w:pStyle w:val="TextBody"/>
        <w:spacing w:before="120" w:after="0"/>
        <w:jc w:val="left"/>
        <w:rPr>
          <w:rFonts w:ascii="arial" w:hAnsi="arial"/>
          <w:sz w:val="20"/>
        </w:rPr>
      </w:pPr>
      <w:r>
        <w:rPr>
          <w:rFonts w:ascii="arial" w:hAnsi="arial"/>
          <w:sz w:val="20"/>
        </w:rPr>
        <w:t xml:space="preserve">We believe the Corporations actions and responses to the global pandemic in 2020 have positioned the Corporation for stability, performance, and growth as we exit the pandemic. However, given the volatility experienced during 2020 and the business and financial disruptions resulting from the COVID-19 pandemic, including the governmentally-mandated shutdown of many of our dining rooms, the goals under our 2020 Annual Incentive Plan became unattainable and the outstanding cash LTIP performance cycles became misaligned with the interest of investors over the course of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As such, the performance metrics in the 2020 Annual Incentive Plan were not achieved as AEPS, Operating Profit, Same Restaurant Sales and Net Development results all fell below threshold. Accordingly, no payments were made pursuant to the 2020 Annual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In acknowledgement of various factors, including, (i) the actions taken to stabilize the business during a time of significant industry disruption from the COVID-19 pandemic, (ii) the Corporations relative financial performance during a period of extreme volatility and disruption, and (iii) the need to ensure that the Corporation retains and motivates key employees to successfully drive its business beyond the pandemic to create additional long-term stockholder value, the Compensation Committee approved discretionary cash awards for all our employees, including discretionary cash payments equal to 50% of the target annual cash incentive for each NEO.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jc w:val="center"/>
              <w:rPr/>
            </w:pPr>
            <w:r>
              <w:rPr/>
              <w:drawing>
                <wp:inline distT="0" distB="0" distL="0" distR="0">
                  <wp:extent cx="409575" cy="297180"/>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409575" cy="297180"/>
                          </a:xfrm>
                          <a:prstGeom prst="rect">
                            <a:avLst/>
                          </a:prstGeom>
                        </pic:spPr>
                      </pic:pic>
                    </a:graphicData>
                  </a:graphic>
                </wp:inline>
              </w:drawing>
            </w:r>
            <w:r>
              <w:rPr/>
              <w:t xml:space="preserv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22    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awards under the long-term cash incentive plan (cash LTIP) for fiscal years 2018, 2019, and 2020 were made in the form of performance units with three-year performance periods and were originally designed to be earned 50% based on the total stockholder return of the Corporation for the performance period against a peer group comprised of all publicly-traded restaurant companies (Relative TSR) and 50% based on growth in the Corporations annual average adjusted earnings per share (AEPS). The impact of the COVID-19 pandemic on business results in 2020 created the following unintended effects on the cash LTIP awards: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0"/>
        <w:gridCol w:w="204"/>
        <w:gridCol w:w="9384"/>
      </w:tblGrid>
      <w:tr>
        <w:trPr/>
        <w:tc>
          <w:tcPr>
            <w:tcW w:w="40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arial" w:hAnsi="arial"/>
                <w:sz w:val="20"/>
              </w:rPr>
            </w:pPr>
            <w:r>
              <w:rPr>
                <w:rFonts w:ascii="arial" w:hAnsi="arial"/>
                <w:sz w:val="20"/>
              </w:rPr>
              <w:t xml:space="preserve">2018 and 2019 AEPS growth results were significantly above target and nearly at their maximum level, but the business and financial disruptions resulting from the COVID-19 pandemic were so significant that they completely eliminated the AEPS portion of the cash LTIP awards for the entire 2018-2020 cycle.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0"/>
        <w:gridCol w:w="204"/>
        <w:gridCol w:w="9384"/>
      </w:tblGrid>
      <w:tr>
        <w:trPr/>
        <w:tc>
          <w:tcPr>
            <w:tcW w:w="40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arial" w:hAnsi="arial"/>
                <w:sz w:val="20"/>
              </w:rPr>
            </w:pPr>
            <w:r>
              <w:rPr>
                <w:rFonts w:ascii="arial" w:hAnsi="arial"/>
                <w:sz w:val="20"/>
              </w:rPr>
              <w:t xml:space="preserve">The COVID-19 pandemic resulted in a historically low AEPS baseline for 2020, which was likely to result in atypically high average AEPS growth results for the 2019-2021 and 2020-2022 cycles, with a high probability of maximum payouts for the AEPS portion of these awards. </w:t>
            </w:r>
          </w:p>
        </w:tc>
      </w:tr>
    </w:tbl>
    <w:p>
      <w:pPr>
        <w:pStyle w:val="TextBody"/>
        <w:spacing w:before="120" w:after="0"/>
        <w:jc w:val="left"/>
        <w:rPr>
          <w:rFonts w:ascii="arial" w:hAnsi="arial"/>
          <w:sz w:val="20"/>
        </w:rPr>
      </w:pPr>
      <w:r>
        <w:rPr>
          <w:rFonts w:ascii="arial" w:hAnsi="arial"/>
          <w:sz w:val="20"/>
        </w:rPr>
        <w:t xml:space="preserve">Therefore, the Compensation Committee removed the AEPS performance metric for the cash LTIP awards for 2018, 2019, and 2020, such that each of these awards are measured only by the Corporations Relative TSR. In making this decision, the Compensation Committee considered various factors, including (i) maintaining pay-for-performance alignment, (ii) reducing the unplanned impact of the business and financial disruptions caused by the COVID-19 pandemic, and (iii) aligning executive and stockholder interests by solely measuring the Corporations shareholder returns relative to similar companies. Although this action did increase the payout for the 2018-2020 cash LTIP cycle, it more closely aligns payouts with pre-pandemic performance and Relative TSR performance. For the 2019-2021 and 2020-2022 cycles, this action avoided expected maximum payouts for the AEPS portion of the awards.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cash LTIP plan for 2018-2020 paid out at 134.0% of target due to a Relative TSR performance percentile rank of 63.6% relative to an index of publicly traded restaurant companies. Absent the adjustment to remove the AEPS performance metric from the outstanding cash LTIP awards, the 2018-2020 cash LTIP would have paid out at 67% of target.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jc w:val="center"/>
              <w:rPr/>
            </w:pPr>
            <w:r>
              <w:rPr/>
              <w:drawing>
                <wp:inline distT="0" distB="0" distL="0" distR="0">
                  <wp:extent cx="318135" cy="266700"/>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318135" cy="266700"/>
                          </a:xfrm>
                          <a:prstGeom prst="rect">
                            <a:avLst/>
                          </a:prstGeom>
                        </pic:spPr>
                      </pic:pic>
                    </a:graphicData>
                  </a:graphic>
                </wp:inline>
              </w:drawing>
            </w:r>
            <w:r>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sz w:val="11"/>
              </w:rPr>
              <w:t></w:t>
            </w:r>
            <w:r>
              <w:rPr/>
              <w:t> </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For complete information regarding the Corporations 2020 performance, stockholders should read Managements Discussion and Analysis of Results of Operation and Financial Condition and the audited consolidated financial statements and accompanying notes thereto contained in the Corporations 2020 annual report on Form 10-K filed with the SEC on March 2, 2021, which is being made available to stockholders with this proxy statement.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23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COMPENSATION</w:t>
            </w:r>
          </w:p>
        </w:tc>
      </w:tr>
    </w:tbl>
    <w:p>
      <w:pPr>
        <w:pStyle w:val="TextBody"/>
        <w:spacing w:before="0" w:after="0"/>
        <w:jc w:val="left"/>
        <w:rPr/>
      </w:pPr>
      <w:r>
        <w:rPr/>
        <w:t> </w:t>
      </w:r>
    </w:p>
    <w:p>
      <w:pPr>
        <w:pStyle w:val="TextBody"/>
        <w:spacing w:before="0" w:after="0"/>
        <w:jc w:val="left"/>
        <w:rPr>
          <w:rFonts w:ascii="arial" w:hAnsi="arial"/>
          <w:b/>
          <w:color w:val="CF0A2C"/>
          <w:sz w:val="28"/>
        </w:rPr>
      </w:pPr>
      <w:r>
        <w:rPr>
          <w:rFonts w:ascii="arial" w:hAnsi="arial"/>
          <w:b/>
          <w:color w:val="CF0A2C"/>
          <w:sz w:val="28"/>
        </w:rPr>
        <w:t xml:space="preserve">Compensation Policies, Practices and Risk Management </w:t>
      </w:r>
    </w:p>
    <w:p>
      <w:pPr>
        <w:pStyle w:val="TextBody"/>
        <w:spacing w:before="120" w:after="0"/>
        <w:jc w:val="left"/>
        <w:rPr>
          <w:rFonts w:ascii="arial" w:hAnsi="arial"/>
          <w:sz w:val="20"/>
        </w:rPr>
      </w:pPr>
      <w:r>
        <w:rPr>
          <w:rFonts w:ascii="arial" w:hAnsi="arial"/>
          <w:sz w:val="20"/>
        </w:rPr>
        <w:t xml:space="preserve">The Compensation Committee, along with the Chief Executive Officer and the Senior Vice President, Chief People Officer, continually assess the Corporations compensation policies and practices to evaluate whether they remain aligned with the Corporations pay-for-performance culture, the creation of long-term stockholder value, effective risk management and strong governance practices. </w:t>
      </w:r>
    </w:p>
    <w:p>
      <w:pPr>
        <w:pStyle w:val="TextBody"/>
        <w:spacing w:before="120" w:after="0"/>
        <w:jc w:val="left"/>
        <w:rPr>
          <w:rFonts w:ascii="arial" w:hAnsi="arial"/>
          <w:sz w:val="20"/>
        </w:rPr>
      </w:pPr>
      <w:r>
        <w:rPr>
          <w:rFonts w:ascii="arial" w:hAnsi="arial"/>
          <w:sz w:val="20"/>
        </w:rPr>
        <w:t xml:space="preserve">The Compensation Committee believes that, through a combination of risk-mitigating features and incentives guided by relevant market practices and corporate-wide goals, our compensation policies and practices do not present risks that are reasonably likely to have a material adverse effect on the Corporation. The Compensation Committee believes that appropriate safeguards are in place with respect to compensation policies and practices that assist in mitigating excessive risk-taking that could harm the value of the Corporation or reward poor judgment by the Corporations executives and other employees. </w:t>
      </w:r>
    </w:p>
    <w:p>
      <w:pPr>
        <w:pStyle w:val="TextBody"/>
        <w:spacing w:before="120" w:after="0"/>
        <w:jc w:val="left"/>
        <w:rPr>
          <w:rFonts w:ascii="arial" w:hAnsi="arial"/>
          <w:sz w:val="20"/>
        </w:rPr>
      </w:pPr>
      <w:r>
        <w:rPr>
          <w:rFonts w:ascii="arial" w:hAnsi="arial"/>
          <w:sz w:val="20"/>
        </w:rPr>
        <w:t xml:space="preserve">The Compensation Committees independent compensation consultant, Exequity LLP (Exequity), conducted a risk assessment in 2020 of the Corporations compensation policies and practices as they apply to all employees, including the NEOs. Exequity reviewed the design features and performance metrics of the Corporations cash and stock-based incentive programs along with the approval mechanisms associated with each and determined that the Corporations policies and practices were unlikely to create risks that are reasonably likely to have a material adverse effect on the Corporation. </w:t>
      </w:r>
    </w:p>
    <w:p>
      <w:pPr>
        <w:pStyle w:val="TextBody"/>
        <w:spacing w:before="120" w:after="0"/>
        <w:jc w:val="left"/>
        <w:rPr>
          <w:rFonts w:ascii="arial" w:hAnsi="arial"/>
          <w:sz w:val="20"/>
        </w:rPr>
      </w:pPr>
      <w:r>
        <w:rPr>
          <w:rFonts w:ascii="arial" w:hAnsi="arial"/>
          <w:sz w:val="20"/>
        </w:rPr>
        <w:t xml:space="preserve">The following actions, practices and policies are intended to provide for continued alignment with the Corporations principles and/or reduce the likelihood of excessive risk-taking: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7"/>
        <w:gridCol w:w="204"/>
        <w:gridCol w:w="9388"/>
      </w:tblGrid>
      <w:tr>
        <w:trPr/>
        <w:tc>
          <w:tcPr>
            <w:tcW w:w="406"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8" w:type="dxa"/>
            <w:tcBorders/>
            <w:shd w:fill="auto" w:val="clear"/>
          </w:tcPr>
          <w:p>
            <w:pPr>
              <w:pStyle w:val="TableContents"/>
              <w:spacing w:before="0" w:after="0"/>
              <w:jc w:val="left"/>
              <w:rPr>
                <w:rFonts w:ascii="arial" w:hAnsi="arial"/>
                <w:sz w:val="20"/>
              </w:rPr>
            </w:pPr>
            <w:r>
              <w:rPr>
                <w:rFonts w:ascii="arial" w:hAnsi="arial"/>
                <w:sz w:val="20"/>
              </w:rPr>
              <w:t xml:space="preserve">The Compensation Committee reviews Chief Executive Officer pay-for-performance alignment by evaluating the Chief Executive Officers compensation relative to the Corporations TSR performance over the last five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Directors and officers of the Corporation are subject to stock ownership guidelines.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The Corporations compensation mix is balanced among fixed components such as salary and benefits, and variable compensation such as annual cash incentive payments and long-term incentive awards including NQSOs, RSAs, RSUs, and participation in the cash LTIP, which generally vest or are earned over three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The Corporations annual cash incentive plan and three-year cash LTIP both have capped payment opportunities and primarily reward achievement for different performance metrics. Further, the cash LTIP is measured against an index of publicly-traded restaurant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The Compensation Committee has ultimate authority to determine, and increase or decrease, if appropriate, compensation provided to the Corporations executive officers, including each of the NEOs.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The Compensation Committee annually undertakes a tally sheet analysis of total annual compensation and the total potential payout under various termination scenarios for the NEOs.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204"/>
        <w:gridCol w:w="9387"/>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arial" w:hAnsi="arial"/>
                <w:sz w:val="20"/>
              </w:rPr>
            </w:pPr>
            <w:r>
              <w:rPr>
                <w:rFonts w:ascii="arial" w:hAnsi="arial"/>
                <w:sz w:val="20"/>
              </w:rPr>
              <w:t xml:space="preserve">The Corporation maintains a Clawback Policy, which allows the Board of Directors to recoup incentive compensation in certain circumstances. See Clawback Policy for further details on the Corporations policy.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208"/>
        <w:gridCol w:w="204"/>
        <w:gridCol w:w="9388"/>
      </w:tblGrid>
      <w:tr>
        <w:trPr/>
        <w:tc>
          <w:tcPr>
            <w:tcW w:w="4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8" w:type="dxa"/>
            <w:tcBorders/>
            <w:shd w:fill="auto" w:val="clear"/>
          </w:tcPr>
          <w:p>
            <w:pPr>
              <w:pStyle w:val="TableContents"/>
              <w:spacing w:before="0" w:after="0"/>
              <w:jc w:val="left"/>
              <w:rPr>
                <w:rFonts w:ascii="arial" w:hAnsi="arial"/>
                <w:sz w:val="20"/>
              </w:rPr>
            </w:pPr>
            <w:r>
              <w:rPr>
                <w:rFonts w:ascii="arial" w:hAnsi="arial"/>
                <w:sz w:val="20"/>
              </w:rPr>
              <w:t xml:space="preserve">All outstanding long-term incentive award agreements use a double-trigger definition for acceleration of vesting that requires both a change-in-control and a qualifying termination following such change-in-control.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All employees, including our NEOs, and the Board of Directors are subject to the Corporations Insider Trading Policy, which contains a prohibition on engaging in hedging and pledging transactions involving the Corporations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Compensation Committee has set the grant date for annual equity awards to be the close of business on the second full business day after our announcement of fiscal year-end earnings.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The Compensation Committee utilizes the services of an independent compensation consultant who does not provide any other services to the Corporation and has the authority to retain any advisor it deems necessary to fulfill its obligations.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The Corporations equity compensation plans do not permit repricing of previously granted stock options without stockholder approval.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24    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Corporation has not authorized any multi-year guaranteed bonuses.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2"/>
        <w:gridCol w:w="205"/>
        <w:gridCol w:w="9381"/>
      </w:tblGrid>
      <w:tr>
        <w:trPr/>
        <w:tc>
          <w:tcPr>
            <w:tcW w:w="407"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arial" w:hAnsi="arial"/>
                <w:sz w:val="20"/>
              </w:rPr>
            </w:pPr>
            <w:r>
              <w:rPr>
                <w:rFonts w:ascii="arial" w:hAnsi="arial"/>
                <w:sz w:val="20"/>
              </w:rPr>
              <w:t xml:space="preserve">The Corporation does not provide tax gross-ups on severance payments or perquisites other than certain expenses related to relocation. </w:t>
            </w:r>
          </w:p>
        </w:tc>
      </w:tr>
    </w:tbl>
    <w:p>
      <w:pPr>
        <w:pStyle w:val="TextBody"/>
        <w:spacing w:before="360" w:after="0"/>
        <w:jc w:val="left"/>
        <w:rPr>
          <w:rFonts w:ascii="arial" w:hAnsi="arial"/>
          <w:b/>
          <w:color w:val="CF0A2C"/>
          <w:sz w:val="28"/>
        </w:rPr>
      </w:pPr>
      <w:r>
        <w:rPr>
          <w:rFonts w:ascii="arial" w:hAnsi="arial"/>
          <w:b/>
          <w:color w:val="CF0A2C"/>
          <w:sz w:val="28"/>
        </w:rPr>
        <w:t xml:space="preserve">Overview of Executive Compensation Philosophy and Objectives </w:t>
      </w:r>
    </w:p>
    <w:p>
      <w:pPr>
        <w:pStyle w:val="TextBody"/>
        <w:spacing w:before="120" w:after="0"/>
        <w:jc w:val="left"/>
        <w:rPr>
          <w:rFonts w:ascii="arial" w:hAnsi="arial"/>
          <w:sz w:val="20"/>
        </w:rPr>
      </w:pPr>
      <w:r>
        <w:rPr>
          <w:rFonts w:ascii="arial" w:hAnsi="arial"/>
          <w:sz w:val="20"/>
        </w:rPr>
        <w:t xml:space="preserve">The Compensation Committee has structured the Corporations executive compensation programs to align with a compensation philosophy that is based on several objectives,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Instilling an ownership culture and linking the interests of the NEOs with those of the Corporations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Paying for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Rewarding executives for achievement of both annual and longer-term financial and key operating goals of the Corporation;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13"/>
        <w:gridCol w:w="205"/>
        <w:gridCol w:w="9380"/>
      </w:tblGrid>
      <w:tr>
        <w:trPr/>
        <w:tc>
          <w:tcPr>
            <w:tcW w:w="407"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205"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arial" w:hAnsi="arial"/>
                <w:sz w:val="20"/>
              </w:rPr>
            </w:pPr>
            <w:r>
              <w:rPr>
                <w:rFonts w:ascii="arial" w:hAnsi="arial"/>
                <w:sz w:val="20"/>
              </w:rPr>
              <w:t xml:space="preserve">Facilitating the attraction, motivation, and retention of highly talented, entrepreneurial, and creative executive leaders. </w:t>
            </w:r>
          </w:p>
        </w:tc>
      </w:tr>
    </w:tbl>
    <w:p>
      <w:pPr>
        <w:pStyle w:val="TextBody"/>
        <w:spacing w:before="360" w:after="0"/>
        <w:jc w:val="left"/>
        <w:rPr>
          <w:rFonts w:ascii="arial" w:hAnsi="arial"/>
          <w:b/>
          <w:color w:val="CF0A2C"/>
          <w:sz w:val="28"/>
        </w:rPr>
      </w:pPr>
      <w:r>
        <w:rPr>
          <w:rFonts w:ascii="arial" w:hAnsi="arial"/>
          <w:b/>
          <w:color w:val="CF0A2C"/>
          <w:sz w:val="28"/>
        </w:rPr>
        <w:t xml:space="preserve">The Role of the Compensation Committee </w:t>
      </w:r>
    </w:p>
    <w:p>
      <w:pPr>
        <w:pStyle w:val="TextBody"/>
        <w:spacing w:before="120" w:after="0"/>
        <w:jc w:val="left"/>
        <w:rPr>
          <w:rFonts w:ascii="arial" w:hAnsi="arial"/>
          <w:sz w:val="20"/>
        </w:rPr>
      </w:pPr>
      <w:r>
        <w:rPr>
          <w:rFonts w:ascii="arial" w:hAnsi="arial"/>
          <w:sz w:val="20"/>
        </w:rPr>
        <w:t xml:space="preserve">Under its charter, the Compensation Committee has the sole authority to determine and approve compensation for the Corporations NEOs and other executive officers. In addition, the Compensation Committee, which is comprised solely of independent directors and reports regularly to the Board of Directors: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reviews and approves compensation and benefits programs, including grants made pursuant to the Corporations equity compensation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oversees the Corporations executive compensation philosophy and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ensures that proper due diligence, deliberations, and reviews of executive compensation are conducted;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4"/>
        <w:gridCol w:w="204"/>
        <w:gridCol w:w="9391"/>
      </w:tblGrid>
      <w:tr>
        <w:trPr/>
        <w:tc>
          <w:tcPr>
            <w:tcW w:w="406"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maintains visibility into, assists with the development of, and monitors progress of programs regarding the Corporations organizational culture, including diversity and inclusion;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oversees risks related to the Corporations compensation practices. </w:t>
            </w:r>
          </w:p>
        </w:tc>
      </w:tr>
    </w:tbl>
    <w:p>
      <w:pPr>
        <w:pStyle w:val="TextBody"/>
        <w:spacing w:before="120" w:after="0"/>
        <w:jc w:val="left"/>
        <w:rPr>
          <w:rFonts w:ascii="arial" w:hAnsi="arial"/>
          <w:sz w:val="20"/>
        </w:rPr>
      </w:pPr>
      <w:r>
        <w:rPr>
          <w:rFonts w:ascii="arial" w:hAnsi="arial"/>
          <w:sz w:val="20"/>
        </w:rPr>
        <w:t xml:space="preserve">The Compensation Committee is also responsible for reviewing the compensation for the members of the Board of Directors and submits any recommended changes for approval by the Board of Directors. </w:t>
      </w:r>
    </w:p>
    <w:p>
      <w:pPr>
        <w:pStyle w:val="TextBody"/>
        <w:spacing w:before="120" w:after="0"/>
        <w:jc w:val="left"/>
        <w:rPr>
          <w:rFonts w:ascii="arial" w:hAnsi="arial"/>
          <w:sz w:val="20"/>
        </w:rPr>
      </w:pPr>
      <w:r>
        <w:rPr>
          <w:rFonts w:ascii="arial" w:hAnsi="arial"/>
          <w:sz w:val="20"/>
        </w:rPr>
        <w:t xml:space="preserve">The Compensation Committee reviews the Corporations executive compensation plans throughout the fiscal year. Decisions concerning annual salary increases, the approval of annual cash incentives, the design and objectives of each years incentive plan and the granting of long-term incentive (LTI) awards are typically made in the first quarter of each fiscal year after a series of meetings among the Compensation Committee, its compensation consultant, the Chief Executive Officer and the Senior Vice President, Chief People Officer. The Compensation Committee also performs a tally sheet analysis which provides the Compensation Committee with information related to total annual compensation of each NEO and the potential payout each NEO would receive upon separation from the Corporation. The Compensation Committee performs this analysis on an annual basis as part of its oversight function with respect to executive compensation. </w:t>
      </w:r>
    </w:p>
    <w:p>
      <w:pPr>
        <w:pStyle w:val="TextBody"/>
        <w:spacing w:before="120" w:after="0"/>
        <w:jc w:val="left"/>
        <w:rPr>
          <w:rFonts w:ascii="arial" w:hAnsi="arial"/>
          <w:sz w:val="20"/>
        </w:rPr>
      </w:pPr>
      <w:r>
        <w:rPr>
          <w:rFonts w:ascii="arial" w:hAnsi="arial"/>
          <w:sz w:val="20"/>
        </w:rPr>
        <w:t xml:space="preserve">The general practice of the Compensation Committee has been to evaluate annually the performance of the Chief Executive Officer and the other executive officers and approve compensation based on this evaluation. As it relates to the assessment of the Chief Executive Officers performance, the Chairman of the Board of Directors and the chairs of the Compensation Committee and the Nominating and Corporate Governance Committee discuss annual performance goals with the Chief Executive Officer and conduct an annual performance review and compensation discussion. </w:t>
      </w:r>
    </w:p>
    <w:p>
      <w:pPr>
        <w:pStyle w:val="TextBody"/>
        <w:spacing w:before="120" w:after="0"/>
        <w:jc w:val="left"/>
        <w:rPr>
          <w:rFonts w:ascii="arial" w:hAnsi="arial"/>
          <w:sz w:val="20"/>
        </w:rPr>
      </w:pPr>
      <w:r>
        <w:rPr>
          <w:rFonts w:ascii="arial" w:hAnsi="arial"/>
          <w:sz w:val="20"/>
        </w:rPr>
        <w:t xml:space="preserve">In addition, the Compensation Committee annually determines the compensation of the other executive officers based on evaluations of their respective performance.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25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COMPENSATION</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Generally, the Chief Executive Officer and the Senior Vice President, Chief People Officer provide input to the Compensation Committee in connection with its compensation deliberations except with regard to decisions concerning themselves: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Chief Executive Officer provides assessments of each NEOs performance against specific objectives and overall contributions, potential future contributions, and retention risk;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208"/>
        <w:gridCol w:w="204"/>
        <w:gridCol w:w="9388"/>
      </w:tblGrid>
      <w:tr>
        <w:trPr/>
        <w:tc>
          <w:tcPr>
            <w:tcW w:w="4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8" w:type="dxa"/>
            <w:tcBorders/>
            <w:shd w:fill="auto" w:val="clear"/>
          </w:tcPr>
          <w:p>
            <w:pPr>
              <w:pStyle w:val="TableContents"/>
              <w:spacing w:before="0" w:after="0"/>
              <w:jc w:val="left"/>
              <w:rPr>
                <w:rFonts w:ascii="arial" w:hAnsi="arial"/>
                <w:sz w:val="20"/>
              </w:rPr>
            </w:pPr>
            <w:r>
              <w:rPr>
                <w:rFonts w:ascii="arial" w:hAnsi="arial"/>
                <w:sz w:val="20"/>
              </w:rPr>
              <w:t xml:space="preserve">Based on the assessment described above, as well as the market data provided by the Compensation Committees independent consultant, the Chief Executive Officer and the Senior Vice President, Chief People Officer make recommendations to the Compensation Committee regarding executive compensation for each of the other NEOs;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208"/>
        <w:gridCol w:w="204"/>
        <w:gridCol w:w="9388"/>
      </w:tblGrid>
      <w:tr>
        <w:trPr/>
        <w:tc>
          <w:tcPr>
            <w:tcW w:w="4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8" w:type="dxa"/>
            <w:tcBorders/>
            <w:shd w:fill="auto" w:val="clear"/>
          </w:tcPr>
          <w:p>
            <w:pPr>
              <w:pStyle w:val="TableContents"/>
              <w:spacing w:before="0" w:after="0"/>
              <w:jc w:val="left"/>
              <w:rPr>
                <w:rFonts w:ascii="arial" w:hAnsi="arial"/>
                <w:sz w:val="20"/>
              </w:rPr>
            </w:pPr>
            <w:r>
              <w:rPr>
                <w:rFonts w:ascii="arial" w:hAnsi="arial"/>
                <w:sz w:val="20"/>
              </w:rPr>
              <w:t xml:space="preserve">In instances where new executives are hired, the Chief Executive Officer and the Senior Vice President, Chief People Officer discuss available information regarding compensation provided at the executives current or former employer, internal and external compensation benchmarking data, skill set and qualifications, and make recommendations for new executive pay packages to the Compensation Committee. </w:t>
            </w:r>
          </w:p>
        </w:tc>
      </w:tr>
    </w:tbl>
    <w:p>
      <w:pPr>
        <w:pStyle w:val="TextBody"/>
        <w:spacing w:before="360" w:after="0"/>
        <w:jc w:val="left"/>
        <w:rPr>
          <w:rFonts w:ascii="arial" w:hAnsi="arial"/>
          <w:b/>
          <w:color w:val="CF0A2C"/>
          <w:sz w:val="28"/>
        </w:rPr>
      </w:pPr>
      <w:r>
        <w:rPr>
          <w:rFonts w:ascii="arial" w:hAnsi="arial"/>
          <w:b/>
          <w:color w:val="CF0A2C"/>
          <w:sz w:val="28"/>
        </w:rPr>
        <w:t xml:space="preserve">The Role of the Compensation Consultant </w:t>
      </w:r>
    </w:p>
    <w:p>
      <w:pPr>
        <w:pStyle w:val="TextBody"/>
        <w:spacing w:before="120" w:after="0"/>
        <w:jc w:val="left"/>
        <w:rPr>
          <w:rFonts w:ascii="arial" w:hAnsi="arial"/>
          <w:sz w:val="20"/>
        </w:rPr>
      </w:pPr>
      <w:r>
        <w:rPr>
          <w:rFonts w:ascii="arial" w:hAnsi="arial"/>
          <w:sz w:val="20"/>
        </w:rPr>
        <w:t xml:space="preserve">The Compensation Committee has the sole authority to retain or terminate a compensation consultant to assist in carrying out its responsibilities. Accordingly, during 2020, the Compensation Committee directly engaged Exequity as its independent compensation consultant to provide objective and expert analyses, advice, and information with respect to executive compensation. In performing its services, Exequity interacted collaboratively with the Compensation Committee and with senior management at the direction of the Compensation Committee. In 2020, Exequity performed the following services: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Provided executive compensation benchmarking data (as described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5"/>
        <w:gridCol w:w="204"/>
        <w:gridCol w:w="9390"/>
      </w:tblGrid>
      <w:tr>
        <w:trPr/>
        <w:tc>
          <w:tcPr>
            <w:tcW w:w="406"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Provided analysis and advice regarding annual incentive plan design;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5"/>
        <w:gridCol w:w="204"/>
        <w:gridCol w:w="9390"/>
      </w:tblGrid>
      <w:tr>
        <w:trPr/>
        <w:tc>
          <w:tcPr>
            <w:tcW w:w="406"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Provided analysis and advice regarding LTI plan design;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7"/>
        <w:gridCol w:w="204"/>
        <w:gridCol w:w="9388"/>
      </w:tblGrid>
      <w:tr>
        <w:trPr/>
        <w:tc>
          <w:tcPr>
            <w:tcW w:w="406"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8" w:type="dxa"/>
            <w:tcBorders/>
            <w:shd w:fill="auto" w:val="clear"/>
          </w:tcPr>
          <w:p>
            <w:pPr>
              <w:pStyle w:val="TableContents"/>
              <w:spacing w:before="0" w:after="0"/>
              <w:jc w:val="left"/>
              <w:rPr>
                <w:rFonts w:ascii="arial" w:hAnsi="arial"/>
                <w:sz w:val="20"/>
              </w:rPr>
            </w:pPr>
            <w:r>
              <w:rPr>
                <w:rFonts w:ascii="arial" w:hAnsi="arial"/>
                <w:sz w:val="20"/>
              </w:rPr>
              <w:t xml:space="preserve">Responded to other requests including, conducting a Chief Executive Officer pay-for-performance analysis, a risk assessment, peer group analysis, a stock ownership guidelines analysis, and advising on various governance and regulatory developments;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Advised on compensation for John W. Peyton, who on November 17, 2020 was appointed as Chief Executive Officer, effective January 4, 2021;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Advised on compensation for executive officers. </w:t>
            </w:r>
          </w:p>
        </w:tc>
      </w:tr>
    </w:tbl>
    <w:p>
      <w:pPr>
        <w:pStyle w:val="TextBody"/>
        <w:spacing w:before="120" w:after="0"/>
        <w:jc w:val="left"/>
        <w:rPr>
          <w:rFonts w:ascii="arial" w:hAnsi="arial"/>
          <w:sz w:val="20"/>
        </w:rPr>
      </w:pPr>
      <w:r>
        <w:rPr>
          <w:rFonts w:ascii="arial" w:hAnsi="arial"/>
          <w:sz w:val="20"/>
        </w:rPr>
        <w:t xml:space="preserve">Exequity did not provide any additional services to the Corporation during 2020 beyond those provided in the capacity of independent compensation consultant to the Compensation Committee. The Compensation Committee has assessed the independence of Exequity pursuant to the rules of the SEC and concluded that Exequitys work for the Compensation Committee does not raise any conflicts of interest. </w:t>
      </w:r>
    </w:p>
    <w:p>
      <w:pPr>
        <w:pStyle w:val="TextBody"/>
        <w:spacing w:before="360" w:after="0"/>
        <w:jc w:val="left"/>
        <w:rPr>
          <w:rFonts w:ascii="arial" w:hAnsi="arial"/>
          <w:b/>
          <w:color w:val="CF0A2C"/>
          <w:sz w:val="28"/>
        </w:rPr>
      </w:pPr>
      <w:r>
        <w:rPr>
          <w:rFonts w:ascii="arial" w:hAnsi="arial"/>
          <w:b/>
          <w:color w:val="CF0A2C"/>
          <w:sz w:val="28"/>
        </w:rPr>
        <w:t xml:space="preserve">Compensation Benchmarking and Peer Group </w:t>
      </w:r>
    </w:p>
    <w:p>
      <w:pPr>
        <w:pStyle w:val="TextBody"/>
        <w:spacing w:before="120" w:after="0"/>
        <w:jc w:val="left"/>
        <w:rPr>
          <w:rFonts w:ascii="arial" w:hAnsi="arial"/>
          <w:sz w:val="20"/>
        </w:rPr>
      </w:pPr>
      <w:r>
        <w:rPr>
          <w:rFonts w:ascii="arial" w:hAnsi="arial"/>
          <w:sz w:val="20"/>
        </w:rPr>
        <w:t xml:space="preserve">The Corporation uses a restaurant peer group and compensation surveys for different benchmarking comparisons, including base salary, target annual cash incentive, LTI awards and total direct compensation opportunity (TDCO). The Compensation Committee, with input from its independent compensation consultant and management, periodically reviews its peer group (the NEO Peer Group) for the purpose of evaluating executive compensation. </w:t>
      </w:r>
    </w:p>
    <w:p>
      <w:pPr>
        <w:pStyle w:val="TextBody"/>
        <w:spacing w:before="120" w:after="0"/>
        <w:jc w:val="left"/>
        <w:rPr>
          <w:rFonts w:ascii="arial" w:hAnsi="arial"/>
          <w:sz w:val="20"/>
        </w:rPr>
      </w:pPr>
      <w:r>
        <w:rPr>
          <w:rFonts w:ascii="arial" w:hAnsi="arial"/>
          <w:sz w:val="20"/>
        </w:rPr>
        <w:t xml:space="preserve">The Corporations significantly franchised business model is uncommon amongst its peer group. The majority of the peer companies have a significant number of company-owned restaurants, with only 8 of our 18 current peers having more than 85% of their restaurants franchised. We believe our significantly franchised business model (approximately 98% franchised as of fiscal year end 2020) requires less capital investment and general and administrative overhead, generates higher gross profit margins and reduces volatility of adjusted free cash flow performance as compared to owning more company-operated restaurants. In acknowledging the structural differences, the Compensation Committee considers a variety of metrics in evaluating the NEO Peer Group, which includes but is not limited to revenues, system-wide sales, market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26    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capitalization and enterprise value. As compared to the NEO Peer Group, as of December 31, 2020, the Corporation ranked in the second quartile in revenues, first quartile in market capitalization and enterprise value, and the top quartile in system-wide sales. The NEO Peer Group consists of companies in the Corporations industry and companies with similar business models in related industries that the Compensation Committee believes to approximate the Corporations general labor market for top executive talent. </w:t>
      </w:r>
    </w:p>
    <w:p>
      <w:pPr>
        <w:pStyle w:val="TextBody"/>
        <w:spacing w:before="120" w:after="0"/>
        <w:jc w:val="left"/>
        <w:rPr>
          <w:rFonts w:ascii="arial" w:hAnsi="arial"/>
          <w:sz w:val="20"/>
        </w:rPr>
      </w:pPr>
      <w:r>
        <w:rPr>
          <w:rFonts w:ascii="arial" w:hAnsi="arial"/>
          <w:sz w:val="20"/>
        </w:rPr>
        <w:t xml:space="preserve">The NEO Peer Group used for evaluating 2020 compensation decisions consisted of the companies set forth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10"/>
        <w:gridCol w:w="120"/>
        <w:gridCol w:w="3649"/>
        <w:gridCol w:w="120"/>
        <w:gridCol w:w="2906"/>
      </w:tblGrid>
      <w:tr>
        <w:trPr/>
        <w:tc>
          <w:tcPr>
            <w:tcW w:w="3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906" w:type="dxa"/>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tcPr>
          <w:p>
            <w:pPr>
              <w:pStyle w:val="TableContents"/>
              <w:spacing w:before="0" w:after="0"/>
              <w:rPr>
                <w:rFonts w:ascii="arial" w:hAnsi="arial"/>
                <w:sz w:val="20"/>
              </w:rPr>
            </w:pPr>
            <w:r>
              <w:rPr>
                <w:rFonts w:ascii="arial" w:hAnsi="arial"/>
                <w:sz w:val="20"/>
              </w:rPr>
              <w:t>  Bloomin Brands Inc.</w:t>
            </w:r>
          </w:p>
        </w:tc>
        <w:tc>
          <w:tcPr>
            <w:tcW w:w="120"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0"/>
              <w:rPr>
                <w:rFonts w:ascii="arial" w:hAnsi="arial"/>
                <w:sz w:val="20"/>
              </w:rPr>
            </w:pPr>
            <w:r>
              <w:rPr>
                <w:rFonts w:ascii="arial" w:hAnsi="arial"/>
                <w:sz w:val="20"/>
              </w:rPr>
              <w:t>  Dennys Corporation</w:t>
            </w:r>
          </w:p>
        </w:tc>
        <w:tc>
          <w:tcPr>
            <w:tcW w:w="120" w:type="dxa"/>
            <w:tcBorders/>
            <w:shd w:fill="auto" w:val="clear"/>
            <w:vAlign w:val="bottom"/>
          </w:tcPr>
          <w:p>
            <w:pPr>
              <w:pStyle w:val="TableContents"/>
              <w:spacing w:before="0" w:after="283"/>
              <w:rPr/>
            </w:pPr>
            <w:r>
              <w:rPr/>
              <w:t>  </w:t>
            </w:r>
          </w:p>
        </w:tc>
        <w:tc>
          <w:tcPr>
            <w:tcW w:w="2906" w:type="dxa"/>
            <w:tcBorders/>
            <w:shd w:fill="auto" w:val="clear"/>
          </w:tcPr>
          <w:p>
            <w:pPr>
              <w:pStyle w:val="TableContents"/>
              <w:spacing w:before="0" w:after="0"/>
              <w:rPr>
                <w:rFonts w:ascii="arial" w:hAnsi="arial"/>
                <w:sz w:val="20"/>
              </w:rPr>
            </w:pPr>
            <w:r>
              <w:rPr>
                <w:rFonts w:ascii="arial" w:hAnsi="arial"/>
                <w:sz w:val="20"/>
              </w:rPr>
              <w:t>  Shake Shack Inc.**</w:t>
            </w:r>
          </w:p>
        </w:tc>
      </w:tr>
      <w:tr>
        <w:trPr/>
        <w:tc>
          <w:tcPr>
            <w:tcW w:w="3410" w:type="dxa"/>
            <w:tcBorders/>
            <w:shd w:fill="auto" w:val="clear"/>
          </w:tcPr>
          <w:p>
            <w:pPr>
              <w:pStyle w:val="TableContents"/>
              <w:spacing w:before="0" w:after="0"/>
              <w:rPr>
                <w:rFonts w:ascii="arial" w:hAnsi="arial"/>
                <w:sz w:val="20"/>
              </w:rPr>
            </w:pPr>
            <w:r>
              <w:rPr>
                <w:rFonts w:ascii="arial" w:hAnsi="arial"/>
                <w:sz w:val="20"/>
              </w:rPr>
              <w:t>  BJs Restaurants, Inc.</w:t>
            </w:r>
          </w:p>
        </w:tc>
        <w:tc>
          <w:tcPr>
            <w:tcW w:w="120"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0"/>
              <w:rPr>
                <w:rFonts w:ascii="arial" w:hAnsi="arial"/>
                <w:sz w:val="20"/>
              </w:rPr>
            </w:pPr>
            <w:r>
              <w:rPr>
                <w:rFonts w:ascii="arial" w:hAnsi="arial"/>
                <w:sz w:val="20"/>
              </w:rPr>
              <w:t>  Dominos Pizza, Inc.*</w:t>
            </w:r>
          </w:p>
        </w:tc>
        <w:tc>
          <w:tcPr>
            <w:tcW w:w="120" w:type="dxa"/>
            <w:tcBorders/>
            <w:shd w:fill="auto" w:val="clear"/>
            <w:vAlign w:val="bottom"/>
          </w:tcPr>
          <w:p>
            <w:pPr>
              <w:pStyle w:val="TableContents"/>
              <w:spacing w:before="0" w:after="283"/>
              <w:rPr/>
            </w:pPr>
            <w:r>
              <w:rPr/>
              <w:t>  </w:t>
            </w:r>
          </w:p>
        </w:tc>
        <w:tc>
          <w:tcPr>
            <w:tcW w:w="2906" w:type="dxa"/>
            <w:tcBorders/>
            <w:shd w:fill="auto" w:val="clear"/>
          </w:tcPr>
          <w:p>
            <w:pPr>
              <w:pStyle w:val="TableContents"/>
              <w:spacing w:before="0" w:after="0"/>
              <w:rPr>
                <w:rFonts w:ascii="arial" w:hAnsi="arial"/>
                <w:sz w:val="20"/>
              </w:rPr>
            </w:pPr>
            <w:r>
              <w:rPr>
                <w:rFonts w:ascii="arial" w:hAnsi="arial"/>
                <w:sz w:val="20"/>
              </w:rPr>
              <w:t>  Texas Roadhouse, Inc.</w:t>
            </w:r>
          </w:p>
        </w:tc>
      </w:tr>
      <w:tr>
        <w:trPr/>
        <w:tc>
          <w:tcPr>
            <w:tcW w:w="3410" w:type="dxa"/>
            <w:tcBorders/>
            <w:shd w:fill="auto" w:val="clear"/>
          </w:tcPr>
          <w:p>
            <w:pPr>
              <w:pStyle w:val="TableContents"/>
              <w:spacing w:before="0" w:after="0"/>
              <w:rPr>
                <w:rFonts w:ascii="arial" w:hAnsi="arial"/>
                <w:sz w:val="20"/>
              </w:rPr>
            </w:pPr>
            <w:r>
              <w:rPr>
                <w:rFonts w:ascii="arial" w:hAnsi="arial"/>
                <w:sz w:val="20"/>
              </w:rPr>
              <w:t>  Brinker International, Inc.</w:t>
            </w:r>
          </w:p>
        </w:tc>
        <w:tc>
          <w:tcPr>
            <w:tcW w:w="120"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0"/>
              <w:rPr>
                <w:rFonts w:ascii="arial" w:hAnsi="arial"/>
                <w:sz w:val="20"/>
              </w:rPr>
            </w:pPr>
            <w:r>
              <w:rPr>
                <w:rFonts w:ascii="arial" w:hAnsi="arial"/>
                <w:sz w:val="20"/>
              </w:rPr>
              <w:t>  Dunkin Brands Group, Inc.</w:t>
            </w:r>
          </w:p>
        </w:tc>
        <w:tc>
          <w:tcPr>
            <w:tcW w:w="120" w:type="dxa"/>
            <w:tcBorders/>
            <w:shd w:fill="auto" w:val="clear"/>
            <w:vAlign w:val="bottom"/>
          </w:tcPr>
          <w:p>
            <w:pPr>
              <w:pStyle w:val="TableContents"/>
              <w:spacing w:before="0" w:after="283"/>
              <w:rPr/>
            </w:pPr>
            <w:r>
              <w:rPr/>
              <w:t>  </w:t>
            </w:r>
          </w:p>
        </w:tc>
        <w:tc>
          <w:tcPr>
            <w:tcW w:w="2906" w:type="dxa"/>
            <w:tcBorders/>
            <w:shd w:fill="auto" w:val="clear"/>
          </w:tcPr>
          <w:p>
            <w:pPr>
              <w:pStyle w:val="TableContents"/>
              <w:spacing w:before="0" w:after="0"/>
              <w:rPr>
                <w:rFonts w:ascii="arial" w:hAnsi="arial"/>
                <w:sz w:val="20"/>
              </w:rPr>
            </w:pPr>
            <w:r>
              <w:rPr>
                <w:rFonts w:ascii="arial" w:hAnsi="arial"/>
                <w:sz w:val="20"/>
              </w:rPr>
              <w:t>  The Wendys Company</w:t>
            </w:r>
          </w:p>
        </w:tc>
      </w:tr>
      <w:tr>
        <w:trPr/>
        <w:tc>
          <w:tcPr>
            <w:tcW w:w="3410" w:type="dxa"/>
            <w:tcBorders/>
            <w:shd w:fill="auto" w:val="clear"/>
          </w:tcPr>
          <w:p>
            <w:pPr>
              <w:pStyle w:val="TableContents"/>
              <w:spacing w:before="0" w:after="0"/>
              <w:rPr>
                <w:rFonts w:ascii="arial" w:hAnsi="arial"/>
                <w:sz w:val="20"/>
              </w:rPr>
            </w:pPr>
            <w:r>
              <w:rPr>
                <w:rFonts w:ascii="arial" w:hAnsi="arial"/>
                <w:sz w:val="20"/>
              </w:rPr>
              <w:t>  The Cheesecake Factory Incorporated</w:t>
            </w:r>
          </w:p>
        </w:tc>
        <w:tc>
          <w:tcPr>
            <w:tcW w:w="120"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0"/>
              <w:rPr>
                <w:rFonts w:ascii="arial" w:hAnsi="arial"/>
                <w:sz w:val="20"/>
              </w:rPr>
            </w:pPr>
            <w:r>
              <w:rPr>
                <w:rFonts w:ascii="arial" w:hAnsi="arial"/>
                <w:sz w:val="20"/>
              </w:rPr>
              <w:t>  Jack in the Box Inc.</w:t>
            </w:r>
          </w:p>
        </w:tc>
        <w:tc>
          <w:tcPr>
            <w:tcW w:w="120" w:type="dxa"/>
            <w:tcBorders/>
            <w:shd w:fill="auto" w:val="clear"/>
            <w:vAlign w:val="bottom"/>
          </w:tcPr>
          <w:p>
            <w:pPr>
              <w:pStyle w:val="TableContents"/>
              <w:spacing w:before="0" w:after="283"/>
              <w:rPr/>
            </w:pPr>
            <w:r>
              <w:rPr/>
              <w:t>  </w:t>
            </w:r>
          </w:p>
        </w:tc>
        <w:tc>
          <w:tcPr>
            <w:tcW w:w="2906" w:type="dxa"/>
            <w:tcBorders/>
            <w:shd w:fill="auto" w:val="clear"/>
          </w:tcPr>
          <w:p>
            <w:pPr>
              <w:pStyle w:val="TableContents"/>
              <w:spacing w:before="0" w:after="0"/>
              <w:rPr>
                <w:rFonts w:ascii="arial" w:hAnsi="arial"/>
                <w:sz w:val="20"/>
              </w:rPr>
            </w:pPr>
            <w:r>
              <w:rPr>
                <w:rFonts w:ascii="arial" w:hAnsi="arial"/>
                <w:sz w:val="20"/>
              </w:rPr>
              <w:t>  Wingstop Inc.**</w:t>
            </w:r>
          </w:p>
        </w:tc>
      </w:tr>
      <w:tr>
        <w:trPr/>
        <w:tc>
          <w:tcPr>
            <w:tcW w:w="3410" w:type="dxa"/>
            <w:tcBorders/>
            <w:shd w:fill="auto" w:val="clear"/>
          </w:tcPr>
          <w:p>
            <w:pPr>
              <w:pStyle w:val="TableContents"/>
              <w:spacing w:before="0" w:after="0"/>
              <w:rPr>
                <w:rFonts w:ascii="arial" w:hAnsi="arial"/>
                <w:sz w:val="20"/>
              </w:rPr>
            </w:pPr>
            <w:r>
              <w:rPr>
                <w:rFonts w:ascii="arial" w:hAnsi="arial"/>
                <w:sz w:val="20"/>
              </w:rPr>
              <w:t>  Choice Hotels International, Inc.</w:t>
            </w:r>
          </w:p>
        </w:tc>
        <w:tc>
          <w:tcPr>
            <w:tcW w:w="120"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0"/>
              <w:rPr>
                <w:rFonts w:ascii="arial" w:hAnsi="arial"/>
                <w:sz w:val="20"/>
              </w:rPr>
            </w:pPr>
            <w:r>
              <w:rPr>
                <w:rFonts w:ascii="arial" w:hAnsi="arial"/>
                <w:sz w:val="20"/>
              </w:rPr>
              <w:t>  Papa Johns International, Inc.</w:t>
            </w:r>
          </w:p>
        </w:tc>
        <w:tc>
          <w:tcPr>
            <w:tcW w:w="120" w:type="dxa"/>
            <w:tcBorders/>
            <w:shd w:fill="auto" w:val="clear"/>
            <w:vAlign w:val="bottom"/>
          </w:tcPr>
          <w:p>
            <w:pPr>
              <w:pStyle w:val="TableContents"/>
              <w:spacing w:before="0" w:after="283"/>
              <w:rPr/>
            </w:pPr>
            <w:r>
              <w:rPr/>
              <w:t>  </w:t>
            </w:r>
          </w:p>
        </w:tc>
        <w:tc>
          <w:tcPr>
            <w:tcW w:w="2906" w:type="dxa"/>
            <w:tcBorders/>
            <w:shd w:fill="auto" w:val="clear"/>
          </w:tcPr>
          <w:p>
            <w:pPr>
              <w:pStyle w:val="TableContents"/>
              <w:spacing w:before="0" w:after="0"/>
              <w:rPr>
                <w:rFonts w:ascii="arial" w:hAnsi="arial"/>
                <w:sz w:val="20"/>
              </w:rPr>
            </w:pPr>
            <w:r>
              <w:rPr>
                <w:rFonts w:ascii="arial" w:hAnsi="arial"/>
                <w:sz w:val="20"/>
              </w:rPr>
              <w:t>  Wyndham Hotels and Resorts, Inc.</w:t>
            </w:r>
          </w:p>
        </w:tc>
      </w:tr>
      <w:tr>
        <w:trPr/>
        <w:tc>
          <w:tcPr>
            <w:tcW w:w="3410" w:type="dxa"/>
            <w:tcBorders/>
            <w:shd w:fill="auto" w:val="clear"/>
          </w:tcPr>
          <w:p>
            <w:pPr>
              <w:pStyle w:val="TableContents"/>
              <w:spacing w:before="0" w:after="0"/>
              <w:rPr>
                <w:rFonts w:ascii="arial" w:hAnsi="arial"/>
                <w:sz w:val="20"/>
              </w:rPr>
            </w:pPr>
            <w:r>
              <w:rPr>
                <w:rFonts w:ascii="arial" w:hAnsi="arial"/>
                <w:sz w:val="20"/>
              </w:rPr>
              <w:t>  Cracker Barrel Old Country Store, Inc.</w:t>
            </w:r>
          </w:p>
        </w:tc>
        <w:tc>
          <w:tcPr>
            <w:tcW w:w="120"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0"/>
              <w:rPr>
                <w:rFonts w:ascii="arial" w:hAnsi="arial"/>
                <w:sz w:val="20"/>
              </w:rPr>
            </w:pPr>
            <w:r>
              <w:rPr>
                <w:rFonts w:ascii="arial" w:hAnsi="arial"/>
                <w:sz w:val="20"/>
              </w:rPr>
              <w:t>  Red Robin Gourmet Burgers, Inc.</w:t>
            </w:r>
          </w:p>
        </w:tc>
        <w:tc>
          <w:tcPr>
            <w:tcW w:w="120" w:type="dxa"/>
            <w:tcBorders/>
            <w:shd w:fill="auto" w:val="clear"/>
            <w:vAlign w:val="bottom"/>
          </w:tcPr>
          <w:p>
            <w:pPr>
              <w:pStyle w:val="TableContents"/>
              <w:spacing w:before="0" w:after="283"/>
              <w:rPr/>
            </w:pPr>
            <w:r>
              <w:rPr/>
              <w:t>  </w:t>
            </w:r>
          </w:p>
        </w:tc>
        <w:tc>
          <w:tcPr>
            <w:tcW w:w="2906" w:type="dxa"/>
            <w:tcBorders/>
            <w:shd w:fill="auto" w:val="clear"/>
          </w:tcPr>
          <w:p>
            <w:pPr>
              <w:pStyle w:val="TableContents"/>
              <w:spacing w:before="0" w:after="283"/>
              <w:rPr>
                <w:sz w:val="4"/>
                <w:szCs w:val="4"/>
              </w:rPr>
            </w:pPr>
            <w:r>
              <w:rPr>
                <w:sz w:val="4"/>
                <w:szCs w:val="4"/>
              </w:rPr>
            </w:r>
          </w:p>
        </w:tc>
      </w:tr>
      <w:tr>
        <w:trPr/>
        <w:tc>
          <w:tcPr>
            <w:tcW w:w="3410" w:type="dxa"/>
            <w:tcBorders/>
            <w:shd w:fill="auto" w:val="clear"/>
          </w:tcPr>
          <w:p>
            <w:pPr>
              <w:pStyle w:val="TableContents"/>
              <w:spacing w:before="0" w:after="0"/>
              <w:rPr>
                <w:rFonts w:ascii="arial" w:hAnsi="arial"/>
                <w:sz w:val="20"/>
              </w:rPr>
            </w:pPr>
            <w:r>
              <w:rPr>
                <w:rFonts w:ascii="arial" w:hAnsi="arial"/>
                <w:sz w:val="20"/>
              </w:rPr>
              <w:t>  Dave &amp; Busters Entertainment, Inc.**</w:t>
            </w:r>
          </w:p>
        </w:tc>
        <w:tc>
          <w:tcPr>
            <w:tcW w:w="120"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0"/>
              <w:rPr>
                <w:rFonts w:ascii="arial" w:hAnsi="arial"/>
                <w:sz w:val="20"/>
              </w:rPr>
            </w:pPr>
            <w:r>
              <w:rPr>
                <w:rFonts w:ascii="arial" w:hAnsi="arial"/>
                <w:sz w:val="20"/>
              </w:rPr>
              <w:t>  Ruths Hospitality Group, Inc.**</w:t>
            </w:r>
          </w:p>
        </w:tc>
        <w:tc>
          <w:tcPr>
            <w:tcW w:w="120" w:type="dxa"/>
            <w:tcBorders/>
            <w:shd w:fill="auto" w:val="clear"/>
            <w:vAlign w:val="bottom"/>
          </w:tcPr>
          <w:p>
            <w:pPr>
              <w:pStyle w:val="TableContents"/>
              <w:spacing w:before="0" w:after="283"/>
              <w:rPr/>
            </w:pPr>
            <w:r>
              <w:rPr/>
              <w:t>  </w:t>
            </w:r>
          </w:p>
        </w:tc>
        <w:tc>
          <w:tcPr>
            <w:tcW w:w="2906"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Removed from peer group during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Added to peer group during 2020 </w:t>
            </w:r>
          </w:p>
        </w:tc>
      </w:tr>
    </w:tbl>
    <w:p>
      <w:pPr>
        <w:pStyle w:val="TextBody"/>
        <w:spacing w:before="120" w:after="0"/>
        <w:jc w:val="left"/>
        <w:rPr>
          <w:rFonts w:ascii="arial" w:hAnsi="arial"/>
          <w:sz w:val="20"/>
        </w:rPr>
      </w:pPr>
      <w:r>
        <w:rPr>
          <w:rFonts w:ascii="arial" w:hAnsi="arial"/>
          <w:sz w:val="20"/>
        </w:rPr>
        <w:t xml:space="preserve">The NEO Peer Group was the primary data source considered by the Compensation Committee when reviewing total pay levels of the NEOs. The Compensation Committee also considered broader compensation data from the 2020 AON Hewitt US Total Compensation by Industry Survey, which provided general industry pay data on executive positions for companies with comparable sales. </w:t>
      </w:r>
    </w:p>
    <w:p>
      <w:pPr>
        <w:pStyle w:val="TextBody"/>
        <w:spacing w:before="120" w:after="0"/>
        <w:jc w:val="left"/>
        <w:rPr>
          <w:rFonts w:ascii="arial" w:hAnsi="arial"/>
          <w:sz w:val="20"/>
        </w:rPr>
      </w:pPr>
      <w:r>
        <w:rPr>
          <w:rFonts w:ascii="arial" w:hAnsi="arial"/>
          <w:sz w:val="20"/>
        </w:rPr>
        <w:t xml:space="preserve">The NEO Peer Group was revised by the Compensation Committee on August 3, 2020 to remove Dominos Pizza, Inc. to reduce the variability in size in the NEO Peer Group, and add the following four companies that all met the peer group selection criteria listed above: Dave &amp; Busters Entertainment, Inc.; Ruths Hospitality Group, Inc.; Shake Shack Inc.; and Wingstop Inc. These changes were made in order to create a more robust NEO Peer Group size and more closely align the financial metrics in the NEO Peer Group described above with the Corporation. </w:t>
      </w:r>
    </w:p>
    <w:p>
      <w:pPr>
        <w:pStyle w:val="TextBody"/>
        <w:spacing w:before="360" w:after="0"/>
        <w:jc w:val="left"/>
        <w:rPr>
          <w:rFonts w:ascii="arial" w:hAnsi="arial"/>
          <w:b/>
          <w:color w:val="CF0A2C"/>
          <w:sz w:val="28"/>
        </w:rPr>
      </w:pPr>
      <w:r>
        <w:rPr>
          <w:rFonts w:ascii="arial" w:hAnsi="arial"/>
          <w:b/>
          <w:color w:val="CF0A2C"/>
          <w:sz w:val="28"/>
        </w:rPr>
        <w:t xml:space="preserve">The Role of Say on Pay Votes and Stockholder Outreach Efforts </w:t>
      </w:r>
    </w:p>
    <w:p>
      <w:pPr>
        <w:pStyle w:val="TextBody"/>
        <w:spacing w:before="120" w:after="0"/>
        <w:jc w:val="left"/>
        <w:rPr>
          <w:rFonts w:ascii="arial" w:hAnsi="arial"/>
          <w:sz w:val="20"/>
        </w:rPr>
      </w:pPr>
      <w:r>
        <w:rPr>
          <w:rFonts w:ascii="arial" w:hAnsi="arial"/>
          <w:sz w:val="20"/>
        </w:rPr>
        <w:t xml:space="preserve">The Corporation provides its stockholders with the opportunity to cast an annual advisory vote on executive compensation (say on pay). In addition to receiving overall feedback on the Corporations compensation programs as part of the annual say on pay proposal, the Board of Directors and management are committed to regular engagement with our stockholders to solicit views and input on important topics including executive compensation. During 2020, the Corporation reached out to stockholders representing a majority of outstanding shares to discuss key executive compensation and other governance topics. The Corporation incorporates stockholder feedback into its compensation and governance policies. At the Corporations annual meeting of stockholders held in May 2020, approximately 98.5% of the votes present and entitled to vote at the meeting on the say on pay proposal were voted in favor of the proposal approving the compensation of the NEOs as disclosed in the 2020 proxy statement. The Compensation Committee believes that the Corporations approach to executive compensation is reasonable considering market conditions and is consistent with the Corporations pay-for-performance philosophy and overarching goal of creating long-term stockholder value. </w:t>
      </w:r>
    </w:p>
    <w:p>
      <w:pPr>
        <w:pStyle w:val="TextBody"/>
        <w:spacing w:before="120" w:after="0"/>
        <w:jc w:val="left"/>
        <w:rPr>
          <w:rFonts w:ascii="arial" w:hAnsi="arial"/>
          <w:sz w:val="20"/>
        </w:rPr>
      </w:pPr>
      <w:r>
        <w:rPr>
          <w:rFonts w:ascii="arial" w:hAnsi="arial"/>
          <w:sz w:val="20"/>
        </w:rPr>
        <w:t xml:space="preserve">In addition to direct feedback from the Corporations stockholders, the Compensation Committee will continue to consider the outcome of the Corporations say on pay votes when making future compensation decisions for its NEOs. </w:t>
      </w:r>
    </w:p>
    <w:p>
      <w:pPr>
        <w:pStyle w:val="TextBody"/>
        <w:spacing w:before="360" w:after="0"/>
        <w:jc w:val="left"/>
        <w:rPr>
          <w:rFonts w:ascii="arial" w:hAnsi="arial"/>
          <w:b/>
          <w:color w:val="CF0A2C"/>
          <w:sz w:val="28"/>
        </w:rPr>
      </w:pPr>
      <w:r>
        <w:rPr>
          <w:rFonts w:ascii="arial" w:hAnsi="arial"/>
          <w:b/>
          <w:color w:val="CF0A2C"/>
          <w:sz w:val="28"/>
        </w:rPr>
        <w:t xml:space="preserve">Compensation Discussion Related to the Chief Executive Officer </w:t>
      </w:r>
    </w:p>
    <w:p>
      <w:pPr>
        <w:pStyle w:val="TextBody"/>
        <w:spacing w:before="120" w:after="0"/>
        <w:jc w:val="left"/>
        <w:rPr>
          <w:rFonts w:ascii="arial" w:hAnsi="arial"/>
          <w:sz w:val="20"/>
        </w:rPr>
      </w:pPr>
      <w:r>
        <w:rPr>
          <w:rFonts w:ascii="arial" w:hAnsi="arial"/>
          <w:sz w:val="20"/>
        </w:rPr>
        <w:t xml:space="preserve">In connection with Mr. Joyces retirement, Mr. Peyton joined the Corporation as Chief Executive Officer, effective January 4, 2021. </w:t>
      </w:r>
    </w:p>
    <w:p>
      <w:pPr>
        <w:pStyle w:val="TextBody"/>
        <w:spacing w:before="120" w:after="0"/>
        <w:jc w:val="left"/>
        <w:rPr>
          <w:rFonts w:ascii="arial" w:hAnsi="arial"/>
          <w:sz w:val="20"/>
        </w:rPr>
      </w:pPr>
      <w:r>
        <w:rPr>
          <w:rFonts w:ascii="arial" w:hAnsi="arial"/>
          <w:sz w:val="20"/>
        </w:rPr>
        <w:t xml:space="preserve">Mr. Peytons compensation package primarily consists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102"/>
        <w:gridCol w:w="9489"/>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89" w:type="dxa"/>
            <w:tcBorders/>
            <w:shd w:fill="auto" w:val="clear"/>
          </w:tcPr>
          <w:p>
            <w:pPr>
              <w:pStyle w:val="TableContents"/>
              <w:spacing w:before="0" w:after="0"/>
              <w:jc w:val="left"/>
              <w:rPr>
                <w:rFonts w:ascii="arial" w:hAnsi="arial"/>
                <w:sz w:val="20"/>
              </w:rPr>
            </w:pPr>
            <w:r>
              <w:rPr>
                <w:rFonts w:ascii="arial" w:hAnsi="arial"/>
                <w:sz w:val="20"/>
              </w:rPr>
              <w:t xml:space="preserve">an annual base salary of $1,000,000, which remains fixed until January 2024;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27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COMPENSATION</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0"/>
              <w:jc w:val="left"/>
              <w:rPr>
                <w:rFonts w:ascii="arial" w:hAnsi="arial"/>
                <w:sz w:val="20"/>
              </w:rPr>
            </w:pPr>
            <w:r>
              <w:rPr>
                <w:rFonts w:ascii="arial" w:hAnsi="arial"/>
                <w:sz w:val="20"/>
              </w:rPr>
              <w:t xml:space="preserve">a </w:t>
            </w:r>
            <w:r>
              <w:rPr>
                <w:rFonts w:ascii="arial" w:hAnsi="arial"/>
                <w:i/>
                <w:sz w:val="20"/>
              </w:rPr>
              <w:t>one-time</w:t>
            </w:r>
            <w:r>
              <w:rPr>
                <w:rFonts w:ascii="arial" w:hAnsi="arial"/>
                <w:sz w:val="20"/>
              </w:rPr>
              <w:t xml:space="preserve"> signing bonus of $1,200,000 that is repayable upon voluntary termination of employment within two years from date of hire;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103"/>
        <w:gridCol w:w="9486"/>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6" w:type="dxa"/>
            <w:tcBorders/>
            <w:shd w:fill="auto" w:val="clear"/>
          </w:tcPr>
          <w:p>
            <w:pPr>
              <w:pStyle w:val="TableContents"/>
              <w:spacing w:before="0" w:after="0"/>
              <w:jc w:val="left"/>
              <w:rPr>
                <w:rFonts w:ascii="arial" w:hAnsi="arial"/>
                <w:sz w:val="20"/>
              </w:rPr>
            </w:pPr>
            <w:r>
              <w:rPr>
                <w:rFonts w:ascii="arial" w:hAnsi="arial"/>
                <w:sz w:val="20"/>
              </w:rPr>
              <w:t xml:space="preserve">participation in the Corporations annual incentive plan with a target payout of 100% of base salary;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5"/>
        <w:gridCol w:w="102"/>
        <w:gridCol w:w="9492"/>
      </w:tblGrid>
      <w:tr>
        <w:trPr/>
        <w:tc>
          <w:tcPr>
            <w:tcW w:w="406"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0"/>
              <w:jc w:val="left"/>
              <w:rPr>
                <w:rFonts w:ascii="arial" w:hAnsi="arial"/>
                <w:sz w:val="20"/>
              </w:rPr>
            </w:pPr>
            <w:r>
              <w:rPr>
                <w:rFonts w:ascii="arial" w:hAnsi="arial"/>
                <w:sz w:val="20"/>
              </w:rPr>
              <w:t xml:space="preserve">a </w:t>
            </w:r>
            <w:r>
              <w:rPr>
                <w:rFonts w:ascii="arial" w:hAnsi="arial"/>
                <w:i/>
                <w:sz w:val="20"/>
              </w:rPr>
              <w:t>one-time</w:t>
            </w:r>
            <w:r>
              <w:rPr>
                <w:rFonts w:ascii="arial" w:hAnsi="arial"/>
                <w:sz w:val="20"/>
              </w:rPr>
              <w:t xml:space="preserve"> RSU award with grant date value of $3,096,478 which will vest one-half on each of the first and second anniversary of the January 4, 2021 grant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5"/>
        <w:gridCol w:w="102"/>
        <w:gridCol w:w="9492"/>
      </w:tblGrid>
      <w:tr>
        <w:trPr/>
        <w:tc>
          <w:tcPr>
            <w:tcW w:w="406"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0"/>
              <w:jc w:val="left"/>
              <w:rPr>
                <w:rFonts w:ascii="arial" w:hAnsi="arial"/>
                <w:sz w:val="20"/>
              </w:rPr>
            </w:pPr>
            <w:r>
              <w:rPr>
                <w:rFonts w:ascii="arial" w:hAnsi="arial"/>
                <w:sz w:val="20"/>
              </w:rPr>
              <w:t xml:space="preserve">a </w:t>
            </w:r>
            <w:r>
              <w:rPr>
                <w:rFonts w:ascii="arial" w:hAnsi="arial"/>
                <w:i/>
                <w:sz w:val="20"/>
              </w:rPr>
              <w:t>one-time</w:t>
            </w:r>
            <w:r>
              <w:rPr>
                <w:rFonts w:ascii="arial" w:hAnsi="arial"/>
                <w:sz w:val="20"/>
              </w:rPr>
              <w:t xml:space="preserve"> stock option award with grant date value of $884,698, which will vest one-third on each of the first, second, and third anniversary of the January 4, 2021 grant date;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2"/>
        <w:gridCol w:w="103"/>
        <w:gridCol w:w="9484"/>
      </w:tblGrid>
      <w:tr>
        <w:trPr/>
        <w:tc>
          <w:tcPr>
            <w:tcW w:w="406"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4" w:type="dxa"/>
            <w:tcBorders/>
            <w:shd w:fill="auto" w:val="clear"/>
          </w:tcPr>
          <w:p>
            <w:pPr>
              <w:pStyle w:val="TableContents"/>
              <w:spacing w:before="0" w:after="0"/>
              <w:jc w:val="left"/>
              <w:rPr>
                <w:rFonts w:ascii="arial" w:hAnsi="arial"/>
                <w:sz w:val="20"/>
              </w:rPr>
            </w:pPr>
            <w:r>
              <w:rPr>
                <w:rFonts w:ascii="arial" w:hAnsi="arial"/>
                <w:sz w:val="20"/>
              </w:rPr>
              <w:t xml:space="preserve">participation in the annual long-term incentive program, with total 2021 grant date value of $3.5 million allocated across RSAs, NQSOs, and cash LTIP in the same manner as the rest of the executive team and granted on the March 4, 2021 grant date. </w:t>
            </w:r>
          </w:p>
        </w:tc>
      </w:tr>
    </w:tbl>
    <w:p>
      <w:pPr>
        <w:pStyle w:val="TextBody"/>
        <w:spacing w:before="120" w:after="0"/>
        <w:jc w:val="left"/>
        <w:rPr>
          <w:rFonts w:ascii="arial" w:hAnsi="arial"/>
          <w:sz w:val="20"/>
        </w:rPr>
      </w:pPr>
      <w:r>
        <w:rPr>
          <w:rFonts w:ascii="arial" w:hAnsi="arial"/>
          <w:sz w:val="20"/>
        </w:rPr>
        <w:t xml:space="preserve">In determining the overall compensation package for Mr. Peyton, the Compensation Committee considered the state of the business at the time of Mr. Peytons hire, Mr. Peytons previous leadership experience, and cash and equity awards Mr. Peyton would forfeit in leaving his then-current employment. The Compensation Committee also considered competitive market data and the input of Exequity. </w:t>
      </w:r>
    </w:p>
    <w:p>
      <w:pPr>
        <w:pStyle w:val="TextBody"/>
        <w:spacing w:before="120" w:after="0"/>
        <w:jc w:val="left"/>
        <w:rPr>
          <w:rFonts w:ascii="arial" w:hAnsi="arial"/>
          <w:sz w:val="20"/>
        </w:rPr>
      </w:pPr>
      <w:r>
        <w:rPr>
          <w:rFonts w:ascii="arial" w:hAnsi="arial"/>
          <w:sz w:val="20"/>
        </w:rPr>
        <w:t xml:space="preserve">Our former Chief Executive Officer, Mr. Joyce, served as Chief Executive Officer from September 2017 to January 2021. </w:t>
      </w:r>
    </w:p>
    <w:p>
      <w:pPr>
        <w:pStyle w:val="TextBody"/>
        <w:spacing w:before="120" w:after="0"/>
        <w:jc w:val="left"/>
        <w:rPr>
          <w:rFonts w:ascii="arial" w:hAnsi="arial"/>
          <w:sz w:val="20"/>
        </w:rPr>
      </w:pPr>
      <w:r>
        <w:rPr>
          <w:rFonts w:ascii="arial" w:hAnsi="arial"/>
          <w:sz w:val="20"/>
        </w:rPr>
        <w:t xml:space="preserve">Mr. Joyces compensation package primarily consisted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an annual base salary of $1,000,000;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participation in the Corporations annual incentive plan with a target payout of 100% of base salary;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 commuting allowance of $125,000 per year subject to an annual 5% increase and a temporary housing allowance of $125,000 per year subject to an annual 3% increase;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at his time of hire, Mr. Joyce received a one-time grant of 75,000 time-based RSUs, which vested on February 16, 2021 and a one-time grant of 350,000 performance- and time-based NQSOs and a one-time grant of 175,000 performance- and time-based RSUs, both of which vested in full on February 16, 2021 based on Mr. Joyces achievement of certain price targets for the Corporations common stock throughout his tenure as Chief Executive Officer. Please see the Outstanding Equity Awards at 2020 Fiscal Year-End Table in this proxy statement for additional information regarding these equity awards. </w:t>
            </w:r>
          </w:p>
        </w:tc>
      </w:tr>
    </w:tbl>
    <w:p>
      <w:pPr>
        <w:pStyle w:val="TextBody"/>
        <w:spacing w:before="120" w:after="0"/>
        <w:jc w:val="left"/>
        <w:rPr>
          <w:rFonts w:ascii="arial" w:hAnsi="arial"/>
          <w:sz w:val="20"/>
        </w:rPr>
      </w:pPr>
      <w:r>
        <w:rPr>
          <w:rFonts w:ascii="arial" w:hAnsi="arial"/>
          <w:sz w:val="20"/>
        </w:rPr>
        <w:t xml:space="preserve">Please see Elements of the Compensation Program For NEOs section below for additional information regarding Mr. Joyces 2020 compensation. </w:t>
      </w:r>
    </w:p>
    <w:p>
      <w:pPr>
        <w:pStyle w:val="TextBody"/>
        <w:spacing w:before="360" w:after="0"/>
        <w:jc w:val="left"/>
        <w:rPr>
          <w:rFonts w:ascii="arial" w:hAnsi="arial"/>
          <w:b/>
          <w:color w:val="CF0A2C"/>
          <w:sz w:val="28"/>
        </w:rPr>
      </w:pPr>
      <w:r>
        <w:rPr>
          <w:rFonts w:ascii="arial" w:hAnsi="arial"/>
          <w:b/>
          <w:color w:val="CF0A2C"/>
          <w:sz w:val="28"/>
        </w:rPr>
        <w:t xml:space="preserve">Elements of the Compensation Program For NEOs </w:t>
      </w:r>
    </w:p>
    <w:p>
      <w:pPr>
        <w:pStyle w:val="TextBody"/>
        <w:spacing w:before="120" w:after="0"/>
        <w:jc w:val="left"/>
        <w:rPr>
          <w:rFonts w:ascii="arial" w:hAnsi="arial"/>
          <w:sz w:val="20"/>
        </w:rPr>
      </w:pPr>
      <w:r>
        <w:rPr>
          <w:rFonts w:ascii="arial" w:hAnsi="arial"/>
          <w:sz w:val="20"/>
        </w:rPr>
        <w:t xml:space="preserve">The Corporations executive compensation program for NEOs generally consists of the following components: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204"/>
        <w:gridCol w:w="9387"/>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arial" w:hAnsi="arial"/>
                <w:sz w:val="20"/>
              </w:rPr>
            </w:pPr>
            <w:r>
              <w:rPr>
                <w:rFonts w:ascii="arial" w:hAnsi="arial"/>
                <w:i/>
                <w:sz w:val="20"/>
              </w:rPr>
              <w:t>Base Salary.</w:t>
            </w:r>
            <w:r>
              <w:rPr>
                <w:rFonts w:ascii="arial" w:hAnsi="arial"/>
                <w:sz w:val="20"/>
              </w:rPr>
              <w:t xml:space="preserve"> Base salaries are designed to attract and retain talented executives and to provide a competitive and stable component of income.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i/>
                <w:sz w:val="20"/>
              </w:rPr>
              <w:t>Annual Cash Incentives under the Annual Incentive Plan.</w:t>
            </w:r>
            <w:r>
              <w:rPr>
                <w:rFonts w:ascii="arial" w:hAnsi="arial"/>
                <w:sz w:val="20"/>
              </w:rPr>
              <w:t xml:space="preserve"> Annual cash incentives provide a competitive incentive opportunity for achieving financial performance and operational objectives over an annual performance period. Generally, no payouts are made under the annual incentive plan unless these objectives are achieved.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204"/>
        <w:gridCol w:w="9387"/>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arial" w:hAnsi="arial"/>
                <w:sz w:val="20"/>
              </w:rPr>
            </w:pPr>
            <w:r>
              <w:rPr>
                <w:rFonts w:ascii="arial" w:hAnsi="arial"/>
                <w:i/>
                <w:sz w:val="20"/>
              </w:rPr>
              <w:t>LTI Awards.</w:t>
            </w:r>
            <w:r>
              <w:rPr>
                <w:rFonts w:ascii="arial" w:hAnsi="arial"/>
                <w:sz w:val="20"/>
              </w:rPr>
              <w:t xml:space="preserve"> LTI awards are composed of NQSOs, RSAs and the cash LTIP with each component representing approximately one-third of the total value awarded, excluding one-time equity awards made in connection with hiring, retention, or other non-standard circumstances. Each of the annual LTI components is vested or earned over a three-year period to provide ongoing alignment with stockholders interests based on the Corporations future stock price performance. Stock options provide value to the executive only if the Corporations stock price increases above the grant date price. The value of RSAs increases or decreases with changes in the Corporations stock price. The cash LTIP provides payment only if the Corporations TSR performance is in the 33rd percentile or greater compared to a group of publicly traded restaurant companies over a three-year performance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0"/>
              <w:jc w:val="left"/>
              <w:rPr>
                <w:rFonts w:ascii="arial" w:hAnsi="arial"/>
                <w:sz w:val="20"/>
              </w:rPr>
            </w:pPr>
            <w:r>
              <w:rPr>
                <w:rFonts w:ascii="arial" w:hAnsi="arial"/>
                <w:i/>
                <w:sz w:val="20"/>
              </w:rPr>
              <w:t>Benefits and Other Compensation.</w:t>
            </w:r>
            <w:r>
              <w:rPr>
                <w:rFonts w:ascii="arial" w:hAnsi="arial"/>
                <w:sz w:val="20"/>
              </w:rPr>
              <w:t xml:space="preserve"> Benefits and other compensation programs are provided to protect executive health and safety and provide flexibility and efficiencies that facilitate executive productivity.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28    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Compensation Committees compensation strategy is comprised of a TDCO for each NEO which is defined as base salary, target annual cash incentive and the grant date fair market value of LTI awards.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41"/>
        <w:gridCol w:w="102"/>
        <w:gridCol w:w="612"/>
        <w:gridCol w:w="102"/>
        <w:gridCol w:w="2041"/>
        <w:gridCol w:w="102"/>
        <w:gridCol w:w="510"/>
        <w:gridCol w:w="101"/>
        <w:gridCol w:w="1940"/>
        <w:gridCol w:w="102"/>
        <w:gridCol w:w="510"/>
        <w:gridCol w:w="102"/>
        <w:gridCol w:w="1940"/>
      </w:tblGrid>
      <w:tr>
        <w:trPr/>
        <w:tc>
          <w:tcPr>
            <w:tcW w:w="204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02"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bottom"/>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1"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bottom"/>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2"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bottom"/>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r>
      <w:tr>
        <w:trPr/>
        <w:tc>
          <w:tcPr>
            <w:tcW w:w="2041" w:type="dxa"/>
            <w:tcBorders>
              <w:top w:val="single" w:sz="4" w:space="0" w:color="000000"/>
              <w:left w:val="single" w:sz="8" w:space="0" w:color="BFBFBF"/>
              <w:bottom w:val="single" w:sz="4" w:space="0" w:color="000000"/>
              <w:right w:val="single" w:sz="4" w:space="0" w:color="000000"/>
            </w:tcBorders>
            <w:shd w:fill="BFBFBF" w:val="clear"/>
            <w:tcMar>
              <w:top w:w="28" w:type="dxa"/>
              <w:left w:w="28" w:type="dxa"/>
              <w:bottom w:w="28" w:type="dxa"/>
              <w:right w:w="28" w:type="dxa"/>
            </w:tcMar>
            <w:vAlign w:val="center"/>
          </w:tcPr>
          <w:p>
            <w:pPr>
              <w:pStyle w:val="TableContents"/>
              <w:spacing w:before="0" w:after="283"/>
              <w:jc w:val="center"/>
              <w:rPr>
                <w:sz w:val="20"/>
              </w:rPr>
            </w:pPr>
            <w:r>
              <w:rPr>
                <w:sz w:val="20"/>
              </w:rPr>
              <w:t>Base Salary</w:t>
            </w:r>
          </w:p>
        </w:tc>
        <w:tc>
          <w:tcPr>
            <w:tcW w:w="102" w:type="dxa"/>
            <w:tcBorders/>
            <w:shd w:fill="auto" w:val="clear"/>
            <w:vAlign w:val="bottom"/>
          </w:tcPr>
          <w:p>
            <w:pPr>
              <w:pStyle w:val="TableContents"/>
              <w:spacing w:before="0" w:after="283"/>
              <w:rPr/>
            </w:pPr>
            <w:r>
              <w:rPr/>
              <w:t> </w:t>
            </w:r>
          </w:p>
        </w:tc>
        <w:tc>
          <w:tcPr>
            <w:tcW w:w="612" w:type="dxa"/>
            <w:tcBorders/>
            <w:shd w:fill="auto" w:val="clear"/>
            <w:vAlign w:val="center"/>
          </w:tcPr>
          <w:p>
            <w:pPr>
              <w:pStyle w:val="TableContents"/>
              <w:spacing w:before="0" w:after="283"/>
              <w:jc w:val="center"/>
              <w:rPr>
                <w:b/>
                <w:color w:val="BFBFBF"/>
              </w:rPr>
            </w:pPr>
            <w:r>
              <w:rPr>
                <w:b/>
                <w:color w:val="BFBFBF"/>
              </w:rPr>
              <w:t>+  </w:t>
            </w:r>
          </w:p>
        </w:tc>
        <w:tc>
          <w:tcPr>
            <w:tcW w:w="102" w:type="dxa"/>
            <w:tcBorders>
              <w:top w:val="single" w:sz="4" w:space="0" w:color="000000"/>
              <w:left w:val="single" w:sz="4" w:space="0" w:color="000000"/>
              <w:bottom w:val="single" w:sz="4" w:space="0" w:color="000000"/>
              <w:right w:val="single" w:sz="8" w:space="0" w:color="BFBFBF"/>
            </w:tcBorders>
            <w:shd w:fill="BFBFBF" w:val="clear"/>
            <w:tcMar>
              <w:top w:w="28" w:type="dxa"/>
              <w:left w:w="28" w:type="dxa"/>
              <w:bottom w:w="28" w:type="dxa"/>
              <w:right w:w="28" w:type="dxa"/>
            </w:tcMar>
            <w:vAlign w:val="bottom"/>
          </w:tcPr>
          <w:p>
            <w:pPr>
              <w:pStyle w:val="TableContents"/>
              <w:spacing w:before="0" w:after="283"/>
              <w:rPr/>
            </w:pPr>
            <w:r>
              <w:rPr/>
              <w:t> </w:t>
            </w:r>
          </w:p>
        </w:tc>
        <w:tc>
          <w:tcPr>
            <w:tcW w:w="2041" w:type="dxa"/>
            <w:tcBorders>
              <w:top w:val="single" w:sz="4" w:space="0" w:color="000000"/>
              <w:left w:val="single" w:sz="8" w:space="0" w:color="BFBFBF"/>
              <w:bottom w:val="single" w:sz="4" w:space="0" w:color="000000"/>
              <w:right w:val="single" w:sz="4" w:space="0" w:color="000000"/>
            </w:tcBorders>
            <w:shd w:fill="BFBFBF" w:val="clear"/>
            <w:tcMar>
              <w:top w:w="28" w:type="dxa"/>
              <w:left w:w="28" w:type="dxa"/>
              <w:bottom w:w="28" w:type="dxa"/>
              <w:right w:w="28" w:type="dxa"/>
            </w:tcMar>
            <w:vAlign w:val="center"/>
          </w:tcPr>
          <w:p>
            <w:pPr>
              <w:pStyle w:val="TableContents"/>
              <w:spacing w:before="0" w:after="283"/>
              <w:jc w:val="center"/>
              <w:rPr>
                <w:sz w:val="20"/>
              </w:rPr>
            </w:pPr>
            <w:r>
              <w:rPr>
                <w:sz w:val="20"/>
              </w:rPr>
              <w:t>Annual Cash</w:t>
              <w:br/>
              <w:t>Incentive</w:t>
            </w:r>
          </w:p>
        </w:tc>
        <w:tc>
          <w:tcPr>
            <w:tcW w:w="102"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b/>
                <w:color w:val="BFBFBF"/>
              </w:rPr>
            </w:pPr>
            <w:r>
              <w:rPr>
                <w:b/>
                <w:color w:val="BFBFBF"/>
              </w:rPr>
              <w:t>+  </w:t>
            </w:r>
          </w:p>
        </w:tc>
        <w:tc>
          <w:tcPr>
            <w:tcW w:w="101" w:type="dxa"/>
            <w:tcBorders>
              <w:top w:val="single" w:sz="4" w:space="0" w:color="000000"/>
              <w:left w:val="single" w:sz="4" w:space="0" w:color="000000"/>
              <w:bottom w:val="single" w:sz="4" w:space="0" w:color="000000"/>
              <w:right w:val="single" w:sz="8" w:space="0" w:color="BFBFBF"/>
            </w:tcBorders>
            <w:shd w:fill="BFBFBF" w:val="clear"/>
            <w:tcMar>
              <w:top w:w="28" w:type="dxa"/>
              <w:left w:w="28" w:type="dxa"/>
              <w:bottom w:w="28" w:type="dxa"/>
              <w:right w:w="28" w:type="dxa"/>
            </w:tcMar>
            <w:vAlign w:val="bottom"/>
          </w:tcPr>
          <w:p>
            <w:pPr>
              <w:pStyle w:val="TableContents"/>
              <w:spacing w:before="0" w:after="283"/>
              <w:rPr/>
            </w:pPr>
            <w:r>
              <w:rPr/>
              <w:t> </w:t>
            </w:r>
          </w:p>
        </w:tc>
        <w:tc>
          <w:tcPr>
            <w:tcW w:w="1940" w:type="dxa"/>
            <w:tcBorders>
              <w:top w:val="single" w:sz="4" w:space="0" w:color="000000"/>
              <w:left w:val="single" w:sz="8" w:space="0" w:color="BFBFBF"/>
              <w:bottom w:val="single" w:sz="4" w:space="0" w:color="000000"/>
              <w:right w:val="single" w:sz="4" w:space="0" w:color="000000"/>
            </w:tcBorders>
            <w:shd w:fill="BFBFBF" w:val="clear"/>
            <w:tcMar>
              <w:top w:w="28" w:type="dxa"/>
              <w:left w:w="28" w:type="dxa"/>
              <w:bottom w:w="28" w:type="dxa"/>
              <w:right w:w="28" w:type="dxa"/>
            </w:tcMar>
            <w:vAlign w:val="center"/>
          </w:tcPr>
          <w:p>
            <w:pPr>
              <w:pStyle w:val="TableContents"/>
              <w:spacing w:before="0" w:after="283"/>
              <w:jc w:val="center"/>
              <w:rPr>
                <w:sz w:val="20"/>
              </w:rPr>
            </w:pPr>
            <w:r>
              <w:rPr>
                <w:sz w:val="20"/>
              </w:rPr>
              <w:t>Long-Term Incentive</w:t>
            </w:r>
          </w:p>
        </w:tc>
        <w:tc>
          <w:tcPr>
            <w:tcW w:w="102" w:type="dxa"/>
            <w:tcBorders/>
            <w:shd w:fill="auto" w:val="clear"/>
            <w:vAlign w:val="bottom"/>
          </w:tcPr>
          <w:p>
            <w:pPr>
              <w:pStyle w:val="TableContents"/>
              <w:spacing w:before="0" w:after="283"/>
              <w:rPr/>
            </w:pPr>
            <w:r>
              <w:rPr/>
              <w:t> </w:t>
            </w:r>
          </w:p>
        </w:tc>
        <w:tc>
          <w:tcPr>
            <w:tcW w:w="510" w:type="dxa"/>
            <w:tcBorders/>
            <w:shd w:fill="auto" w:val="clear"/>
            <w:vAlign w:val="center"/>
          </w:tcPr>
          <w:p>
            <w:pPr>
              <w:pStyle w:val="TableContents"/>
              <w:spacing w:before="0" w:after="283"/>
              <w:jc w:val="center"/>
              <w:rPr>
                <w:b/>
                <w:color w:val="BFBFBF"/>
              </w:rPr>
            </w:pPr>
            <w:r>
              <w:rPr>
                <w:b/>
                <w:color w:val="BFBFBF"/>
              </w:rPr>
              <w:t>=  </w:t>
            </w:r>
          </w:p>
        </w:tc>
        <w:tc>
          <w:tcPr>
            <w:tcW w:w="102" w:type="dxa"/>
            <w:tcBorders>
              <w:top w:val="single" w:sz="4" w:space="0" w:color="000000"/>
              <w:left w:val="single" w:sz="4" w:space="0" w:color="000000"/>
              <w:bottom w:val="single" w:sz="4" w:space="0" w:color="000000"/>
              <w:right w:val="single" w:sz="8" w:space="0" w:color="BFBFBF"/>
            </w:tcBorders>
            <w:shd w:fill="BFBFBF" w:val="clear"/>
            <w:tcMar>
              <w:top w:w="28" w:type="dxa"/>
              <w:left w:w="28" w:type="dxa"/>
              <w:bottom w:w="28" w:type="dxa"/>
              <w:right w:w="28" w:type="dxa"/>
            </w:tcMar>
            <w:vAlign w:val="bottom"/>
          </w:tcPr>
          <w:p>
            <w:pPr>
              <w:pStyle w:val="TableContents"/>
              <w:spacing w:before="0" w:after="283"/>
              <w:rPr/>
            </w:pPr>
            <w:r>
              <w:rPr/>
              <w:t> </w:t>
            </w:r>
          </w:p>
        </w:tc>
        <w:tc>
          <w:tcPr>
            <w:tcW w:w="1940" w:type="dxa"/>
            <w:tcBorders>
              <w:top w:val="single" w:sz="4" w:space="0" w:color="000000"/>
              <w:left w:val="single" w:sz="8" w:space="0" w:color="BFBFBF"/>
              <w:bottom w:val="single" w:sz="4" w:space="0" w:color="000000"/>
              <w:right w:val="single" w:sz="4" w:space="0" w:color="000000"/>
            </w:tcBorders>
            <w:shd w:fill="BFBFBF" w:val="clear"/>
            <w:tcMar>
              <w:top w:w="28" w:type="dxa"/>
              <w:left w:w="28" w:type="dxa"/>
              <w:bottom w:w="28" w:type="dxa"/>
              <w:right w:w="28" w:type="dxa"/>
            </w:tcMar>
            <w:vAlign w:val="center"/>
          </w:tcPr>
          <w:p>
            <w:pPr>
              <w:pStyle w:val="TableContents"/>
              <w:spacing w:before="0" w:after="0"/>
              <w:rPr/>
            </w:pPr>
            <w:r>
              <w:rPr/>
              <w:t> </w:t>
            </w:r>
          </w:p>
          <w:p>
            <w:pPr>
              <w:pStyle w:val="TableContents"/>
              <w:spacing w:before="0" w:after="0"/>
              <w:jc w:val="center"/>
              <w:rPr>
                <w:rFonts w:ascii="arial" w:hAnsi="arial"/>
                <w:sz w:val="20"/>
              </w:rPr>
            </w:pPr>
            <w:r>
              <w:rPr>
                <w:rFonts w:ascii="arial" w:hAnsi="arial"/>
                <w:sz w:val="20"/>
              </w:rPr>
              <w:t>Total Direct</w:t>
              <w:br/>
              <w:t>Compensation</w:t>
              <w:br/>
              <w:t>Opportunity</w:t>
            </w:r>
          </w:p>
          <w:p>
            <w:pPr>
              <w:pStyle w:val="TableContents"/>
              <w:spacing w:before="0" w:after="0"/>
              <w:jc w:val="left"/>
              <w:rPr/>
            </w:pPr>
            <w:r>
              <w:rPr/>
              <w:t> </w:t>
            </w:r>
          </w:p>
          <w:p>
            <w:pPr>
              <w:pStyle w:val="TableContents"/>
              <w:spacing w:before="0" w:after="20"/>
              <w:rPr/>
            </w:pPr>
            <w:r>
              <w:rPr/>
              <w:t> </w:t>
            </w:r>
          </w:p>
        </w:tc>
      </w:tr>
    </w:tbl>
    <w:p>
      <w:pPr>
        <w:pStyle w:val="TextBody"/>
        <w:spacing w:before="120" w:after="0"/>
        <w:jc w:val="left"/>
        <w:rPr>
          <w:rFonts w:ascii="arial" w:hAnsi="arial"/>
          <w:sz w:val="20"/>
        </w:rPr>
      </w:pPr>
      <w:r>
        <w:rPr>
          <w:rFonts w:ascii="arial" w:hAnsi="arial"/>
          <w:sz w:val="20"/>
        </w:rPr>
        <w:t xml:space="preserve">The TDCO for each NEO is generally set by using a holistic approach that considers various individual factors as well as relevant benchmark data. Such individual factors include performance, experience level, criticality, scarcity of skill set, internal equity, and external competitiveness. Rather than striving for a single market reference point, the Compensation Committee believes that this broader holistic approach provides appropriate flexibility in tailoring award opportunities. </w:t>
      </w:r>
    </w:p>
    <w:p>
      <w:pPr>
        <w:pStyle w:val="TextBody"/>
        <w:spacing w:before="120" w:after="0"/>
        <w:jc w:val="left"/>
        <w:rPr>
          <w:rFonts w:ascii="arial" w:hAnsi="arial"/>
          <w:sz w:val="20"/>
        </w:rPr>
      </w:pPr>
      <w:r>
        <w:rPr>
          <w:rFonts w:ascii="arial" w:hAnsi="arial"/>
          <w:sz w:val="20"/>
        </w:rPr>
        <w:t xml:space="preserve">The TDCO for 2020, as reviewed and approved by the Compensation Committee for the NEOs on February 19, 2020, is listed in the following table. TDCO differs from the total compensation amounts reported in the 2020 Summary Compensation Table in that it includes the base salary and target annual cash incentive opportunity in effect following such approval, while the 2020 Summary Compensation Table includes the amounts actually earned. Further, TDCO does not include amounts set forth in the All Other Compensation column of the 2020 Summary Compensation Table nor does it include one-time equity awards made in connection with hiring, retention, or other non-standard circumstances. In addition, TDCO includes the value of the target opportunity under the cash LTIP grant at the time it is awarded whereas the 2020 Summary Compensation Table includes the actual value earned, if any, based upon performance under the cash LTIP after the completion of the performance period. </w:t>
      </w:r>
    </w:p>
    <w:p>
      <w:pPr>
        <w:pStyle w:val="TextBody"/>
        <w:spacing w:before="240" w:after="0"/>
        <w:jc w:val="center"/>
        <w:rPr>
          <w:rFonts w:ascii="arial" w:hAnsi="arial"/>
          <w:b/>
          <w:sz w:val="20"/>
        </w:rPr>
      </w:pPr>
      <w:r>
        <w:rPr>
          <w:rFonts w:ascii="arial" w:hAnsi="arial"/>
          <w:b/>
          <w:sz w:val="20"/>
        </w:rPr>
        <w:t xml:space="preserve">2020 Total Direct Compensation Opportunity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72"/>
        <w:gridCol w:w="241"/>
        <w:gridCol w:w="60"/>
        <w:gridCol w:w="140"/>
        <w:gridCol w:w="993"/>
        <w:gridCol w:w="23"/>
        <w:gridCol w:w="241"/>
        <w:gridCol w:w="95"/>
        <w:gridCol w:w="228"/>
        <w:gridCol w:w="1598"/>
        <w:gridCol w:w="38"/>
        <w:gridCol w:w="241"/>
        <w:gridCol w:w="60"/>
        <w:gridCol w:w="140"/>
        <w:gridCol w:w="993"/>
        <w:gridCol w:w="22"/>
        <w:gridCol w:w="241"/>
        <w:gridCol w:w="114"/>
        <w:gridCol w:w="267"/>
        <w:gridCol w:w="1945"/>
        <w:gridCol w:w="53"/>
      </w:tblGrid>
      <w:tr>
        <w:trPr/>
        <w:tc>
          <w:tcPr>
            <w:tcW w:w="247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472" w:type="dxa"/>
            <w:tcBorders/>
            <w:shd w:fill="CF0A2C" w:val="clear"/>
            <w:vAlign w:val="center"/>
          </w:tcPr>
          <w:p>
            <w:pPr>
              <w:pStyle w:val="TableContents"/>
              <w:spacing w:before="0" w:after="283"/>
              <w:rPr>
                <w:sz w:val="4"/>
                <w:szCs w:val="4"/>
              </w:rPr>
            </w:pPr>
            <w:r>
              <w:rPr>
                <w:sz w:val="4"/>
                <w:szCs w:val="4"/>
              </w:rPr>
            </w:r>
          </w:p>
        </w:tc>
        <w:tc>
          <w:tcPr>
            <w:tcW w:w="1457" w:type="dxa"/>
            <w:gridSpan w:val="5"/>
            <w:tcBorders/>
            <w:shd w:fill="CF0A2C" w:val="clear"/>
            <w:vAlign w:val="center"/>
          </w:tcPr>
          <w:p>
            <w:pPr>
              <w:pStyle w:val="TableContents"/>
              <w:spacing w:before="0" w:after="283"/>
              <w:rPr>
                <w:sz w:val="4"/>
                <w:szCs w:val="4"/>
              </w:rPr>
            </w:pPr>
            <w:r>
              <w:rPr>
                <w:sz w:val="4"/>
                <w:szCs w:val="4"/>
              </w:rPr>
            </w:r>
          </w:p>
        </w:tc>
        <w:tc>
          <w:tcPr>
            <w:tcW w:w="2200" w:type="dxa"/>
            <w:gridSpan w:val="5"/>
            <w:tcBorders/>
            <w:shd w:fill="CF0A2C" w:val="clear"/>
            <w:vAlign w:val="center"/>
          </w:tcPr>
          <w:p>
            <w:pPr>
              <w:pStyle w:val="TableContents"/>
              <w:spacing w:before="0" w:after="283"/>
              <w:rPr>
                <w:sz w:val="4"/>
                <w:szCs w:val="4"/>
              </w:rPr>
            </w:pPr>
            <w:r>
              <w:rPr>
                <w:sz w:val="4"/>
                <w:szCs w:val="4"/>
              </w:rPr>
            </w:r>
          </w:p>
        </w:tc>
        <w:tc>
          <w:tcPr>
            <w:tcW w:w="1456" w:type="dxa"/>
            <w:gridSpan w:val="5"/>
            <w:tcBorders/>
            <w:shd w:fill="CF0A2C" w:val="clear"/>
            <w:vAlign w:val="center"/>
          </w:tcPr>
          <w:p>
            <w:pPr>
              <w:pStyle w:val="TableContents"/>
              <w:spacing w:before="0" w:after="283"/>
              <w:rPr>
                <w:sz w:val="4"/>
                <w:szCs w:val="4"/>
              </w:rPr>
            </w:pPr>
            <w:r>
              <w:rPr>
                <w:sz w:val="4"/>
                <w:szCs w:val="4"/>
              </w:rPr>
            </w:r>
          </w:p>
        </w:tc>
        <w:tc>
          <w:tcPr>
            <w:tcW w:w="2620" w:type="dxa"/>
            <w:gridSpan w:val="5"/>
            <w:tcBorders/>
            <w:shd w:fill="CF0A2C" w:val="clear"/>
            <w:vAlign w:val="center"/>
          </w:tcPr>
          <w:p>
            <w:pPr>
              <w:pStyle w:val="TableContents"/>
              <w:spacing w:before="0" w:after="283"/>
              <w:rPr>
                <w:sz w:val="4"/>
                <w:szCs w:val="4"/>
              </w:rPr>
            </w:pPr>
            <w:r>
              <w:rPr>
                <w:sz w:val="4"/>
                <w:szCs w:val="4"/>
              </w:rPr>
            </w:r>
          </w:p>
        </w:tc>
      </w:tr>
      <w:tr>
        <w:trPr/>
        <w:tc>
          <w:tcPr>
            <w:tcW w:w="2472"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241" w:type="dxa"/>
            <w:tcBorders/>
            <w:shd w:fill="CF0A2C" w:val="clear"/>
            <w:vAlign w:val="bottom"/>
          </w:tcPr>
          <w:p>
            <w:pPr>
              <w:pStyle w:val="TableContents"/>
              <w:spacing w:before="0" w:after="283"/>
              <w:rPr/>
            </w:pPr>
            <w:r>
              <w:rPr/>
              <w:t>  </w:t>
            </w:r>
          </w:p>
        </w:tc>
        <w:tc>
          <w:tcPr>
            <w:tcW w:w="1216" w:type="dxa"/>
            <w:gridSpan w:val="4"/>
            <w:tcBorders/>
            <w:shd w:fill="CF0A2C" w:val="clear"/>
            <w:vAlign w:val="bottom"/>
          </w:tcPr>
          <w:p>
            <w:pPr>
              <w:pStyle w:val="TableContents"/>
              <w:spacing w:before="0" w:after="283"/>
              <w:jc w:val="center"/>
              <w:rPr>
                <w:b/>
                <w:color w:val="FFFFFF"/>
              </w:rPr>
            </w:pPr>
            <w:r>
              <w:rPr>
                <w:b/>
                <w:color w:val="FFFFFF"/>
              </w:rPr>
              <w:t xml:space="preserve">2020 </w:t>
              <w:br/>
              <w:t xml:space="preserve">Base </w:t>
              <w:br/>
              <w:t xml:space="preserve">Salary </w:t>
              <w:br/>
              <w:t>($)</w:t>
            </w:r>
          </w:p>
        </w:tc>
        <w:tc>
          <w:tcPr>
            <w:tcW w:w="241" w:type="dxa"/>
            <w:tcBorders/>
            <w:shd w:fill="CF0A2C" w:val="clear"/>
            <w:vAlign w:val="bottom"/>
          </w:tcPr>
          <w:p>
            <w:pPr>
              <w:pStyle w:val="TableContents"/>
              <w:spacing w:before="0" w:after="283"/>
              <w:rPr/>
            </w:pPr>
            <w:r>
              <w:rPr/>
              <w:t>  </w:t>
            </w:r>
          </w:p>
        </w:tc>
        <w:tc>
          <w:tcPr>
            <w:tcW w:w="1959" w:type="dxa"/>
            <w:gridSpan w:val="4"/>
            <w:tcBorders/>
            <w:shd w:fill="CF0A2C" w:val="clear"/>
            <w:vAlign w:val="bottom"/>
          </w:tcPr>
          <w:p>
            <w:pPr>
              <w:pStyle w:val="TableContents"/>
              <w:spacing w:before="0" w:after="283"/>
              <w:jc w:val="center"/>
              <w:rPr>
                <w:b/>
                <w:color w:val="FFFFFF"/>
              </w:rPr>
            </w:pPr>
            <w:r>
              <w:rPr>
                <w:b/>
                <w:color w:val="FFFFFF"/>
              </w:rPr>
              <w:t>2020 Annual Cash</w:t>
              <w:br/>
              <w:t xml:space="preserve">Target Incentive </w:t>
              <w:br/>
              <w:t>($)</w:t>
            </w:r>
          </w:p>
        </w:tc>
        <w:tc>
          <w:tcPr>
            <w:tcW w:w="241" w:type="dxa"/>
            <w:tcBorders/>
            <w:shd w:fill="CF0A2C" w:val="clear"/>
            <w:vAlign w:val="bottom"/>
          </w:tcPr>
          <w:p>
            <w:pPr>
              <w:pStyle w:val="TableContents"/>
              <w:spacing w:before="0" w:after="283"/>
              <w:rPr/>
            </w:pPr>
            <w:r>
              <w:rPr/>
              <w:t>  </w:t>
            </w:r>
          </w:p>
        </w:tc>
        <w:tc>
          <w:tcPr>
            <w:tcW w:w="1215" w:type="dxa"/>
            <w:gridSpan w:val="4"/>
            <w:tcBorders/>
            <w:shd w:fill="CF0A2C" w:val="clear"/>
            <w:vAlign w:val="bottom"/>
          </w:tcPr>
          <w:p>
            <w:pPr>
              <w:pStyle w:val="TableContents"/>
              <w:spacing w:before="0" w:after="283"/>
              <w:jc w:val="center"/>
              <w:rPr>
                <w:b/>
                <w:color w:val="FFFFFF"/>
              </w:rPr>
            </w:pPr>
            <w:r>
              <w:rPr>
                <w:b/>
                <w:color w:val="FFFFFF"/>
              </w:rPr>
              <w:t>2020 Long-</w:t>
              <w:br/>
              <w:t xml:space="preserve">Term </w:t>
              <w:br/>
              <w:t>Incentive</w:t>
              <w:br/>
              <w:t>($)</w:t>
            </w:r>
          </w:p>
        </w:tc>
        <w:tc>
          <w:tcPr>
            <w:tcW w:w="241" w:type="dxa"/>
            <w:tcBorders/>
            <w:shd w:fill="CF0A2C" w:val="clear"/>
            <w:vAlign w:val="bottom"/>
          </w:tcPr>
          <w:p>
            <w:pPr>
              <w:pStyle w:val="TableContents"/>
              <w:spacing w:before="0" w:after="283"/>
              <w:rPr/>
            </w:pPr>
            <w:r>
              <w:rPr/>
              <w:t>  </w:t>
            </w:r>
          </w:p>
        </w:tc>
        <w:tc>
          <w:tcPr>
            <w:tcW w:w="2379" w:type="dxa"/>
            <w:gridSpan w:val="4"/>
            <w:tcBorders/>
            <w:shd w:fill="CF0A2C" w:val="clear"/>
            <w:vAlign w:val="bottom"/>
          </w:tcPr>
          <w:p>
            <w:pPr>
              <w:pStyle w:val="TableContents"/>
              <w:spacing w:before="0" w:after="283"/>
              <w:jc w:val="center"/>
              <w:rPr>
                <w:b/>
                <w:color w:val="FFFFFF"/>
              </w:rPr>
            </w:pPr>
            <w:r>
              <w:rPr>
                <w:b/>
                <w:color w:val="FFFFFF"/>
              </w:rPr>
              <w:t xml:space="preserve">2020 Total </w:t>
              <w:br/>
              <w:t>Direct Compensation  </w:t>
              <w:br/>
              <w:t xml:space="preserve">Opportunity </w:t>
              <w:br/>
              <w:t>($)</w:t>
            </w:r>
          </w:p>
        </w:tc>
      </w:tr>
      <w:tr>
        <w:trPr>
          <w:trHeight w:val="75" w:hRule="atLeast"/>
        </w:trPr>
        <w:tc>
          <w:tcPr>
            <w:tcW w:w="2472" w:type="dxa"/>
            <w:tcBorders/>
            <w:shd w:fill="E5E5E5" w:val="clear"/>
            <w:vAlign w:val="center"/>
          </w:tcPr>
          <w:p>
            <w:pPr>
              <w:pStyle w:val="TableContents"/>
              <w:spacing w:before="0" w:after="283"/>
              <w:rPr>
                <w:sz w:val="4"/>
                <w:szCs w:val="4"/>
              </w:rPr>
            </w:pPr>
            <w:r>
              <w:rPr>
                <w:sz w:val="4"/>
                <w:szCs w:val="4"/>
              </w:rPr>
            </w:r>
          </w:p>
        </w:tc>
        <w:tc>
          <w:tcPr>
            <w:tcW w:w="1457" w:type="dxa"/>
            <w:gridSpan w:val="5"/>
            <w:tcBorders/>
            <w:shd w:fill="E5E5E5" w:val="clear"/>
            <w:vAlign w:val="center"/>
          </w:tcPr>
          <w:p>
            <w:pPr>
              <w:pStyle w:val="TableContents"/>
              <w:spacing w:before="0" w:after="283"/>
              <w:rPr>
                <w:sz w:val="4"/>
                <w:szCs w:val="4"/>
              </w:rPr>
            </w:pPr>
            <w:r>
              <w:rPr>
                <w:sz w:val="4"/>
                <w:szCs w:val="4"/>
              </w:rPr>
            </w:r>
          </w:p>
        </w:tc>
        <w:tc>
          <w:tcPr>
            <w:tcW w:w="2200" w:type="dxa"/>
            <w:gridSpan w:val="5"/>
            <w:tcBorders/>
            <w:shd w:fill="E5E5E5" w:val="clear"/>
            <w:vAlign w:val="center"/>
          </w:tcPr>
          <w:p>
            <w:pPr>
              <w:pStyle w:val="TableContents"/>
              <w:spacing w:before="0" w:after="283"/>
              <w:rPr>
                <w:sz w:val="4"/>
                <w:szCs w:val="4"/>
              </w:rPr>
            </w:pPr>
            <w:r>
              <w:rPr>
                <w:sz w:val="4"/>
                <w:szCs w:val="4"/>
              </w:rPr>
            </w:r>
          </w:p>
        </w:tc>
        <w:tc>
          <w:tcPr>
            <w:tcW w:w="1456" w:type="dxa"/>
            <w:gridSpan w:val="5"/>
            <w:tcBorders/>
            <w:shd w:fill="E5E5E5" w:val="clear"/>
            <w:vAlign w:val="center"/>
          </w:tcPr>
          <w:p>
            <w:pPr>
              <w:pStyle w:val="TableContents"/>
              <w:spacing w:before="0" w:after="283"/>
              <w:rPr>
                <w:sz w:val="4"/>
                <w:szCs w:val="4"/>
              </w:rPr>
            </w:pPr>
            <w:r>
              <w:rPr>
                <w:sz w:val="4"/>
                <w:szCs w:val="4"/>
              </w:rPr>
            </w:r>
          </w:p>
        </w:tc>
        <w:tc>
          <w:tcPr>
            <w:tcW w:w="2620" w:type="dxa"/>
            <w:gridSpan w:val="5"/>
            <w:tcBorders/>
            <w:shd w:fill="E5E5E5" w:val="clear"/>
            <w:vAlign w:val="center"/>
          </w:tcPr>
          <w:p>
            <w:pPr>
              <w:pStyle w:val="TableContents"/>
              <w:spacing w:before="0" w:after="283"/>
              <w:rPr>
                <w:sz w:val="4"/>
                <w:szCs w:val="4"/>
              </w:rPr>
            </w:pPr>
            <w:r>
              <w:rPr>
                <w:sz w:val="4"/>
                <w:szCs w:val="4"/>
              </w:rPr>
            </w:r>
          </w:p>
        </w:tc>
      </w:tr>
      <w:tr>
        <w:trPr/>
        <w:tc>
          <w:tcPr>
            <w:tcW w:w="2472" w:type="dxa"/>
            <w:tcBorders/>
            <w:shd w:fill="E5E5E5" w:val="clear"/>
          </w:tcPr>
          <w:p>
            <w:pPr>
              <w:pStyle w:val="TableContents"/>
              <w:spacing w:before="0" w:after="0"/>
              <w:rPr>
                <w:rFonts w:ascii="arial" w:hAnsi="arial"/>
                <w:sz w:val="20"/>
              </w:rPr>
            </w:pPr>
            <w:r>
              <w:rPr>
                <w:rFonts w:ascii="arial" w:hAnsi="arial"/>
                <w:sz w:val="20"/>
              </w:rPr>
              <w:t>Stephen P. Joyce</w:t>
            </w:r>
          </w:p>
        </w:tc>
        <w:tc>
          <w:tcPr>
            <w:tcW w:w="24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93" w:type="dxa"/>
            <w:tcBorders/>
            <w:shd w:fill="E5E5E5" w:val="clear"/>
            <w:vAlign w:val="bottom"/>
          </w:tcPr>
          <w:p>
            <w:pPr>
              <w:pStyle w:val="TableContents"/>
              <w:spacing w:before="0" w:after="283"/>
              <w:jc w:val="right"/>
              <w:rPr/>
            </w:pPr>
            <w:r>
              <w:rPr/>
              <w:t>1,000,000</w:t>
            </w:r>
          </w:p>
        </w:tc>
        <w:tc>
          <w:tcPr>
            <w:tcW w:w="23"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95" w:type="dxa"/>
            <w:tcBorders/>
            <w:shd w:fill="E5E5E5" w:val="clear"/>
            <w:vAlign w:val="bottom"/>
          </w:tcPr>
          <w:p>
            <w:pPr>
              <w:pStyle w:val="TableContents"/>
              <w:spacing w:before="0" w:after="283"/>
              <w:rPr/>
            </w:pPr>
            <w:r>
              <w:rPr/>
              <w:t> </w:t>
            </w:r>
          </w:p>
        </w:tc>
        <w:tc>
          <w:tcPr>
            <w:tcW w:w="228" w:type="dxa"/>
            <w:tcBorders/>
            <w:shd w:fill="E5E5E5" w:val="clear"/>
            <w:vAlign w:val="bottom"/>
          </w:tcPr>
          <w:p>
            <w:pPr>
              <w:pStyle w:val="TableContents"/>
              <w:spacing w:before="0" w:after="283"/>
              <w:rPr/>
            </w:pPr>
            <w:r>
              <w:rPr/>
              <w:t>$</w:t>
            </w:r>
          </w:p>
        </w:tc>
        <w:tc>
          <w:tcPr>
            <w:tcW w:w="1598" w:type="dxa"/>
            <w:tcBorders/>
            <w:shd w:fill="E5E5E5" w:val="clear"/>
            <w:vAlign w:val="bottom"/>
          </w:tcPr>
          <w:p>
            <w:pPr>
              <w:pStyle w:val="TableContents"/>
              <w:spacing w:before="0" w:after="283"/>
              <w:jc w:val="right"/>
              <w:rPr/>
            </w:pPr>
            <w:r>
              <w:rPr/>
              <w:t>1,000,000</w:t>
            </w:r>
          </w:p>
        </w:tc>
        <w:tc>
          <w:tcPr>
            <w:tcW w:w="38"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93" w:type="dxa"/>
            <w:tcBorders/>
            <w:shd w:fill="E5E5E5" w:val="clear"/>
            <w:vAlign w:val="bottom"/>
          </w:tcPr>
          <w:p>
            <w:pPr>
              <w:pStyle w:val="TableContents"/>
              <w:spacing w:before="0" w:after="283"/>
              <w:jc w:val="right"/>
              <w:rPr/>
            </w:pPr>
            <w:r>
              <w:rPr/>
              <w:t>0</w:t>
            </w:r>
          </w:p>
        </w:tc>
        <w:tc>
          <w:tcPr>
            <w:tcW w:w="22"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114" w:type="dxa"/>
            <w:tcBorders/>
            <w:shd w:fill="E5E5E5" w:val="clear"/>
            <w:vAlign w:val="bottom"/>
          </w:tcPr>
          <w:p>
            <w:pPr>
              <w:pStyle w:val="TableContents"/>
              <w:spacing w:before="0" w:after="283"/>
              <w:rPr/>
            </w:pPr>
            <w:r>
              <w:rPr/>
              <w:t> </w:t>
            </w:r>
          </w:p>
        </w:tc>
        <w:tc>
          <w:tcPr>
            <w:tcW w:w="267" w:type="dxa"/>
            <w:tcBorders/>
            <w:shd w:fill="E5E5E5" w:val="clear"/>
            <w:vAlign w:val="bottom"/>
          </w:tcPr>
          <w:p>
            <w:pPr>
              <w:pStyle w:val="TableContents"/>
              <w:spacing w:before="0" w:after="283"/>
              <w:rPr/>
            </w:pPr>
            <w:r>
              <w:rPr/>
              <w:t>$</w:t>
            </w:r>
          </w:p>
        </w:tc>
        <w:tc>
          <w:tcPr>
            <w:tcW w:w="1945" w:type="dxa"/>
            <w:tcBorders/>
            <w:shd w:fill="E5E5E5" w:val="clear"/>
            <w:vAlign w:val="bottom"/>
          </w:tcPr>
          <w:p>
            <w:pPr>
              <w:pStyle w:val="TableContents"/>
              <w:spacing w:before="0" w:after="283"/>
              <w:jc w:val="right"/>
              <w:rPr/>
            </w:pPr>
            <w:r>
              <w:rPr/>
              <w:t>2,000,000</w:t>
            </w:r>
          </w:p>
        </w:tc>
        <w:tc>
          <w:tcPr>
            <w:tcW w:w="53"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2472" w:type="dxa"/>
            <w:tcBorders/>
            <w:shd w:fill="auto" w:val="clear"/>
            <w:vAlign w:val="center"/>
          </w:tcPr>
          <w:p>
            <w:pPr>
              <w:pStyle w:val="TableContents"/>
              <w:spacing w:before="0" w:after="283"/>
              <w:rPr>
                <w:sz w:val="4"/>
                <w:szCs w:val="4"/>
              </w:rPr>
            </w:pPr>
            <w:r>
              <w:rPr>
                <w:sz w:val="4"/>
                <w:szCs w:val="4"/>
              </w:rPr>
            </w:r>
          </w:p>
        </w:tc>
        <w:tc>
          <w:tcPr>
            <w:tcW w:w="1457" w:type="dxa"/>
            <w:gridSpan w:val="5"/>
            <w:tcBorders/>
            <w:shd w:fill="auto" w:val="clear"/>
            <w:vAlign w:val="center"/>
          </w:tcPr>
          <w:p>
            <w:pPr>
              <w:pStyle w:val="TableContents"/>
              <w:spacing w:before="0" w:after="283"/>
              <w:rPr>
                <w:sz w:val="4"/>
                <w:szCs w:val="4"/>
              </w:rPr>
            </w:pPr>
            <w:r>
              <w:rPr>
                <w:sz w:val="4"/>
                <w:szCs w:val="4"/>
              </w:rPr>
            </w:r>
          </w:p>
        </w:tc>
        <w:tc>
          <w:tcPr>
            <w:tcW w:w="2200" w:type="dxa"/>
            <w:gridSpan w:val="5"/>
            <w:tcBorders/>
            <w:shd w:fill="auto" w:val="clear"/>
            <w:vAlign w:val="center"/>
          </w:tcPr>
          <w:p>
            <w:pPr>
              <w:pStyle w:val="TableContents"/>
              <w:spacing w:before="0" w:after="283"/>
              <w:rPr>
                <w:sz w:val="4"/>
                <w:szCs w:val="4"/>
              </w:rPr>
            </w:pPr>
            <w:r>
              <w:rPr>
                <w:sz w:val="4"/>
                <w:szCs w:val="4"/>
              </w:rPr>
            </w:r>
          </w:p>
        </w:tc>
        <w:tc>
          <w:tcPr>
            <w:tcW w:w="1456" w:type="dxa"/>
            <w:gridSpan w:val="5"/>
            <w:tcBorders/>
            <w:shd w:fill="auto" w:val="clear"/>
            <w:vAlign w:val="center"/>
          </w:tcPr>
          <w:p>
            <w:pPr>
              <w:pStyle w:val="TableContents"/>
              <w:spacing w:before="0" w:after="283"/>
              <w:rPr>
                <w:sz w:val="4"/>
                <w:szCs w:val="4"/>
              </w:rPr>
            </w:pPr>
            <w:r>
              <w:rPr>
                <w:sz w:val="4"/>
                <w:szCs w:val="4"/>
              </w:rPr>
            </w:r>
          </w:p>
        </w:tc>
        <w:tc>
          <w:tcPr>
            <w:tcW w:w="2620" w:type="dxa"/>
            <w:gridSpan w:val="5"/>
            <w:tcBorders/>
            <w:shd w:fill="auto" w:val="clear"/>
            <w:vAlign w:val="center"/>
          </w:tcPr>
          <w:p>
            <w:pPr>
              <w:pStyle w:val="TableContents"/>
              <w:spacing w:before="0" w:after="283"/>
              <w:rPr>
                <w:sz w:val="4"/>
                <w:szCs w:val="4"/>
              </w:rPr>
            </w:pPr>
            <w:r>
              <w:rPr>
                <w:sz w:val="4"/>
                <w:szCs w:val="4"/>
              </w:rPr>
            </w:r>
          </w:p>
        </w:tc>
      </w:tr>
      <w:tr>
        <w:trPr/>
        <w:tc>
          <w:tcPr>
            <w:tcW w:w="2472" w:type="dxa"/>
            <w:tcBorders/>
            <w:shd w:fill="auto" w:val="clear"/>
          </w:tcPr>
          <w:p>
            <w:pPr>
              <w:pStyle w:val="TableContents"/>
              <w:spacing w:before="0" w:after="0"/>
              <w:rPr>
                <w:rFonts w:ascii="arial" w:hAnsi="arial"/>
                <w:sz w:val="20"/>
              </w:rPr>
            </w:pPr>
            <w:r>
              <w:rPr>
                <w:rFonts w:ascii="arial" w:hAnsi="arial"/>
                <w:sz w:val="20"/>
              </w:rPr>
              <w:t>Thomas H. Song</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3" w:type="dxa"/>
            <w:tcBorders/>
            <w:shd w:fill="auto" w:val="clear"/>
            <w:vAlign w:val="bottom"/>
          </w:tcPr>
          <w:p>
            <w:pPr>
              <w:pStyle w:val="TableContents"/>
              <w:spacing w:before="0" w:after="283"/>
              <w:jc w:val="right"/>
              <w:rPr/>
            </w:pPr>
            <w:r>
              <w:rPr/>
              <w:t>550,000</w:t>
            </w:r>
          </w:p>
        </w:tc>
        <w:tc>
          <w:tcPr>
            <w:tcW w:w="23"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598" w:type="dxa"/>
            <w:tcBorders/>
            <w:shd w:fill="auto" w:val="clear"/>
            <w:vAlign w:val="bottom"/>
          </w:tcPr>
          <w:p>
            <w:pPr>
              <w:pStyle w:val="TableContents"/>
              <w:spacing w:before="0" w:after="283"/>
              <w:jc w:val="right"/>
              <w:rPr/>
            </w:pPr>
            <w:r>
              <w:rPr/>
              <w:t>412,500</w:t>
            </w:r>
          </w:p>
        </w:tc>
        <w:tc>
          <w:tcPr>
            <w:tcW w:w="38"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3" w:type="dxa"/>
            <w:tcBorders/>
            <w:shd w:fill="auto" w:val="clear"/>
            <w:vAlign w:val="bottom"/>
          </w:tcPr>
          <w:p>
            <w:pPr>
              <w:pStyle w:val="TableContents"/>
              <w:spacing w:before="0" w:after="283"/>
              <w:jc w:val="right"/>
              <w:rPr/>
            </w:pPr>
            <w:r>
              <w:rPr/>
              <w:t>800,046</w:t>
            </w:r>
          </w:p>
        </w:tc>
        <w:tc>
          <w:tcPr>
            <w:tcW w:w="22"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w:t>
            </w:r>
          </w:p>
        </w:tc>
        <w:tc>
          <w:tcPr>
            <w:tcW w:w="1945" w:type="dxa"/>
            <w:tcBorders/>
            <w:shd w:fill="auto" w:val="clear"/>
            <w:vAlign w:val="bottom"/>
          </w:tcPr>
          <w:p>
            <w:pPr>
              <w:pStyle w:val="TableContents"/>
              <w:spacing w:before="0" w:after="283"/>
              <w:jc w:val="right"/>
              <w:rPr/>
            </w:pPr>
            <w:r>
              <w:rPr/>
              <w:t>1,762,546</w:t>
            </w:r>
          </w:p>
        </w:tc>
        <w:tc>
          <w:tcPr>
            <w:tcW w:w="53"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472" w:type="dxa"/>
            <w:tcBorders/>
            <w:shd w:fill="E5E5E5" w:val="clear"/>
            <w:vAlign w:val="center"/>
          </w:tcPr>
          <w:p>
            <w:pPr>
              <w:pStyle w:val="TableContents"/>
              <w:spacing w:before="0" w:after="283"/>
              <w:rPr>
                <w:sz w:val="4"/>
                <w:szCs w:val="4"/>
              </w:rPr>
            </w:pPr>
            <w:r>
              <w:rPr>
                <w:sz w:val="4"/>
                <w:szCs w:val="4"/>
              </w:rPr>
            </w:r>
          </w:p>
        </w:tc>
        <w:tc>
          <w:tcPr>
            <w:tcW w:w="1457" w:type="dxa"/>
            <w:gridSpan w:val="5"/>
            <w:tcBorders/>
            <w:shd w:fill="E5E5E5" w:val="clear"/>
            <w:vAlign w:val="center"/>
          </w:tcPr>
          <w:p>
            <w:pPr>
              <w:pStyle w:val="TableContents"/>
              <w:spacing w:before="0" w:after="283"/>
              <w:rPr>
                <w:sz w:val="4"/>
                <w:szCs w:val="4"/>
              </w:rPr>
            </w:pPr>
            <w:r>
              <w:rPr>
                <w:sz w:val="4"/>
                <w:szCs w:val="4"/>
              </w:rPr>
            </w:r>
          </w:p>
        </w:tc>
        <w:tc>
          <w:tcPr>
            <w:tcW w:w="2200" w:type="dxa"/>
            <w:gridSpan w:val="5"/>
            <w:tcBorders/>
            <w:shd w:fill="E5E5E5" w:val="clear"/>
            <w:vAlign w:val="center"/>
          </w:tcPr>
          <w:p>
            <w:pPr>
              <w:pStyle w:val="TableContents"/>
              <w:spacing w:before="0" w:after="283"/>
              <w:rPr>
                <w:sz w:val="4"/>
                <w:szCs w:val="4"/>
              </w:rPr>
            </w:pPr>
            <w:r>
              <w:rPr>
                <w:sz w:val="4"/>
                <w:szCs w:val="4"/>
              </w:rPr>
            </w:r>
          </w:p>
        </w:tc>
        <w:tc>
          <w:tcPr>
            <w:tcW w:w="1456" w:type="dxa"/>
            <w:gridSpan w:val="5"/>
            <w:tcBorders/>
            <w:shd w:fill="E5E5E5" w:val="clear"/>
            <w:vAlign w:val="center"/>
          </w:tcPr>
          <w:p>
            <w:pPr>
              <w:pStyle w:val="TableContents"/>
              <w:spacing w:before="0" w:after="283"/>
              <w:rPr>
                <w:sz w:val="4"/>
                <w:szCs w:val="4"/>
              </w:rPr>
            </w:pPr>
            <w:r>
              <w:rPr>
                <w:sz w:val="4"/>
                <w:szCs w:val="4"/>
              </w:rPr>
            </w:r>
          </w:p>
        </w:tc>
        <w:tc>
          <w:tcPr>
            <w:tcW w:w="2620" w:type="dxa"/>
            <w:gridSpan w:val="5"/>
            <w:tcBorders/>
            <w:shd w:fill="E5E5E5" w:val="clear"/>
            <w:vAlign w:val="center"/>
          </w:tcPr>
          <w:p>
            <w:pPr>
              <w:pStyle w:val="TableContents"/>
              <w:spacing w:before="0" w:after="283"/>
              <w:rPr>
                <w:sz w:val="4"/>
                <w:szCs w:val="4"/>
              </w:rPr>
            </w:pPr>
            <w:r>
              <w:rPr>
                <w:sz w:val="4"/>
                <w:szCs w:val="4"/>
              </w:rPr>
            </w:r>
          </w:p>
        </w:tc>
      </w:tr>
      <w:tr>
        <w:trPr/>
        <w:tc>
          <w:tcPr>
            <w:tcW w:w="2472" w:type="dxa"/>
            <w:tcBorders/>
            <w:shd w:fill="E5E5E5" w:val="clear"/>
          </w:tcPr>
          <w:p>
            <w:pPr>
              <w:pStyle w:val="TableContents"/>
              <w:spacing w:before="0" w:after="0"/>
              <w:rPr>
                <w:rFonts w:ascii="arial" w:hAnsi="arial"/>
                <w:sz w:val="20"/>
              </w:rPr>
            </w:pPr>
            <w:r>
              <w:rPr>
                <w:rFonts w:ascii="arial" w:hAnsi="arial"/>
                <w:sz w:val="20"/>
              </w:rPr>
              <w:t>John C. Cywinski</w:t>
            </w:r>
          </w:p>
        </w:tc>
        <w:tc>
          <w:tcPr>
            <w:tcW w:w="24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93" w:type="dxa"/>
            <w:tcBorders/>
            <w:shd w:fill="E5E5E5" w:val="clear"/>
            <w:vAlign w:val="bottom"/>
          </w:tcPr>
          <w:p>
            <w:pPr>
              <w:pStyle w:val="TableContents"/>
              <w:spacing w:before="0" w:after="283"/>
              <w:jc w:val="right"/>
              <w:rPr/>
            </w:pPr>
            <w:r>
              <w:rPr/>
              <w:t>675,000</w:t>
            </w:r>
          </w:p>
        </w:tc>
        <w:tc>
          <w:tcPr>
            <w:tcW w:w="23"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95" w:type="dxa"/>
            <w:tcBorders/>
            <w:shd w:fill="E5E5E5" w:val="clear"/>
            <w:vAlign w:val="bottom"/>
          </w:tcPr>
          <w:p>
            <w:pPr>
              <w:pStyle w:val="TableContents"/>
              <w:spacing w:before="0" w:after="283"/>
              <w:rPr/>
            </w:pPr>
            <w:r>
              <w:rPr/>
              <w:t> </w:t>
            </w:r>
          </w:p>
        </w:tc>
        <w:tc>
          <w:tcPr>
            <w:tcW w:w="228" w:type="dxa"/>
            <w:tcBorders/>
            <w:shd w:fill="E5E5E5" w:val="clear"/>
            <w:vAlign w:val="bottom"/>
          </w:tcPr>
          <w:p>
            <w:pPr>
              <w:pStyle w:val="TableContents"/>
              <w:spacing w:before="0" w:after="283"/>
              <w:rPr/>
            </w:pPr>
            <w:r>
              <w:rPr/>
              <w:t>$</w:t>
            </w:r>
          </w:p>
        </w:tc>
        <w:tc>
          <w:tcPr>
            <w:tcW w:w="1598" w:type="dxa"/>
            <w:tcBorders/>
            <w:shd w:fill="E5E5E5" w:val="clear"/>
            <w:vAlign w:val="bottom"/>
          </w:tcPr>
          <w:p>
            <w:pPr>
              <w:pStyle w:val="TableContents"/>
              <w:spacing w:before="0" w:after="283"/>
              <w:jc w:val="right"/>
              <w:rPr/>
            </w:pPr>
            <w:r>
              <w:rPr/>
              <w:t>573,750</w:t>
            </w:r>
          </w:p>
        </w:tc>
        <w:tc>
          <w:tcPr>
            <w:tcW w:w="38"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93" w:type="dxa"/>
            <w:tcBorders/>
            <w:shd w:fill="E5E5E5" w:val="clear"/>
            <w:vAlign w:val="bottom"/>
          </w:tcPr>
          <w:p>
            <w:pPr>
              <w:pStyle w:val="TableContents"/>
              <w:spacing w:before="0" w:after="283"/>
              <w:jc w:val="right"/>
              <w:rPr/>
            </w:pPr>
            <w:r>
              <w:rPr/>
              <w:t>1,000,040</w:t>
            </w:r>
          </w:p>
        </w:tc>
        <w:tc>
          <w:tcPr>
            <w:tcW w:w="22"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114" w:type="dxa"/>
            <w:tcBorders/>
            <w:shd w:fill="E5E5E5" w:val="clear"/>
            <w:vAlign w:val="bottom"/>
          </w:tcPr>
          <w:p>
            <w:pPr>
              <w:pStyle w:val="TableContents"/>
              <w:spacing w:before="0" w:after="283"/>
              <w:rPr/>
            </w:pPr>
            <w:r>
              <w:rPr/>
              <w:t> </w:t>
            </w:r>
          </w:p>
        </w:tc>
        <w:tc>
          <w:tcPr>
            <w:tcW w:w="267" w:type="dxa"/>
            <w:tcBorders/>
            <w:shd w:fill="E5E5E5" w:val="clear"/>
            <w:vAlign w:val="bottom"/>
          </w:tcPr>
          <w:p>
            <w:pPr>
              <w:pStyle w:val="TableContents"/>
              <w:spacing w:before="0" w:after="283"/>
              <w:rPr/>
            </w:pPr>
            <w:r>
              <w:rPr/>
              <w:t>$</w:t>
            </w:r>
          </w:p>
        </w:tc>
        <w:tc>
          <w:tcPr>
            <w:tcW w:w="1945" w:type="dxa"/>
            <w:tcBorders/>
            <w:shd w:fill="E5E5E5" w:val="clear"/>
            <w:vAlign w:val="bottom"/>
          </w:tcPr>
          <w:p>
            <w:pPr>
              <w:pStyle w:val="TableContents"/>
              <w:spacing w:before="0" w:after="283"/>
              <w:jc w:val="right"/>
              <w:rPr/>
            </w:pPr>
            <w:r>
              <w:rPr/>
              <w:t>2,248,790</w:t>
            </w:r>
          </w:p>
        </w:tc>
        <w:tc>
          <w:tcPr>
            <w:tcW w:w="53"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2472" w:type="dxa"/>
            <w:tcBorders/>
            <w:shd w:fill="auto" w:val="clear"/>
            <w:vAlign w:val="center"/>
          </w:tcPr>
          <w:p>
            <w:pPr>
              <w:pStyle w:val="TableContents"/>
              <w:spacing w:before="0" w:after="283"/>
              <w:rPr>
                <w:sz w:val="4"/>
                <w:szCs w:val="4"/>
              </w:rPr>
            </w:pPr>
            <w:r>
              <w:rPr>
                <w:sz w:val="4"/>
                <w:szCs w:val="4"/>
              </w:rPr>
            </w:r>
          </w:p>
        </w:tc>
        <w:tc>
          <w:tcPr>
            <w:tcW w:w="1457" w:type="dxa"/>
            <w:gridSpan w:val="5"/>
            <w:tcBorders/>
            <w:shd w:fill="auto" w:val="clear"/>
            <w:vAlign w:val="center"/>
          </w:tcPr>
          <w:p>
            <w:pPr>
              <w:pStyle w:val="TableContents"/>
              <w:spacing w:before="0" w:after="283"/>
              <w:rPr>
                <w:sz w:val="4"/>
                <w:szCs w:val="4"/>
              </w:rPr>
            </w:pPr>
            <w:r>
              <w:rPr>
                <w:sz w:val="4"/>
                <w:szCs w:val="4"/>
              </w:rPr>
            </w:r>
          </w:p>
        </w:tc>
        <w:tc>
          <w:tcPr>
            <w:tcW w:w="2200" w:type="dxa"/>
            <w:gridSpan w:val="5"/>
            <w:tcBorders/>
            <w:shd w:fill="auto" w:val="clear"/>
            <w:vAlign w:val="center"/>
          </w:tcPr>
          <w:p>
            <w:pPr>
              <w:pStyle w:val="TableContents"/>
              <w:spacing w:before="0" w:after="283"/>
              <w:rPr>
                <w:sz w:val="4"/>
                <w:szCs w:val="4"/>
              </w:rPr>
            </w:pPr>
            <w:r>
              <w:rPr>
                <w:sz w:val="4"/>
                <w:szCs w:val="4"/>
              </w:rPr>
            </w:r>
          </w:p>
        </w:tc>
        <w:tc>
          <w:tcPr>
            <w:tcW w:w="1456" w:type="dxa"/>
            <w:gridSpan w:val="5"/>
            <w:tcBorders/>
            <w:shd w:fill="auto" w:val="clear"/>
            <w:vAlign w:val="center"/>
          </w:tcPr>
          <w:p>
            <w:pPr>
              <w:pStyle w:val="TableContents"/>
              <w:spacing w:before="0" w:after="283"/>
              <w:rPr>
                <w:sz w:val="4"/>
                <w:szCs w:val="4"/>
              </w:rPr>
            </w:pPr>
            <w:r>
              <w:rPr>
                <w:sz w:val="4"/>
                <w:szCs w:val="4"/>
              </w:rPr>
            </w:r>
          </w:p>
        </w:tc>
        <w:tc>
          <w:tcPr>
            <w:tcW w:w="2620" w:type="dxa"/>
            <w:gridSpan w:val="5"/>
            <w:tcBorders/>
            <w:shd w:fill="auto" w:val="clear"/>
            <w:vAlign w:val="center"/>
          </w:tcPr>
          <w:p>
            <w:pPr>
              <w:pStyle w:val="TableContents"/>
              <w:spacing w:before="0" w:after="283"/>
              <w:rPr>
                <w:sz w:val="4"/>
                <w:szCs w:val="4"/>
              </w:rPr>
            </w:pPr>
            <w:r>
              <w:rPr>
                <w:sz w:val="4"/>
                <w:szCs w:val="4"/>
              </w:rPr>
            </w:r>
          </w:p>
        </w:tc>
      </w:tr>
      <w:tr>
        <w:trPr/>
        <w:tc>
          <w:tcPr>
            <w:tcW w:w="2472" w:type="dxa"/>
            <w:tcBorders/>
            <w:shd w:fill="auto" w:val="clear"/>
          </w:tcPr>
          <w:p>
            <w:pPr>
              <w:pStyle w:val="TableContents"/>
              <w:spacing w:before="0" w:after="0"/>
              <w:rPr>
                <w:rFonts w:ascii="arial" w:hAnsi="arial"/>
                <w:sz w:val="20"/>
              </w:rPr>
            </w:pPr>
            <w:r>
              <w:rPr>
                <w:rFonts w:ascii="arial" w:hAnsi="arial"/>
                <w:sz w:val="20"/>
              </w:rPr>
              <w:t>Jay D. Johns</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3" w:type="dxa"/>
            <w:tcBorders/>
            <w:shd w:fill="auto" w:val="clear"/>
            <w:vAlign w:val="bottom"/>
          </w:tcPr>
          <w:p>
            <w:pPr>
              <w:pStyle w:val="TableContents"/>
              <w:spacing w:before="0" w:after="283"/>
              <w:jc w:val="right"/>
              <w:rPr/>
            </w:pPr>
            <w:r>
              <w:rPr/>
              <w:t>550,000</w:t>
            </w:r>
          </w:p>
        </w:tc>
        <w:tc>
          <w:tcPr>
            <w:tcW w:w="23"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598" w:type="dxa"/>
            <w:tcBorders/>
            <w:shd w:fill="auto" w:val="clear"/>
            <w:vAlign w:val="bottom"/>
          </w:tcPr>
          <w:p>
            <w:pPr>
              <w:pStyle w:val="TableContents"/>
              <w:spacing w:before="0" w:after="283"/>
              <w:jc w:val="right"/>
              <w:rPr/>
            </w:pPr>
            <w:r>
              <w:rPr/>
              <w:t>412,500</w:t>
            </w:r>
          </w:p>
        </w:tc>
        <w:tc>
          <w:tcPr>
            <w:tcW w:w="38"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3" w:type="dxa"/>
            <w:tcBorders/>
            <w:shd w:fill="auto" w:val="clear"/>
            <w:vAlign w:val="bottom"/>
          </w:tcPr>
          <w:p>
            <w:pPr>
              <w:pStyle w:val="TableContents"/>
              <w:spacing w:before="0" w:after="283"/>
              <w:jc w:val="right"/>
              <w:rPr/>
            </w:pPr>
            <w:r>
              <w:rPr/>
              <w:t>750,069</w:t>
            </w:r>
          </w:p>
        </w:tc>
        <w:tc>
          <w:tcPr>
            <w:tcW w:w="22"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w:t>
            </w:r>
          </w:p>
        </w:tc>
        <w:tc>
          <w:tcPr>
            <w:tcW w:w="1945" w:type="dxa"/>
            <w:tcBorders/>
            <w:shd w:fill="auto" w:val="clear"/>
            <w:vAlign w:val="bottom"/>
          </w:tcPr>
          <w:p>
            <w:pPr>
              <w:pStyle w:val="TableContents"/>
              <w:spacing w:before="0" w:after="283"/>
              <w:jc w:val="right"/>
              <w:rPr/>
            </w:pPr>
            <w:r>
              <w:rPr/>
              <w:t>1,712,569</w:t>
            </w:r>
          </w:p>
        </w:tc>
        <w:tc>
          <w:tcPr>
            <w:tcW w:w="53"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472" w:type="dxa"/>
            <w:tcBorders/>
            <w:shd w:fill="E5E5E5" w:val="clear"/>
            <w:vAlign w:val="center"/>
          </w:tcPr>
          <w:p>
            <w:pPr>
              <w:pStyle w:val="TableContents"/>
              <w:spacing w:before="0" w:after="283"/>
              <w:rPr>
                <w:sz w:val="4"/>
                <w:szCs w:val="4"/>
              </w:rPr>
            </w:pPr>
            <w:r>
              <w:rPr>
                <w:sz w:val="4"/>
                <w:szCs w:val="4"/>
              </w:rPr>
            </w:r>
          </w:p>
        </w:tc>
        <w:tc>
          <w:tcPr>
            <w:tcW w:w="1457" w:type="dxa"/>
            <w:gridSpan w:val="5"/>
            <w:tcBorders/>
            <w:shd w:fill="E5E5E5" w:val="clear"/>
            <w:vAlign w:val="center"/>
          </w:tcPr>
          <w:p>
            <w:pPr>
              <w:pStyle w:val="TableContents"/>
              <w:spacing w:before="0" w:after="283"/>
              <w:rPr>
                <w:sz w:val="4"/>
                <w:szCs w:val="4"/>
              </w:rPr>
            </w:pPr>
            <w:r>
              <w:rPr>
                <w:sz w:val="4"/>
                <w:szCs w:val="4"/>
              </w:rPr>
            </w:r>
          </w:p>
        </w:tc>
        <w:tc>
          <w:tcPr>
            <w:tcW w:w="2200" w:type="dxa"/>
            <w:gridSpan w:val="5"/>
            <w:tcBorders/>
            <w:shd w:fill="E5E5E5" w:val="clear"/>
            <w:vAlign w:val="center"/>
          </w:tcPr>
          <w:p>
            <w:pPr>
              <w:pStyle w:val="TableContents"/>
              <w:spacing w:before="0" w:after="283"/>
              <w:rPr>
                <w:sz w:val="4"/>
                <w:szCs w:val="4"/>
              </w:rPr>
            </w:pPr>
            <w:r>
              <w:rPr>
                <w:sz w:val="4"/>
                <w:szCs w:val="4"/>
              </w:rPr>
            </w:r>
          </w:p>
        </w:tc>
        <w:tc>
          <w:tcPr>
            <w:tcW w:w="1456" w:type="dxa"/>
            <w:gridSpan w:val="5"/>
            <w:tcBorders/>
            <w:shd w:fill="E5E5E5" w:val="clear"/>
            <w:vAlign w:val="center"/>
          </w:tcPr>
          <w:p>
            <w:pPr>
              <w:pStyle w:val="TableContents"/>
              <w:spacing w:before="0" w:after="283"/>
              <w:rPr>
                <w:sz w:val="4"/>
                <w:szCs w:val="4"/>
              </w:rPr>
            </w:pPr>
            <w:r>
              <w:rPr>
                <w:sz w:val="4"/>
                <w:szCs w:val="4"/>
              </w:rPr>
            </w:r>
          </w:p>
        </w:tc>
        <w:tc>
          <w:tcPr>
            <w:tcW w:w="2620" w:type="dxa"/>
            <w:gridSpan w:val="5"/>
            <w:tcBorders/>
            <w:shd w:fill="E5E5E5" w:val="clear"/>
            <w:vAlign w:val="center"/>
          </w:tcPr>
          <w:p>
            <w:pPr>
              <w:pStyle w:val="TableContents"/>
              <w:spacing w:before="0" w:after="283"/>
              <w:rPr>
                <w:sz w:val="4"/>
                <w:szCs w:val="4"/>
              </w:rPr>
            </w:pPr>
            <w:r>
              <w:rPr>
                <w:sz w:val="4"/>
                <w:szCs w:val="4"/>
              </w:rPr>
            </w:r>
          </w:p>
        </w:tc>
      </w:tr>
      <w:tr>
        <w:trPr/>
        <w:tc>
          <w:tcPr>
            <w:tcW w:w="2472" w:type="dxa"/>
            <w:tcBorders/>
            <w:shd w:fill="E5E5E5" w:val="clear"/>
          </w:tcPr>
          <w:p>
            <w:pPr>
              <w:pStyle w:val="TableContents"/>
              <w:spacing w:before="0" w:after="0"/>
              <w:rPr>
                <w:rFonts w:ascii="arial" w:hAnsi="arial"/>
                <w:sz w:val="20"/>
              </w:rPr>
            </w:pPr>
            <w:r>
              <w:rPr>
                <w:rFonts w:ascii="arial" w:hAnsi="arial"/>
                <w:sz w:val="20"/>
              </w:rPr>
              <w:t>Bryan R. Adel</w:t>
            </w:r>
          </w:p>
        </w:tc>
        <w:tc>
          <w:tcPr>
            <w:tcW w:w="24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93" w:type="dxa"/>
            <w:tcBorders/>
            <w:shd w:fill="E5E5E5" w:val="clear"/>
            <w:vAlign w:val="bottom"/>
          </w:tcPr>
          <w:p>
            <w:pPr>
              <w:pStyle w:val="TableContents"/>
              <w:spacing w:before="0" w:after="283"/>
              <w:jc w:val="right"/>
              <w:rPr/>
            </w:pPr>
            <w:r>
              <w:rPr/>
              <w:t>525,000</w:t>
            </w:r>
          </w:p>
        </w:tc>
        <w:tc>
          <w:tcPr>
            <w:tcW w:w="23"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95" w:type="dxa"/>
            <w:tcBorders/>
            <w:shd w:fill="E5E5E5" w:val="clear"/>
            <w:vAlign w:val="bottom"/>
          </w:tcPr>
          <w:p>
            <w:pPr>
              <w:pStyle w:val="TableContents"/>
              <w:spacing w:before="0" w:after="283"/>
              <w:rPr/>
            </w:pPr>
            <w:r>
              <w:rPr/>
              <w:t> </w:t>
            </w:r>
          </w:p>
        </w:tc>
        <w:tc>
          <w:tcPr>
            <w:tcW w:w="228" w:type="dxa"/>
            <w:tcBorders/>
            <w:shd w:fill="E5E5E5" w:val="clear"/>
            <w:vAlign w:val="bottom"/>
          </w:tcPr>
          <w:p>
            <w:pPr>
              <w:pStyle w:val="TableContents"/>
              <w:spacing w:before="0" w:after="283"/>
              <w:rPr/>
            </w:pPr>
            <w:r>
              <w:rPr/>
              <w:t>$</w:t>
            </w:r>
          </w:p>
        </w:tc>
        <w:tc>
          <w:tcPr>
            <w:tcW w:w="1598" w:type="dxa"/>
            <w:tcBorders/>
            <w:shd w:fill="E5E5E5" w:val="clear"/>
            <w:vAlign w:val="bottom"/>
          </w:tcPr>
          <w:p>
            <w:pPr>
              <w:pStyle w:val="TableContents"/>
              <w:spacing w:before="0" w:after="283"/>
              <w:jc w:val="right"/>
              <w:rPr/>
            </w:pPr>
            <w:r>
              <w:rPr/>
              <w:t>393,750</w:t>
            </w:r>
          </w:p>
        </w:tc>
        <w:tc>
          <w:tcPr>
            <w:tcW w:w="38"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93" w:type="dxa"/>
            <w:tcBorders/>
            <w:shd w:fill="E5E5E5" w:val="clear"/>
            <w:vAlign w:val="bottom"/>
          </w:tcPr>
          <w:p>
            <w:pPr>
              <w:pStyle w:val="TableContents"/>
              <w:spacing w:before="0" w:after="283"/>
              <w:jc w:val="right"/>
              <w:rPr/>
            </w:pPr>
            <w:r>
              <w:rPr/>
              <w:t>700,005</w:t>
            </w:r>
          </w:p>
        </w:tc>
        <w:tc>
          <w:tcPr>
            <w:tcW w:w="22" w:type="dxa"/>
            <w:tcBorders/>
            <w:shd w:fill="E5E5E5" w:val="clear"/>
            <w:vAlign w:val="bottom"/>
          </w:tcPr>
          <w:p>
            <w:pPr>
              <w:pStyle w:val="TableContents"/>
              <w:spacing w:before="0" w:after="283"/>
              <w:rPr>
                <w:sz w:val="4"/>
                <w:szCs w:val="4"/>
              </w:rPr>
            </w:pPr>
            <w:r>
              <w:rPr>
                <w:sz w:val="4"/>
                <w:szCs w:val="4"/>
              </w:rPr>
            </w:r>
          </w:p>
        </w:tc>
        <w:tc>
          <w:tcPr>
            <w:tcW w:w="241" w:type="dxa"/>
            <w:tcBorders/>
            <w:shd w:fill="E5E5E5" w:val="clear"/>
            <w:vAlign w:val="bottom"/>
          </w:tcPr>
          <w:p>
            <w:pPr>
              <w:pStyle w:val="TableContents"/>
              <w:spacing w:before="0" w:after="283"/>
              <w:rPr/>
            </w:pPr>
            <w:r>
              <w:rPr/>
              <w:t>  </w:t>
            </w:r>
          </w:p>
        </w:tc>
        <w:tc>
          <w:tcPr>
            <w:tcW w:w="114" w:type="dxa"/>
            <w:tcBorders/>
            <w:shd w:fill="E5E5E5" w:val="clear"/>
            <w:vAlign w:val="bottom"/>
          </w:tcPr>
          <w:p>
            <w:pPr>
              <w:pStyle w:val="TableContents"/>
              <w:spacing w:before="0" w:after="283"/>
              <w:rPr/>
            </w:pPr>
            <w:r>
              <w:rPr/>
              <w:t> </w:t>
            </w:r>
          </w:p>
        </w:tc>
        <w:tc>
          <w:tcPr>
            <w:tcW w:w="267" w:type="dxa"/>
            <w:tcBorders/>
            <w:shd w:fill="E5E5E5" w:val="clear"/>
            <w:vAlign w:val="bottom"/>
          </w:tcPr>
          <w:p>
            <w:pPr>
              <w:pStyle w:val="TableContents"/>
              <w:spacing w:before="0" w:after="283"/>
              <w:rPr/>
            </w:pPr>
            <w:r>
              <w:rPr/>
              <w:t>$</w:t>
            </w:r>
          </w:p>
        </w:tc>
        <w:tc>
          <w:tcPr>
            <w:tcW w:w="1945" w:type="dxa"/>
            <w:tcBorders/>
            <w:shd w:fill="E5E5E5" w:val="clear"/>
            <w:vAlign w:val="bottom"/>
          </w:tcPr>
          <w:p>
            <w:pPr>
              <w:pStyle w:val="TableContents"/>
              <w:spacing w:before="0" w:after="283"/>
              <w:jc w:val="right"/>
              <w:rPr/>
            </w:pPr>
            <w:r>
              <w:rPr/>
              <w:t>1,618,755</w:t>
            </w:r>
          </w:p>
        </w:tc>
        <w:tc>
          <w:tcPr>
            <w:tcW w:w="53" w:type="dxa"/>
            <w:tcBorders/>
            <w:shd w:fill="E5E5E5" w:val="clear"/>
            <w:vAlign w:val="bottom"/>
          </w:tcPr>
          <w:p>
            <w:pPr>
              <w:pStyle w:val="TableContents"/>
              <w:spacing w:before="0" w:after="283"/>
              <w:rPr>
                <w:sz w:val="4"/>
                <w:szCs w:val="4"/>
              </w:rPr>
            </w:pPr>
            <w:r>
              <w:rPr>
                <w:sz w:val="4"/>
                <w:szCs w:val="4"/>
              </w:rPr>
            </w:r>
          </w:p>
        </w:tc>
      </w:tr>
    </w:tbl>
    <w:p>
      <w:pPr>
        <w:pStyle w:val="TextBody"/>
        <w:spacing w:before="120" w:after="0"/>
        <w:jc w:val="left"/>
        <w:rPr>
          <w:rFonts w:ascii="arial" w:hAnsi="arial"/>
          <w:sz w:val="20"/>
        </w:rPr>
      </w:pPr>
      <w:r>
        <w:rPr>
          <w:rFonts w:ascii="arial" w:hAnsi="arial"/>
          <w:sz w:val="20"/>
        </w:rPr>
        <w:t xml:space="preserve">A significant portion of executive pay has been structured to be contingent on satisfying pre-established performance goals and increasing stockholder value. For the NEOs, excluding Mr. Joyce, who did not receive any equity awards in 2020, an average of 69% of 2020 TDCO was linked to performance and/or increasing stockholder value. </w:t>
      </w:r>
    </w:p>
    <w:p>
      <w:pPr>
        <w:pStyle w:val="TextBody"/>
        <w:spacing w:before="120" w:after="0"/>
        <w:jc w:val="left"/>
        <w:rPr>
          <w:rFonts w:ascii="arial" w:hAnsi="arial"/>
          <w:sz w:val="20"/>
        </w:rPr>
      </w:pPr>
      <w:r>
        <w:rPr>
          <w:rFonts w:ascii="arial" w:hAnsi="arial"/>
          <w:sz w:val="20"/>
        </w:rPr>
        <w:t xml:space="preserve">See the section entitled Compensation Decisions Made in 2020 in this proxy statement for additional information regarding the elements of compensation for NEOs. </w:t>
      </w:r>
    </w:p>
    <w:p>
      <w:pPr>
        <w:pStyle w:val="TextBody"/>
        <w:spacing w:before="120" w:after="0"/>
        <w:jc w:val="left"/>
        <w:rPr>
          <w:rFonts w:ascii="arial" w:hAnsi="arial"/>
          <w:sz w:val="20"/>
        </w:rPr>
      </w:pPr>
      <w:r>
        <w:rPr>
          <w:rFonts w:ascii="arial" w:hAnsi="arial"/>
          <w:sz w:val="20"/>
        </w:rPr>
        <w:t xml:space="preserve">The chart below illustrates the 2020 pay mix for the NEOs, excluding Mr. Joyce: </w:t>
      </w:r>
    </w:p>
    <w:p>
      <w:pPr>
        <w:pStyle w:val="TextBody"/>
        <w:spacing w:before="0" w:after="0"/>
        <w:jc w:val="left"/>
        <w:rPr/>
      </w:pPr>
      <w:r>
        <w:rPr/>
        <w:t> </w:t>
      </w:r>
    </w:p>
    <w:p>
      <w:pPr>
        <w:pStyle w:val="TextBody"/>
        <w:spacing w:before="0" w:after="0"/>
        <w:jc w:val="center"/>
        <w:rPr/>
      </w:pPr>
      <w:r>
        <w:rPr/>
        <w:drawing>
          <wp:inline distT="0" distB="0" distL="0" distR="0">
            <wp:extent cx="267970" cy="171450"/>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267970" cy="171450"/>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2"/>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29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COMPENSATION</w:t>
            </w:r>
          </w:p>
        </w:tc>
      </w:tr>
    </w:tbl>
    <w:p>
      <w:pPr>
        <w:pStyle w:val="TextBody"/>
        <w:spacing w:before="0" w:after="0"/>
        <w:jc w:val="left"/>
        <w:rPr/>
      </w:pPr>
      <w:r>
        <w:rPr/>
        <w:t> </w:t>
      </w:r>
    </w:p>
    <w:p>
      <w:pPr>
        <w:pStyle w:val="TextBody"/>
        <w:spacing w:before="0" w:after="0"/>
        <w:jc w:val="left"/>
        <w:rPr>
          <w:rFonts w:ascii="arial" w:hAnsi="arial"/>
          <w:b/>
          <w:color w:val="CF0A2C"/>
          <w:sz w:val="28"/>
        </w:rPr>
      </w:pPr>
      <w:r>
        <w:rPr>
          <w:rFonts w:ascii="arial" w:hAnsi="arial"/>
          <w:b/>
          <w:color w:val="CF0A2C"/>
          <w:sz w:val="28"/>
        </w:rPr>
        <w:t xml:space="preserve">Compensation Decisions Made in 2020 </w:t>
      </w:r>
    </w:p>
    <w:p>
      <w:pPr>
        <w:pStyle w:val="TextBody"/>
        <w:spacing w:before="120" w:after="0"/>
        <w:jc w:val="left"/>
        <w:rPr>
          <w:rFonts w:ascii="arial" w:hAnsi="arial"/>
          <w:b/>
          <w:sz w:val="20"/>
        </w:rPr>
      </w:pPr>
      <w:r>
        <w:rPr>
          <w:rFonts w:ascii="arial" w:hAnsi="arial"/>
          <w:b/>
          <w:sz w:val="20"/>
        </w:rPr>
        <w:t xml:space="preserve">Annual Base Salaries </w:t>
      </w:r>
    </w:p>
    <w:p>
      <w:pPr>
        <w:pStyle w:val="TextBody"/>
        <w:spacing w:before="120" w:after="0"/>
        <w:jc w:val="left"/>
        <w:rPr>
          <w:rFonts w:ascii="arial" w:hAnsi="arial"/>
          <w:sz w:val="20"/>
        </w:rPr>
      </w:pPr>
      <w:r>
        <w:rPr>
          <w:rFonts w:ascii="arial" w:hAnsi="arial"/>
          <w:sz w:val="20"/>
        </w:rPr>
        <w:t xml:space="preserve">In setting annual base salaries, the Compensation Committee generally considers benchmarking data derived from a review of the proxy statement disclosures of the NEO Peer Group, the AON Hewitt survey and, in the case of the NEOs other than the Chief Executive Officer, recommendations and assessments of the performance of the individual NEOs by the Chief Executive Officer. The Compensation Committee uses the market data to establish points of reference to determine whether and to what extent it is establishing competitive levels of compensation for the NEOs. In February 2020, the Compensation Committee set annual base salaries for 2020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235"/>
        <w:gridCol w:w="375"/>
        <w:gridCol w:w="65"/>
        <w:gridCol w:w="65"/>
        <w:gridCol w:w="1225"/>
        <w:gridCol w:w="26"/>
        <w:gridCol w:w="375"/>
        <w:gridCol w:w="79"/>
        <w:gridCol w:w="79"/>
        <w:gridCol w:w="1423"/>
        <w:gridCol w:w="32"/>
        <w:gridCol w:w="375"/>
        <w:gridCol w:w="91"/>
        <w:gridCol w:w="91"/>
        <w:gridCol w:w="517"/>
        <w:gridCol w:w="335"/>
      </w:tblGrid>
      <w:tr>
        <w:trPr/>
        <w:tc>
          <w:tcPr>
            <w:tcW w:w="423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2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4235" w:type="dxa"/>
            <w:tcBorders/>
            <w:shd w:fill="CF0A2C" w:val="clear"/>
            <w:vAlign w:val="center"/>
          </w:tcPr>
          <w:p>
            <w:pPr>
              <w:pStyle w:val="TableContents"/>
              <w:spacing w:before="0" w:after="283"/>
              <w:rPr>
                <w:sz w:val="4"/>
                <w:szCs w:val="4"/>
              </w:rPr>
            </w:pPr>
            <w:r>
              <w:rPr>
                <w:sz w:val="4"/>
                <w:szCs w:val="4"/>
              </w:rPr>
            </w:r>
          </w:p>
        </w:tc>
        <w:tc>
          <w:tcPr>
            <w:tcW w:w="1756" w:type="dxa"/>
            <w:gridSpan w:val="5"/>
            <w:tcBorders/>
            <w:shd w:fill="CF0A2C" w:val="clear"/>
            <w:vAlign w:val="center"/>
          </w:tcPr>
          <w:p>
            <w:pPr>
              <w:pStyle w:val="TableContents"/>
              <w:spacing w:before="0" w:after="283"/>
              <w:rPr>
                <w:sz w:val="4"/>
                <w:szCs w:val="4"/>
              </w:rPr>
            </w:pPr>
            <w:r>
              <w:rPr>
                <w:sz w:val="4"/>
                <w:szCs w:val="4"/>
              </w:rPr>
            </w:r>
          </w:p>
        </w:tc>
        <w:tc>
          <w:tcPr>
            <w:tcW w:w="1988" w:type="dxa"/>
            <w:gridSpan w:val="5"/>
            <w:tcBorders/>
            <w:shd w:fill="CF0A2C" w:val="clear"/>
            <w:vAlign w:val="center"/>
          </w:tcPr>
          <w:p>
            <w:pPr>
              <w:pStyle w:val="TableContents"/>
              <w:spacing w:before="0" w:after="283"/>
              <w:rPr>
                <w:sz w:val="4"/>
                <w:szCs w:val="4"/>
              </w:rPr>
            </w:pPr>
            <w:r>
              <w:rPr>
                <w:sz w:val="4"/>
                <w:szCs w:val="4"/>
              </w:rPr>
            </w:r>
          </w:p>
        </w:tc>
        <w:tc>
          <w:tcPr>
            <w:tcW w:w="1409" w:type="dxa"/>
            <w:gridSpan w:val="5"/>
            <w:tcBorders/>
            <w:shd w:fill="CF0A2C" w:val="clear"/>
            <w:vAlign w:val="center"/>
          </w:tcPr>
          <w:p>
            <w:pPr>
              <w:pStyle w:val="TableContents"/>
              <w:spacing w:before="0" w:after="283"/>
              <w:rPr>
                <w:sz w:val="4"/>
                <w:szCs w:val="4"/>
              </w:rPr>
            </w:pPr>
            <w:r>
              <w:rPr>
                <w:sz w:val="4"/>
                <w:szCs w:val="4"/>
              </w:rPr>
            </w:r>
          </w:p>
        </w:tc>
      </w:tr>
      <w:tr>
        <w:trPr/>
        <w:tc>
          <w:tcPr>
            <w:tcW w:w="4235"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375" w:type="dxa"/>
            <w:tcBorders/>
            <w:shd w:fill="CF0A2C" w:val="clear"/>
            <w:vAlign w:val="bottom"/>
          </w:tcPr>
          <w:p>
            <w:pPr>
              <w:pStyle w:val="TableContents"/>
              <w:spacing w:before="0" w:after="283"/>
              <w:rPr/>
            </w:pPr>
            <w:r>
              <w:rPr/>
              <w:t>  </w:t>
            </w:r>
          </w:p>
        </w:tc>
        <w:tc>
          <w:tcPr>
            <w:tcW w:w="1381" w:type="dxa"/>
            <w:gridSpan w:val="4"/>
            <w:tcBorders/>
            <w:shd w:fill="CF0A2C" w:val="clear"/>
            <w:vAlign w:val="bottom"/>
          </w:tcPr>
          <w:p>
            <w:pPr>
              <w:pStyle w:val="TableContents"/>
              <w:spacing w:before="0" w:after="283"/>
              <w:jc w:val="center"/>
              <w:rPr>
                <w:b/>
                <w:color w:val="FFFFFF"/>
              </w:rPr>
            </w:pPr>
            <w:r>
              <w:rPr>
                <w:b/>
                <w:color w:val="FFFFFF"/>
              </w:rPr>
              <w:t xml:space="preserve">Former </w:t>
              <w:br/>
              <w:t>Base Salary($)</w:t>
            </w:r>
          </w:p>
        </w:tc>
        <w:tc>
          <w:tcPr>
            <w:tcW w:w="375" w:type="dxa"/>
            <w:tcBorders/>
            <w:shd w:fill="CF0A2C" w:val="clear"/>
            <w:vAlign w:val="bottom"/>
          </w:tcPr>
          <w:p>
            <w:pPr>
              <w:pStyle w:val="TableContents"/>
              <w:spacing w:before="0" w:after="283"/>
              <w:rPr/>
            </w:pPr>
            <w:r>
              <w:rPr/>
              <w:t>  </w:t>
            </w:r>
          </w:p>
        </w:tc>
        <w:tc>
          <w:tcPr>
            <w:tcW w:w="1613" w:type="dxa"/>
            <w:gridSpan w:val="4"/>
            <w:tcBorders/>
            <w:shd w:fill="CF0A2C" w:val="clear"/>
            <w:vAlign w:val="bottom"/>
          </w:tcPr>
          <w:p>
            <w:pPr>
              <w:pStyle w:val="TableContents"/>
              <w:spacing w:before="0" w:after="283"/>
              <w:jc w:val="center"/>
              <w:rPr>
                <w:b/>
                <w:color w:val="FFFFFF"/>
              </w:rPr>
            </w:pPr>
            <w:r>
              <w:rPr>
                <w:b/>
                <w:color w:val="FFFFFF"/>
              </w:rPr>
              <w:t xml:space="preserve">New </w:t>
              <w:br/>
              <w:t>Base Salary($)</w:t>
            </w:r>
          </w:p>
        </w:tc>
        <w:tc>
          <w:tcPr>
            <w:tcW w:w="375" w:type="dxa"/>
            <w:tcBorders/>
            <w:shd w:fill="CF0A2C" w:val="clear"/>
            <w:vAlign w:val="bottom"/>
          </w:tcPr>
          <w:p>
            <w:pPr>
              <w:pStyle w:val="TableContents"/>
              <w:spacing w:before="0" w:after="283"/>
              <w:rPr/>
            </w:pPr>
            <w:r>
              <w:rPr/>
              <w:t>  </w:t>
            </w:r>
          </w:p>
        </w:tc>
        <w:tc>
          <w:tcPr>
            <w:tcW w:w="1034" w:type="dxa"/>
            <w:gridSpan w:val="4"/>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Percentage  </w:t>
            </w:r>
          </w:p>
          <w:p>
            <w:pPr>
              <w:pStyle w:val="TableContents"/>
              <w:spacing w:before="0" w:after="20"/>
              <w:jc w:val="center"/>
              <w:rPr>
                <w:rFonts w:ascii="arial" w:hAnsi="arial"/>
                <w:b/>
                <w:color w:val="FFFFFF"/>
                <w:sz w:val="16"/>
              </w:rPr>
            </w:pPr>
            <w:r>
              <w:rPr>
                <w:rFonts w:ascii="arial" w:hAnsi="arial"/>
                <w:b/>
                <w:color w:val="FFFFFF"/>
                <w:sz w:val="16"/>
              </w:rPr>
              <w:t>Increase  </w:t>
            </w:r>
          </w:p>
        </w:tc>
      </w:tr>
      <w:tr>
        <w:trPr>
          <w:trHeight w:val="75" w:hRule="atLeast"/>
        </w:trPr>
        <w:tc>
          <w:tcPr>
            <w:tcW w:w="4235" w:type="dxa"/>
            <w:tcBorders/>
            <w:shd w:fill="E5E5E5" w:val="clear"/>
            <w:vAlign w:val="center"/>
          </w:tcPr>
          <w:p>
            <w:pPr>
              <w:pStyle w:val="TableContents"/>
              <w:spacing w:before="0" w:after="283"/>
              <w:rPr>
                <w:sz w:val="4"/>
                <w:szCs w:val="4"/>
              </w:rPr>
            </w:pPr>
            <w:r>
              <w:rPr>
                <w:sz w:val="4"/>
                <w:szCs w:val="4"/>
              </w:rPr>
            </w:r>
          </w:p>
        </w:tc>
        <w:tc>
          <w:tcPr>
            <w:tcW w:w="1756" w:type="dxa"/>
            <w:gridSpan w:val="5"/>
            <w:tcBorders/>
            <w:shd w:fill="E5E5E5" w:val="clear"/>
            <w:vAlign w:val="center"/>
          </w:tcPr>
          <w:p>
            <w:pPr>
              <w:pStyle w:val="TableContents"/>
              <w:spacing w:before="0" w:after="283"/>
              <w:rPr>
                <w:sz w:val="4"/>
                <w:szCs w:val="4"/>
              </w:rPr>
            </w:pPr>
            <w:r>
              <w:rPr>
                <w:sz w:val="4"/>
                <w:szCs w:val="4"/>
              </w:rPr>
            </w:r>
          </w:p>
        </w:tc>
        <w:tc>
          <w:tcPr>
            <w:tcW w:w="1988" w:type="dxa"/>
            <w:gridSpan w:val="5"/>
            <w:tcBorders/>
            <w:shd w:fill="E5E5E5" w:val="clear"/>
            <w:vAlign w:val="center"/>
          </w:tcPr>
          <w:p>
            <w:pPr>
              <w:pStyle w:val="TableContents"/>
              <w:spacing w:before="0" w:after="283"/>
              <w:rPr>
                <w:sz w:val="4"/>
                <w:szCs w:val="4"/>
              </w:rPr>
            </w:pPr>
            <w:r>
              <w:rPr>
                <w:sz w:val="4"/>
                <w:szCs w:val="4"/>
              </w:rPr>
            </w:r>
          </w:p>
        </w:tc>
        <w:tc>
          <w:tcPr>
            <w:tcW w:w="1409" w:type="dxa"/>
            <w:gridSpan w:val="5"/>
            <w:tcBorders/>
            <w:shd w:fill="E5E5E5" w:val="clear"/>
            <w:vAlign w:val="center"/>
          </w:tcPr>
          <w:p>
            <w:pPr>
              <w:pStyle w:val="TableContents"/>
              <w:spacing w:before="0" w:after="283"/>
              <w:rPr>
                <w:sz w:val="4"/>
                <w:szCs w:val="4"/>
              </w:rPr>
            </w:pPr>
            <w:r>
              <w:rPr>
                <w:sz w:val="4"/>
                <w:szCs w:val="4"/>
              </w:rPr>
            </w:r>
          </w:p>
        </w:tc>
      </w:tr>
      <w:tr>
        <w:trPr/>
        <w:tc>
          <w:tcPr>
            <w:tcW w:w="4235" w:type="dxa"/>
            <w:tcBorders/>
            <w:shd w:fill="E5E5E5" w:val="clear"/>
          </w:tcPr>
          <w:p>
            <w:pPr>
              <w:pStyle w:val="TableContents"/>
              <w:spacing w:before="0" w:after="0"/>
              <w:rPr>
                <w:rFonts w:ascii="arial" w:hAnsi="arial"/>
                <w:sz w:val="20"/>
              </w:rPr>
            </w:pPr>
            <w:r>
              <w:rPr>
                <w:rFonts w:ascii="arial" w:hAnsi="arial"/>
                <w:sz w:val="20"/>
              </w:rPr>
              <w:t>Stephen P. Joyce</w:t>
            </w:r>
          </w:p>
        </w:tc>
        <w:tc>
          <w:tcPr>
            <w:tcW w:w="375"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1225" w:type="dxa"/>
            <w:tcBorders/>
            <w:shd w:fill="E5E5E5" w:val="clear"/>
            <w:vAlign w:val="bottom"/>
          </w:tcPr>
          <w:p>
            <w:pPr>
              <w:pStyle w:val="TableContents"/>
              <w:spacing w:before="0" w:after="283"/>
              <w:jc w:val="right"/>
              <w:rPr/>
            </w:pPr>
            <w:r>
              <w:rPr/>
              <w:t>1,000,000</w:t>
            </w:r>
          </w:p>
        </w:tc>
        <w:tc>
          <w:tcPr>
            <w:tcW w:w="26" w:type="dxa"/>
            <w:tcBorders/>
            <w:shd w:fill="E5E5E5" w:val="clear"/>
            <w:vAlign w:val="bottom"/>
          </w:tcPr>
          <w:p>
            <w:pPr>
              <w:pStyle w:val="TableContents"/>
              <w:spacing w:before="0" w:after="283"/>
              <w:rPr>
                <w:sz w:val="4"/>
                <w:szCs w:val="4"/>
              </w:rPr>
            </w:pPr>
            <w:r>
              <w:rPr>
                <w:sz w:val="4"/>
                <w:szCs w:val="4"/>
              </w:rPr>
            </w:r>
          </w:p>
        </w:tc>
        <w:tc>
          <w:tcPr>
            <w:tcW w:w="375"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423" w:type="dxa"/>
            <w:tcBorders/>
            <w:shd w:fill="E5E5E5" w:val="clear"/>
            <w:vAlign w:val="bottom"/>
          </w:tcPr>
          <w:p>
            <w:pPr>
              <w:pStyle w:val="TableContents"/>
              <w:spacing w:before="0" w:after="283"/>
              <w:jc w:val="right"/>
              <w:rPr/>
            </w:pPr>
            <w:r>
              <w:rPr/>
              <w:t>1,000,000</w:t>
            </w:r>
          </w:p>
        </w:tc>
        <w:tc>
          <w:tcPr>
            <w:tcW w:w="32" w:type="dxa"/>
            <w:tcBorders/>
            <w:shd w:fill="E5E5E5" w:val="clear"/>
            <w:vAlign w:val="bottom"/>
          </w:tcPr>
          <w:p>
            <w:pPr>
              <w:pStyle w:val="TableContents"/>
              <w:spacing w:before="0" w:after="283"/>
              <w:rPr>
                <w:sz w:val="4"/>
                <w:szCs w:val="4"/>
              </w:rPr>
            </w:pPr>
            <w:r>
              <w:rPr>
                <w:sz w:val="4"/>
                <w:szCs w:val="4"/>
              </w:rPr>
            </w:r>
          </w:p>
        </w:tc>
        <w:tc>
          <w:tcPr>
            <w:tcW w:w="375"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517" w:type="dxa"/>
            <w:tcBorders/>
            <w:shd w:fill="E5E5E5" w:val="clear"/>
            <w:vAlign w:val="bottom"/>
          </w:tcPr>
          <w:p>
            <w:pPr>
              <w:pStyle w:val="TableContents"/>
              <w:spacing w:before="0" w:after="283"/>
              <w:jc w:val="right"/>
              <w:rPr/>
            </w:pPr>
            <w:r>
              <w:rPr/>
              <w:t>0.0</w:t>
            </w:r>
          </w:p>
        </w:tc>
        <w:tc>
          <w:tcPr>
            <w:tcW w:w="335" w:type="dxa"/>
            <w:tcBorders/>
            <w:shd w:fill="E5E5E5" w:val="clear"/>
            <w:vAlign w:val="bottom"/>
          </w:tcPr>
          <w:p>
            <w:pPr>
              <w:pStyle w:val="TableContents"/>
              <w:spacing w:before="0" w:after="283"/>
              <w:rPr/>
            </w:pPr>
            <w:r>
              <w:rPr/>
              <w:t>%</w:t>
            </w:r>
          </w:p>
        </w:tc>
      </w:tr>
      <w:tr>
        <w:trPr>
          <w:trHeight w:val="75" w:hRule="atLeast"/>
        </w:trPr>
        <w:tc>
          <w:tcPr>
            <w:tcW w:w="4235" w:type="dxa"/>
            <w:tcBorders/>
            <w:shd w:fill="auto" w:val="clear"/>
            <w:vAlign w:val="center"/>
          </w:tcPr>
          <w:p>
            <w:pPr>
              <w:pStyle w:val="TableContents"/>
              <w:spacing w:before="0" w:after="283"/>
              <w:rPr>
                <w:sz w:val="4"/>
                <w:szCs w:val="4"/>
              </w:rPr>
            </w:pPr>
            <w:r>
              <w:rPr>
                <w:sz w:val="4"/>
                <w:szCs w:val="4"/>
              </w:rPr>
            </w:r>
          </w:p>
        </w:tc>
        <w:tc>
          <w:tcPr>
            <w:tcW w:w="1756" w:type="dxa"/>
            <w:gridSpan w:val="5"/>
            <w:tcBorders/>
            <w:shd w:fill="auto" w:val="clear"/>
            <w:vAlign w:val="center"/>
          </w:tcPr>
          <w:p>
            <w:pPr>
              <w:pStyle w:val="TableContents"/>
              <w:spacing w:before="0" w:after="283"/>
              <w:rPr>
                <w:sz w:val="4"/>
                <w:szCs w:val="4"/>
              </w:rPr>
            </w:pPr>
            <w:r>
              <w:rPr>
                <w:sz w:val="4"/>
                <w:szCs w:val="4"/>
              </w:rPr>
            </w:r>
          </w:p>
        </w:tc>
        <w:tc>
          <w:tcPr>
            <w:tcW w:w="1988" w:type="dxa"/>
            <w:gridSpan w:val="5"/>
            <w:tcBorders/>
            <w:shd w:fill="auto" w:val="clear"/>
            <w:vAlign w:val="center"/>
          </w:tcPr>
          <w:p>
            <w:pPr>
              <w:pStyle w:val="TableContents"/>
              <w:spacing w:before="0" w:after="283"/>
              <w:rPr>
                <w:sz w:val="4"/>
                <w:szCs w:val="4"/>
              </w:rPr>
            </w:pPr>
            <w:r>
              <w:rPr>
                <w:sz w:val="4"/>
                <w:szCs w:val="4"/>
              </w:rPr>
            </w:r>
          </w:p>
        </w:tc>
        <w:tc>
          <w:tcPr>
            <w:tcW w:w="1409" w:type="dxa"/>
            <w:gridSpan w:val="5"/>
            <w:tcBorders/>
            <w:shd w:fill="auto" w:val="clear"/>
            <w:vAlign w:val="center"/>
          </w:tcPr>
          <w:p>
            <w:pPr>
              <w:pStyle w:val="TableContents"/>
              <w:spacing w:before="0" w:after="283"/>
              <w:rPr>
                <w:sz w:val="4"/>
                <w:szCs w:val="4"/>
              </w:rPr>
            </w:pPr>
            <w:r>
              <w:rPr>
                <w:sz w:val="4"/>
                <w:szCs w:val="4"/>
              </w:rPr>
            </w:r>
          </w:p>
        </w:tc>
      </w:tr>
      <w:tr>
        <w:trPr/>
        <w:tc>
          <w:tcPr>
            <w:tcW w:w="4235" w:type="dxa"/>
            <w:tcBorders/>
            <w:shd w:fill="auto" w:val="clear"/>
          </w:tcPr>
          <w:p>
            <w:pPr>
              <w:pStyle w:val="TableContents"/>
              <w:spacing w:before="0" w:after="0"/>
              <w:rPr>
                <w:rFonts w:ascii="arial" w:hAnsi="arial"/>
                <w:sz w:val="20"/>
              </w:rPr>
            </w:pPr>
            <w:r>
              <w:rPr>
                <w:rFonts w:ascii="arial" w:hAnsi="arial"/>
                <w:sz w:val="20"/>
              </w:rPr>
              <w:t>Thomas H. Song</w:t>
            </w:r>
          </w:p>
        </w:tc>
        <w:tc>
          <w:tcPr>
            <w:tcW w:w="37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510,000</w:t>
            </w:r>
          </w:p>
        </w:tc>
        <w:tc>
          <w:tcPr>
            <w:tcW w:w="26"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550,000</w:t>
            </w:r>
          </w:p>
        </w:tc>
        <w:tc>
          <w:tcPr>
            <w:tcW w:w="32"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jc w:val="right"/>
              <w:rPr/>
            </w:pPr>
            <w:r>
              <w:rPr/>
              <w:t>7.8</w:t>
            </w:r>
          </w:p>
        </w:tc>
        <w:tc>
          <w:tcPr>
            <w:tcW w:w="335" w:type="dxa"/>
            <w:tcBorders/>
            <w:shd w:fill="auto" w:val="clear"/>
            <w:vAlign w:val="bottom"/>
          </w:tcPr>
          <w:p>
            <w:pPr>
              <w:pStyle w:val="TableContents"/>
              <w:spacing w:before="0" w:after="283"/>
              <w:rPr/>
            </w:pPr>
            <w:r>
              <w:rPr/>
              <w:t>%</w:t>
            </w:r>
          </w:p>
        </w:tc>
      </w:tr>
      <w:tr>
        <w:trPr>
          <w:trHeight w:val="75" w:hRule="atLeast"/>
        </w:trPr>
        <w:tc>
          <w:tcPr>
            <w:tcW w:w="4235" w:type="dxa"/>
            <w:tcBorders/>
            <w:shd w:fill="E5E5E5" w:val="clear"/>
            <w:vAlign w:val="center"/>
          </w:tcPr>
          <w:p>
            <w:pPr>
              <w:pStyle w:val="TableContents"/>
              <w:spacing w:before="0" w:after="283"/>
              <w:rPr>
                <w:sz w:val="4"/>
                <w:szCs w:val="4"/>
              </w:rPr>
            </w:pPr>
            <w:r>
              <w:rPr>
                <w:sz w:val="4"/>
                <w:szCs w:val="4"/>
              </w:rPr>
            </w:r>
          </w:p>
        </w:tc>
        <w:tc>
          <w:tcPr>
            <w:tcW w:w="1756" w:type="dxa"/>
            <w:gridSpan w:val="5"/>
            <w:tcBorders/>
            <w:shd w:fill="E5E5E5" w:val="clear"/>
            <w:vAlign w:val="center"/>
          </w:tcPr>
          <w:p>
            <w:pPr>
              <w:pStyle w:val="TableContents"/>
              <w:spacing w:before="0" w:after="283"/>
              <w:rPr>
                <w:sz w:val="4"/>
                <w:szCs w:val="4"/>
              </w:rPr>
            </w:pPr>
            <w:r>
              <w:rPr>
                <w:sz w:val="4"/>
                <w:szCs w:val="4"/>
              </w:rPr>
            </w:r>
          </w:p>
        </w:tc>
        <w:tc>
          <w:tcPr>
            <w:tcW w:w="1988" w:type="dxa"/>
            <w:gridSpan w:val="5"/>
            <w:tcBorders/>
            <w:shd w:fill="E5E5E5" w:val="clear"/>
            <w:vAlign w:val="center"/>
          </w:tcPr>
          <w:p>
            <w:pPr>
              <w:pStyle w:val="TableContents"/>
              <w:spacing w:before="0" w:after="283"/>
              <w:rPr>
                <w:sz w:val="4"/>
                <w:szCs w:val="4"/>
              </w:rPr>
            </w:pPr>
            <w:r>
              <w:rPr>
                <w:sz w:val="4"/>
                <w:szCs w:val="4"/>
              </w:rPr>
            </w:r>
          </w:p>
        </w:tc>
        <w:tc>
          <w:tcPr>
            <w:tcW w:w="1409" w:type="dxa"/>
            <w:gridSpan w:val="5"/>
            <w:tcBorders/>
            <w:shd w:fill="E5E5E5" w:val="clear"/>
            <w:vAlign w:val="center"/>
          </w:tcPr>
          <w:p>
            <w:pPr>
              <w:pStyle w:val="TableContents"/>
              <w:spacing w:before="0" w:after="283"/>
              <w:rPr>
                <w:sz w:val="4"/>
                <w:szCs w:val="4"/>
              </w:rPr>
            </w:pPr>
            <w:r>
              <w:rPr>
                <w:sz w:val="4"/>
                <w:szCs w:val="4"/>
              </w:rPr>
            </w:r>
          </w:p>
        </w:tc>
      </w:tr>
      <w:tr>
        <w:trPr/>
        <w:tc>
          <w:tcPr>
            <w:tcW w:w="4235" w:type="dxa"/>
            <w:tcBorders/>
            <w:shd w:fill="E5E5E5" w:val="clear"/>
          </w:tcPr>
          <w:p>
            <w:pPr>
              <w:pStyle w:val="TableContents"/>
              <w:spacing w:before="0" w:after="0"/>
              <w:rPr>
                <w:rFonts w:ascii="arial" w:hAnsi="arial"/>
                <w:sz w:val="20"/>
              </w:rPr>
            </w:pPr>
            <w:r>
              <w:rPr>
                <w:rFonts w:ascii="arial" w:hAnsi="arial"/>
                <w:sz w:val="20"/>
              </w:rPr>
              <w:t>John C. Cywinski</w:t>
            </w:r>
          </w:p>
        </w:tc>
        <w:tc>
          <w:tcPr>
            <w:tcW w:w="375"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1225" w:type="dxa"/>
            <w:tcBorders/>
            <w:shd w:fill="E5E5E5" w:val="clear"/>
            <w:vAlign w:val="bottom"/>
          </w:tcPr>
          <w:p>
            <w:pPr>
              <w:pStyle w:val="TableContents"/>
              <w:spacing w:before="0" w:after="283"/>
              <w:jc w:val="right"/>
              <w:rPr/>
            </w:pPr>
            <w:r>
              <w:rPr/>
              <w:t>615,940</w:t>
            </w:r>
          </w:p>
        </w:tc>
        <w:tc>
          <w:tcPr>
            <w:tcW w:w="26" w:type="dxa"/>
            <w:tcBorders/>
            <w:shd w:fill="E5E5E5" w:val="clear"/>
            <w:vAlign w:val="bottom"/>
          </w:tcPr>
          <w:p>
            <w:pPr>
              <w:pStyle w:val="TableContents"/>
              <w:spacing w:before="0" w:after="283"/>
              <w:rPr>
                <w:sz w:val="4"/>
                <w:szCs w:val="4"/>
              </w:rPr>
            </w:pPr>
            <w:r>
              <w:rPr>
                <w:sz w:val="4"/>
                <w:szCs w:val="4"/>
              </w:rPr>
            </w:r>
          </w:p>
        </w:tc>
        <w:tc>
          <w:tcPr>
            <w:tcW w:w="375"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423" w:type="dxa"/>
            <w:tcBorders/>
            <w:shd w:fill="E5E5E5" w:val="clear"/>
            <w:vAlign w:val="bottom"/>
          </w:tcPr>
          <w:p>
            <w:pPr>
              <w:pStyle w:val="TableContents"/>
              <w:spacing w:before="0" w:after="283"/>
              <w:jc w:val="right"/>
              <w:rPr/>
            </w:pPr>
            <w:r>
              <w:rPr/>
              <w:t>675,000</w:t>
            </w:r>
          </w:p>
        </w:tc>
        <w:tc>
          <w:tcPr>
            <w:tcW w:w="32" w:type="dxa"/>
            <w:tcBorders/>
            <w:shd w:fill="E5E5E5" w:val="clear"/>
            <w:vAlign w:val="bottom"/>
          </w:tcPr>
          <w:p>
            <w:pPr>
              <w:pStyle w:val="TableContents"/>
              <w:spacing w:before="0" w:after="283"/>
              <w:rPr>
                <w:sz w:val="4"/>
                <w:szCs w:val="4"/>
              </w:rPr>
            </w:pPr>
            <w:r>
              <w:rPr>
                <w:sz w:val="4"/>
                <w:szCs w:val="4"/>
              </w:rPr>
            </w:r>
          </w:p>
        </w:tc>
        <w:tc>
          <w:tcPr>
            <w:tcW w:w="375"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517" w:type="dxa"/>
            <w:tcBorders/>
            <w:shd w:fill="E5E5E5" w:val="clear"/>
            <w:vAlign w:val="bottom"/>
          </w:tcPr>
          <w:p>
            <w:pPr>
              <w:pStyle w:val="TableContents"/>
              <w:spacing w:before="0" w:after="283"/>
              <w:jc w:val="right"/>
              <w:rPr/>
            </w:pPr>
            <w:r>
              <w:rPr/>
              <w:t>9.6</w:t>
            </w:r>
          </w:p>
        </w:tc>
        <w:tc>
          <w:tcPr>
            <w:tcW w:w="335" w:type="dxa"/>
            <w:tcBorders/>
            <w:shd w:fill="E5E5E5" w:val="clear"/>
            <w:vAlign w:val="bottom"/>
          </w:tcPr>
          <w:p>
            <w:pPr>
              <w:pStyle w:val="TableContents"/>
              <w:spacing w:before="0" w:after="283"/>
              <w:rPr/>
            </w:pPr>
            <w:r>
              <w:rPr/>
              <w:t>%</w:t>
            </w:r>
          </w:p>
        </w:tc>
      </w:tr>
      <w:tr>
        <w:trPr>
          <w:trHeight w:val="75" w:hRule="atLeast"/>
        </w:trPr>
        <w:tc>
          <w:tcPr>
            <w:tcW w:w="4235" w:type="dxa"/>
            <w:tcBorders/>
            <w:shd w:fill="auto" w:val="clear"/>
            <w:vAlign w:val="center"/>
          </w:tcPr>
          <w:p>
            <w:pPr>
              <w:pStyle w:val="TableContents"/>
              <w:spacing w:before="0" w:after="283"/>
              <w:rPr>
                <w:sz w:val="4"/>
                <w:szCs w:val="4"/>
              </w:rPr>
            </w:pPr>
            <w:r>
              <w:rPr>
                <w:sz w:val="4"/>
                <w:szCs w:val="4"/>
              </w:rPr>
            </w:r>
          </w:p>
        </w:tc>
        <w:tc>
          <w:tcPr>
            <w:tcW w:w="1756" w:type="dxa"/>
            <w:gridSpan w:val="5"/>
            <w:tcBorders/>
            <w:shd w:fill="auto" w:val="clear"/>
            <w:vAlign w:val="center"/>
          </w:tcPr>
          <w:p>
            <w:pPr>
              <w:pStyle w:val="TableContents"/>
              <w:spacing w:before="0" w:after="283"/>
              <w:rPr>
                <w:sz w:val="4"/>
                <w:szCs w:val="4"/>
              </w:rPr>
            </w:pPr>
            <w:r>
              <w:rPr>
                <w:sz w:val="4"/>
                <w:szCs w:val="4"/>
              </w:rPr>
            </w:r>
          </w:p>
        </w:tc>
        <w:tc>
          <w:tcPr>
            <w:tcW w:w="1988" w:type="dxa"/>
            <w:gridSpan w:val="5"/>
            <w:tcBorders/>
            <w:shd w:fill="auto" w:val="clear"/>
            <w:vAlign w:val="center"/>
          </w:tcPr>
          <w:p>
            <w:pPr>
              <w:pStyle w:val="TableContents"/>
              <w:spacing w:before="0" w:after="283"/>
              <w:rPr>
                <w:sz w:val="4"/>
                <w:szCs w:val="4"/>
              </w:rPr>
            </w:pPr>
            <w:r>
              <w:rPr>
                <w:sz w:val="4"/>
                <w:szCs w:val="4"/>
              </w:rPr>
            </w:r>
          </w:p>
        </w:tc>
        <w:tc>
          <w:tcPr>
            <w:tcW w:w="1409" w:type="dxa"/>
            <w:gridSpan w:val="5"/>
            <w:tcBorders/>
            <w:shd w:fill="auto" w:val="clear"/>
            <w:vAlign w:val="center"/>
          </w:tcPr>
          <w:p>
            <w:pPr>
              <w:pStyle w:val="TableContents"/>
              <w:spacing w:before="0" w:after="283"/>
              <w:rPr>
                <w:sz w:val="4"/>
                <w:szCs w:val="4"/>
              </w:rPr>
            </w:pPr>
            <w:r>
              <w:rPr>
                <w:sz w:val="4"/>
                <w:szCs w:val="4"/>
              </w:rPr>
            </w:r>
          </w:p>
        </w:tc>
      </w:tr>
      <w:tr>
        <w:trPr/>
        <w:tc>
          <w:tcPr>
            <w:tcW w:w="4235" w:type="dxa"/>
            <w:tcBorders/>
            <w:shd w:fill="auto" w:val="clear"/>
          </w:tcPr>
          <w:p>
            <w:pPr>
              <w:pStyle w:val="TableContents"/>
              <w:spacing w:before="0" w:after="0"/>
              <w:rPr>
                <w:rFonts w:ascii="arial" w:hAnsi="arial"/>
                <w:sz w:val="20"/>
              </w:rPr>
            </w:pPr>
            <w:r>
              <w:rPr>
                <w:rFonts w:ascii="arial" w:hAnsi="arial"/>
                <w:sz w:val="20"/>
              </w:rPr>
              <w:t>Jay D. Johns</w:t>
            </w:r>
          </w:p>
        </w:tc>
        <w:tc>
          <w:tcPr>
            <w:tcW w:w="37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525,000</w:t>
            </w:r>
          </w:p>
        </w:tc>
        <w:tc>
          <w:tcPr>
            <w:tcW w:w="26"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550,000</w:t>
            </w:r>
          </w:p>
        </w:tc>
        <w:tc>
          <w:tcPr>
            <w:tcW w:w="32"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jc w:val="right"/>
              <w:rPr/>
            </w:pPr>
            <w:r>
              <w:rPr/>
              <w:t>4.8</w:t>
            </w:r>
          </w:p>
        </w:tc>
        <w:tc>
          <w:tcPr>
            <w:tcW w:w="335" w:type="dxa"/>
            <w:tcBorders/>
            <w:shd w:fill="auto" w:val="clear"/>
            <w:vAlign w:val="bottom"/>
          </w:tcPr>
          <w:p>
            <w:pPr>
              <w:pStyle w:val="TableContents"/>
              <w:spacing w:before="0" w:after="283"/>
              <w:rPr/>
            </w:pPr>
            <w:r>
              <w:rPr/>
              <w:t>%</w:t>
            </w:r>
          </w:p>
        </w:tc>
      </w:tr>
      <w:tr>
        <w:trPr>
          <w:trHeight w:val="75" w:hRule="atLeast"/>
        </w:trPr>
        <w:tc>
          <w:tcPr>
            <w:tcW w:w="4235" w:type="dxa"/>
            <w:tcBorders/>
            <w:shd w:fill="E5E5E5" w:val="clear"/>
            <w:vAlign w:val="center"/>
          </w:tcPr>
          <w:p>
            <w:pPr>
              <w:pStyle w:val="TableContents"/>
              <w:spacing w:before="0" w:after="283"/>
              <w:rPr>
                <w:sz w:val="4"/>
                <w:szCs w:val="4"/>
              </w:rPr>
            </w:pPr>
            <w:r>
              <w:rPr>
                <w:sz w:val="4"/>
                <w:szCs w:val="4"/>
              </w:rPr>
            </w:r>
          </w:p>
        </w:tc>
        <w:tc>
          <w:tcPr>
            <w:tcW w:w="1756" w:type="dxa"/>
            <w:gridSpan w:val="5"/>
            <w:tcBorders/>
            <w:shd w:fill="E5E5E5" w:val="clear"/>
            <w:vAlign w:val="center"/>
          </w:tcPr>
          <w:p>
            <w:pPr>
              <w:pStyle w:val="TableContents"/>
              <w:spacing w:before="0" w:after="283"/>
              <w:rPr>
                <w:sz w:val="4"/>
                <w:szCs w:val="4"/>
              </w:rPr>
            </w:pPr>
            <w:r>
              <w:rPr>
                <w:sz w:val="4"/>
                <w:szCs w:val="4"/>
              </w:rPr>
            </w:r>
          </w:p>
        </w:tc>
        <w:tc>
          <w:tcPr>
            <w:tcW w:w="1988" w:type="dxa"/>
            <w:gridSpan w:val="5"/>
            <w:tcBorders/>
            <w:shd w:fill="E5E5E5" w:val="clear"/>
            <w:vAlign w:val="center"/>
          </w:tcPr>
          <w:p>
            <w:pPr>
              <w:pStyle w:val="TableContents"/>
              <w:spacing w:before="0" w:after="283"/>
              <w:rPr>
                <w:sz w:val="4"/>
                <w:szCs w:val="4"/>
              </w:rPr>
            </w:pPr>
            <w:r>
              <w:rPr>
                <w:sz w:val="4"/>
                <w:szCs w:val="4"/>
              </w:rPr>
            </w:r>
          </w:p>
        </w:tc>
        <w:tc>
          <w:tcPr>
            <w:tcW w:w="1409" w:type="dxa"/>
            <w:gridSpan w:val="5"/>
            <w:tcBorders/>
            <w:shd w:fill="E5E5E5" w:val="clear"/>
            <w:vAlign w:val="center"/>
          </w:tcPr>
          <w:p>
            <w:pPr>
              <w:pStyle w:val="TableContents"/>
              <w:spacing w:before="0" w:after="283"/>
              <w:rPr>
                <w:sz w:val="4"/>
                <w:szCs w:val="4"/>
              </w:rPr>
            </w:pPr>
            <w:r>
              <w:rPr>
                <w:sz w:val="4"/>
                <w:szCs w:val="4"/>
              </w:rPr>
            </w:r>
          </w:p>
        </w:tc>
      </w:tr>
      <w:tr>
        <w:trPr/>
        <w:tc>
          <w:tcPr>
            <w:tcW w:w="4235" w:type="dxa"/>
            <w:tcBorders/>
            <w:shd w:fill="E5E5E5" w:val="clear"/>
          </w:tcPr>
          <w:p>
            <w:pPr>
              <w:pStyle w:val="TableContents"/>
              <w:spacing w:before="0" w:after="0"/>
              <w:rPr>
                <w:rFonts w:ascii="arial" w:hAnsi="arial"/>
                <w:sz w:val="20"/>
              </w:rPr>
            </w:pPr>
            <w:r>
              <w:rPr>
                <w:rFonts w:ascii="arial" w:hAnsi="arial"/>
                <w:sz w:val="20"/>
              </w:rPr>
              <w:t>Bryan R. Adel</w:t>
            </w:r>
          </w:p>
        </w:tc>
        <w:tc>
          <w:tcPr>
            <w:tcW w:w="375"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1225" w:type="dxa"/>
            <w:tcBorders/>
            <w:shd w:fill="E5E5E5" w:val="clear"/>
            <w:vAlign w:val="bottom"/>
          </w:tcPr>
          <w:p>
            <w:pPr>
              <w:pStyle w:val="TableContents"/>
              <w:spacing w:before="0" w:after="283"/>
              <w:jc w:val="right"/>
              <w:rPr/>
            </w:pPr>
            <w:r>
              <w:rPr/>
              <w:t>500,000</w:t>
            </w:r>
          </w:p>
        </w:tc>
        <w:tc>
          <w:tcPr>
            <w:tcW w:w="26" w:type="dxa"/>
            <w:tcBorders/>
            <w:shd w:fill="E5E5E5" w:val="clear"/>
            <w:vAlign w:val="bottom"/>
          </w:tcPr>
          <w:p>
            <w:pPr>
              <w:pStyle w:val="TableContents"/>
              <w:spacing w:before="0" w:after="283"/>
              <w:rPr>
                <w:sz w:val="4"/>
                <w:szCs w:val="4"/>
              </w:rPr>
            </w:pPr>
            <w:r>
              <w:rPr>
                <w:sz w:val="4"/>
                <w:szCs w:val="4"/>
              </w:rPr>
            </w:r>
          </w:p>
        </w:tc>
        <w:tc>
          <w:tcPr>
            <w:tcW w:w="375"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423" w:type="dxa"/>
            <w:tcBorders/>
            <w:shd w:fill="E5E5E5" w:val="clear"/>
            <w:vAlign w:val="bottom"/>
          </w:tcPr>
          <w:p>
            <w:pPr>
              <w:pStyle w:val="TableContents"/>
              <w:spacing w:before="0" w:after="283"/>
              <w:jc w:val="right"/>
              <w:rPr/>
            </w:pPr>
            <w:r>
              <w:rPr/>
              <w:t>525,000</w:t>
            </w:r>
          </w:p>
        </w:tc>
        <w:tc>
          <w:tcPr>
            <w:tcW w:w="32" w:type="dxa"/>
            <w:tcBorders/>
            <w:shd w:fill="E5E5E5" w:val="clear"/>
            <w:vAlign w:val="bottom"/>
          </w:tcPr>
          <w:p>
            <w:pPr>
              <w:pStyle w:val="TableContents"/>
              <w:spacing w:before="0" w:after="283"/>
              <w:rPr>
                <w:sz w:val="4"/>
                <w:szCs w:val="4"/>
              </w:rPr>
            </w:pPr>
            <w:r>
              <w:rPr>
                <w:sz w:val="4"/>
                <w:szCs w:val="4"/>
              </w:rPr>
            </w:r>
          </w:p>
        </w:tc>
        <w:tc>
          <w:tcPr>
            <w:tcW w:w="375"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91" w:type="dxa"/>
            <w:tcBorders/>
            <w:shd w:fill="E5E5E5" w:val="clear"/>
            <w:vAlign w:val="bottom"/>
          </w:tcPr>
          <w:p>
            <w:pPr>
              <w:pStyle w:val="TableContents"/>
              <w:spacing w:before="0" w:after="283"/>
              <w:rPr/>
            </w:pPr>
            <w:r>
              <w:rPr/>
              <w:t> </w:t>
            </w:r>
          </w:p>
        </w:tc>
        <w:tc>
          <w:tcPr>
            <w:tcW w:w="517" w:type="dxa"/>
            <w:tcBorders/>
            <w:shd w:fill="E5E5E5" w:val="clear"/>
            <w:vAlign w:val="bottom"/>
          </w:tcPr>
          <w:p>
            <w:pPr>
              <w:pStyle w:val="TableContents"/>
              <w:spacing w:before="0" w:after="283"/>
              <w:jc w:val="right"/>
              <w:rPr/>
            </w:pPr>
            <w:r>
              <w:rPr/>
              <w:t>5.0</w:t>
            </w:r>
          </w:p>
        </w:tc>
        <w:tc>
          <w:tcPr>
            <w:tcW w:w="335" w:type="dxa"/>
            <w:tcBorders/>
            <w:shd w:fill="E5E5E5" w:val="clear"/>
            <w:vAlign w:val="bottom"/>
          </w:tcPr>
          <w:p>
            <w:pPr>
              <w:pStyle w:val="TableContents"/>
              <w:spacing w:before="0" w:after="283"/>
              <w:rPr/>
            </w:pPr>
            <w:r>
              <w:rPr/>
              <w:t>%</w:t>
            </w:r>
          </w:p>
        </w:tc>
      </w:tr>
    </w:tbl>
    <w:p>
      <w:pPr>
        <w:pStyle w:val="TextBody"/>
        <w:spacing w:before="120" w:after="0"/>
        <w:jc w:val="left"/>
        <w:rPr>
          <w:rFonts w:ascii="arial" w:hAnsi="arial"/>
          <w:sz w:val="20"/>
        </w:rPr>
      </w:pPr>
      <w:r>
        <w:rPr>
          <w:rFonts w:ascii="arial" w:hAnsi="arial"/>
          <w:sz w:val="20"/>
        </w:rPr>
        <w:t xml:space="preserve">These base salary increases were set before the onset of pandemic-related disruptions to our business. The base salary increase for Mr. Song was driven by external market competitiveness and an increase in his job scope to include oversight of our international business. The base salary increases for Mr. Cywinski and Mr. Johns were based on individual performance and external market competitiveness. The base salary increase for Mr. Adel was based on external market competitiveness and an increase in his job scope to include oversight of communications, events, and publishing services personnel. </w:t>
      </w:r>
    </w:p>
    <w:p>
      <w:pPr>
        <w:pStyle w:val="TextBody"/>
        <w:spacing w:before="240" w:after="0"/>
        <w:jc w:val="left"/>
        <w:rPr>
          <w:rFonts w:ascii="arial" w:hAnsi="arial"/>
          <w:b/>
          <w:sz w:val="20"/>
        </w:rPr>
      </w:pPr>
      <w:r>
        <w:rPr>
          <w:rFonts w:ascii="arial" w:hAnsi="arial"/>
          <w:b/>
          <w:sz w:val="20"/>
        </w:rPr>
        <w:t xml:space="preserve">Performance- and Stock-Based Compensation </w:t>
      </w:r>
    </w:p>
    <w:p>
      <w:pPr>
        <w:pStyle w:val="TextBody"/>
        <w:spacing w:before="120" w:after="0"/>
        <w:jc w:val="left"/>
        <w:rPr>
          <w:rFonts w:ascii="arial" w:hAnsi="arial"/>
          <w:b/>
          <w:i/>
          <w:sz w:val="20"/>
        </w:rPr>
      </w:pPr>
      <w:r>
        <w:rPr>
          <w:rFonts w:ascii="arial" w:hAnsi="arial"/>
          <w:b/>
          <w:i/>
          <w:sz w:val="20"/>
        </w:rPr>
        <w:t xml:space="preserve">Annual Cash Incentives </w:t>
      </w:r>
    </w:p>
    <w:p>
      <w:pPr>
        <w:pStyle w:val="TextBody"/>
        <w:spacing w:before="120" w:after="0"/>
        <w:jc w:val="left"/>
        <w:rPr>
          <w:rFonts w:ascii="arial" w:hAnsi="arial"/>
          <w:sz w:val="20"/>
        </w:rPr>
      </w:pPr>
      <w:r>
        <w:rPr>
          <w:rFonts w:ascii="arial" w:hAnsi="arial"/>
          <w:sz w:val="20"/>
        </w:rPr>
        <w:t xml:space="preserve">In early 2020, before the onset of the COVID-19 pandemic, the Compensation Committee approved the 2020 Annual Incentive Plan to reward executive officers whose performance meets or exceeds the Corporations expectations, to provide incentives for excellent future performance that contributes to the Corporations success and profitability and to serve as a means by which eligible participants may share in the Corporations financial success. </w:t>
      </w:r>
    </w:p>
    <w:p>
      <w:pPr>
        <w:pStyle w:val="TextBody"/>
        <w:spacing w:before="120" w:after="0"/>
        <w:jc w:val="left"/>
        <w:rPr>
          <w:rFonts w:ascii="arial" w:hAnsi="arial"/>
          <w:sz w:val="20"/>
        </w:rPr>
      </w:pPr>
      <w:r>
        <w:rPr>
          <w:rFonts w:ascii="arial" w:hAnsi="arial"/>
          <w:sz w:val="20"/>
        </w:rPr>
        <w:t xml:space="preserve">Pursuant to the 2020 Annual Incentive Plan, the target annual cash incentive amount for each of the NEOs is established as a percentage of base salary based on the participants level in the management structure. The 2020 threshold, target, and maximum payout amounts for each NEO are provided in the Grants of Plan-Based Awards in 2020 table. The 2020 threshold, target, and maximum percentages of base salary for each of the NEOs under the Corporations 2020 Annual Incentive Plan were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539"/>
        <w:gridCol w:w="216"/>
        <w:gridCol w:w="195"/>
        <w:gridCol w:w="195"/>
        <w:gridCol w:w="1434"/>
        <w:gridCol w:w="702"/>
        <w:gridCol w:w="146"/>
        <w:gridCol w:w="181"/>
        <w:gridCol w:w="181"/>
        <w:gridCol w:w="1150"/>
        <w:gridCol w:w="653"/>
        <w:gridCol w:w="146"/>
        <w:gridCol w:w="221"/>
        <w:gridCol w:w="221"/>
        <w:gridCol w:w="1406"/>
        <w:gridCol w:w="802"/>
      </w:tblGrid>
      <w:tr>
        <w:trPr/>
        <w:tc>
          <w:tcPr>
            <w:tcW w:w="153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539" w:type="dxa"/>
            <w:tcBorders/>
            <w:shd w:fill="CF0A2C" w:val="clear"/>
            <w:vAlign w:val="center"/>
          </w:tcPr>
          <w:p>
            <w:pPr>
              <w:pStyle w:val="TableContents"/>
              <w:spacing w:before="0" w:after="283"/>
              <w:rPr>
                <w:sz w:val="4"/>
                <w:szCs w:val="4"/>
              </w:rPr>
            </w:pPr>
            <w:r>
              <w:rPr>
                <w:sz w:val="4"/>
                <w:szCs w:val="4"/>
              </w:rPr>
            </w:r>
          </w:p>
        </w:tc>
        <w:tc>
          <w:tcPr>
            <w:tcW w:w="2742" w:type="dxa"/>
            <w:gridSpan w:val="5"/>
            <w:tcBorders/>
            <w:shd w:fill="CF0A2C" w:val="clear"/>
            <w:vAlign w:val="center"/>
          </w:tcPr>
          <w:p>
            <w:pPr>
              <w:pStyle w:val="TableContents"/>
              <w:spacing w:before="0" w:after="283"/>
              <w:rPr>
                <w:sz w:val="4"/>
                <w:szCs w:val="4"/>
              </w:rPr>
            </w:pPr>
            <w:r>
              <w:rPr>
                <w:sz w:val="4"/>
                <w:szCs w:val="4"/>
              </w:rPr>
            </w:r>
          </w:p>
        </w:tc>
        <w:tc>
          <w:tcPr>
            <w:tcW w:w="2311" w:type="dxa"/>
            <w:gridSpan w:val="5"/>
            <w:tcBorders/>
            <w:shd w:fill="CF0A2C" w:val="clear"/>
            <w:vAlign w:val="center"/>
          </w:tcPr>
          <w:p>
            <w:pPr>
              <w:pStyle w:val="TableContents"/>
              <w:spacing w:before="0" w:after="283"/>
              <w:rPr>
                <w:sz w:val="4"/>
                <w:szCs w:val="4"/>
              </w:rPr>
            </w:pPr>
            <w:r>
              <w:rPr>
                <w:sz w:val="4"/>
                <w:szCs w:val="4"/>
              </w:rPr>
            </w:r>
          </w:p>
        </w:tc>
        <w:tc>
          <w:tcPr>
            <w:tcW w:w="2796" w:type="dxa"/>
            <w:gridSpan w:val="5"/>
            <w:tcBorders/>
            <w:shd w:fill="CF0A2C" w:val="clear"/>
            <w:vAlign w:val="center"/>
          </w:tcPr>
          <w:p>
            <w:pPr>
              <w:pStyle w:val="TableContents"/>
              <w:spacing w:before="0" w:after="283"/>
              <w:rPr>
                <w:sz w:val="4"/>
                <w:szCs w:val="4"/>
              </w:rPr>
            </w:pPr>
            <w:r>
              <w:rPr>
                <w:sz w:val="4"/>
                <w:szCs w:val="4"/>
              </w:rPr>
            </w:r>
          </w:p>
        </w:tc>
      </w:tr>
      <w:tr>
        <w:trPr/>
        <w:tc>
          <w:tcPr>
            <w:tcW w:w="1539"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216" w:type="dxa"/>
            <w:tcBorders/>
            <w:shd w:fill="CF0A2C" w:val="clear"/>
            <w:vAlign w:val="bottom"/>
          </w:tcPr>
          <w:p>
            <w:pPr>
              <w:pStyle w:val="TableContents"/>
              <w:spacing w:before="0" w:after="283"/>
              <w:rPr/>
            </w:pPr>
            <w:r>
              <w:rPr/>
              <w:t>  </w:t>
            </w:r>
          </w:p>
        </w:tc>
        <w:tc>
          <w:tcPr>
            <w:tcW w:w="2526" w:type="dxa"/>
            <w:gridSpan w:val="4"/>
            <w:tcBorders/>
            <w:shd w:fill="CF0A2C" w:val="clear"/>
            <w:vAlign w:val="bottom"/>
          </w:tcPr>
          <w:p>
            <w:pPr>
              <w:pStyle w:val="TableContents"/>
              <w:spacing w:before="0" w:after="283"/>
              <w:jc w:val="center"/>
              <w:rPr>
                <w:b/>
                <w:color w:val="FFFFFF"/>
              </w:rPr>
            </w:pPr>
            <w:r>
              <w:rPr>
                <w:b/>
                <w:color w:val="FFFFFF"/>
              </w:rPr>
              <w:t>Threshold as Percentage</w:t>
              <w:br/>
              <w:t>of Base Salary</w:t>
            </w:r>
          </w:p>
        </w:tc>
        <w:tc>
          <w:tcPr>
            <w:tcW w:w="146" w:type="dxa"/>
            <w:tcBorders/>
            <w:shd w:fill="CF0A2C" w:val="clear"/>
            <w:vAlign w:val="bottom"/>
          </w:tcPr>
          <w:p>
            <w:pPr>
              <w:pStyle w:val="TableContents"/>
              <w:spacing w:before="0" w:after="283"/>
              <w:rPr/>
            </w:pPr>
            <w:r>
              <w:rPr/>
              <w:t> </w:t>
            </w:r>
          </w:p>
        </w:tc>
        <w:tc>
          <w:tcPr>
            <w:tcW w:w="2165" w:type="dxa"/>
            <w:gridSpan w:val="4"/>
            <w:tcBorders/>
            <w:shd w:fill="CF0A2C" w:val="clear"/>
            <w:vAlign w:val="bottom"/>
          </w:tcPr>
          <w:p>
            <w:pPr>
              <w:pStyle w:val="TableContents"/>
              <w:spacing w:before="0" w:after="283"/>
              <w:jc w:val="center"/>
              <w:rPr>
                <w:b/>
                <w:color w:val="FFFFFF"/>
              </w:rPr>
            </w:pPr>
            <w:r>
              <w:rPr>
                <w:b/>
                <w:color w:val="FFFFFF"/>
              </w:rPr>
              <w:t>Target as Percentage</w:t>
              <w:br/>
              <w:t>of Base Salary</w:t>
            </w:r>
          </w:p>
        </w:tc>
        <w:tc>
          <w:tcPr>
            <w:tcW w:w="146" w:type="dxa"/>
            <w:tcBorders/>
            <w:shd w:fill="CF0A2C" w:val="clear"/>
            <w:vAlign w:val="bottom"/>
          </w:tcPr>
          <w:p>
            <w:pPr>
              <w:pStyle w:val="TableContents"/>
              <w:spacing w:before="0" w:after="283"/>
              <w:rPr/>
            </w:pPr>
            <w:r>
              <w:rPr/>
              <w:t> </w:t>
            </w:r>
          </w:p>
        </w:tc>
        <w:tc>
          <w:tcPr>
            <w:tcW w:w="2650" w:type="dxa"/>
            <w:gridSpan w:val="4"/>
            <w:tcBorders/>
            <w:shd w:fill="CF0A2C" w:val="clear"/>
            <w:vAlign w:val="bottom"/>
          </w:tcPr>
          <w:p>
            <w:pPr>
              <w:pStyle w:val="TableContents"/>
              <w:spacing w:before="0" w:after="283"/>
              <w:jc w:val="center"/>
              <w:rPr>
                <w:b/>
                <w:color w:val="FFFFFF"/>
              </w:rPr>
            </w:pPr>
            <w:r>
              <w:rPr>
                <w:b/>
                <w:color w:val="FFFFFF"/>
              </w:rPr>
              <w:t>Maximum as Percentage  </w:t>
              <w:br/>
              <w:t>of Base Salary</w:t>
            </w:r>
          </w:p>
        </w:tc>
      </w:tr>
      <w:tr>
        <w:trPr>
          <w:trHeight w:val="75" w:hRule="atLeast"/>
        </w:trPr>
        <w:tc>
          <w:tcPr>
            <w:tcW w:w="1539" w:type="dxa"/>
            <w:tcBorders/>
            <w:shd w:fill="E5E5E5" w:val="clear"/>
            <w:vAlign w:val="center"/>
          </w:tcPr>
          <w:p>
            <w:pPr>
              <w:pStyle w:val="TableContents"/>
              <w:spacing w:before="0" w:after="283"/>
              <w:rPr>
                <w:sz w:val="4"/>
                <w:szCs w:val="4"/>
              </w:rPr>
            </w:pPr>
            <w:r>
              <w:rPr>
                <w:sz w:val="4"/>
                <w:szCs w:val="4"/>
              </w:rPr>
            </w:r>
          </w:p>
        </w:tc>
        <w:tc>
          <w:tcPr>
            <w:tcW w:w="2742" w:type="dxa"/>
            <w:gridSpan w:val="5"/>
            <w:tcBorders/>
            <w:shd w:fill="E5E5E5" w:val="clear"/>
            <w:vAlign w:val="center"/>
          </w:tcPr>
          <w:p>
            <w:pPr>
              <w:pStyle w:val="TableContents"/>
              <w:spacing w:before="0" w:after="283"/>
              <w:rPr>
                <w:sz w:val="4"/>
                <w:szCs w:val="4"/>
              </w:rPr>
            </w:pPr>
            <w:r>
              <w:rPr>
                <w:sz w:val="4"/>
                <w:szCs w:val="4"/>
              </w:rPr>
            </w:r>
          </w:p>
        </w:tc>
        <w:tc>
          <w:tcPr>
            <w:tcW w:w="2311" w:type="dxa"/>
            <w:gridSpan w:val="5"/>
            <w:tcBorders/>
            <w:shd w:fill="E5E5E5" w:val="clear"/>
            <w:vAlign w:val="center"/>
          </w:tcPr>
          <w:p>
            <w:pPr>
              <w:pStyle w:val="TableContents"/>
              <w:spacing w:before="0" w:after="283"/>
              <w:rPr>
                <w:sz w:val="4"/>
                <w:szCs w:val="4"/>
              </w:rPr>
            </w:pPr>
            <w:r>
              <w:rPr>
                <w:sz w:val="4"/>
                <w:szCs w:val="4"/>
              </w:rPr>
            </w:r>
          </w:p>
        </w:tc>
        <w:tc>
          <w:tcPr>
            <w:tcW w:w="2796" w:type="dxa"/>
            <w:gridSpan w:val="5"/>
            <w:tcBorders/>
            <w:shd w:fill="E5E5E5" w:val="clear"/>
            <w:vAlign w:val="center"/>
          </w:tcPr>
          <w:p>
            <w:pPr>
              <w:pStyle w:val="TableContents"/>
              <w:spacing w:before="0" w:after="283"/>
              <w:rPr>
                <w:sz w:val="4"/>
                <w:szCs w:val="4"/>
              </w:rPr>
            </w:pPr>
            <w:r>
              <w:rPr>
                <w:sz w:val="4"/>
                <w:szCs w:val="4"/>
              </w:rPr>
            </w:r>
          </w:p>
        </w:tc>
      </w:tr>
      <w:tr>
        <w:trPr/>
        <w:tc>
          <w:tcPr>
            <w:tcW w:w="1539" w:type="dxa"/>
            <w:tcBorders/>
            <w:shd w:fill="E5E5E5" w:val="clear"/>
          </w:tcPr>
          <w:p>
            <w:pPr>
              <w:pStyle w:val="TableContents"/>
              <w:spacing w:before="0" w:after="0"/>
              <w:rPr>
                <w:rFonts w:ascii="arial" w:hAnsi="arial"/>
                <w:sz w:val="20"/>
              </w:rPr>
            </w:pPr>
            <w:r>
              <w:rPr>
                <w:rFonts w:ascii="arial" w:hAnsi="arial"/>
                <w:sz w:val="20"/>
              </w:rPr>
              <w:t>Stephen P. Joyce</w:t>
            </w:r>
          </w:p>
        </w:tc>
        <w:tc>
          <w:tcPr>
            <w:tcW w:w="216" w:type="dxa"/>
            <w:tcBorders/>
            <w:shd w:fill="E5E5E5" w:val="clear"/>
            <w:vAlign w:val="bottom"/>
          </w:tcPr>
          <w:p>
            <w:pPr>
              <w:pStyle w:val="TableContents"/>
              <w:spacing w:before="0" w:after="283"/>
              <w:rPr/>
            </w:pPr>
            <w:r>
              <w:rPr/>
              <w:t>  </w:t>
            </w:r>
          </w:p>
        </w:tc>
        <w:tc>
          <w:tcPr>
            <w:tcW w:w="195" w:type="dxa"/>
            <w:tcBorders/>
            <w:shd w:fill="E5E5E5" w:val="clear"/>
            <w:vAlign w:val="bottom"/>
          </w:tcPr>
          <w:p>
            <w:pPr>
              <w:pStyle w:val="TableContents"/>
              <w:spacing w:before="0" w:after="283"/>
              <w:rPr/>
            </w:pPr>
            <w:r>
              <w:rPr/>
              <w:t> </w:t>
            </w:r>
          </w:p>
        </w:tc>
        <w:tc>
          <w:tcPr>
            <w:tcW w:w="195" w:type="dxa"/>
            <w:tcBorders/>
            <w:shd w:fill="E5E5E5" w:val="clear"/>
            <w:vAlign w:val="bottom"/>
          </w:tcPr>
          <w:p>
            <w:pPr>
              <w:pStyle w:val="TableContents"/>
              <w:spacing w:before="0" w:after="283"/>
              <w:rPr/>
            </w:pPr>
            <w:r>
              <w:rPr/>
              <w:t> </w:t>
            </w:r>
          </w:p>
        </w:tc>
        <w:tc>
          <w:tcPr>
            <w:tcW w:w="1434" w:type="dxa"/>
            <w:tcBorders/>
            <w:shd w:fill="E5E5E5" w:val="clear"/>
            <w:vAlign w:val="bottom"/>
          </w:tcPr>
          <w:p>
            <w:pPr>
              <w:pStyle w:val="TableContents"/>
              <w:spacing w:before="0" w:after="283"/>
              <w:jc w:val="right"/>
              <w:rPr/>
            </w:pPr>
            <w:r>
              <w:rPr/>
              <w:t>50</w:t>
            </w:r>
          </w:p>
        </w:tc>
        <w:tc>
          <w:tcPr>
            <w:tcW w:w="702" w:type="dxa"/>
            <w:tcBorders/>
            <w:shd w:fill="E5E5E5" w:val="clear"/>
            <w:vAlign w:val="bottom"/>
          </w:tcPr>
          <w:p>
            <w:pPr>
              <w:pStyle w:val="TableContents"/>
              <w:spacing w:before="0" w:after="283"/>
              <w:rPr/>
            </w:pPr>
            <w:r>
              <w:rPr/>
              <w:t>%</w:t>
            </w:r>
          </w:p>
        </w:tc>
        <w:tc>
          <w:tcPr>
            <w:tcW w:w="146"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150" w:type="dxa"/>
            <w:tcBorders/>
            <w:shd w:fill="E5E5E5" w:val="clear"/>
            <w:vAlign w:val="bottom"/>
          </w:tcPr>
          <w:p>
            <w:pPr>
              <w:pStyle w:val="TableContents"/>
              <w:spacing w:before="0" w:after="283"/>
              <w:jc w:val="right"/>
              <w:rPr/>
            </w:pPr>
            <w:r>
              <w:rPr/>
              <w:t>100</w:t>
            </w:r>
          </w:p>
        </w:tc>
        <w:tc>
          <w:tcPr>
            <w:tcW w:w="653" w:type="dxa"/>
            <w:tcBorders/>
            <w:shd w:fill="E5E5E5" w:val="clear"/>
            <w:vAlign w:val="bottom"/>
          </w:tcPr>
          <w:p>
            <w:pPr>
              <w:pStyle w:val="TableContents"/>
              <w:spacing w:before="0" w:after="283"/>
              <w:rPr/>
            </w:pPr>
            <w:r>
              <w:rPr/>
              <w:t>%</w:t>
            </w:r>
          </w:p>
        </w:tc>
        <w:tc>
          <w:tcPr>
            <w:tcW w:w="146" w:type="dxa"/>
            <w:tcBorders/>
            <w:shd w:fill="E5E5E5" w:val="clear"/>
            <w:vAlign w:val="bottom"/>
          </w:tcPr>
          <w:p>
            <w:pPr>
              <w:pStyle w:val="TableContents"/>
              <w:spacing w:before="0" w:after="283"/>
              <w:rPr/>
            </w:pPr>
            <w:r>
              <w:rPr/>
              <w:t> </w:t>
            </w:r>
          </w:p>
        </w:tc>
        <w:tc>
          <w:tcPr>
            <w:tcW w:w="221" w:type="dxa"/>
            <w:tcBorders/>
            <w:shd w:fill="E5E5E5" w:val="clear"/>
            <w:vAlign w:val="bottom"/>
          </w:tcPr>
          <w:p>
            <w:pPr>
              <w:pStyle w:val="TableContents"/>
              <w:spacing w:before="0" w:after="283"/>
              <w:rPr/>
            </w:pPr>
            <w:r>
              <w:rPr/>
              <w:t> </w:t>
            </w:r>
          </w:p>
        </w:tc>
        <w:tc>
          <w:tcPr>
            <w:tcW w:w="221" w:type="dxa"/>
            <w:tcBorders/>
            <w:shd w:fill="E5E5E5" w:val="clear"/>
            <w:vAlign w:val="bottom"/>
          </w:tcPr>
          <w:p>
            <w:pPr>
              <w:pStyle w:val="TableContents"/>
              <w:spacing w:before="0" w:after="283"/>
              <w:rPr/>
            </w:pPr>
            <w:r>
              <w:rPr/>
              <w:t> </w:t>
            </w:r>
          </w:p>
        </w:tc>
        <w:tc>
          <w:tcPr>
            <w:tcW w:w="1406" w:type="dxa"/>
            <w:tcBorders/>
            <w:shd w:fill="E5E5E5" w:val="clear"/>
            <w:vAlign w:val="bottom"/>
          </w:tcPr>
          <w:p>
            <w:pPr>
              <w:pStyle w:val="TableContents"/>
              <w:spacing w:before="0" w:after="283"/>
              <w:jc w:val="right"/>
              <w:rPr/>
            </w:pPr>
            <w:r>
              <w:rPr/>
              <w:t>200</w:t>
            </w:r>
          </w:p>
        </w:tc>
        <w:tc>
          <w:tcPr>
            <w:tcW w:w="802" w:type="dxa"/>
            <w:tcBorders/>
            <w:shd w:fill="E5E5E5" w:val="clear"/>
            <w:vAlign w:val="bottom"/>
          </w:tcPr>
          <w:p>
            <w:pPr>
              <w:pStyle w:val="TableContents"/>
              <w:spacing w:before="0" w:after="283"/>
              <w:rPr/>
            </w:pPr>
            <w:r>
              <w:rPr/>
              <w:t>%</w:t>
            </w:r>
          </w:p>
        </w:tc>
      </w:tr>
      <w:tr>
        <w:trPr>
          <w:trHeight w:val="75" w:hRule="atLeast"/>
        </w:trPr>
        <w:tc>
          <w:tcPr>
            <w:tcW w:w="1539" w:type="dxa"/>
            <w:tcBorders/>
            <w:shd w:fill="auto" w:val="clear"/>
            <w:vAlign w:val="center"/>
          </w:tcPr>
          <w:p>
            <w:pPr>
              <w:pStyle w:val="TableContents"/>
              <w:spacing w:before="0" w:after="283"/>
              <w:rPr>
                <w:sz w:val="4"/>
                <w:szCs w:val="4"/>
              </w:rPr>
            </w:pPr>
            <w:r>
              <w:rPr>
                <w:sz w:val="4"/>
                <w:szCs w:val="4"/>
              </w:rPr>
            </w:r>
          </w:p>
        </w:tc>
        <w:tc>
          <w:tcPr>
            <w:tcW w:w="2742" w:type="dxa"/>
            <w:gridSpan w:val="5"/>
            <w:tcBorders/>
            <w:shd w:fill="auto" w:val="clear"/>
            <w:vAlign w:val="center"/>
          </w:tcPr>
          <w:p>
            <w:pPr>
              <w:pStyle w:val="TableContents"/>
              <w:spacing w:before="0" w:after="283"/>
              <w:rPr>
                <w:sz w:val="4"/>
                <w:szCs w:val="4"/>
              </w:rPr>
            </w:pPr>
            <w:r>
              <w:rPr>
                <w:sz w:val="4"/>
                <w:szCs w:val="4"/>
              </w:rPr>
            </w:r>
          </w:p>
        </w:tc>
        <w:tc>
          <w:tcPr>
            <w:tcW w:w="2311" w:type="dxa"/>
            <w:gridSpan w:val="5"/>
            <w:tcBorders/>
            <w:shd w:fill="auto" w:val="clear"/>
            <w:vAlign w:val="center"/>
          </w:tcPr>
          <w:p>
            <w:pPr>
              <w:pStyle w:val="TableContents"/>
              <w:spacing w:before="0" w:after="283"/>
              <w:rPr>
                <w:sz w:val="4"/>
                <w:szCs w:val="4"/>
              </w:rPr>
            </w:pPr>
            <w:r>
              <w:rPr>
                <w:sz w:val="4"/>
                <w:szCs w:val="4"/>
              </w:rPr>
            </w:r>
          </w:p>
        </w:tc>
        <w:tc>
          <w:tcPr>
            <w:tcW w:w="2796" w:type="dxa"/>
            <w:gridSpan w:val="5"/>
            <w:tcBorders/>
            <w:shd w:fill="auto" w:val="clear"/>
            <w:vAlign w:val="center"/>
          </w:tcPr>
          <w:p>
            <w:pPr>
              <w:pStyle w:val="TableContents"/>
              <w:spacing w:before="0" w:after="283"/>
              <w:rPr>
                <w:sz w:val="4"/>
                <w:szCs w:val="4"/>
              </w:rPr>
            </w:pPr>
            <w:r>
              <w:rPr>
                <w:sz w:val="4"/>
                <w:szCs w:val="4"/>
              </w:rPr>
            </w:r>
          </w:p>
        </w:tc>
      </w:tr>
      <w:tr>
        <w:trPr/>
        <w:tc>
          <w:tcPr>
            <w:tcW w:w="1539" w:type="dxa"/>
            <w:tcBorders/>
            <w:shd w:fill="auto" w:val="clear"/>
          </w:tcPr>
          <w:p>
            <w:pPr>
              <w:pStyle w:val="TableContents"/>
              <w:spacing w:before="0" w:after="0"/>
              <w:rPr>
                <w:rFonts w:ascii="arial" w:hAnsi="arial"/>
                <w:sz w:val="20"/>
              </w:rPr>
            </w:pPr>
            <w:r>
              <w:rPr>
                <w:rFonts w:ascii="arial" w:hAnsi="arial"/>
                <w:sz w:val="20"/>
              </w:rPr>
              <w:t>Thomas H. Song</w:t>
            </w:r>
          </w:p>
        </w:tc>
        <w:tc>
          <w:tcPr>
            <w:tcW w:w="21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34" w:type="dxa"/>
            <w:tcBorders/>
            <w:shd w:fill="auto" w:val="clear"/>
            <w:vAlign w:val="bottom"/>
          </w:tcPr>
          <w:p>
            <w:pPr>
              <w:pStyle w:val="TableContents"/>
              <w:spacing w:before="0" w:after="283"/>
              <w:jc w:val="right"/>
              <w:rPr/>
            </w:pPr>
            <w:r>
              <w:rPr/>
              <w:t>37.5</w:t>
            </w:r>
          </w:p>
        </w:tc>
        <w:tc>
          <w:tcPr>
            <w:tcW w:w="70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75</w:t>
            </w:r>
          </w:p>
        </w:tc>
        <w:tc>
          <w:tcPr>
            <w:tcW w:w="65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06" w:type="dxa"/>
            <w:tcBorders/>
            <w:shd w:fill="auto" w:val="clear"/>
            <w:vAlign w:val="bottom"/>
          </w:tcPr>
          <w:p>
            <w:pPr>
              <w:pStyle w:val="TableContents"/>
              <w:spacing w:before="0" w:after="283"/>
              <w:jc w:val="right"/>
              <w:rPr/>
            </w:pPr>
            <w:r>
              <w:rPr/>
              <w:t>150</w:t>
            </w:r>
          </w:p>
        </w:tc>
        <w:tc>
          <w:tcPr>
            <w:tcW w:w="802" w:type="dxa"/>
            <w:tcBorders/>
            <w:shd w:fill="auto" w:val="clear"/>
            <w:vAlign w:val="bottom"/>
          </w:tcPr>
          <w:p>
            <w:pPr>
              <w:pStyle w:val="TableContents"/>
              <w:spacing w:before="0" w:after="283"/>
              <w:rPr/>
            </w:pPr>
            <w:r>
              <w:rPr/>
              <w:t>%</w:t>
            </w:r>
          </w:p>
        </w:tc>
      </w:tr>
      <w:tr>
        <w:trPr>
          <w:trHeight w:val="75" w:hRule="atLeast"/>
        </w:trPr>
        <w:tc>
          <w:tcPr>
            <w:tcW w:w="1539" w:type="dxa"/>
            <w:tcBorders/>
            <w:shd w:fill="E5E5E5" w:val="clear"/>
            <w:vAlign w:val="center"/>
          </w:tcPr>
          <w:p>
            <w:pPr>
              <w:pStyle w:val="TableContents"/>
              <w:spacing w:before="0" w:after="283"/>
              <w:rPr>
                <w:sz w:val="4"/>
                <w:szCs w:val="4"/>
              </w:rPr>
            </w:pPr>
            <w:r>
              <w:rPr>
                <w:sz w:val="4"/>
                <w:szCs w:val="4"/>
              </w:rPr>
            </w:r>
          </w:p>
        </w:tc>
        <w:tc>
          <w:tcPr>
            <w:tcW w:w="2742" w:type="dxa"/>
            <w:gridSpan w:val="5"/>
            <w:tcBorders/>
            <w:shd w:fill="E5E5E5" w:val="clear"/>
            <w:vAlign w:val="center"/>
          </w:tcPr>
          <w:p>
            <w:pPr>
              <w:pStyle w:val="TableContents"/>
              <w:spacing w:before="0" w:after="283"/>
              <w:rPr>
                <w:sz w:val="4"/>
                <w:szCs w:val="4"/>
              </w:rPr>
            </w:pPr>
            <w:r>
              <w:rPr>
                <w:sz w:val="4"/>
                <w:szCs w:val="4"/>
              </w:rPr>
            </w:r>
          </w:p>
        </w:tc>
        <w:tc>
          <w:tcPr>
            <w:tcW w:w="2311" w:type="dxa"/>
            <w:gridSpan w:val="5"/>
            <w:tcBorders/>
            <w:shd w:fill="E5E5E5" w:val="clear"/>
            <w:vAlign w:val="center"/>
          </w:tcPr>
          <w:p>
            <w:pPr>
              <w:pStyle w:val="TableContents"/>
              <w:spacing w:before="0" w:after="283"/>
              <w:rPr>
                <w:sz w:val="4"/>
                <w:szCs w:val="4"/>
              </w:rPr>
            </w:pPr>
            <w:r>
              <w:rPr>
                <w:sz w:val="4"/>
                <w:szCs w:val="4"/>
              </w:rPr>
            </w:r>
          </w:p>
        </w:tc>
        <w:tc>
          <w:tcPr>
            <w:tcW w:w="2796" w:type="dxa"/>
            <w:gridSpan w:val="5"/>
            <w:tcBorders/>
            <w:shd w:fill="E5E5E5" w:val="clear"/>
            <w:vAlign w:val="center"/>
          </w:tcPr>
          <w:p>
            <w:pPr>
              <w:pStyle w:val="TableContents"/>
              <w:spacing w:before="0" w:after="283"/>
              <w:rPr>
                <w:sz w:val="4"/>
                <w:szCs w:val="4"/>
              </w:rPr>
            </w:pPr>
            <w:r>
              <w:rPr>
                <w:sz w:val="4"/>
                <w:szCs w:val="4"/>
              </w:rPr>
            </w:r>
          </w:p>
        </w:tc>
      </w:tr>
      <w:tr>
        <w:trPr/>
        <w:tc>
          <w:tcPr>
            <w:tcW w:w="1539" w:type="dxa"/>
            <w:tcBorders/>
            <w:shd w:fill="E5E5E5" w:val="clear"/>
          </w:tcPr>
          <w:p>
            <w:pPr>
              <w:pStyle w:val="TableContents"/>
              <w:spacing w:before="0" w:after="0"/>
              <w:rPr>
                <w:rFonts w:ascii="arial" w:hAnsi="arial"/>
                <w:sz w:val="20"/>
              </w:rPr>
            </w:pPr>
            <w:r>
              <w:rPr>
                <w:rFonts w:ascii="arial" w:hAnsi="arial"/>
                <w:sz w:val="20"/>
              </w:rPr>
              <w:t>John C. Cywinski</w:t>
            </w:r>
          </w:p>
        </w:tc>
        <w:tc>
          <w:tcPr>
            <w:tcW w:w="216" w:type="dxa"/>
            <w:tcBorders/>
            <w:shd w:fill="E5E5E5" w:val="clear"/>
            <w:vAlign w:val="bottom"/>
          </w:tcPr>
          <w:p>
            <w:pPr>
              <w:pStyle w:val="TableContents"/>
              <w:spacing w:before="0" w:after="283"/>
              <w:rPr/>
            </w:pPr>
            <w:r>
              <w:rPr/>
              <w:t>  </w:t>
            </w:r>
          </w:p>
        </w:tc>
        <w:tc>
          <w:tcPr>
            <w:tcW w:w="195" w:type="dxa"/>
            <w:tcBorders/>
            <w:shd w:fill="E5E5E5" w:val="clear"/>
            <w:vAlign w:val="bottom"/>
          </w:tcPr>
          <w:p>
            <w:pPr>
              <w:pStyle w:val="TableContents"/>
              <w:spacing w:before="0" w:after="283"/>
              <w:rPr/>
            </w:pPr>
            <w:r>
              <w:rPr/>
              <w:t> </w:t>
            </w:r>
          </w:p>
        </w:tc>
        <w:tc>
          <w:tcPr>
            <w:tcW w:w="195" w:type="dxa"/>
            <w:tcBorders/>
            <w:shd w:fill="E5E5E5" w:val="clear"/>
            <w:vAlign w:val="bottom"/>
          </w:tcPr>
          <w:p>
            <w:pPr>
              <w:pStyle w:val="TableContents"/>
              <w:spacing w:before="0" w:after="283"/>
              <w:rPr/>
            </w:pPr>
            <w:r>
              <w:rPr/>
              <w:t> </w:t>
            </w:r>
          </w:p>
        </w:tc>
        <w:tc>
          <w:tcPr>
            <w:tcW w:w="1434" w:type="dxa"/>
            <w:tcBorders/>
            <w:shd w:fill="E5E5E5" w:val="clear"/>
            <w:vAlign w:val="bottom"/>
          </w:tcPr>
          <w:p>
            <w:pPr>
              <w:pStyle w:val="TableContents"/>
              <w:spacing w:before="0" w:after="283"/>
              <w:jc w:val="right"/>
              <w:rPr/>
            </w:pPr>
            <w:r>
              <w:rPr/>
              <w:t>42.5</w:t>
            </w:r>
          </w:p>
        </w:tc>
        <w:tc>
          <w:tcPr>
            <w:tcW w:w="702" w:type="dxa"/>
            <w:tcBorders/>
            <w:shd w:fill="E5E5E5" w:val="clear"/>
            <w:vAlign w:val="bottom"/>
          </w:tcPr>
          <w:p>
            <w:pPr>
              <w:pStyle w:val="TableContents"/>
              <w:spacing w:before="0" w:after="283"/>
              <w:rPr/>
            </w:pPr>
            <w:r>
              <w:rPr/>
              <w:t>%</w:t>
            </w:r>
          </w:p>
        </w:tc>
        <w:tc>
          <w:tcPr>
            <w:tcW w:w="146"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150" w:type="dxa"/>
            <w:tcBorders/>
            <w:shd w:fill="E5E5E5" w:val="clear"/>
            <w:vAlign w:val="bottom"/>
          </w:tcPr>
          <w:p>
            <w:pPr>
              <w:pStyle w:val="TableContents"/>
              <w:spacing w:before="0" w:after="283"/>
              <w:jc w:val="right"/>
              <w:rPr/>
            </w:pPr>
            <w:r>
              <w:rPr/>
              <w:t>85</w:t>
            </w:r>
          </w:p>
        </w:tc>
        <w:tc>
          <w:tcPr>
            <w:tcW w:w="653" w:type="dxa"/>
            <w:tcBorders/>
            <w:shd w:fill="E5E5E5" w:val="clear"/>
            <w:vAlign w:val="bottom"/>
          </w:tcPr>
          <w:p>
            <w:pPr>
              <w:pStyle w:val="TableContents"/>
              <w:spacing w:before="0" w:after="283"/>
              <w:rPr/>
            </w:pPr>
            <w:r>
              <w:rPr/>
              <w:t>%</w:t>
            </w:r>
          </w:p>
        </w:tc>
        <w:tc>
          <w:tcPr>
            <w:tcW w:w="146" w:type="dxa"/>
            <w:tcBorders/>
            <w:shd w:fill="E5E5E5" w:val="clear"/>
            <w:vAlign w:val="bottom"/>
          </w:tcPr>
          <w:p>
            <w:pPr>
              <w:pStyle w:val="TableContents"/>
              <w:spacing w:before="0" w:after="283"/>
              <w:rPr/>
            </w:pPr>
            <w:r>
              <w:rPr/>
              <w:t> </w:t>
            </w:r>
          </w:p>
        </w:tc>
        <w:tc>
          <w:tcPr>
            <w:tcW w:w="221" w:type="dxa"/>
            <w:tcBorders/>
            <w:shd w:fill="E5E5E5" w:val="clear"/>
            <w:vAlign w:val="bottom"/>
          </w:tcPr>
          <w:p>
            <w:pPr>
              <w:pStyle w:val="TableContents"/>
              <w:spacing w:before="0" w:after="283"/>
              <w:rPr/>
            </w:pPr>
            <w:r>
              <w:rPr/>
              <w:t> </w:t>
            </w:r>
          </w:p>
        </w:tc>
        <w:tc>
          <w:tcPr>
            <w:tcW w:w="221" w:type="dxa"/>
            <w:tcBorders/>
            <w:shd w:fill="E5E5E5" w:val="clear"/>
            <w:vAlign w:val="bottom"/>
          </w:tcPr>
          <w:p>
            <w:pPr>
              <w:pStyle w:val="TableContents"/>
              <w:spacing w:before="0" w:after="283"/>
              <w:rPr/>
            </w:pPr>
            <w:r>
              <w:rPr/>
              <w:t> </w:t>
            </w:r>
          </w:p>
        </w:tc>
        <w:tc>
          <w:tcPr>
            <w:tcW w:w="1406" w:type="dxa"/>
            <w:tcBorders/>
            <w:shd w:fill="E5E5E5" w:val="clear"/>
            <w:vAlign w:val="bottom"/>
          </w:tcPr>
          <w:p>
            <w:pPr>
              <w:pStyle w:val="TableContents"/>
              <w:spacing w:before="0" w:after="283"/>
              <w:jc w:val="right"/>
              <w:rPr/>
            </w:pPr>
            <w:r>
              <w:rPr/>
              <w:t>170</w:t>
            </w:r>
          </w:p>
        </w:tc>
        <w:tc>
          <w:tcPr>
            <w:tcW w:w="802" w:type="dxa"/>
            <w:tcBorders/>
            <w:shd w:fill="E5E5E5" w:val="clear"/>
            <w:vAlign w:val="bottom"/>
          </w:tcPr>
          <w:p>
            <w:pPr>
              <w:pStyle w:val="TableContents"/>
              <w:spacing w:before="0" w:after="283"/>
              <w:rPr/>
            </w:pPr>
            <w:r>
              <w:rPr/>
              <w:t>%</w:t>
            </w:r>
          </w:p>
        </w:tc>
      </w:tr>
      <w:tr>
        <w:trPr>
          <w:trHeight w:val="75" w:hRule="atLeast"/>
        </w:trPr>
        <w:tc>
          <w:tcPr>
            <w:tcW w:w="1539" w:type="dxa"/>
            <w:tcBorders/>
            <w:shd w:fill="auto" w:val="clear"/>
            <w:vAlign w:val="center"/>
          </w:tcPr>
          <w:p>
            <w:pPr>
              <w:pStyle w:val="TableContents"/>
              <w:spacing w:before="0" w:after="283"/>
              <w:rPr>
                <w:sz w:val="4"/>
                <w:szCs w:val="4"/>
              </w:rPr>
            </w:pPr>
            <w:r>
              <w:rPr>
                <w:sz w:val="4"/>
                <w:szCs w:val="4"/>
              </w:rPr>
            </w:r>
          </w:p>
        </w:tc>
        <w:tc>
          <w:tcPr>
            <w:tcW w:w="2742" w:type="dxa"/>
            <w:gridSpan w:val="5"/>
            <w:tcBorders/>
            <w:shd w:fill="auto" w:val="clear"/>
            <w:vAlign w:val="center"/>
          </w:tcPr>
          <w:p>
            <w:pPr>
              <w:pStyle w:val="TableContents"/>
              <w:spacing w:before="0" w:after="283"/>
              <w:rPr>
                <w:sz w:val="4"/>
                <w:szCs w:val="4"/>
              </w:rPr>
            </w:pPr>
            <w:r>
              <w:rPr>
                <w:sz w:val="4"/>
                <w:szCs w:val="4"/>
              </w:rPr>
            </w:r>
          </w:p>
        </w:tc>
        <w:tc>
          <w:tcPr>
            <w:tcW w:w="2311" w:type="dxa"/>
            <w:gridSpan w:val="5"/>
            <w:tcBorders/>
            <w:shd w:fill="auto" w:val="clear"/>
            <w:vAlign w:val="center"/>
          </w:tcPr>
          <w:p>
            <w:pPr>
              <w:pStyle w:val="TableContents"/>
              <w:spacing w:before="0" w:after="283"/>
              <w:rPr>
                <w:sz w:val="4"/>
                <w:szCs w:val="4"/>
              </w:rPr>
            </w:pPr>
            <w:r>
              <w:rPr>
                <w:sz w:val="4"/>
                <w:szCs w:val="4"/>
              </w:rPr>
            </w:r>
          </w:p>
        </w:tc>
        <w:tc>
          <w:tcPr>
            <w:tcW w:w="2796" w:type="dxa"/>
            <w:gridSpan w:val="5"/>
            <w:tcBorders/>
            <w:shd w:fill="auto" w:val="clear"/>
            <w:vAlign w:val="center"/>
          </w:tcPr>
          <w:p>
            <w:pPr>
              <w:pStyle w:val="TableContents"/>
              <w:spacing w:before="0" w:after="283"/>
              <w:rPr>
                <w:sz w:val="4"/>
                <w:szCs w:val="4"/>
              </w:rPr>
            </w:pPr>
            <w:r>
              <w:rPr>
                <w:sz w:val="4"/>
                <w:szCs w:val="4"/>
              </w:rPr>
            </w:r>
          </w:p>
        </w:tc>
      </w:tr>
      <w:tr>
        <w:trPr/>
        <w:tc>
          <w:tcPr>
            <w:tcW w:w="1539" w:type="dxa"/>
            <w:tcBorders/>
            <w:shd w:fill="auto" w:val="clear"/>
          </w:tcPr>
          <w:p>
            <w:pPr>
              <w:pStyle w:val="TableContents"/>
              <w:spacing w:before="0" w:after="0"/>
              <w:rPr>
                <w:rFonts w:ascii="arial" w:hAnsi="arial"/>
                <w:sz w:val="20"/>
              </w:rPr>
            </w:pPr>
            <w:r>
              <w:rPr>
                <w:rFonts w:ascii="arial" w:hAnsi="arial"/>
                <w:sz w:val="20"/>
              </w:rPr>
              <w:t>Jay D. Johns</w:t>
            </w:r>
          </w:p>
        </w:tc>
        <w:tc>
          <w:tcPr>
            <w:tcW w:w="21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434" w:type="dxa"/>
            <w:tcBorders/>
            <w:shd w:fill="auto" w:val="clear"/>
            <w:vAlign w:val="bottom"/>
          </w:tcPr>
          <w:p>
            <w:pPr>
              <w:pStyle w:val="TableContents"/>
              <w:spacing w:before="0" w:after="283"/>
              <w:jc w:val="right"/>
              <w:rPr/>
            </w:pPr>
            <w:r>
              <w:rPr/>
              <w:t>37.5</w:t>
            </w:r>
          </w:p>
        </w:tc>
        <w:tc>
          <w:tcPr>
            <w:tcW w:w="702"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75</w:t>
            </w:r>
          </w:p>
        </w:tc>
        <w:tc>
          <w:tcPr>
            <w:tcW w:w="65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06" w:type="dxa"/>
            <w:tcBorders/>
            <w:shd w:fill="auto" w:val="clear"/>
            <w:vAlign w:val="bottom"/>
          </w:tcPr>
          <w:p>
            <w:pPr>
              <w:pStyle w:val="TableContents"/>
              <w:spacing w:before="0" w:after="283"/>
              <w:jc w:val="right"/>
              <w:rPr/>
            </w:pPr>
            <w:r>
              <w:rPr/>
              <w:t>150</w:t>
            </w:r>
          </w:p>
        </w:tc>
        <w:tc>
          <w:tcPr>
            <w:tcW w:w="802" w:type="dxa"/>
            <w:tcBorders/>
            <w:shd w:fill="auto" w:val="clear"/>
            <w:vAlign w:val="bottom"/>
          </w:tcPr>
          <w:p>
            <w:pPr>
              <w:pStyle w:val="TableContents"/>
              <w:spacing w:before="0" w:after="283"/>
              <w:rPr/>
            </w:pPr>
            <w:r>
              <w:rPr/>
              <w:t>%</w:t>
            </w:r>
          </w:p>
        </w:tc>
      </w:tr>
      <w:tr>
        <w:trPr>
          <w:trHeight w:val="75" w:hRule="atLeast"/>
        </w:trPr>
        <w:tc>
          <w:tcPr>
            <w:tcW w:w="1539" w:type="dxa"/>
            <w:tcBorders/>
            <w:shd w:fill="E5E5E5" w:val="clear"/>
            <w:vAlign w:val="center"/>
          </w:tcPr>
          <w:p>
            <w:pPr>
              <w:pStyle w:val="TableContents"/>
              <w:spacing w:before="0" w:after="283"/>
              <w:rPr>
                <w:sz w:val="4"/>
                <w:szCs w:val="4"/>
              </w:rPr>
            </w:pPr>
            <w:r>
              <w:rPr>
                <w:sz w:val="4"/>
                <w:szCs w:val="4"/>
              </w:rPr>
            </w:r>
          </w:p>
        </w:tc>
        <w:tc>
          <w:tcPr>
            <w:tcW w:w="2742" w:type="dxa"/>
            <w:gridSpan w:val="5"/>
            <w:tcBorders/>
            <w:shd w:fill="E5E5E5" w:val="clear"/>
            <w:vAlign w:val="center"/>
          </w:tcPr>
          <w:p>
            <w:pPr>
              <w:pStyle w:val="TableContents"/>
              <w:spacing w:before="0" w:after="283"/>
              <w:rPr>
                <w:sz w:val="4"/>
                <w:szCs w:val="4"/>
              </w:rPr>
            </w:pPr>
            <w:r>
              <w:rPr>
                <w:sz w:val="4"/>
                <w:szCs w:val="4"/>
              </w:rPr>
            </w:r>
          </w:p>
        </w:tc>
        <w:tc>
          <w:tcPr>
            <w:tcW w:w="2311" w:type="dxa"/>
            <w:gridSpan w:val="5"/>
            <w:tcBorders/>
            <w:shd w:fill="E5E5E5" w:val="clear"/>
            <w:vAlign w:val="center"/>
          </w:tcPr>
          <w:p>
            <w:pPr>
              <w:pStyle w:val="TableContents"/>
              <w:spacing w:before="0" w:after="283"/>
              <w:rPr>
                <w:sz w:val="4"/>
                <w:szCs w:val="4"/>
              </w:rPr>
            </w:pPr>
            <w:r>
              <w:rPr>
                <w:sz w:val="4"/>
                <w:szCs w:val="4"/>
              </w:rPr>
            </w:r>
          </w:p>
        </w:tc>
        <w:tc>
          <w:tcPr>
            <w:tcW w:w="2796" w:type="dxa"/>
            <w:gridSpan w:val="5"/>
            <w:tcBorders/>
            <w:shd w:fill="E5E5E5" w:val="clear"/>
            <w:vAlign w:val="center"/>
          </w:tcPr>
          <w:p>
            <w:pPr>
              <w:pStyle w:val="TableContents"/>
              <w:spacing w:before="0" w:after="283"/>
              <w:rPr>
                <w:sz w:val="4"/>
                <w:szCs w:val="4"/>
              </w:rPr>
            </w:pPr>
            <w:r>
              <w:rPr>
                <w:sz w:val="4"/>
                <w:szCs w:val="4"/>
              </w:rPr>
            </w:r>
          </w:p>
        </w:tc>
      </w:tr>
      <w:tr>
        <w:trPr/>
        <w:tc>
          <w:tcPr>
            <w:tcW w:w="1539" w:type="dxa"/>
            <w:tcBorders/>
            <w:shd w:fill="E5E5E5" w:val="clear"/>
          </w:tcPr>
          <w:p>
            <w:pPr>
              <w:pStyle w:val="TableContents"/>
              <w:spacing w:before="0" w:after="0"/>
              <w:rPr>
                <w:rFonts w:ascii="arial" w:hAnsi="arial"/>
                <w:sz w:val="20"/>
              </w:rPr>
            </w:pPr>
            <w:r>
              <w:rPr>
                <w:rFonts w:ascii="arial" w:hAnsi="arial"/>
                <w:sz w:val="20"/>
              </w:rPr>
              <w:t>Bryan R. Adel</w:t>
            </w:r>
          </w:p>
        </w:tc>
        <w:tc>
          <w:tcPr>
            <w:tcW w:w="216" w:type="dxa"/>
            <w:tcBorders/>
            <w:shd w:fill="E5E5E5" w:val="clear"/>
            <w:vAlign w:val="bottom"/>
          </w:tcPr>
          <w:p>
            <w:pPr>
              <w:pStyle w:val="TableContents"/>
              <w:spacing w:before="0" w:after="283"/>
              <w:rPr/>
            </w:pPr>
            <w:r>
              <w:rPr/>
              <w:t>  </w:t>
            </w:r>
          </w:p>
        </w:tc>
        <w:tc>
          <w:tcPr>
            <w:tcW w:w="195" w:type="dxa"/>
            <w:tcBorders/>
            <w:shd w:fill="E5E5E5" w:val="clear"/>
            <w:vAlign w:val="bottom"/>
          </w:tcPr>
          <w:p>
            <w:pPr>
              <w:pStyle w:val="TableContents"/>
              <w:spacing w:before="0" w:after="283"/>
              <w:rPr/>
            </w:pPr>
            <w:r>
              <w:rPr/>
              <w:t> </w:t>
            </w:r>
          </w:p>
        </w:tc>
        <w:tc>
          <w:tcPr>
            <w:tcW w:w="195" w:type="dxa"/>
            <w:tcBorders/>
            <w:shd w:fill="E5E5E5" w:val="clear"/>
            <w:vAlign w:val="bottom"/>
          </w:tcPr>
          <w:p>
            <w:pPr>
              <w:pStyle w:val="TableContents"/>
              <w:spacing w:before="0" w:after="283"/>
              <w:rPr/>
            </w:pPr>
            <w:r>
              <w:rPr/>
              <w:t> </w:t>
            </w:r>
          </w:p>
        </w:tc>
        <w:tc>
          <w:tcPr>
            <w:tcW w:w="1434" w:type="dxa"/>
            <w:tcBorders/>
            <w:shd w:fill="E5E5E5" w:val="clear"/>
            <w:vAlign w:val="bottom"/>
          </w:tcPr>
          <w:p>
            <w:pPr>
              <w:pStyle w:val="TableContents"/>
              <w:spacing w:before="0" w:after="283"/>
              <w:jc w:val="right"/>
              <w:rPr/>
            </w:pPr>
            <w:r>
              <w:rPr/>
              <w:t>37.5</w:t>
            </w:r>
          </w:p>
        </w:tc>
        <w:tc>
          <w:tcPr>
            <w:tcW w:w="702" w:type="dxa"/>
            <w:tcBorders/>
            <w:shd w:fill="E5E5E5" w:val="clear"/>
            <w:vAlign w:val="bottom"/>
          </w:tcPr>
          <w:p>
            <w:pPr>
              <w:pStyle w:val="TableContents"/>
              <w:spacing w:before="0" w:after="283"/>
              <w:rPr/>
            </w:pPr>
            <w:r>
              <w:rPr/>
              <w:t>%</w:t>
            </w:r>
          </w:p>
        </w:tc>
        <w:tc>
          <w:tcPr>
            <w:tcW w:w="146"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150" w:type="dxa"/>
            <w:tcBorders/>
            <w:shd w:fill="E5E5E5" w:val="clear"/>
            <w:vAlign w:val="bottom"/>
          </w:tcPr>
          <w:p>
            <w:pPr>
              <w:pStyle w:val="TableContents"/>
              <w:spacing w:before="0" w:after="283"/>
              <w:jc w:val="right"/>
              <w:rPr/>
            </w:pPr>
            <w:r>
              <w:rPr/>
              <w:t>75</w:t>
            </w:r>
          </w:p>
        </w:tc>
        <w:tc>
          <w:tcPr>
            <w:tcW w:w="653" w:type="dxa"/>
            <w:tcBorders/>
            <w:shd w:fill="E5E5E5" w:val="clear"/>
            <w:vAlign w:val="bottom"/>
          </w:tcPr>
          <w:p>
            <w:pPr>
              <w:pStyle w:val="TableContents"/>
              <w:spacing w:before="0" w:after="283"/>
              <w:rPr/>
            </w:pPr>
            <w:r>
              <w:rPr/>
              <w:t>%</w:t>
            </w:r>
          </w:p>
        </w:tc>
        <w:tc>
          <w:tcPr>
            <w:tcW w:w="146" w:type="dxa"/>
            <w:tcBorders/>
            <w:shd w:fill="E5E5E5" w:val="clear"/>
            <w:vAlign w:val="bottom"/>
          </w:tcPr>
          <w:p>
            <w:pPr>
              <w:pStyle w:val="TableContents"/>
              <w:spacing w:before="0" w:after="283"/>
              <w:rPr/>
            </w:pPr>
            <w:r>
              <w:rPr/>
              <w:t> </w:t>
            </w:r>
          </w:p>
        </w:tc>
        <w:tc>
          <w:tcPr>
            <w:tcW w:w="221" w:type="dxa"/>
            <w:tcBorders/>
            <w:shd w:fill="E5E5E5" w:val="clear"/>
            <w:vAlign w:val="bottom"/>
          </w:tcPr>
          <w:p>
            <w:pPr>
              <w:pStyle w:val="TableContents"/>
              <w:spacing w:before="0" w:after="283"/>
              <w:rPr/>
            </w:pPr>
            <w:r>
              <w:rPr/>
              <w:t> </w:t>
            </w:r>
          </w:p>
        </w:tc>
        <w:tc>
          <w:tcPr>
            <w:tcW w:w="221" w:type="dxa"/>
            <w:tcBorders/>
            <w:shd w:fill="E5E5E5" w:val="clear"/>
            <w:vAlign w:val="bottom"/>
          </w:tcPr>
          <w:p>
            <w:pPr>
              <w:pStyle w:val="TableContents"/>
              <w:spacing w:before="0" w:after="283"/>
              <w:rPr/>
            </w:pPr>
            <w:r>
              <w:rPr/>
              <w:t> </w:t>
            </w:r>
          </w:p>
        </w:tc>
        <w:tc>
          <w:tcPr>
            <w:tcW w:w="1406" w:type="dxa"/>
            <w:tcBorders/>
            <w:shd w:fill="E5E5E5" w:val="clear"/>
            <w:vAlign w:val="bottom"/>
          </w:tcPr>
          <w:p>
            <w:pPr>
              <w:pStyle w:val="TableContents"/>
              <w:spacing w:before="0" w:after="283"/>
              <w:jc w:val="right"/>
              <w:rPr/>
            </w:pPr>
            <w:r>
              <w:rPr/>
              <w:t>150</w:t>
            </w:r>
          </w:p>
        </w:tc>
        <w:tc>
          <w:tcPr>
            <w:tcW w:w="802" w:type="dxa"/>
            <w:tcBorders/>
            <w:shd w:fill="E5E5E5" w:val="clear"/>
            <w:vAlign w:val="bottom"/>
          </w:tcPr>
          <w:p>
            <w:pPr>
              <w:pStyle w:val="TableContents"/>
              <w:spacing w:before="0" w:after="283"/>
              <w:rPr/>
            </w:pPr>
            <w:r>
              <w:rPr/>
              <w:t>%</w:t>
            </w:r>
          </w:p>
        </w:tc>
      </w:tr>
    </w:tbl>
    <w:p>
      <w:pPr>
        <w:pStyle w:val="TextBody"/>
        <w:spacing w:before="120" w:after="0"/>
        <w:jc w:val="left"/>
        <w:rPr>
          <w:rFonts w:ascii="arial" w:hAnsi="arial"/>
          <w:sz w:val="20"/>
        </w:rPr>
      </w:pPr>
      <w:r>
        <w:rPr>
          <w:rFonts w:ascii="arial" w:hAnsi="arial"/>
          <w:sz w:val="20"/>
        </w:rPr>
        <w:t xml:space="preserve">Decisions regarding the threshold, target and maximum incentive percentages were made in consultation with Exequity and after consideration of the NEO Peer Group and survey data mentioned above and the desired TDCO pay mix. In February 2020, the Compensation Committee increased the target annual cash incentive percentage of base salary for Mr. Cywinski from 80% to 85% due to external market competitiveness, and Mr. Adel from 70% to 75% due to the increase in the scope 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30    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his role with the Corporation. The Compensation Committee believes the incentive targets to be generally consistent with incentive opportunities at the NEO Peer Group companies for similarly situated executives. </w:t>
      </w:r>
    </w:p>
    <w:p>
      <w:pPr>
        <w:pStyle w:val="TextBody"/>
        <w:spacing w:before="120" w:after="0"/>
        <w:jc w:val="left"/>
        <w:rPr>
          <w:rFonts w:ascii="arial" w:hAnsi="arial"/>
          <w:sz w:val="20"/>
        </w:rPr>
      </w:pPr>
      <w:r>
        <w:rPr>
          <w:rFonts w:ascii="arial" w:hAnsi="arial"/>
          <w:sz w:val="20"/>
        </w:rPr>
        <w:t xml:space="preserve">The annual cash incentive for the NEOs is based on a combination of the Corporations AEPS, Dine Brands Global, Inc., IHOP, and Applebees Operating Profit, Same Restaurant Sales, Traffic, and Net Development. The Compensation Committee focused the 2020 Annual Incentive Plans metrics entirely on financial and operating performance metrics to drive an emphasis on delivering results and improving performance. In 2020, Net Development was added as a metric for both Mr. Cywinski and Mr. Johns. Overall, the Compensation Committee believes the 2020 annual cash incentive metrics reflected the appropriate balance between profitability (60-80%) and growth (20-40%) at the time the targets were set. The annual cash incentive for each of the NEOs could then be decreased or increased based on the individual performance of each executive. </w:t>
      </w:r>
    </w:p>
    <w:p>
      <w:pPr>
        <w:pStyle w:val="TextBody"/>
        <w:spacing w:before="120" w:after="0"/>
        <w:jc w:val="left"/>
        <w:rPr>
          <w:rFonts w:ascii="arial" w:hAnsi="arial"/>
          <w:sz w:val="20"/>
        </w:rPr>
      </w:pPr>
      <w:r>
        <w:rPr>
          <w:rFonts w:ascii="arial" w:hAnsi="arial"/>
          <w:sz w:val="20"/>
        </w:rPr>
        <w:t xml:space="preserve">The Compensation Committee used AEPS as a primary incentive metric as it represents a broad and commonly used measure of financial performance for the Corporation. The Compensation Committee included Operating Profit as a performance measure because it believes operating profit appropriately incentivizes the business units on items specifically within their control. The Compensation Committee utilized Same Restaurant Sales with a Traffic modifier in order to encourage the brands to drive improved Same Restaurant Sales performance based on guests visiting the restaurants rather than solely by increases to average check. Operating Profit is defined as Segment Profit plus gains on asset dispositions, less Direct G&amp;A and losses on asset dispositions, excluding the impact of extraordinary, unusual, infrequently occurring, non-recurring and unanticipated events. Segment Profit is defined as segment revenues less segment expenses. Direct G&amp;A is defined as general and administrative expenses directly incurred at operating units excluding any allocation of shared service and general corporate overhead. Same Restaurant Sales is a growth performance indicator used by the Corporation and the restaurant industry and provides a measure of the change in restaurant sales by comparing the sales performance of the same restaurants from period to period. Traffic is a growth performance indicator used by the Corporation and the restaurant industry and provides a measure of the change in the number of guests visiting restaurants by comparing the number of guests visiting the same restaurants from period to period. Based on Traffic performance, the Same Restaurant Sales metric is increased or decreased by up to 20% for a given measurement period. Net Domestic Franchise Restaurant Development is a growth performance indicator measuring the number of new restaurants opened during the fiscal year, less any restaurant closings, in the United States (excluding Hawaii). </w:t>
      </w:r>
    </w:p>
    <w:p>
      <w:pPr>
        <w:pStyle w:val="TextBody"/>
        <w:spacing w:before="120" w:after="0"/>
        <w:jc w:val="left"/>
        <w:rPr>
          <w:rFonts w:ascii="arial" w:hAnsi="arial"/>
          <w:sz w:val="20"/>
        </w:rPr>
      </w:pPr>
      <w:r>
        <w:rPr>
          <w:rFonts w:ascii="arial" w:hAnsi="arial"/>
          <w:sz w:val="20"/>
        </w:rPr>
        <w:t xml:space="preserve">All metrics were set after consideration of the business environment at the time the metrics were approved and the Corporations forward-looking strategic plan, in each case before the onset of the COVID-19 pandemic. The Compensation Committee believed at the time that the performance targets were rigorous yet achievable, and established challenging levels such that attainment of the targeted amounts was not assured at the time they were set and would require a high level of effort and execution in order to obtain them. </w:t>
      </w:r>
    </w:p>
    <w:p>
      <w:pPr>
        <w:pStyle w:val="TextBody"/>
        <w:spacing w:before="120" w:after="0"/>
        <w:jc w:val="left"/>
        <w:rPr>
          <w:rFonts w:ascii="arial" w:hAnsi="arial"/>
          <w:sz w:val="20"/>
        </w:rPr>
      </w:pPr>
      <w:r>
        <w:rPr>
          <w:rFonts w:ascii="arial" w:hAnsi="arial"/>
          <w:sz w:val="20"/>
        </w:rPr>
        <w:t xml:space="preserve">Because these targets were set in February 2020, these targets were set prior to the time when the Corporation could have anticipated or known the impact of the impending COVID-19 pandemic. As a result, due in large part to the business and financial disruptions resulting from the COVID-19 pandemic, the performance metrics in the 2020 Annual Incentive Plan were not achieved as AEPS, Operating Profit, Same Restaurant Sales and Net Development all fell below threshold. Accordingly, no payments were made pursuant to the 2020 Annual Incentive Plan </w:t>
      </w:r>
    </w:p>
    <w:p>
      <w:pPr>
        <w:pStyle w:val="TextBody"/>
        <w:spacing w:before="120" w:after="0"/>
        <w:jc w:val="left"/>
        <w:rPr>
          <w:rFonts w:ascii="arial" w:hAnsi="arial"/>
          <w:sz w:val="20"/>
        </w:rPr>
      </w:pPr>
      <w:r>
        <w:rPr>
          <w:rFonts w:ascii="arial" w:hAnsi="arial"/>
          <w:sz w:val="20"/>
        </w:rPr>
        <w:t xml:space="preserve">In acknowledgement of various factors, including, (i) the actions taken to stabilize the business during a time of significant industry disruption from the COVID-19 pandemic, (ii) the Corporations relative financial performance during a period of extreme volatility and disruption, and (iii) the need to ensure that the Corporation retains and motivates key employees to successfully drive its business beyond the pandemic to create additional long-term stockholder value, the Compensation Committee approved discretionary cash awards for all our employees, including discretionary cash payments equal to 50% of the target annual cash incentive for each NEO.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4"/>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31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COMPENSATION</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table below outlines the annual cash incentive metrics and weighting for each of the NEOs as originally designed for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561"/>
        <w:gridCol w:w="403"/>
        <w:gridCol w:w="132"/>
        <w:gridCol w:w="132"/>
        <w:gridCol w:w="572"/>
        <w:gridCol w:w="474"/>
        <w:gridCol w:w="345"/>
        <w:gridCol w:w="198"/>
        <w:gridCol w:w="198"/>
        <w:gridCol w:w="861"/>
        <w:gridCol w:w="714"/>
        <w:gridCol w:w="345"/>
        <w:gridCol w:w="117"/>
        <w:gridCol w:w="118"/>
        <w:gridCol w:w="513"/>
        <w:gridCol w:w="426"/>
        <w:gridCol w:w="345"/>
        <w:gridCol w:w="175"/>
        <w:gridCol w:w="175"/>
        <w:gridCol w:w="762"/>
        <w:gridCol w:w="639"/>
      </w:tblGrid>
      <w:tr>
        <w:trPr/>
        <w:tc>
          <w:tcPr>
            <w:tcW w:w="256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561" w:type="dxa"/>
            <w:tcBorders/>
            <w:shd w:fill="CF0A2C" w:val="clear"/>
            <w:vAlign w:val="center"/>
          </w:tcPr>
          <w:p>
            <w:pPr>
              <w:pStyle w:val="TableContents"/>
              <w:spacing w:before="0" w:after="283"/>
              <w:rPr>
                <w:sz w:val="4"/>
                <w:szCs w:val="4"/>
              </w:rPr>
            </w:pPr>
            <w:r>
              <w:rPr>
                <w:sz w:val="4"/>
                <w:szCs w:val="4"/>
              </w:rPr>
            </w:r>
          </w:p>
        </w:tc>
        <w:tc>
          <w:tcPr>
            <w:tcW w:w="1713" w:type="dxa"/>
            <w:gridSpan w:val="5"/>
            <w:tcBorders/>
            <w:shd w:fill="CF0A2C" w:val="clear"/>
            <w:vAlign w:val="center"/>
          </w:tcPr>
          <w:p>
            <w:pPr>
              <w:pStyle w:val="TableContents"/>
              <w:spacing w:before="0" w:after="283"/>
              <w:rPr>
                <w:sz w:val="4"/>
                <w:szCs w:val="4"/>
              </w:rPr>
            </w:pPr>
            <w:r>
              <w:rPr>
                <w:sz w:val="4"/>
                <w:szCs w:val="4"/>
              </w:rPr>
            </w:r>
          </w:p>
        </w:tc>
        <w:tc>
          <w:tcPr>
            <w:tcW w:w="2316" w:type="dxa"/>
            <w:gridSpan w:val="5"/>
            <w:tcBorders/>
            <w:shd w:fill="CF0A2C" w:val="clear"/>
            <w:vAlign w:val="center"/>
          </w:tcPr>
          <w:p>
            <w:pPr>
              <w:pStyle w:val="TableContents"/>
              <w:spacing w:before="0" w:after="283"/>
              <w:rPr>
                <w:sz w:val="4"/>
                <w:szCs w:val="4"/>
              </w:rPr>
            </w:pPr>
            <w:r>
              <w:rPr>
                <w:sz w:val="4"/>
                <w:szCs w:val="4"/>
              </w:rPr>
            </w:r>
          </w:p>
        </w:tc>
        <w:tc>
          <w:tcPr>
            <w:tcW w:w="1519" w:type="dxa"/>
            <w:gridSpan w:val="5"/>
            <w:tcBorders/>
            <w:shd w:fill="CF0A2C" w:val="clear"/>
            <w:vAlign w:val="center"/>
          </w:tcPr>
          <w:p>
            <w:pPr>
              <w:pStyle w:val="TableContents"/>
              <w:spacing w:before="0" w:after="283"/>
              <w:rPr>
                <w:sz w:val="4"/>
                <w:szCs w:val="4"/>
              </w:rPr>
            </w:pPr>
            <w:r>
              <w:rPr>
                <w:sz w:val="4"/>
                <w:szCs w:val="4"/>
              </w:rPr>
            </w:r>
          </w:p>
        </w:tc>
        <w:tc>
          <w:tcPr>
            <w:tcW w:w="2096" w:type="dxa"/>
            <w:gridSpan w:val="5"/>
            <w:tcBorders/>
            <w:shd w:fill="CF0A2C" w:val="clear"/>
            <w:vAlign w:val="center"/>
          </w:tcPr>
          <w:p>
            <w:pPr>
              <w:pStyle w:val="TableContents"/>
              <w:spacing w:before="0" w:after="283"/>
              <w:rPr>
                <w:sz w:val="4"/>
                <w:szCs w:val="4"/>
              </w:rPr>
            </w:pPr>
            <w:r>
              <w:rPr>
                <w:sz w:val="4"/>
                <w:szCs w:val="4"/>
              </w:rPr>
            </w:r>
          </w:p>
        </w:tc>
      </w:tr>
      <w:tr>
        <w:trPr/>
        <w:tc>
          <w:tcPr>
            <w:tcW w:w="2561"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403" w:type="dxa"/>
            <w:tcBorders/>
            <w:shd w:fill="CF0A2C" w:val="clear"/>
            <w:vAlign w:val="bottom"/>
          </w:tcPr>
          <w:p>
            <w:pPr>
              <w:pStyle w:val="TableContents"/>
              <w:spacing w:before="0" w:after="283"/>
              <w:rPr/>
            </w:pPr>
            <w:r>
              <w:rPr/>
              <w:t>  </w:t>
            </w:r>
          </w:p>
        </w:tc>
        <w:tc>
          <w:tcPr>
            <w:tcW w:w="1310" w:type="dxa"/>
            <w:gridSpan w:val="4"/>
            <w:tcBorders/>
            <w:shd w:fill="CF0A2C" w:val="clear"/>
            <w:vAlign w:val="bottom"/>
          </w:tcPr>
          <w:p>
            <w:pPr>
              <w:pStyle w:val="TableContents"/>
              <w:spacing w:before="0" w:after="283"/>
              <w:jc w:val="center"/>
              <w:rPr>
                <w:b/>
                <w:color w:val="FFFFFF"/>
              </w:rPr>
            </w:pPr>
            <w:r>
              <w:rPr>
                <w:b/>
                <w:color w:val="FFFFFF"/>
              </w:rPr>
              <w:t>Dine Brands</w:t>
              <w:br/>
              <w:t>AEPS</w:t>
            </w:r>
          </w:p>
        </w:tc>
        <w:tc>
          <w:tcPr>
            <w:tcW w:w="345" w:type="dxa"/>
            <w:tcBorders/>
            <w:shd w:fill="CF0A2C" w:val="clear"/>
            <w:vAlign w:val="bottom"/>
          </w:tcPr>
          <w:p>
            <w:pPr>
              <w:pStyle w:val="TableContents"/>
              <w:spacing w:before="0" w:after="283"/>
              <w:rPr/>
            </w:pPr>
            <w:r>
              <w:rPr/>
              <w:t> </w:t>
            </w:r>
          </w:p>
        </w:tc>
        <w:tc>
          <w:tcPr>
            <w:tcW w:w="1971" w:type="dxa"/>
            <w:gridSpan w:val="4"/>
            <w:tcBorders/>
            <w:shd w:fill="CF0A2C" w:val="clear"/>
            <w:vAlign w:val="bottom"/>
          </w:tcPr>
          <w:p>
            <w:pPr>
              <w:pStyle w:val="TableContents"/>
              <w:spacing w:before="0" w:after="283"/>
              <w:jc w:val="center"/>
              <w:rPr>
                <w:b/>
                <w:color w:val="FFFFFF"/>
              </w:rPr>
            </w:pPr>
            <w:r>
              <w:rPr>
                <w:b/>
                <w:color w:val="FFFFFF"/>
              </w:rPr>
              <w:t>Dine Brands/</w:t>
              <w:br/>
              <w:t>IHOP /</w:t>
              <w:br/>
              <w:t>Applebees</w:t>
              <w:br/>
              <w:t>Business Unit</w:t>
              <w:br/>
              <w:t>Operating Profit(1)</w:t>
            </w:r>
          </w:p>
        </w:tc>
        <w:tc>
          <w:tcPr>
            <w:tcW w:w="345" w:type="dxa"/>
            <w:tcBorders/>
            <w:shd w:fill="CF0A2C" w:val="clear"/>
            <w:vAlign w:val="bottom"/>
          </w:tcPr>
          <w:p>
            <w:pPr>
              <w:pStyle w:val="TableContents"/>
              <w:spacing w:before="0" w:after="283"/>
              <w:rPr/>
            </w:pPr>
            <w:r>
              <w:rPr/>
              <w:t> </w:t>
            </w:r>
          </w:p>
        </w:tc>
        <w:tc>
          <w:tcPr>
            <w:tcW w:w="1174" w:type="dxa"/>
            <w:gridSpan w:val="4"/>
            <w:tcBorders/>
            <w:shd w:fill="CF0A2C" w:val="clear"/>
            <w:vAlign w:val="bottom"/>
          </w:tcPr>
          <w:p>
            <w:pPr>
              <w:pStyle w:val="TableContents"/>
              <w:spacing w:before="0" w:after="283"/>
              <w:jc w:val="center"/>
              <w:rPr>
                <w:b/>
                <w:color w:val="FFFFFF"/>
              </w:rPr>
            </w:pPr>
            <w:r>
              <w:rPr>
                <w:b/>
                <w:color w:val="FFFFFF"/>
              </w:rPr>
              <w:t>Same</w:t>
              <w:br/>
              <w:t>Restaurant</w:t>
              <w:br/>
              <w:t>Sales with</w:t>
              <w:br/>
              <w:t>Traffic</w:t>
              <w:br/>
              <w:t>Modifier(2)</w:t>
            </w:r>
          </w:p>
        </w:tc>
        <w:tc>
          <w:tcPr>
            <w:tcW w:w="345" w:type="dxa"/>
            <w:tcBorders/>
            <w:shd w:fill="CF0A2C" w:val="clear"/>
            <w:vAlign w:val="bottom"/>
          </w:tcPr>
          <w:p>
            <w:pPr>
              <w:pStyle w:val="TableContents"/>
              <w:spacing w:before="0" w:after="283"/>
              <w:rPr/>
            </w:pPr>
            <w:r>
              <w:rPr/>
              <w:t> </w:t>
            </w:r>
          </w:p>
        </w:tc>
        <w:tc>
          <w:tcPr>
            <w:tcW w:w="1751" w:type="dxa"/>
            <w:gridSpan w:val="4"/>
            <w:tcBorders/>
            <w:shd w:fill="CF0A2C" w:val="clear"/>
            <w:vAlign w:val="bottom"/>
          </w:tcPr>
          <w:p>
            <w:pPr>
              <w:pStyle w:val="TableContents"/>
              <w:spacing w:before="0" w:after="283"/>
              <w:jc w:val="center"/>
              <w:rPr>
                <w:b/>
                <w:color w:val="FFFFFF"/>
              </w:rPr>
            </w:pPr>
            <w:r>
              <w:rPr>
                <w:b/>
                <w:color w:val="FFFFFF"/>
              </w:rPr>
              <w:t>Net Franchise</w:t>
              <w:br/>
              <w:t>Restaurant</w:t>
              <w:br/>
              <w:t>Development(3)  </w:t>
            </w:r>
          </w:p>
        </w:tc>
      </w:tr>
      <w:tr>
        <w:trPr>
          <w:trHeight w:val="75" w:hRule="atLeast"/>
        </w:trPr>
        <w:tc>
          <w:tcPr>
            <w:tcW w:w="2561" w:type="dxa"/>
            <w:tcBorders/>
            <w:shd w:fill="E5E5E5" w:val="clear"/>
            <w:vAlign w:val="center"/>
          </w:tcPr>
          <w:p>
            <w:pPr>
              <w:pStyle w:val="TableContents"/>
              <w:spacing w:before="0" w:after="283"/>
              <w:rPr>
                <w:sz w:val="4"/>
                <w:szCs w:val="4"/>
              </w:rPr>
            </w:pPr>
            <w:r>
              <w:rPr>
                <w:sz w:val="4"/>
                <w:szCs w:val="4"/>
              </w:rPr>
            </w:r>
          </w:p>
        </w:tc>
        <w:tc>
          <w:tcPr>
            <w:tcW w:w="1713" w:type="dxa"/>
            <w:gridSpan w:val="5"/>
            <w:tcBorders/>
            <w:shd w:fill="E5E5E5" w:val="clear"/>
            <w:vAlign w:val="center"/>
          </w:tcPr>
          <w:p>
            <w:pPr>
              <w:pStyle w:val="TableContents"/>
              <w:spacing w:before="0" w:after="283"/>
              <w:rPr>
                <w:sz w:val="4"/>
                <w:szCs w:val="4"/>
              </w:rPr>
            </w:pPr>
            <w:r>
              <w:rPr>
                <w:sz w:val="4"/>
                <w:szCs w:val="4"/>
              </w:rPr>
            </w:r>
          </w:p>
        </w:tc>
        <w:tc>
          <w:tcPr>
            <w:tcW w:w="2316" w:type="dxa"/>
            <w:gridSpan w:val="5"/>
            <w:tcBorders/>
            <w:shd w:fill="E5E5E5" w:val="clear"/>
            <w:vAlign w:val="center"/>
          </w:tcPr>
          <w:p>
            <w:pPr>
              <w:pStyle w:val="TableContents"/>
              <w:spacing w:before="0" w:after="283"/>
              <w:rPr>
                <w:sz w:val="4"/>
                <w:szCs w:val="4"/>
              </w:rPr>
            </w:pPr>
            <w:r>
              <w:rPr>
                <w:sz w:val="4"/>
                <w:szCs w:val="4"/>
              </w:rPr>
            </w:r>
          </w:p>
        </w:tc>
        <w:tc>
          <w:tcPr>
            <w:tcW w:w="1519" w:type="dxa"/>
            <w:gridSpan w:val="5"/>
            <w:tcBorders/>
            <w:shd w:fill="E5E5E5" w:val="clear"/>
            <w:vAlign w:val="center"/>
          </w:tcPr>
          <w:p>
            <w:pPr>
              <w:pStyle w:val="TableContents"/>
              <w:spacing w:before="0" w:after="283"/>
              <w:rPr>
                <w:sz w:val="4"/>
                <w:szCs w:val="4"/>
              </w:rPr>
            </w:pPr>
            <w:r>
              <w:rPr>
                <w:sz w:val="4"/>
                <w:szCs w:val="4"/>
              </w:rPr>
            </w:r>
          </w:p>
        </w:tc>
        <w:tc>
          <w:tcPr>
            <w:tcW w:w="2096" w:type="dxa"/>
            <w:gridSpan w:val="5"/>
            <w:tcBorders/>
            <w:shd w:fill="E5E5E5" w:val="clear"/>
            <w:vAlign w:val="center"/>
          </w:tcPr>
          <w:p>
            <w:pPr>
              <w:pStyle w:val="TableContents"/>
              <w:spacing w:before="0" w:after="283"/>
              <w:rPr>
                <w:sz w:val="4"/>
                <w:szCs w:val="4"/>
              </w:rPr>
            </w:pPr>
            <w:r>
              <w:rPr>
                <w:sz w:val="4"/>
                <w:szCs w:val="4"/>
              </w:rPr>
            </w:r>
          </w:p>
        </w:tc>
      </w:tr>
      <w:tr>
        <w:trPr/>
        <w:tc>
          <w:tcPr>
            <w:tcW w:w="2561" w:type="dxa"/>
            <w:tcBorders/>
            <w:shd w:fill="E5E5E5" w:val="clear"/>
          </w:tcPr>
          <w:p>
            <w:pPr>
              <w:pStyle w:val="TableContents"/>
              <w:spacing w:before="0" w:after="0"/>
              <w:rPr>
                <w:rFonts w:ascii="arial" w:hAnsi="arial"/>
                <w:sz w:val="20"/>
              </w:rPr>
            </w:pPr>
            <w:r>
              <w:rPr>
                <w:rFonts w:ascii="arial" w:hAnsi="arial"/>
                <w:sz w:val="20"/>
              </w:rPr>
              <w:t>Stephen P. Joyce</w:t>
            </w:r>
          </w:p>
        </w:tc>
        <w:tc>
          <w:tcPr>
            <w:tcW w:w="403"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572" w:type="dxa"/>
            <w:tcBorders/>
            <w:shd w:fill="E5E5E5" w:val="clear"/>
            <w:vAlign w:val="bottom"/>
          </w:tcPr>
          <w:p>
            <w:pPr>
              <w:pStyle w:val="TableContents"/>
              <w:spacing w:before="0" w:after="283"/>
              <w:jc w:val="right"/>
              <w:rPr/>
            </w:pPr>
            <w:r>
              <w:rPr/>
              <w:t>50</w:t>
            </w:r>
          </w:p>
        </w:tc>
        <w:tc>
          <w:tcPr>
            <w:tcW w:w="474"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98" w:type="dxa"/>
            <w:tcBorders/>
            <w:shd w:fill="E5E5E5" w:val="clear"/>
            <w:vAlign w:val="bottom"/>
          </w:tcPr>
          <w:p>
            <w:pPr>
              <w:pStyle w:val="TableContents"/>
              <w:spacing w:before="0" w:after="283"/>
              <w:rPr/>
            </w:pPr>
            <w:r>
              <w:rPr/>
              <w:t> </w:t>
            </w:r>
          </w:p>
        </w:tc>
        <w:tc>
          <w:tcPr>
            <w:tcW w:w="198" w:type="dxa"/>
            <w:tcBorders/>
            <w:shd w:fill="E5E5E5" w:val="clear"/>
            <w:vAlign w:val="bottom"/>
          </w:tcPr>
          <w:p>
            <w:pPr>
              <w:pStyle w:val="TableContents"/>
              <w:spacing w:before="0" w:after="283"/>
              <w:rPr/>
            </w:pPr>
            <w:r>
              <w:rPr/>
              <w:t> </w:t>
            </w:r>
          </w:p>
        </w:tc>
        <w:tc>
          <w:tcPr>
            <w:tcW w:w="861" w:type="dxa"/>
            <w:tcBorders/>
            <w:shd w:fill="E5E5E5" w:val="clear"/>
            <w:vAlign w:val="bottom"/>
          </w:tcPr>
          <w:p>
            <w:pPr>
              <w:pStyle w:val="TableContents"/>
              <w:spacing w:before="0" w:after="283"/>
              <w:jc w:val="right"/>
              <w:rPr/>
            </w:pPr>
            <w:r>
              <w:rPr/>
              <w:t>30</w:t>
            </w:r>
          </w:p>
        </w:tc>
        <w:tc>
          <w:tcPr>
            <w:tcW w:w="714"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118" w:type="dxa"/>
            <w:tcBorders/>
            <w:shd w:fill="E5E5E5" w:val="clear"/>
            <w:vAlign w:val="bottom"/>
          </w:tcPr>
          <w:p>
            <w:pPr>
              <w:pStyle w:val="TableContents"/>
              <w:spacing w:before="0" w:after="283"/>
              <w:rPr/>
            </w:pPr>
            <w:r>
              <w:rPr/>
              <w:t> </w:t>
            </w:r>
          </w:p>
        </w:tc>
        <w:tc>
          <w:tcPr>
            <w:tcW w:w="513" w:type="dxa"/>
            <w:tcBorders/>
            <w:shd w:fill="E5E5E5" w:val="clear"/>
            <w:vAlign w:val="bottom"/>
          </w:tcPr>
          <w:p>
            <w:pPr>
              <w:pStyle w:val="TableContents"/>
              <w:spacing w:before="0" w:after="283"/>
              <w:jc w:val="right"/>
              <w:rPr/>
            </w:pPr>
            <w:r>
              <w:rPr/>
              <w:t>20</w:t>
            </w:r>
          </w:p>
        </w:tc>
        <w:tc>
          <w:tcPr>
            <w:tcW w:w="426"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75" w:type="dxa"/>
            <w:tcBorders/>
            <w:shd w:fill="E5E5E5" w:val="clear"/>
            <w:vAlign w:val="bottom"/>
          </w:tcPr>
          <w:p>
            <w:pPr>
              <w:pStyle w:val="TableContents"/>
              <w:spacing w:before="0" w:after="283"/>
              <w:rPr/>
            </w:pPr>
            <w:r>
              <w:rPr/>
              <w:t> </w:t>
            </w:r>
          </w:p>
        </w:tc>
        <w:tc>
          <w:tcPr>
            <w:tcW w:w="175" w:type="dxa"/>
            <w:tcBorders/>
            <w:shd w:fill="E5E5E5" w:val="clear"/>
            <w:vAlign w:val="bottom"/>
          </w:tcPr>
          <w:p>
            <w:pPr>
              <w:pStyle w:val="TableContents"/>
              <w:spacing w:before="0" w:after="283"/>
              <w:rPr>
                <w:sz w:val="4"/>
                <w:szCs w:val="4"/>
              </w:rPr>
            </w:pPr>
            <w:r>
              <w:rPr>
                <w:sz w:val="4"/>
                <w:szCs w:val="4"/>
              </w:rPr>
            </w:r>
          </w:p>
        </w:tc>
        <w:tc>
          <w:tcPr>
            <w:tcW w:w="762" w:type="dxa"/>
            <w:tcBorders/>
            <w:shd w:fill="E5E5E5" w:val="clear"/>
            <w:vAlign w:val="bottom"/>
          </w:tcPr>
          <w:p>
            <w:pPr>
              <w:pStyle w:val="TableContents"/>
              <w:spacing w:before="0" w:after="283"/>
              <w:rPr>
                <w:sz w:val="4"/>
                <w:szCs w:val="4"/>
              </w:rPr>
            </w:pPr>
            <w:r>
              <w:rPr>
                <w:sz w:val="4"/>
                <w:szCs w:val="4"/>
              </w:rPr>
            </w:r>
          </w:p>
        </w:tc>
        <w:tc>
          <w:tcPr>
            <w:tcW w:w="639"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2561" w:type="dxa"/>
            <w:tcBorders/>
            <w:shd w:fill="auto" w:val="clear"/>
            <w:vAlign w:val="center"/>
          </w:tcPr>
          <w:p>
            <w:pPr>
              <w:pStyle w:val="TableContents"/>
              <w:spacing w:before="0" w:after="283"/>
              <w:rPr>
                <w:sz w:val="4"/>
                <w:szCs w:val="4"/>
              </w:rPr>
            </w:pPr>
            <w:r>
              <w:rPr>
                <w:sz w:val="4"/>
                <w:szCs w:val="4"/>
              </w:rPr>
            </w:r>
          </w:p>
        </w:tc>
        <w:tc>
          <w:tcPr>
            <w:tcW w:w="1713" w:type="dxa"/>
            <w:gridSpan w:val="5"/>
            <w:tcBorders/>
            <w:shd w:fill="auto" w:val="clear"/>
            <w:vAlign w:val="center"/>
          </w:tcPr>
          <w:p>
            <w:pPr>
              <w:pStyle w:val="TableContents"/>
              <w:spacing w:before="0" w:after="283"/>
              <w:rPr>
                <w:sz w:val="4"/>
                <w:szCs w:val="4"/>
              </w:rPr>
            </w:pPr>
            <w:r>
              <w:rPr>
                <w:sz w:val="4"/>
                <w:szCs w:val="4"/>
              </w:rPr>
            </w:r>
          </w:p>
        </w:tc>
        <w:tc>
          <w:tcPr>
            <w:tcW w:w="2316" w:type="dxa"/>
            <w:gridSpan w:val="5"/>
            <w:tcBorders/>
            <w:shd w:fill="auto" w:val="clear"/>
            <w:vAlign w:val="center"/>
          </w:tcPr>
          <w:p>
            <w:pPr>
              <w:pStyle w:val="TableContents"/>
              <w:spacing w:before="0" w:after="283"/>
              <w:rPr>
                <w:sz w:val="4"/>
                <w:szCs w:val="4"/>
              </w:rPr>
            </w:pPr>
            <w:r>
              <w:rPr>
                <w:sz w:val="4"/>
                <w:szCs w:val="4"/>
              </w:rPr>
            </w:r>
          </w:p>
        </w:tc>
        <w:tc>
          <w:tcPr>
            <w:tcW w:w="1519" w:type="dxa"/>
            <w:gridSpan w:val="5"/>
            <w:tcBorders/>
            <w:shd w:fill="auto" w:val="clear"/>
            <w:vAlign w:val="center"/>
          </w:tcPr>
          <w:p>
            <w:pPr>
              <w:pStyle w:val="TableContents"/>
              <w:spacing w:before="0" w:after="283"/>
              <w:rPr>
                <w:sz w:val="4"/>
                <w:szCs w:val="4"/>
              </w:rPr>
            </w:pPr>
            <w:r>
              <w:rPr>
                <w:sz w:val="4"/>
                <w:szCs w:val="4"/>
              </w:rPr>
            </w:r>
          </w:p>
        </w:tc>
        <w:tc>
          <w:tcPr>
            <w:tcW w:w="2096" w:type="dxa"/>
            <w:gridSpan w:val="5"/>
            <w:tcBorders/>
            <w:shd w:fill="auto" w:val="clear"/>
            <w:vAlign w:val="center"/>
          </w:tcPr>
          <w:p>
            <w:pPr>
              <w:pStyle w:val="TableContents"/>
              <w:spacing w:before="0" w:after="283"/>
              <w:rPr>
                <w:sz w:val="4"/>
                <w:szCs w:val="4"/>
              </w:rPr>
            </w:pPr>
            <w:r>
              <w:rPr>
                <w:sz w:val="4"/>
                <w:szCs w:val="4"/>
              </w:rPr>
            </w:r>
          </w:p>
        </w:tc>
      </w:tr>
      <w:tr>
        <w:trPr/>
        <w:tc>
          <w:tcPr>
            <w:tcW w:w="2561" w:type="dxa"/>
            <w:tcBorders/>
            <w:shd w:fill="auto" w:val="clear"/>
          </w:tcPr>
          <w:p>
            <w:pPr>
              <w:pStyle w:val="TableContents"/>
              <w:spacing w:before="0" w:after="0"/>
              <w:rPr>
                <w:rFonts w:ascii="arial" w:hAnsi="arial"/>
                <w:sz w:val="20"/>
              </w:rPr>
            </w:pPr>
            <w:r>
              <w:rPr>
                <w:rFonts w:ascii="arial" w:hAnsi="arial"/>
                <w:sz w:val="20"/>
              </w:rPr>
              <w:t>Thomas H. Song</w:t>
            </w:r>
          </w:p>
        </w:tc>
        <w:tc>
          <w:tcPr>
            <w:tcW w:w="40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50</w:t>
            </w:r>
          </w:p>
        </w:tc>
        <w:tc>
          <w:tcPr>
            <w:tcW w:w="474"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30</w:t>
            </w:r>
          </w:p>
        </w:tc>
        <w:tc>
          <w:tcPr>
            <w:tcW w:w="714"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jc w:val="right"/>
              <w:rPr/>
            </w:pPr>
            <w:r>
              <w:rPr/>
              <w:t>20</w:t>
            </w:r>
          </w:p>
        </w:tc>
        <w:tc>
          <w:tcPr>
            <w:tcW w:w="426"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639"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561" w:type="dxa"/>
            <w:tcBorders/>
            <w:shd w:fill="E5E5E5" w:val="clear"/>
            <w:vAlign w:val="center"/>
          </w:tcPr>
          <w:p>
            <w:pPr>
              <w:pStyle w:val="TableContents"/>
              <w:spacing w:before="0" w:after="283"/>
              <w:rPr>
                <w:sz w:val="4"/>
                <w:szCs w:val="4"/>
              </w:rPr>
            </w:pPr>
            <w:r>
              <w:rPr>
                <w:sz w:val="4"/>
                <w:szCs w:val="4"/>
              </w:rPr>
            </w:r>
          </w:p>
        </w:tc>
        <w:tc>
          <w:tcPr>
            <w:tcW w:w="1713" w:type="dxa"/>
            <w:gridSpan w:val="5"/>
            <w:tcBorders/>
            <w:shd w:fill="E5E5E5" w:val="clear"/>
            <w:vAlign w:val="center"/>
          </w:tcPr>
          <w:p>
            <w:pPr>
              <w:pStyle w:val="TableContents"/>
              <w:spacing w:before="0" w:after="283"/>
              <w:rPr>
                <w:sz w:val="4"/>
                <w:szCs w:val="4"/>
              </w:rPr>
            </w:pPr>
            <w:r>
              <w:rPr>
                <w:sz w:val="4"/>
                <w:szCs w:val="4"/>
              </w:rPr>
            </w:r>
          </w:p>
        </w:tc>
        <w:tc>
          <w:tcPr>
            <w:tcW w:w="2316" w:type="dxa"/>
            <w:gridSpan w:val="5"/>
            <w:tcBorders/>
            <w:shd w:fill="E5E5E5" w:val="clear"/>
            <w:vAlign w:val="center"/>
          </w:tcPr>
          <w:p>
            <w:pPr>
              <w:pStyle w:val="TableContents"/>
              <w:spacing w:before="0" w:after="283"/>
              <w:rPr>
                <w:sz w:val="4"/>
                <w:szCs w:val="4"/>
              </w:rPr>
            </w:pPr>
            <w:r>
              <w:rPr>
                <w:sz w:val="4"/>
                <w:szCs w:val="4"/>
              </w:rPr>
            </w:r>
          </w:p>
        </w:tc>
        <w:tc>
          <w:tcPr>
            <w:tcW w:w="1519" w:type="dxa"/>
            <w:gridSpan w:val="5"/>
            <w:tcBorders/>
            <w:shd w:fill="E5E5E5" w:val="clear"/>
            <w:vAlign w:val="center"/>
          </w:tcPr>
          <w:p>
            <w:pPr>
              <w:pStyle w:val="TableContents"/>
              <w:spacing w:before="0" w:after="283"/>
              <w:rPr>
                <w:sz w:val="4"/>
                <w:szCs w:val="4"/>
              </w:rPr>
            </w:pPr>
            <w:r>
              <w:rPr>
                <w:sz w:val="4"/>
                <w:szCs w:val="4"/>
              </w:rPr>
            </w:r>
          </w:p>
        </w:tc>
        <w:tc>
          <w:tcPr>
            <w:tcW w:w="2096" w:type="dxa"/>
            <w:gridSpan w:val="5"/>
            <w:tcBorders/>
            <w:shd w:fill="E5E5E5" w:val="clear"/>
            <w:vAlign w:val="center"/>
          </w:tcPr>
          <w:p>
            <w:pPr>
              <w:pStyle w:val="TableContents"/>
              <w:spacing w:before="0" w:after="283"/>
              <w:rPr>
                <w:sz w:val="4"/>
                <w:szCs w:val="4"/>
              </w:rPr>
            </w:pPr>
            <w:r>
              <w:rPr>
                <w:sz w:val="4"/>
                <w:szCs w:val="4"/>
              </w:rPr>
            </w:r>
          </w:p>
        </w:tc>
      </w:tr>
      <w:tr>
        <w:trPr/>
        <w:tc>
          <w:tcPr>
            <w:tcW w:w="2561" w:type="dxa"/>
            <w:tcBorders/>
            <w:shd w:fill="E5E5E5" w:val="clear"/>
          </w:tcPr>
          <w:p>
            <w:pPr>
              <w:pStyle w:val="TableContents"/>
              <w:spacing w:before="0" w:after="0"/>
              <w:rPr>
                <w:rFonts w:ascii="arial" w:hAnsi="arial"/>
                <w:sz w:val="20"/>
              </w:rPr>
            </w:pPr>
            <w:r>
              <w:rPr>
                <w:rFonts w:ascii="arial" w:hAnsi="arial"/>
                <w:sz w:val="20"/>
              </w:rPr>
              <w:t>John C. Cywinski</w:t>
            </w:r>
          </w:p>
        </w:tc>
        <w:tc>
          <w:tcPr>
            <w:tcW w:w="403"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572" w:type="dxa"/>
            <w:tcBorders/>
            <w:shd w:fill="E5E5E5" w:val="clear"/>
            <w:vAlign w:val="bottom"/>
          </w:tcPr>
          <w:p>
            <w:pPr>
              <w:pStyle w:val="TableContents"/>
              <w:spacing w:before="0" w:after="283"/>
              <w:jc w:val="right"/>
              <w:rPr/>
            </w:pPr>
            <w:r>
              <w:rPr/>
              <w:t>40</w:t>
            </w:r>
          </w:p>
        </w:tc>
        <w:tc>
          <w:tcPr>
            <w:tcW w:w="474"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98" w:type="dxa"/>
            <w:tcBorders/>
            <w:shd w:fill="E5E5E5" w:val="clear"/>
            <w:vAlign w:val="bottom"/>
          </w:tcPr>
          <w:p>
            <w:pPr>
              <w:pStyle w:val="TableContents"/>
              <w:spacing w:before="0" w:after="283"/>
              <w:rPr/>
            </w:pPr>
            <w:r>
              <w:rPr/>
              <w:t> </w:t>
            </w:r>
          </w:p>
        </w:tc>
        <w:tc>
          <w:tcPr>
            <w:tcW w:w="198" w:type="dxa"/>
            <w:tcBorders/>
            <w:shd w:fill="E5E5E5" w:val="clear"/>
            <w:vAlign w:val="bottom"/>
          </w:tcPr>
          <w:p>
            <w:pPr>
              <w:pStyle w:val="TableContents"/>
              <w:spacing w:before="0" w:after="283"/>
              <w:rPr/>
            </w:pPr>
            <w:r>
              <w:rPr/>
              <w:t> </w:t>
            </w:r>
          </w:p>
        </w:tc>
        <w:tc>
          <w:tcPr>
            <w:tcW w:w="861" w:type="dxa"/>
            <w:tcBorders/>
            <w:shd w:fill="E5E5E5" w:val="clear"/>
            <w:vAlign w:val="bottom"/>
          </w:tcPr>
          <w:p>
            <w:pPr>
              <w:pStyle w:val="TableContents"/>
              <w:spacing w:before="0" w:after="283"/>
              <w:jc w:val="right"/>
              <w:rPr/>
            </w:pPr>
            <w:r>
              <w:rPr/>
              <w:t>20</w:t>
            </w:r>
          </w:p>
        </w:tc>
        <w:tc>
          <w:tcPr>
            <w:tcW w:w="714"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118" w:type="dxa"/>
            <w:tcBorders/>
            <w:shd w:fill="E5E5E5" w:val="clear"/>
            <w:vAlign w:val="bottom"/>
          </w:tcPr>
          <w:p>
            <w:pPr>
              <w:pStyle w:val="TableContents"/>
              <w:spacing w:before="0" w:after="283"/>
              <w:rPr/>
            </w:pPr>
            <w:r>
              <w:rPr/>
              <w:t> </w:t>
            </w:r>
          </w:p>
        </w:tc>
        <w:tc>
          <w:tcPr>
            <w:tcW w:w="513" w:type="dxa"/>
            <w:tcBorders/>
            <w:shd w:fill="E5E5E5" w:val="clear"/>
            <w:vAlign w:val="bottom"/>
          </w:tcPr>
          <w:p>
            <w:pPr>
              <w:pStyle w:val="TableContents"/>
              <w:spacing w:before="0" w:after="283"/>
              <w:jc w:val="right"/>
              <w:rPr/>
            </w:pPr>
            <w:r>
              <w:rPr/>
              <w:t>20</w:t>
            </w:r>
          </w:p>
        </w:tc>
        <w:tc>
          <w:tcPr>
            <w:tcW w:w="426"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75" w:type="dxa"/>
            <w:tcBorders/>
            <w:shd w:fill="E5E5E5" w:val="clear"/>
            <w:vAlign w:val="bottom"/>
          </w:tcPr>
          <w:p>
            <w:pPr>
              <w:pStyle w:val="TableContents"/>
              <w:spacing w:before="0" w:after="283"/>
              <w:rPr/>
            </w:pPr>
            <w:r>
              <w:rPr/>
              <w:t> </w:t>
            </w:r>
          </w:p>
        </w:tc>
        <w:tc>
          <w:tcPr>
            <w:tcW w:w="175" w:type="dxa"/>
            <w:tcBorders/>
            <w:shd w:fill="E5E5E5" w:val="clear"/>
            <w:vAlign w:val="bottom"/>
          </w:tcPr>
          <w:p>
            <w:pPr>
              <w:pStyle w:val="TableContents"/>
              <w:spacing w:before="0" w:after="283"/>
              <w:rPr/>
            </w:pPr>
            <w:r>
              <w:rPr/>
              <w:t> </w:t>
            </w:r>
          </w:p>
        </w:tc>
        <w:tc>
          <w:tcPr>
            <w:tcW w:w="762" w:type="dxa"/>
            <w:tcBorders/>
            <w:shd w:fill="E5E5E5" w:val="clear"/>
            <w:vAlign w:val="bottom"/>
          </w:tcPr>
          <w:p>
            <w:pPr>
              <w:pStyle w:val="TableContents"/>
              <w:spacing w:before="0" w:after="283"/>
              <w:jc w:val="right"/>
              <w:rPr/>
            </w:pPr>
            <w:r>
              <w:rPr/>
              <w:t>20</w:t>
            </w:r>
          </w:p>
        </w:tc>
        <w:tc>
          <w:tcPr>
            <w:tcW w:w="639" w:type="dxa"/>
            <w:tcBorders/>
            <w:shd w:fill="E5E5E5" w:val="clear"/>
            <w:vAlign w:val="bottom"/>
          </w:tcPr>
          <w:p>
            <w:pPr>
              <w:pStyle w:val="TableContents"/>
              <w:spacing w:before="0" w:after="283"/>
              <w:rPr/>
            </w:pPr>
            <w:r>
              <w:rPr/>
              <w:t>%</w:t>
            </w:r>
          </w:p>
        </w:tc>
      </w:tr>
      <w:tr>
        <w:trPr>
          <w:trHeight w:val="75" w:hRule="atLeast"/>
        </w:trPr>
        <w:tc>
          <w:tcPr>
            <w:tcW w:w="2561" w:type="dxa"/>
            <w:tcBorders/>
            <w:shd w:fill="auto" w:val="clear"/>
            <w:vAlign w:val="center"/>
          </w:tcPr>
          <w:p>
            <w:pPr>
              <w:pStyle w:val="TableContents"/>
              <w:spacing w:before="0" w:after="283"/>
              <w:rPr>
                <w:sz w:val="4"/>
                <w:szCs w:val="4"/>
              </w:rPr>
            </w:pPr>
            <w:r>
              <w:rPr>
                <w:sz w:val="4"/>
                <w:szCs w:val="4"/>
              </w:rPr>
            </w:r>
          </w:p>
        </w:tc>
        <w:tc>
          <w:tcPr>
            <w:tcW w:w="1713" w:type="dxa"/>
            <w:gridSpan w:val="5"/>
            <w:tcBorders/>
            <w:shd w:fill="auto" w:val="clear"/>
            <w:vAlign w:val="center"/>
          </w:tcPr>
          <w:p>
            <w:pPr>
              <w:pStyle w:val="TableContents"/>
              <w:spacing w:before="0" w:after="283"/>
              <w:rPr>
                <w:sz w:val="4"/>
                <w:szCs w:val="4"/>
              </w:rPr>
            </w:pPr>
            <w:r>
              <w:rPr>
                <w:sz w:val="4"/>
                <w:szCs w:val="4"/>
              </w:rPr>
            </w:r>
          </w:p>
        </w:tc>
        <w:tc>
          <w:tcPr>
            <w:tcW w:w="2316" w:type="dxa"/>
            <w:gridSpan w:val="5"/>
            <w:tcBorders/>
            <w:shd w:fill="auto" w:val="clear"/>
            <w:vAlign w:val="center"/>
          </w:tcPr>
          <w:p>
            <w:pPr>
              <w:pStyle w:val="TableContents"/>
              <w:spacing w:before="0" w:after="283"/>
              <w:rPr>
                <w:sz w:val="4"/>
                <w:szCs w:val="4"/>
              </w:rPr>
            </w:pPr>
            <w:r>
              <w:rPr>
                <w:sz w:val="4"/>
                <w:szCs w:val="4"/>
              </w:rPr>
            </w:r>
          </w:p>
        </w:tc>
        <w:tc>
          <w:tcPr>
            <w:tcW w:w="1519" w:type="dxa"/>
            <w:gridSpan w:val="5"/>
            <w:tcBorders/>
            <w:shd w:fill="auto" w:val="clear"/>
            <w:vAlign w:val="center"/>
          </w:tcPr>
          <w:p>
            <w:pPr>
              <w:pStyle w:val="TableContents"/>
              <w:spacing w:before="0" w:after="283"/>
              <w:rPr>
                <w:sz w:val="4"/>
                <w:szCs w:val="4"/>
              </w:rPr>
            </w:pPr>
            <w:r>
              <w:rPr>
                <w:sz w:val="4"/>
                <w:szCs w:val="4"/>
              </w:rPr>
            </w:r>
          </w:p>
        </w:tc>
        <w:tc>
          <w:tcPr>
            <w:tcW w:w="2096" w:type="dxa"/>
            <w:gridSpan w:val="5"/>
            <w:tcBorders/>
            <w:shd w:fill="auto" w:val="clear"/>
            <w:vAlign w:val="center"/>
          </w:tcPr>
          <w:p>
            <w:pPr>
              <w:pStyle w:val="TableContents"/>
              <w:spacing w:before="0" w:after="283"/>
              <w:rPr>
                <w:sz w:val="4"/>
                <w:szCs w:val="4"/>
              </w:rPr>
            </w:pPr>
            <w:r>
              <w:rPr>
                <w:sz w:val="4"/>
                <w:szCs w:val="4"/>
              </w:rPr>
            </w:r>
          </w:p>
        </w:tc>
      </w:tr>
      <w:tr>
        <w:trPr/>
        <w:tc>
          <w:tcPr>
            <w:tcW w:w="2561" w:type="dxa"/>
            <w:tcBorders/>
            <w:shd w:fill="auto" w:val="clear"/>
          </w:tcPr>
          <w:p>
            <w:pPr>
              <w:pStyle w:val="TableContents"/>
              <w:spacing w:before="0" w:after="0"/>
              <w:rPr>
                <w:rFonts w:ascii="arial" w:hAnsi="arial"/>
                <w:sz w:val="20"/>
              </w:rPr>
            </w:pPr>
            <w:r>
              <w:rPr>
                <w:rFonts w:ascii="arial" w:hAnsi="arial"/>
                <w:sz w:val="20"/>
              </w:rPr>
              <w:t>Jay D. Johns</w:t>
            </w:r>
          </w:p>
        </w:tc>
        <w:tc>
          <w:tcPr>
            <w:tcW w:w="40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40</w:t>
            </w:r>
          </w:p>
        </w:tc>
        <w:tc>
          <w:tcPr>
            <w:tcW w:w="474"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20</w:t>
            </w:r>
          </w:p>
        </w:tc>
        <w:tc>
          <w:tcPr>
            <w:tcW w:w="714"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jc w:val="right"/>
              <w:rPr/>
            </w:pPr>
            <w:r>
              <w:rPr/>
              <w:t>20</w:t>
            </w:r>
          </w:p>
        </w:tc>
        <w:tc>
          <w:tcPr>
            <w:tcW w:w="426"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20</w:t>
            </w:r>
          </w:p>
        </w:tc>
        <w:tc>
          <w:tcPr>
            <w:tcW w:w="639" w:type="dxa"/>
            <w:tcBorders/>
            <w:shd w:fill="auto" w:val="clear"/>
            <w:vAlign w:val="bottom"/>
          </w:tcPr>
          <w:p>
            <w:pPr>
              <w:pStyle w:val="TableContents"/>
              <w:spacing w:before="0" w:after="283"/>
              <w:rPr/>
            </w:pPr>
            <w:r>
              <w:rPr/>
              <w:t>%</w:t>
            </w:r>
          </w:p>
        </w:tc>
      </w:tr>
      <w:tr>
        <w:trPr>
          <w:trHeight w:val="75" w:hRule="atLeast"/>
        </w:trPr>
        <w:tc>
          <w:tcPr>
            <w:tcW w:w="2561" w:type="dxa"/>
            <w:tcBorders/>
            <w:shd w:fill="E5E5E5" w:val="clear"/>
            <w:vAlign w:val="center"/>
          </w:tcPr>
          <w:p>
            <w:pPr>
              <w:pStyle w:val="TableContents"/>
              <w:spacing w:before="0" w:after="283"/>
              <w:rPr>
                <w:sz w:val="4"/>
                <w:szCs w:val="4"/>
              </w:rPr>
            </w:pPr>
            <w:r>
              <w:rPr>
                <w:sz w:val="4"/>
                <w:szCs w:val="4"/>
              </w:rPr>
            </w:r>
          </w:p>
        </w:tc>
        <w:tc>
          <w:tcPr>
            <w:tcW w:w="1713" w:type="dxa"/>
            <w:gridSpan w:val="5"/>
            <w:tcBorders/>
            <w:shd w:fill="E5E5E5" w:val="clear"/>
            <w:vAlign w:val="center"/>
          </w:tcPr>
          <w:p>
            <w:pPr>
              <w:pStyle w:val="TableContents"/>
              <w:spacing w:before="0" w:after="283"/>
              <w:rPr>
                <w:sz w:val="4"/>
                <w:szCs w:val="4"/>
              </w:rPr>
            </w:pPr>
            <w:r>
              <w:rPr>
                <w:sz w:val="4"/>
                <w:szCs w:val="4"/>
              </w:rPr>
            </w:r>
          </w:p>
        </w:tc>
        <w:tc>
          <w:tcPr>
            <w:tcW w:w="2316" w:type="dxa"/>
            <w:gridSpan w:val="5"/>
            <w:tcBorders/>
            <w:shd w:fill="E5E5E5" w:val="clear"/>
            <w:vAlign w:val="center"/>
          </w:tcPr>
          <w:p>
            <w:pPr>
              <w:pStyle w:val="TableContents"/>
              <w:spacing w:before="0" w:after="283"/>
              <w:rPr>
                <w:sz w:val="4"/>
                <w:szCs w:val="4"/>
              </w:rPr>
            </w:pPr>
            <w:r>
              <w:rPr>
                <w:sz w:val="4"/>
                <w:szCs w:val="4"/>
              </w:rPr>
            </w:r>
          </w:p>
        </w:tc>
        <w:tc>
          <w:tcPr>
            <w:tcW w:w="1519" w:type="dxa"/>
            <w:gridSpan w:val="5"/>
            <w:tcBorders/>
            <w:shd w:fill="E5E5E5" w:val="clear"/>
            <w:vAlign w:val="center"/>
          </w:tcPr>
          <w:p>
            <w:pPr>
              <w:pStyle w:val="TableContents"/>
              <w:spacing w:before="0" w:after="283"/>
              <w:rPr>
                <w:sz w:val="4"/>
                <w:szCs w:val="4"/>
              </w:rPr>
            </w:pPr>
            <w:r>
              <w:rPr>
                <w:sz w:val="4"/>
                <w:szCs w:val="4"/>
              </w:rPr>
            </w:r>
          </w:p>
        </w:tc>
        <w:tc>
          <w:tcPr>
            <w:tcW w:w="2096" w:type="dxa"/>
            <w:gridSpan w:val="5"/>
            <w:tcBorders/>
            <w:shd w:fill="E5E5E5" w:val="clear"/>
            <w:vAlign w:val="center"/>
          </w:tcPr>
          <w:p>
            <w:pPr>
              <w:pStyle w:val="TableContents"/>
              <w:spacing w:before="0" w:after="283"/>
              <w:rPr>
                <w:sz w:val="4"/>
                <w:szCs w:val="4"/>
              </w:rPr>
            </w:pPr>
            <w:r>
              <w:rPr>
                <w:sz w:val="4"/>
                <w:szCs w:val="4"/>
              </w:rPr>
            </w:r>
          </w:p>
        </w:tc>
      </w:tr>
      <w:tr>
        <w:trPr/>
        <w:tc>
          <w:tcPr>
            <w:tcW w:w="2561" w:type="dxa"/>
            <w:tcBorders/>
            <w:shd w:fill="E5E5E5" w:val="clear"/>
          </w:tcPr>
          <w:p>
            <w:pPr>
              <w:pStyle w:val="TableContents"/>
              <w:spacing w:before="0" w:after="0"/>
              <w:rPr>
                <w:rFonts w:ascii="arial" w:hAnsi="arial"/>
                <w:sz w:val="20"/>
              </w:rPr>
            </w:pPr>
            <w:r>
              <w:rPr>
                <w:rFonts w:ascii="arial" w:hAnsi="arial"/>
                <w:sz w:val="20"/>
              </w:rPr>
              <w:t>Bryan R. Adel</w:t>
            </w:r>
          </w:p>
        </w:tc>
        <w:tc>
          <w:tcPr>
            <w:tcW w:w="403"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572" w:type="dxa"/>
            <w:tcBorders/>
            <w:shd w:fill="E5E5E5" w:val="clear"/>
            <w:vAlign w:val="bottom"/>
          </w:tcPr>
          <w:p>
            <w:pPr>
              <w:pStyle w:val="TableContents"/>
              <w:spacing w:before="0" w:after="283"/>
              <w:jc w:val="right"/>
              <w:rPr/>
            </w:pPr>
            <w:r>
              <w:rPr/>
              <w:t>50</w:t>
            </w:r>
          </w:p>
        </w:tc>
        <w:tc>
          <w:tcPr>
            <w:tcW w:w="474"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98" w:type="dxa"/>
            <w:tcBorders/>
            <w:shd w:fill="E5E5E5" w:val="clear"/>
            <w:vAlign w:val="bottom"/>
          </w:tcPr>
          <w:p>
            <w:pPr>
              <w:pStyle w:val="TableContents"/>
              <w:spacing w:before="0" w:after="283"/>
              <w:rPr/>
            </w:pPr>
            <w:r>
              <w:rPr/>
              <w:t> </w:t>
            </w:r>
          </w:p>
        </w:tc>
        <w:tc>
          <w:tcPr>
            <w:tcW w:w="198" w:type="dxa"/>
            <w:tcBorders/>
            <w:shd w:fill="E5E5E5" w:val="clear"/>
            <w:vAlign w:val="bottom"/>
          </w:tcPr>
          <w:p>
            <w:pPr>
              <w:pStyle w:val="TableContents"/>
              <w:spacing w:before="0" w:after="283"/>
              <w:rPr/>
            </w:pPr>
            <w:r>
              <w:rPr/>
              <w:t> </w:t>
            </w:r>
          </w:p>
        </w:tc>
        <w:tc>
          <w:tcPr>
            <w:tcW w:w="861" w:type="dxa"/>
            <w:tcBorders/>
            <w:shd w:fill="E5E5E5" w:val="clear"/>
            <w:vAlign w:val="bottom"/>
          </w:tcPr>
          <w:p>
            <w:pPr>
              <w:pStyle w:val="TableContents"/>
              <w:spacing w:before="0" w:after="283"/>
              <w:jc w:val="right"/>
              <w:rPr/>
            </w:pPr>
            <w:r>
              <w:rPr/>
              <w:t>30</w:t>
            </w:r>
          </w:p>
        </w:tc>
        <w:tc>
          <w:tcPr>
            <w:tcW w:w="714"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118" w:type="dxa"/>
            <w:tcBorders/>
            <w:shd w:fill="E5E5E5" w:val="clear"/>
            <w:vAlign w:val="bottom"/>
          </w:tcPr>
          <w:p>
            <w:pPr>
              <w:pStyle w:val="TableContents"/>
              <w:spacing w:before="0" w:after="283"/>
              <w:rPr/>
            </w:pPr>
            <w:r>
              <w:rPr/>
              <w:t> </w:t>
            </w:r>
          </w:p>
        </w:tc>
        <w:tc>
          <w:tcPr>
            <w:tcW w:w="513" w:type="dxa"/>
            <w:tcBorders/>
            <w:shd w:fill="E5E5E5" w:val="clear"/>
            <w:vAlign w:val="bottom"/>
          </w:tcPr>
          <w:p>
            <w:pPr>
              <w:pStyle w:val="TableContents"/>
              <w:spacing w:before="0" w:after="283"/>
              <w:jc w:val="right"/>
              <w:rPr/>
            </w:pPr>
            <w:r>
              <w:rPr/>
              <w:t>20</w:t>
            </w:r>
          </w:p>
        </w:tc>
        <w:tc>
          <w:tcPr>
            <w:tcW w:w="426" w:type="dxa"/>
            <w:tcBorders/>
            <w:shd w:fill="E5E5E5" w:val="clear"/>
            <w:vAlign w:val="bottom"/>
          </w:tcPr>
          <w:p>
            <w:pPr>
              <w:pStyle w:val="TableContents"/>
              <w:spacing w:before="0" w:after="283"/>
              <w:rPr/>
            </w:pPr>
            <w:r>
              <w:rPr/>
              <w:t>%</w:t>
            </w:r>
          </w:p>
        </w:tc>
        <w:tc>
          <w:tcPr>
            <w:tcW w:w="345" w:type="dxa"/>
            <w:tcBorders/>
            <w:shd w:fill="E5E5E5" w:val="clear"/>
            <w:vAlign w:val="bottom"/>
          </w:tcPr>
          <w:p>
            <w:pPr>
              <w:pStyle w:val="TableContents"/>
              <w:spacing w:before="0" w:after="283"/>
              <w:rPr/>
            </w:pPr>
            <w:r>
              <w:rPr/>
              <w:t> </w:t>
            </w:r>
          </w:p>
        </w:tc>
        <w:tc>
          <w:tcPr>
            <w:tcW w:w="175" w:type="dxa"/>
            <w:tcBorders/>
            <w:shd w:fill="E5E5E5" w:val="clear"/>
            <w:vAlign w:val="bottom"/>
          </w:tcPr>
          <w:p>
            <w:pPr>
              <w:pStyle w:val="TableContents"/>
              <w:spacing w:before="0" w:after="283"/>
              <w:rPr/>
            </w:pPr>
            <w:r>
              <w:rPr/>
              <w:t> </w:t>
            </w:r>
          </w:p>
        </w:tc>
        <w:tc>
          <w:tcPr>
            <w:tcW w:w="175" w:type="dxa"/>
            <w:tcBorders/>
            <w:shd w:fill="E5E5E5" w:val="clear"/>
            <w:vAlign w:val="bottom"/>
          </w:tcPr>
          <w:p>
            <w:pPr>
              <w:pStyle w:val="TableContents"/>
              <w:spacing w:before="0" w:after="283"/>
              <w:rPr>
                <w:sz w:val="4"/>
                <w:szCs w:val="4"/>
              </w:rPr>
            </w:pPr>
            <w:r>
              <w:rPr>
                <w:sz w:val="4"/>
                <w:szCs w:val="4"/>
              </w:rPr>
            </w:r>
          </w:p>
        </w:tc>
        <w:tc>
          <w:tcPr>
            <w:tcW w:w="762" w:type="dxa"/>
            <w:tcBorders/>
            <w:shd w:fill="E5E5E5" w:val="clear"/>
            <w:vAlign w:val="bottom"/>
          </w:tcPr>
          <w:p>
            <w:pPr>
              <w:pStyle w:val="TableContents"/>
              <w:spacing w:before="0" w:after="283"/>
              <w:rPr>
                <w:sz w:val="4"/>
                <w:szCs w:val="4"/>
              </w:rPr>
            </w:pPr>
            <w:r>
              <w:rPr>
                <w:sz w:val="4"/>
                <w:szCs w:val="4"/>
              </w:rPr>
            </w:r>
          </w:p>
        </w:tc>
        <w:tc>
          <w:tcPr>
            <w:tcW w:w="639"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Operating profit for Mr. Joyce, Mr. Song, and Mr. Adel was based on Dine Brands operating profit, while Business Unit operating profit for Mr. Cywinski and Mr. Johns was based entirely on their respective Business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Same Restaurant Sales and Traffic performance for Mr. Joyce, Mr. Song, and Mr. Adel was based 50% on Applebees Business Unit performance and 50% on IHOP Business Unit performance, while Same Restaurant Sales and Traffic performance for Mr. Cywinski and Mr. Johns was based entirely on their respective Business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Net Development for Mr. Cywinski and Mr. Johns was based entirely on their respective Business Units. </w:t>
            </w:r>
          </w:p>
        </w:tc>
      </w:tr>
    </w:tbl>
    <w:p>
      <w:pPr>
        <w:pStyle w:val="TextBody"/>
        <w:spacing w:before="120" w:after="0"/>
        <w:jc w:val="left"/>
        <w:rPr>
          <w:rFonts w:ascii="arial" w:hAnsi="arial"/>
          <w:sz w:val="20"/>
        </w:rPr>
      </w:pPr>
      <w:r>
        <w:rPr>
          <w:rFonts w:ascii="arial" w:hAnsi="arial"/>
          <w:sz w:val="20"/>
        </w:rPr>
        <w:t xml:space="preserve">The threshold, target and maximum payout levels for the performance metrics are illustrated in the table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77"/>
        <w:gridCol w:w="187"/>
        <w:gridCol w:w="65"/>
        <w:gridCol w:w="153"/>
        <w:gridCol w:w="634"/>
        <w:gridCol w:w="238"/>
        <w:gridCol w:w="130"/>
        <w:gridCol w:w="60"/>
        <w:gridCol w:w="140"/>
        <w:gridCol w:w="582"/>
        <w:gridCol w:w="215"/>
        <w:gridCol w:w="130"/>
        <w:gridCol w:w="64"/>
        <w:gridCol w:w="153"/>
        <w:gridCol w:w="634"/>
        <w:gridCol w:w="238"/>
        <w:gridCol w:w="130"/>
        <w:gridCol w:w="60"/>
        <w:gridCol w:w="140"/>
        <w:gridCol w:w="582"/>
        <w:gridCol w:w="215"/>
        <w:gridCol w:w="130"/>
        <w:gridCol w:w="108"/>
        <w:gridCol w:w="108"/>
        <w:gridCol w:w="830"/>
        <w:gridCol w:w="396"/>
        <w:gridCol w:w="129"/>
        <w:gridCol w:w="141"/>
        <w:gridCol w:w="141"/>
        <w:gridCol w:w="474"/>
        <w:gridCol w:w="521"/>
      </w:tblGrid>
      <w:tr>
        <w:trPr/>
        <w:tc>
          <w:tcPr>
            <w:tcW w:w="247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477" w:type="dxa"/>
            <w:tcBorders/>
            <w:shd w:fill="CF0A2C" w:val="clear"/>
            <w:vAlign w:val="center"/>
          </w:tcPr>
          <w:p>
            <w:pPr>
              <w:pStyle w:val="TableContents"/>
              <w:spacing w:before="0" w:after="283"/>
              <w:rPr>
                <w:sz w:val="4"/>
                <w:szCs w:val="4"/>
              </w:rPr>
            </w:pPr>
            <w:r>
              <w:rPr>
                <w:sz w:val="4"/>
                <w:szCs w:val="4"/>
              </w:rPr>
            </w:r>
          </w:p>
        </w:tc>
        <w:tc>
          <w:tcPr>
            <w:tcW w:w="1277" w:type="dxa"/>
            <w:gridSpan w:val="5"/>
            <w:tcBorders/>
            <w:shd w:fill="CF0A2C" w:val="clear"/>
            <w:vAlign w:val="center"/>
          </w:tcPr>
          <w:p>
            <w:pPr>
              <w:pStyle w:val="TableContents"/>
              <w:spacing w:before="0" w:after="283"/>
              <w:rPr>
                <w:sz w:val="4"/>
                <w:szCs w:val="4"/>
              </w:rPr>
            </w:pPr>
            <w:r>
              <w:rPr>
                <w:sz w:val="4"/>
                <w:szCs w:val="4"/>
              </w:rPr>
            </w:r>
          </w:p>
        </w:tc>
        <w:tc>
          <w:tcPr>
            <w:tcW w:w="1127" w:type="dxa"/>
            <w:gridSpan w:val="5"/>
            <w:tcBorders/>
            <w:shd w:fill="CF0A2C" w:val="clear"/>
            <w:vAlign w:val="center"/>
          </w:tcPr>
          <w:p>
            <w:pPr>
              <w:pStyle w:val="TableContents"/>
              <w:spacing w:before="0" w:after="283"/>
              <w:rPr>
                <w:sz w:val="4"/>
                <w:szCs w:val="4"/>
              </w:rPr>
            </w:pPr>
            <w:r>
              <w:rPr>
                <w:sz w:val="4"/>
                <w:szCs w:val="4"/>
              </w:rPr>
            </w:r>
          </w:p>
        </w:tc>
        <w:tc>
          <w:tcPr>
            <w:tcW w:w="1219" w:type="dxa"/>
            <w:gridSpan w:val="5"/>
            <w:tcBorders/>
            <w:shd w:fill="CF0A2C" w:val="clear"/>
            <w:vAlign w:val="center"/>
          </w:tcPr>
          <w:p>
            <w:pPr>
              <w:pStyle w:val="TableContents"/>
              <w:spacing w:before="0" w:after="283"/>
              <w:rPr>
                <w:sz w:val="4"/>
                <w:szCs w:val="4"/>
              </w:rPr>
            </w:pPr>
            <w:r>
              <w:rPr>
                <w:sz w:val="4"/>
                <w:szCs w:val="4"/>
              </w:rPr>
            </w:r>
          </w:p>
        </w:tc>
        <w:tc>
          <w:tcPr>
            <w:tcW w:w="1127" w:type="dxa"/>
            <w:gridSpan w:val="5"/>
            <w:tcBorders/>
            <w:shd w:fill="CF0A2C" w:val="clear"/>
            <w:vAlign w:val="center"/>
          </w:tcPr>
          <w:p>
            <w:pPr>
              <w:pStyle w:val="TableContents"/>
              <w:spacing w:before="0" w:after="283"/>
              <w:rPr>
                <w:sz w:val="4"/>
                <w:szCs w:val="4"/>
              </w:rPr>
            </w:pPr>
            <w:r>
              <w:rPr>
                <w:sz w:val="4"/>
                <w:szCs w:val="4"/>
              </w:rPr>
            </w:r>
          </w:p>
        </w:tc>
        <w:tc>
          <w:tcPr>
            <w:tcW w:w="1572" w:type="dxa"/>
            <w:gridSpan w:val="5"/>
            <w:tcBorders/>
            <w:shd w:fill="CF0A2C" w:val="clear"/>
            <w:vAlign w:val="center"/>
          </w:tcPr>
          <w:p>
            <w:pPr>
              <w:pStyle w:val="TableContents"/>
              <w:spacing w:before="0" w:after="283"/>
              <w:rPr>
                <w:sz w:val="4"/>
                <w:szCs w:val="4"/>
              </w:rPr>
            </w:pPr>
            <w:r>
              <w:rPr>
                <w:sz w:val="4"/>
                <w:szCs w:val="4"/>
              </w:rPr>
            </w:r>
          </w:p>
        </w:tc>
        <w:tc>
          <w:tcPr>
            <w:tcW w:w="1406" w:type="dxa"/>
            <w:gridSpan w:val="5"/>
            <w:tcBorders/>
            <w:shd w:fill="CF0A2C" w:val="clear"/>
            <w:vAlign w:val="center"/>
          </w:tcPr>
          <w:p>
            <w:pPr>
              <w:pStyle w:val="TableContents"/>
              <w:spacing w:before="0" w:after="283"/>
              <w:rPr>
                <w:sz w:val="4"/>
                <w:szCs w:val="4"/>
              </w:rPr>
            </w:pPr>
            <w:r>
              <w:rPr>
                <w:sz w:val="4"/>
                <w:szCs w:val="4"/>
              </w:rPr>
            </w:r>
          </w:p>
        </w:tc>
      </w:tr>
      <w:tr>
        <w:trPr/>
        <w:tc>
          <w:tcPr>
            <w:tcW w:w="2477"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Metric</w:t>
            </w:r>
          </w:p>
        </w:tc>
        <w:tc>
          <w:tcPr>
            <w:tcW w:w="187" w:type="dxa"/>
            <w:tcBorders/>
            <w:shd w:fill="CF0A2C" w:val="clear"/>
            <w:vAlign w:val="bottom"/>
          </w:tcPr>
          <w:p>
            <w:pPr>
              <w:pStyle w:val="TableContents"/>
              <w:spacing w:before="0" w:after="283"/>
              <w:rPr/>
            </w:pPr>
            <w:r>
              <w:rPr/>
              <w:t>  </w:t>
            </w:r>
          </w:p>
        </w:tc>
        <w:tc>
          <w:tcPr>
            <w:tcW w:w="1090" w:type="dxa"/>
            <w:gridSpan w:val="4"/>
            <w:tcBorders/>
            <w:shd w:fill="CF0A2C" w:val="clear"/>
            <w:vAlign w:val="bottom"/>
          </w:tcPr>
          <w:p>
            <w:pPr>
              <w:pStyle w:val="TableContents"/>
              <w:spacing w:before="0" w:after="283"/>
              <w:jc w:val="center"/>
              <w:rPr>
                <w:b/>
                <w:color w:val="FFFFFF"/>
              </w:rPr>
            </w:pPr>
            <w:r>
              <w:rPr>
                <w:b/>
                <w:color w:val="FFFFFF"/>
              </w:rPr>
              <w:t>Threshold</w:t>
            </w:r>
          </w:p>
        </w:tc>
        <w:tc>
          <w:tcPr>
            <w:tcW w:w="130" w:type="dxa"/>
            <w:tcBorders/>
            <w:shd w:fill="CF0A2C" w:val="clear"/>
            <w:vAlign w:val="bottom"/>
          </w:tcPr>
          <w:p>
            <w:pPr>
              <w:pStyle w:val="TableContents"/>
              <w:spacing w:before="0" w:after="283"/>
              <w:rPr/>
            </w:pPr>
            <w:r>
              <w:rPr/>
              <w:t> </w:t>
            </w:r>
          </w:p>
        </w:tc>
        <w:tc>
          <w:tcPr>
            <w:tcW w:w="997" w:type="dxa"/>
            <w:gridSpan w:val="4"/>
            <w:tcBorders/>
            <w:shd w:fill="CF0A2C" w:val="clear"/>
            <w:vAlign w:val="bottom"/>
          </w:tcPr>
          <w:p>
            <w:pPr>
              <w:pStyle w:val="TableContents"/>
              <w:spacing w:before="0" w:after="283"/>
              <w:jc w:val="center"/>
              <w:rPr>
                <w:b/>
                <w:color w:val="FFFFFF"/>
              </w:rPr>
            </w:pPr>
            <w:r>
              <w:rPr>
                <w:b/>
                <w:color w:val="FFFFFF"/>
              </w:rPr>
              <w:t>Target</w:t>
            </w:r>
          </w:p>
        </w:tc>
        <w:tc>
          <w:tcPr>
            <w:tcW w:w="130" w:type="dxa"/>
            <w:tcBorders/>
            <w:shd w:fill="CF0A2C" w:val="clear"/>
            <w:vAlign w:val="bottom"/>
          </w:tcPr>
          <w:p>
            <w:pPr>
              <w:pStyle w:val="TableContents"/>
              <w:spacing w:before="0" w:after="283"/>
              <w:rPr/>
            </w:pPr>
            <w:r>
              <w:rPr/>
              <w:t> </w:t>
            </w:r>
          </w:p>
        </w:tc>
        <w:tc>
          <w:tcPr>
            <w:tcW w:w="1089" w:type="dxa"/>
            <w:gridSpan w:val="4"/>
            <w:tcBorders/>
            <w:shd w:fill="CF0A2C" w:val="clear"/>
            <w:vAlign w:val="bottom"/>
          </w:tcPr>
          <w:p>
            <w:pPr>
              <w:pStyle w:val="TableContents"/>
              <w:spacing w:before="0" w:after="283"/>
              <w:jc w:val="center"/>
              <w:rPr>
                <w:b/>
                <w:color w:val="FFFFFF"/>
              </w:rPr>
            </w:pPr>
            <w:r>
              <w:rPr>
                <w:b/>
                <w:color w:val="FFFFFF"/>
              </w:rPr>
              <w:t>Maximum</w:t>
            </w:r>
          </w:p>
        </w:tc>
        <w:tc>
          <w:tcPr>
            <w:tcW w:w="130" w:type="dxa"/>
            <w:tcBorders/>
            <w:shd w:fill="CF0A2C" w:val="clear"/>
            <w:vAlign w:val="bottom"/>
          </w:tcPr>
          <w:p>
            <w:pPr>
              <w:pStyle w:val="TableContents"/>
              <w:spacing w:before="0" w:after="283"/>
              <w:rPr/>
            </w:pPr>
            <w:r>
              <w:rPr/>
              <w:t> </w:t>
            </w:r>
          </w:p>
        </w:tc>
        <w:tc>
          <w:tcPr>
            <w:tcW w:w="997" w:type="dxa"/>
            <w:gridSpan w:val="4"/>
            <w:tcBorders/>
            <w:shd w:fill="CF0A2C" w:val="clear"/>
            <w:vAlign w:val="bottom"/>
          </w:tcPr>
          <w:p>
            <w:pPr>
              <w:pStyle w:val="TableContents"/>
              <w:spacing w:before="0" w:after="283"/>
              <w:jc w:val="center"/>
              <w:rPr>
                <w:b/>
                <w:color w:val="FFFFFF"/>
              </w:rPr>
            </w:pPr>
            <w:r>
              <w:rPr>
                <w:b/>
                <w:color w:val="FFFFFF"/>
              </w:rPr>
              <w:t>Actual</w:t>
              <w:br/>
              <w:t>Result</w:t>
            </w:r>
          </w:p>
        </w:tc>
        <w:tc>
          <w:tcPr>
            <w:tcW w:w="130" w:type="dxa"/>
            <w:tcBorders/>
            <w:shd w:fill="CF0A2C" w:val="clear"/>
            <w:vAlign w:val="bottom"/>
          </w:tcPr>
          <w:p>
            <w:pPr>
              <w:pStyle w:val="TableContents"/>
              <w:spacing w:before="0" w:after="283"/>
              <w:rPr/>
            </w:pPr>
            <w:r>
              <w:rPr/>
              <w:t> </w:t>
            </w:r>
          </w:p>
        </w:tc>
        <w:tc>
          <w:tcPr>
            <w:tcW w:w="1442" w:type="dxa"/>
            <w:gridSpan w:val="4"/>
            <w:tcBorders/>
            <w:shd w:fill="CF0A2C" w:val="clear"/>
            <w:vAlign w:val="bottom"/>
          </w:tcPr>
          <w:p>
            <w:pPr>
              <w:pStyle w:val="TableContents"/>
              <w:spacing w:before="0" w:after="283"/>
              <w:jc w:val="center"/>
              <w:rPr>
                <w:b/>
                <w:color w:val="FFFFFF"/>
              </w:rPr>
            </w:pPr>
            <w:r>
              <w:rPr>
                <w:b/>
                <w:color w:val="FFFFFF"/>
              </w:rPr>
              <w:t>Percentage of</w:t>
              <w:br/>
              <w:t>Target</w:t>
              <w:br/>
              <w:t>Achieved</w:t>
            </w:r>
          </w:p>
        </w:tc>
        <w:tc>
          <w:tcPr>
            <w:tcW w:w="129" w:type="dxa"/>
            <w:tcBorders/>
            <w:shd w:fill="CF0A2C" w:val="clear"/>
            <w:vAlign w:val="bottom"/>
          </w:tcPr>
          <w:p>
            <w:pPr>
              <w:pStyle w:val="TableContents"/>
              <w:spacing w:before="0" w:after="283"/>
              <w:rPr/>
            </w:pPr>
            <w:r>
              <w:rPr/>
              <w:t> </w:t>
            </w:r>
          </w:p>
        </w:tc>
        <w:tc>
          <w:tcPr>
            <w:tcW w:w="1277" w:type="dxa"/>
            <w:gridSpan w:val="4"/>
            <w:tcBorders/>
            <w:shd w:fill="CF0A2C" w:val="clear"/>
            <w:vAlign w:val="bottom"/>
          </w:tcPr>
          <w:p>
            <w:pPr>
              <w:pStyle w:val="TableContents"/>
              <w:spacing w:before="0" w:after="283"/>
              <w:jc w:val="center"/>
              <w:rPr>
                <w:b/>
                <w:color w:val="FFFFFF"/>
              </w:rPr>
            </w:pPr>
            <w:r>
              <w:rPr>
                <w:b/>
                <w:color w:val="FFFFFF"/>
              </w:rPr>
              <w:t>Payout  </w:t>
              <w:br/>
              <w:t>Percentage  </w:t>
              <w:br/>
              <w:t>of Target  </w:t>
              <w:br/>
              <w:t>for Metric  </w:t>
            </w:r>
          </w:p>
        </w:tc>
      </w:tr>
      <w:tr>
        <w:trPr>
          <w:trHeight w:val="75" w:hRule="atLeast"/>
        </w:trPr>
        <w:tc>
          <w:tcPr>
            <w:tcW w:w="2477" w:type="dxa"/>
            <w:tcBorders/>
            <w:shd w:fill="E5E5E5" w:val="clear"/>
            <w:vAlign w:val="center"/>
          </w:tcPr>
          <w:p>
            <w:pPr>
              <w:pStyle w:val="TableContents"/>
              <w:spacing w:before="0" w:after="283"/>
              <w:rPr>
                <w:sz w:val="4"/>
                <w:szCs w:val="4"/>
              </w:rPr>
            </w:pPr>
            <w:r>
              <w:rPr>
                <w:sz w:val="4"/>
                <w:szCs w:val="4"/>
              </w:rPr>
            </w:r>
          </w:p>
        </w:tc>
        <w:tc>
          <w:tcPr>
            <w:tcW w:w="1277"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219"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572" w:type="dxa"/>
            <w:gridSpan w:val="5"/>
            <w:tcBorders/>
            <w:shd w:fill="E5E5E5" w:val="clear"/>
            <w:vAlign w:val="center"/>
          </w:tcPr>
          <w:p>
            <w:pPr>
              <w:pStyle w:val="TableContents"/>
              <w:spacing w:before="0" w:after="283"/>
              <w:rPr>
                <w:sz w:val="4"/>
                <w:szCs w:val="4"/>
              </w:rPr>
            </w:pPr>
            <w:r>
              <w:rPr>
                <w:sz w:val="4"/>
                <w:szCs w:val="4"/>
              </w:rPr>
            </w:r>
          </w:p>
        </w:tc>
        <w:tc>
          <w:tcPr>
            <w:tcW w:w="1406" w:type="dxa"/>
            <w:gridSpan w:val="5"/>
            <w:tcBorders/>
            <w:shd w:fill="E5E5E5" w:val="clear"/>
            <w:vAlign w:val="center"/>
          </w:tcPr>
          <w:p>
            <w:pPr>
              <w:pStyle w:val="TableContents"/>
              <w:spacing w:before="0" w:after="283"/>
              <w:rPr>
                <w:sz w:val="4"/>
                <w:szCs w:val="4"/>
              </w:rPr>
            </w:pPr>
            <w:r>
              <w:rPr>
                <w:sz w:val="4"/>
                <w:szCs w:val="4"/>
              </w:rPr>
            </w:r>
          </w:p>
        </w:tc>
      </w:tr>
      <w:tr>
        <w:trPr/>
        <w:tc>
          <w:tcPr>
            <w:tcW w:w="2477" w:type="dxa"/>
            <w:tcBorders/>
            <w:shd w:fill="E5E5E5" w:val="clear"/>
          </w:tcPr>
          <w:p>
            <w:pPr>
              <w:pStyle w:val="TableContents"/>
              <w:spacing w:before="0" w:after="0"/>
              <w:rPr>
                <w:rFonts w:ascii="arial" w:hAnsi="arial"/>
                <w:sz w:val="20"/>
              </w:rPr>
            </w:pPr>
            <w:r>
              <w:rPr>
                <w:rFonts w:ascii="arial" w:hAnsi="arial"/>
                <w:sz w:val="20"/>
              </w:rPr>
              <w:t>AEPS</w:t>
            </w:r>
          </w:p>
        </w:tc>
        <w:tc>
          <w:tcPr>
            <w:tcW w:w="187"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w:t>
            </w:r>
          </w:p>
        </w:tc>
        <w:tc>
          <w:tcPr>
            <w:tcW w:w="634" w:type="dxa"/>
            <w:tcBorders/>
            <w:shd w:fill="E5E5E5" w:val="clear"/>
            <w:vAlign w:val="bottom"/>
          </w:tcPr>
          <w:p>
            <w:pPr>
              <w:pStyle w:val="TableContents"/>
              <w:spacing w:before="0" w:after="283"/>
              <w:jc w:val="right"/>
              <w:rPr/>
            </w:pPr>
            <w:r>
              <w:rPr/>
              <w:t>6.32</w:t>
            </w:r>
          </w:p>
        </w:tc>
        <w:tc>
          <w:tcPr>
            <w:tcW w:w="238"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582" w:type="dxa"/>
            <w:tcBorders/>
            <w:shd w:fill="E5E5E5" w:val="clear"/>
            <w:vAlign w:val="bottom"/>
          </w:tcPr>
          <w:p>
            <w:pPr>
              <w:pStyle w:val="TableContents"/>
              <w:spacing w:before="0" w:after="283"/>
              <w:jc w:val="right"/>
              <w:rPr/>
            </w:pPr>
            <w:r>
              <w:rPr/>
              <w:t>7.18</w:t>
            </w:r>
          </w:p>
        </w:tc>
        <w:tc>
          <w:tcPr>
            <w:tcW w:w="215"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4"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w:t>
            </w:r>
          </w:p>
        </w:tc>
        <w:tc>
          <w:tcPr>
            <w:tcW w:w="634" w:type="dxa"/>
            <w:tcBorders/>
            <w:shd w:fill="E5E5E5" w:val="clear"/>
            <w:vAlign w:val="bottom"/>
          </w:tcPr>
          <w:p>
            <w:pPr>
              <w:pStyle w:val="TableContents"/>
              <w:spacing w:before="0" w:after="283"/>
              <w:jc w:val="right"/>
              <w:rPr/>
            </w:pPr>
            <w:r>
              <w:rPr/>
              <w:t>7.90</w:t>
            </w:r>
          </w:p>
        </w:tc>
        <w:tc>
          <w:tcPr>
            <w:tcW w:w="238"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582" w:type="dxa"/>
            <w:tcBorders/>
            <w:shd w:fill="E5E5E5" w:val="clear"/>
            <w:vAlign w:val="bottom"/>
          </w:tcPr>
          <w:p>
            <w:pPr>
              <w:pStyle w:val="TableContents"/>
              <w:spacing w:before="0" w:after="283"/>
              <w:jc w:val="right"/>
              <w:rPr/>
            </w:pPr>
            <w:r>
              <w:rPr/>
              <w:t>1.79</w:t>
            </w:r>
          </w:p>
        </w:tc>
        <w:tc>
          <w:tcPr>
            <w:tcW w:w="215"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830" w:type="dxa"/>
            <w:tcBorders/>
            <w:shd w:fill="E5E5E5" w:val="clear"/>
            <w:vAlign w:val="bottom"/>
          </w:tcPr>
          <w:p>
            <w:pPr>
              <w:pStyle w:val="TableContents"/>
              <w:spacing w:before="0" w:after="283"/>
              <w:jc w:val="right"/>
              <w:rPr/>
            </w:pPr>
            <w:r>
              <w:rPr/>
              <w:t>24.9</w:t>
            </w:r>
          </w:p>
        </w:tc>
        <w:tc>
          <w:tcPr>
            <w:tcW w:w="396" w:type="dxa"/>
            <w:tcBorders/>
            <w:shd w:fill="E5E5E5" w:val="clear"/>
            <w:vAlign w:val="bottom"/>
          </w:tcPr>
          <w:p>
            <w:pPr>
              <w:pStyle w:val="TableContents"/>
              <w:spacing w:before="0" w:after="283"/>
              <w:rPr/>
            </w:pPr>
            <w:r>
              <w:rPr/>
              <w:t>%</w:t>
            </w:r>
          </w:p>
        </w:tc>
        <w:tc>
          <w:tcPr>
            <w:tcW w:w="129"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474" w:type="dxa"/>
            <w:tcBorders/>
            <w:shd w:fill="E5E5E5" w:val="clear"/>
            <w:vAlign w:val="bottom"/>
          </w:tcPr>
          <w:p>
            <w:pPr>
              <w:pStyle w:val="TableContents"/>
              <w:spacing w:before="0" w:after="283"/>
              <w:jc w:val="right"/>
              <w:rPr/>
            </w:pPr>
            <w:r>
              <w:rPr/>
              <w:t>0</w:t>
            </w:r>
          </w:p>
        </w:tc>
        <w:tc>
          <w:tcPr>
            <w:tcW w:w="521" w:type="dxa"/>
            <w:tcBorders/>
            <w:shd w:fill="E5E5E5" w:val="clear"/>
            <w:vAlign w:val="bottom"/>
          </w:tcPr>
          <w:p>
            <w:pPr>
              <w:pStyle w:val="TableContents"/>
              <w:spacing w:before="0" w:after="283"/>
              <w:rPr/>
            </w:pPr>
            <w:r>
              <w:rPr/>
              <w:t>%</w:t>
            </w:r>
          </w:p>
        </w:tc>
      </w:tr>
      <w:tr>
        <w:trPr>
          <w:trHeight w:val="75" w:hRule="atLeast"/>
        </w:trPr>
        <w:tc>
          <w:tcPr>
            <w:tcW w:w="2477" w:type="dxa"/>
            <w:tcBorders/>
            <w:shd w:fill="auto" w:val="clear"/>
            <w:vAlign w:val="center"/>
          </w:tcPr>
          <w:p>
            <w:pPr>
              <w:pStyle w:val="TableContents"/>
              <w:spacing w:before="0" w:after="283"/>
              <w:rPr>
                <w:sz w:val="4"/>
                <w:szCs w:val="4"/>
              </w:rPr>
            </w:pPr>
            <w:r>
              <w:rPr>
                <w:sz w:val="4"/>
                <w:szCs w:val="4"/>
              </w:rPr>
            </w:r>
          </w:p>
        </w:tc>
        <w:tc>
          <w:tcPr>
            <w:tcW w:w="1277" w:type="dxa"/>
            <w:gridSpan w:val="5"/>
            <w:tcBorders/>
            <w:shd w:fill="auto" w:val="clear"/>
            <w:vAlign w:val="center"/>
          </w:tcPr>
          <w:p>
            <w:pPr>
              <w:pStyle w:val="TableContents"/>
              <w:spacing w:before="0" w:after="283"/>
              <w:rPr>
                <w:sz w:val="4"/>
                <w:szCs w:val="4"/>
              </w:rPr>
            </w:pPr>
            <w:r>
              <w:rPr>
                <w:sz w:val="4"/>
                <w:szCs w:val="4"/>
              </w:rPr>
            </w:r>
          </w:p>
        </w:tc>
        <w:tc>
          <w:tcPr>
            <w:tcW w:w="1127" w:type="dxa"/>
            <w:gridSpan w:val="5"/>
            <w:tcBorders/>
            <w:shd w:fill="auto" w:val="clear"/>
            <w:vAlign w:val="center"/>
          </w:tcPr>
          <w:p>
            <w:pPr>
              <w:pStyle w:val="TableContents"/>
              <w:spacing w:before="0" w:after="283"/>
              <w:rPr>
                <w:sz w:val="4"/>
                <w:szCs w:val="4"/>
              </w:rPr>
            </w:pPr>
            <w:r>
              <w:rPr>
                <w:sz w:val="4"/>
                <w:szCs w:val="4"/>
              </w:rPr>
            </w:r>
          </w:p>
        </w:tc>
        <w:tc>
          <w:tcPr>
            <w:tcW w:w="1219" w:type="dxa"/>
            <w:gridSpan w:val="5"/>
            <w:tcBorders/>
            <w:shd w:fill="auto" w:val="clear"/>
            <w:vAlign w:val="center"/>
          </w:tcPr>
          <w:p>
            <w:pPr>
              <w:pStyle w:val="TableContents"/>
              <w:spacing w:before="0" w:after="283"/>
              <w:rPr>
                <w:sz w:val="4"/>
                <w:szCs w:val="4"/>
              </w:rPr>
            </w:pPr>
            <w:r>
              <w:rPr>
                <w:sz w:val="4"/>
                <w:szCs w:val="4"/>
              </w:rPr>
            </w:r>
          </w:p>
        </w:tc>
        <w:tc>
          <w:tcPr>
            <w:tcW w:w="1127" w:type="dxa"/>
            <w:gridSpan w:val="5"/>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vAlign w:val="center"/>
          </w:tcPr>
          <w:p>
            <w:pPr>
              <w:pStyle w:val="TableContents"/>
              <w:spacing w:before="0" w:after="283"/>
              <w:rPr>
                <w:sz w:val="4"/>
                <w:szCs w:val="4"/>
              </w:rPr>
            </w:pPr>
            <w:r>
              <w:rPr>
                <w:sz w:val="4"/>
                <w:szCs w:val="4"/>
              </w:rPr>
            </w:r>
          </w:p>
        </w:tc>
        <w:tc>
          <w:tcPr>
            <w:tcW w:w="1406" w:type="dxa"/>
            <w:gridSpan w:val="5"/>
            <w:tcBorders/>
            <w:shd w:fill="auto" w:val="clear"/>
            <w:vAlign w:val="center"/>
          </w:tcPr>
          <w:p>
            <w:pPr>
              <w:pStyle w:val="TableContents"/>
              <w:spacing w:before="0" w:after="283"/>
              <w:rPr>
                <w:sz w:val="4"/>
                <w:szCs w:val="4"/>
              </w:rPr>
            </w:pPr>
            <w:r>
              <w:rPr>
                <w:sz w:val="4"/>
                <w:szCs w:val="4"/>
              </w:rPr>
            </w:r>
          </w:p>
        </w:tc>
      </w:tr>
      <w:tr>
        <w:trPr/>
        <w:tc>
          <w:tcPr>
            <w:tcW w:w="2477" w:type="dxa"/>
            <w:tcBorders/>
            <w:shd w:fill="auto" w:val="clear"/>
          </w:tcPr>
          <w:p>
            <w:pPr>
              <w:pStyle w:val="TableContents"/>
              <w:spacing w:before="0" w:after="0"/>
              <w:rPr>
                <w:rFonts w:ascii="arial" w:hAnsi="arial"/>
                <w:sz w:val="20"/>
              </w:rPr>
            </w:pPr>
            <w:r>
              <w:rPr>
                <w:rFonts w:ascii="arial" w:hAnsi="arial"/>
                <w:sz w:val="20"/>
              </w:rPr>
              <w:t>Dine Brands Operating Profit</w:t>
            </w:r>
          </w:p>
        </w:tc>
        <w:tc>
          <w:tcPr>
            <w:tcW w:w="187"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634" w:type="dxa"/>
            <w:tcBorders/>
            <w:shd w:fill="auto" w:val="clear"/>
            <w:vAlign w:val="bottom"/>
          </w:tcPr>
          <w:p>
            <w:pPr>
              <w:pStyle w:val="TableContents"/>
              <w:spacing w:before="0" w:after="283"/>
              <w:jc w:val="right"/>
              <w:rPr/>
            </w:pPr>
            <w:r>
              <w:rPr/>
              <w:t>199.6</w:t>
            </w:r>
          </w:p>
        </w:tc>
        <w:tc>
          <w:tcPr>
            <w:tcW w:w="23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82" w:type="dxa"/>
            <w:tcBorders/>
            <w:shd w:fill="auto" w:val="clear"/>
            <w:vAlign w:val="bottom"/>
          </w:tcPr>
          <w:p>
            <w:pPr>
              <w:pStyle w:val="TableContents"/>
              <w:spacing w:before="0" w:after="283"/>
              <w:jc w:val="right"/>
              <w:rPr/>
            </w:pPr>
            <w:r>
              <w:rPr/>
              <w:t>224.3</w:t>
            </w:r>
          </w:p>
        </w:tc>
        <w:tc>
          <w:tcPr>
            <w:tcW w:w="21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634" w:type="dxa"/>
            <w:tcBorders/>
            <w:shd w:fill="auto" w:val="clear"/>
            <w:vAlign w:val="bottom"/>
          </w:tcPr>
          <w:p>
            <w:pPr>
              <w:pStyle w:val="TableContents"/>
              <w:spacing w:before="0" w:after="283"/>
              <w:jc w:val="right"/>
              <w:rPr/>
            </w:pPr>
            <w:r>
              <w:rPr/>
              <w:t>242.2</w:t>
            </w:r>
          </w:p>
        </w:tc>
        <w:tc>
          <w:tcPr>
            <w:tcW w:w="23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82" w:type="dxa"/>
            <w:tcBorders/>
            <w:shd w:fill="auto" w:val="clear"/>
            <w:vAlign w:val="bottom"/>
          </w:tcPr>
          <w:p>
            <w:pPr>
              <w:pStyle w:val="TableContents"/>
              <w:spacing w:before="0" w:after="283"/>
              <w:jc w:val="right"/>
              <w:rPr/>
            </w:pPr>
            <w:r>
              <w:rPr/>
              <w:t>101.9</w:t>
            </w:r>
          </w:p>
        </w:tc>
        <w:tc>
          <w:tcPr>
            <w:tcW w:w="21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45.4</w:t>
            </w:r>
          </w:p>
        </w:tc>
        <w:tc>
          <w:tcPr>
            <w:tcW w:w="396" w:type="dxa"/>
            <w:tcBorders/>
            <w:shd w:fill="auto" w:val="clear"/>
            <w:vAlign w:val="bottom"/>
          </w:tcPr>
          <w:p>
            <w:pPr>
              <w:pStyle w:val="TableContents"/>
              <w:spacing w:before="0" w:after="283"/>
              <w:rPr/>
            </w:pPr>
            <w:r>
              <w:rPr/>
              <w:t>%</w:t>
            </w:r>
          </w:p>
        </w:tc>
        <w:tc>
          <w:tcPr>
            <w:tcW w:w="12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0</w:t>
            </w:r>
          </w:p>
        </w:tc>
        <w:tc>
          <w:tcPr>
            <w:tcW w:w="521" w:type="dxa"/>
            <w:tcBorders/>
            <w:shd w:fill="auto" w:val="clear"/>
            <w:vAlign w:val="bottom"/>
          </w:tcPr>
          <w:p>
            <w:pPr>
              <w:pStyle w:val="TableContents"/>
              <w:spacing w:before="0" w:after="283"/>
              <w:rPr/>
            </w:pPr>
            <w:r>
              <w:rPr/>
              <w:t>%</w:t>
            </w:r>
          </w:p>
        </w:tc>
      </w:tr>
      <w:tr>
        <w:trPr>
          <w:trHeight w:val="75" w:hRule="atLeast"/>
        </w:trPr>
        <w:tc>
          <w:tcPr>
            <w:tcW w:w="2477" w:type="dxa"/>
            <w:tcBorders/>
            <w:shd w:fill="E5E5E5" w:val="clear"/>
            <w:vAlign w:val="center"/>
          </w:tcPr>
          <w:p>
            <w:pPr>
              <w:pStyle w:val="TableContents"/>
              <w:spacing w:before="0" w:after="283"/>
              <w:rPr>
                <w:sz w:val="4"/>
                <w:szCs w:val="4"/>
              </w:rPr>
            </w:pPr>
            <w:r>
              <w:rPr>
                <w:sz w:val="4"/>
                <w:szCs w:val="4"/>
              </w:rPr>
            </w:r>
          </w:p>
        </w:tc>
        <w:tc>
          <w:tcPr>
            <w:tcW w:w="1277"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219"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572" w:type="dxa"/>
            <w:gridSpan w:val="5"/>
            <w:tcBorders/>
            <w:shd w:fill="E5E5E5" w:val="clear"/>
            <w:vAlign w:val="center"/>
          </w:tcPr>
          <w:p>
            <w:pPr>
              <w:pStyle w:val="TableContents"/>
              <w:spacing w:before="0" w:after="283"/>
              <w:rPr>
                <w:sz w:val="4"/>
                <w:szCs w:val="4"/>
              </w:rPr>
            </w:pPr>
            <w:r>
              <w:rPr>
                <w:sz w:val="4"/>
                <w:szCs w:val="4"/>
              </w:rPr>
            </w:r>
          </w:p>
        </w:tc>
        <w:tc>
          <w:tcPr>
            <w:tcW w:w="1406" w:type="dxa"/>
            <w:gridSpan w:val="5"/>
            <w:tcBorders/>
            <w:shd w:fill="E5E5E5" w:val="clear"/>
            <w:vAlign w:val="center"/>
          </w:tcPr>
          <w:p>
            <w:pPr>
              <w:pStyle w:val="TableContents"/>
              <w:spacing w:before="0" w:after="283"/>
              <w:rPr>
                <w:sz w:val="4"/>
                <w:szCs w:val="4"/>
              </w:rPr>
            </w:pPr>
            <w:r>
              <w:rPr>
                <w:sz w:val="4"/>
                <w:szCs w:val="4"/>
              </w:rPr>
            </w:r>
          </w:p>
        </w:tc>
      </w:tr>
      <w:tr>
        <w:trPr/>
        <w:tc>
          <w:tcPr>
            <w:tcW w:w="2477" w:type="dxa"/>
            <w:tcBorders/>
            <w:shd w:fill="E5E5E5" w:val="clear"/>
          </w:tcPr>
          <w:p>
            <w:pPr>
              <w:pStyle w:val="TableContents"/>
              <w:spacing w:before="0" w:after="0"/>
              <w:rPr>
                <w:rFonts w:ascii="arial" w:hAnsi="arial"/>
                <w:sz w:val="20"/>
              </w:rPr>
            </w:pPr>
            <w:r>
              <w:rPr>
                <w:rFonts w:ascii="arial" w:hAnsi="arial"/>
                <w:sz w:val="20"/>
              </w:rPr>
              <w:t>IHOP Business Unit Operating Profit</w:t>
            </w:r>
          </w:p>
        </w:tc>
        <w:tc>
          <w:tcPr>
            <w:tcW w:w="187"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w:t>
            </w:r>
          </w:p>
        </w:tc>
        <w:tc>
          <w:tcPr>
            <w:tcW w:w="634" w:type="dxa"/>
            <w:tcBorders/>
            <w:shd w:fill="E5E5E5" w:val="clear"/>
            <w:vAlign w:val="bottom"/>
          </w:tcPr>
          <w:p>
            <w:pPr>
              <w:pStyle w:val="TableContents"/>
              <w:spacing w:before="0" w:after="283"/>
              <w:jc w:val="right"/>
              <w:rPr/>
            </w:pPr>
            <w:r>
              <w:rPr/>
              <w:t>162.1</w:t>
            </w:r>
          </w:p>
        </w:tc>
        <w:tc>
          <w:tcPr>
            <w:tcW w:w="238"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582" w:type="dxa"/>
            <w:tcBorders/>
            <w:shd w:fill="E5E5E5" w:val="clear"/>
            <w:vAlign w:val="bottom"/>
          </w:tcPr>
          <w:p>
            <w:pPr>
              <w:pStyle w:val="TableContents"/>
              <w:spacing w:before="0" w:after="283"/>
              <w:jc w:val="right"/>
              <w:rPr/>
            </w:pPr>
            <w:r>
              <w:rPr/>
              <w:t>182.1</w:t>
            </w:r>
          </w:p>
        </w:tc>
        <w:tc>
          <w:tcPr>
            <w:tcW w:w="215"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4"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w:t>
            </w:r>
          </w:p>
        </w:tc>
        <w:tc>
          <w:tcPr>
            <w:tcW w:w="634" w:type="dxa"/>
            <w:tcBorders/>
            <w:shd w:fill="E5E5E5" w:val="clear"/>
            <w:vAlign w:val="bottom"/>
          </w:tcPr>
          <w:p>
            <w:pPr>
              <w:pStyle w:val="TableContents"/>
              <w:spacing w:before="0" w:after="283"/>
              <w:jc w:val="right"/>
              <w:rPr/>
            </w:pPr>
            <w:r>
              <w:rPr/>
              <w:t>196.7</w:t>
            </w:r>
          </w:p>
        </w:tc>
        <w:tc>
          <w:tcPr>
            <w:tcW w:w="238"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582" w:type="dxa"/>
            <w:tcBorders/>
            <w:shd w:fill="E5E5E5" w:val="clear"/>
            <w:vAlign w:val="bottom"/>
          </w:tcPr>
          <w:p>
            <w:pPr>
              <w:pStyle w:val="TableContents"/>
              <w:spacing w:before="0" w:after="283"/>
              <w:jc w:val="right"/>
              <w:rPr/>
            </w:pPr>
            <w:r>
              <w:rPr/>
              <w:t>100.2</w:t>
            </w:r>
          </w:p>
        </w:tc>
        <w:tc>
          <w:tcPr>
            <w:tcW w:w="215"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830" w:type="dxa"/>
            <w:tcBorders/>
            <w:shd w:fill="E5E5E5" w:val="clear"/>
            <w:vAlign w:val="bottom"/>
          </w:tcPr>
          <w:p>
            <w:pPr>
              <w:pStyle w:val="TableContents"/>
              <w:spacing w:before="0" w:after="283"/>
              <w:jc w:val="right"/>
              <w:rPr/>
            </w:pPr>
            <w:r>
              <w:rPr/>
              <w:t>55.0</w:t>
            </w:r>
          </w:p>
        </w:tc>
        <w:tc>
          <w:tcPr>
            <w:tcW w:w="396" w:type="dxa"/>
            <w:tcBorders/>
            <w:shd w:fill="E5E5E5" w:val="clear"/>
            <w:vAlign w:val="bottom"/>
          </w:tcPr>
          <w:p>
            <w:pPr>
              <w:pStyle w:val="TableContents"/>
              <w:spacing w:before="0" w:after="283"/>
              <w:rPr/>
            </w:pPr>
            <w:r>
              <w:rPr/>
              <w:t>%</w:t>
            </w:r>
          </w:p>
        </w:tc>
        <w:tc>
          <w:tcPr>
            <w:tcW w:w="129"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474" w:type="dxa"/>
            <w:tcBorders/>
            <w:shd w:fill="E5E5E5" w:val="clear"/>
            <w:vAlign w:val="bottom"/>
          </w:tcPr>
          <w:p>
            <w:pPr>
              <w:pStyle w:val="TableContents"/>
              <w:spacing w:before="0" w:after="283"/>
              <w:jc w:val="right"/>
              <w:rPr/>
            </w:pPr>
            <w:r>
              <w:rPr/>
              <w:t>0</w:t>
            </w:r>
          </w:p>
        </w:tc>
        <w:tc>
          <w:tcPr>
            <w:tcW w:w="521" w:type="dxa"/>
            <w:tcBorders/>
            <w:shd w:fill="E5E5E5" w:val="clear"/>
            <w:vAlign w:val="bottom"/>
          </w:tcPr>
          <w:p>
            <w:pPr>
              <w:pStyle w:val="TableContents"/>
              <w:spacing w:before="0" w:after="283"/>
              <w:rPr/>
            </w:pPr>
            <w:r>
              <w:rPr/>
              <w:t>%</w:t>
            </w:r>
          </w:p>
        </w:tc>
      </w:tr>
      <w:tr>
        <w:trPr>
          <w:trHeight w:val="75" w:hRule="atLeast"/>
        </w:trPr>
        <w:tc>
          <w:tcPr>
            <w:tcW w:w="2477" w:type="dxa"/>
            <w:tcBorders/>
            <w:shd w:fill="auto" w:val="clear"/>
            <w:vAlign w:val="center"/>
          </w:tcPr>
          <w:p>
            <w:pPr>
              <w:pStyle w:val="TableContents"/>
              <w:spacing w:before="0" w:after="283"/>
              <w:rPr>
                <w:sz w:val="4"/>
                <w:szCs w:val="4"/>
              </w:rPr>
            </w:pPr>
            <w:r>
              <w:rPr>
                <w:sz w:val="4"/>
                <w:szCs w:val="4"/>
              </w:rPr>
            </w:r>
          </w:p>
        </w:tc>
        <w:tc>
          <w:tcPr>
            <w:tcW w:w="1277" w:type="dxa"/>
            <w:gridSpan w:val="5"/>
            <w:tcBorders/>
            <w:shd w:fill="auto" w:val="clear"/>
            <w:vAlign w:val="center"/>
          </w:tcPr>
          <w:p>
            <w:pPr>
              <w:pStyle w:val="TableContents"/>
              <w:spacing w:before="0" w:after="283"/>
              <w:rPr>
                <w:sz w:val="4"/>
                <w:szCs w:val="4"/>
              </w:rPr>
            </w:pPr>
            <w:r>
              <w:rPr>
                <w:sz w:val="4"/>
                <w:szCs w:val="4"/>
              </w:rPr>
            </w:r>
          </w:p>
        </w:tc>
        <w:tc>
          <w:tcPr>
            <w:tcW w:w="1127" w:type="dxa"/>
            <w:gridSpan w:val="5"/>
            <w:tcBorders/>
            <w:shd w:fill="auto" w:val="clear"/>
            <w:vAlign w:val="center"/>
          </w:tcPr>
          <w:p>
            <w:pPr>
              <w:pStyle w:val="TableContents"/>
              <w:spacing w:before="0" w:after="283"/>
              <w:rPr>
                <w:sz w:val="4"/>
                <w:szCs w:val="4"/>
              </w:rPr>
            </w:pPr>
            <w:r>
              <w:rPr>
                <w:sz w:val="4"/>
                <w:szCs w:val="4"/>
              </w:rPr>
            </w:r>
          </w:p>
        </w:tc>
        <w:tc>
          <w:tcPr>
            <w:tcW w:w="1219" w:type="dxa"/>
            <w:gridSpan w:val="5"/>
            <w:tcBorders/>
            <w:shd w:fill="auto" w:val="clear"/>
            <w:vAlign w:val="center"/>
          </w:tcPr>
          <w:p>
            <w:pPr>
              <w:pStyle w:val="TableContents"/>
              <w:spacing w:before="0" w:after="283"/>
              <w:rPr>
                <w:sz w:val="4"/>
                <w:szCs w:val="4"/>
              </w:rPr>
            </w:pPr>
            <w:r>
              <w:rPr>
                <w:sz w:val="4"/>
                <w:szCs w:val="4"/>
              </w:rPr>
            </w:r>
          </w:p>
        </w:tc>
        <w:tc>
          <w:tcPr>
            <w:tcW w:w="1127" w:type="dxa"/>
            <w:gridSpan w:val="5"/>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vAlign w:val="center"/>
          </w:tcPr>
          <w:p>
            <w:pPr>
              <w:pStyle w:val="TableContents"/>
              <w:spacing w:before="0" w:after="283"/>
              <w:rPr>
                <w:sz w:val="4"/>
                <w:szCs w:val="4"/>
              </w:rPr>
            </w:pPr>
            <w:r>
              <w:rPr>
                <w:sz w:val="4"/>
                <w:szCs w:val="4"/>
              </w:rPr>
            </w:r>
          </w:p>
        </w:tc>
        <w:tc>
          <w:tcPr>
            <w:tcW w:w="1406" w:type="dxa"/>
            <w:gridSpan w:val="5"/>
            <w:tcBorders/>
            <w:shd w:fill="auto" w:val="clear"/>
            <w:vAlign w:val="center"/>
          </w:tcPr>
          <w:p>
            <w:pPr>
              <w:pStyle w:val="TableContents"/>
              <w:spacing w:before="0" w:after="283"/>
              <w:rPr>
                <w:sz w:val="4"/>
                <w:szCs w:val="4"/>
              </w:rPr>
            </w:pPr>
            <w:r>
              <w:rPr>
                <w:sz w:val="4"/>
                <w:szCs w:val="4"/>
              </w:rPr>
            </w:r>
          </w:p>
        </w:tc>
      </w:tr>
      <w:tr>
        <w:trPr/>
        <w:tc>
          <w:tcPr>
            <w:tcW w:w="2477" w:type="dxa"/>
            <w:tcBorders/>
            <w:shd w:fill="auto" w:val="clear"/>
          </w:tcPr>
          <w:p>
            <w:pPr>
              <w:pStyle w:val="TableContents"/>
              <w:spacing w:before="0" w:after="0"/>
              <w:rPr>
                <w:rFonts w:ascii="arial" w:hAnsi="arial"/>
                <w:sz w:val="20"/>
              </w:rPr>
            </w:pPr>
            <w:r>
              <w:rPr>
                <w:rFonts w:ascii="arial" w:hAnsi="arial"/>
                <w:sz w:val="20"/>
              </w:rPr>
              <w:t>Applebees Business Unit Operating Profit</w:t>
            </w:r>
          </w:p>
        </w:tc>
        <w:tc>
          <w:tcPr>
            <w:tcW w:w="187"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634" w:type="dxa"/>
            <w:tcBorders/>
            <w:shd w:fill="auto" w:val="clear"/>
            <w:vAlign w:val="bottom"/>
          </w:tcPr>
          <w:p>
            <w:pPr>
              <w:pStyle w:val="TableContents"/>
              <w:spacing w:before="0" w:after="283"/>
              <w:jc w:val="right"/>
              <w:rPr/>
            </w:pPr>
            <w:r>
              <w:rPr/>
              <w:t>120.1</w:t>
            </w:r>
          </w:p>
        </w:tc>
        <w:tc>
          <w:tcPr>
            <w:tcW w:w="23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82" w:type="dxa"/>
            <w:tcBorders/>
            <w:shd w:fill="auto" w:val="clear"/>
            <w:vAlign w:val="bottom"/>
          </w:tcPr>
          <w:p>
            <w:pPr>
              <w:pStyle w:val="TableContents"/>
              <w:spacing w:before="0" w:after="283"/>
              <w:jc w:val="right"/>
              <w:rPr/>
            </w:pPr>
            <w:r>
              <w:rPr/>
              <w:t>134.9</w:t>
            </w:r>
          </w:p>
        </w:tc>
        <w:tc>
          <w:tcPr>
            <w:tcW w:w="21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634" w:type="dxa"/>
            <w:tcBorders/>
            <w:shd w:fill="auto" w:val="clear"/>
            <w:vAlign w:val="bottom"/>
          </w:tcPr>
          <w:p>
            <w:pPr>
              <w:pStyle w:val="TableContents"/>
              <w:spacing w:before="0" w:after="283"/>
              <w:jc w:val="right"/>
              <w:rPr/>
            </w:pPr>
            <w:r>
              <w:rPr/>
              <w:t>145.7</w:t>
            </w:r>
          </w:p>
        </w:tc>
        <w:tc>
          <w:tcPr>
            <w:tcW w:w="23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82" w:type="dxa"/>
            <w:tcBorders/>
            <w:shd w:fill="auto" w:val="clear"/>
            <w:vAlign w:val="bottom"/>
          </w:tcPr>
          <w:p>
            <w:pPr>
              <w:pStyle w:val="TableContents"/>
              <w:spacing w:before="0" w:after="283"/>
              <w:jc w:val="right"/>
              <w:rPr/>
            </w:pPr>
            <w:r>
              <w:rPr/>
              <w:t>86.1</w:t>
            </w:r>
          </w:p>
        </w:tc>
        <w:tc>
          <w:tcPr>
            <w:tcW w:w="21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63.8</w:t>
            </w:r>
          </w:p>
        </w:tc>
        <w:tc>
          <w:tcPr>
            <w:tcW w:w="396" w:type="dxa"/>
            <w:tcBorders/>
            <w:shd w:fill="auto" w:val="clear"/>
            <w:vAlign w:val="bottom"/>
          </w:tcPr>
          <w:p>
            <w:pPr>
              <w:pStyle w:val="TableContents"/>
              <w:spacing w:before="0" w:after="283"/>
              <w:rPr/>
            </w:pPr>
            <w:r>
              <w:rPr/>
              <w:t>%</w:t>
            </w:r>
          </w:p>
        </w:tc>
        <w:tc>
          <w:tcPr>
            <w:tcW w:w="12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0</w:t>
            </w:r>
          </w:p>
        </w:tc>
        <w:tc>
          <w:tcPr>
            <w:tcW w:w="521" w:type="dxa"/>
            <w:tcBorders/>
            <w:shd w:fill="auto" w:val="clear"/>
            <w:vAlign w:val="bottom"/>
          </w:tcPr>
          <w:p>
            <w:pPr>
              <w:pStyle w:val="TableContents"/>
              <w:spacing w:before="0" w:after="283"/>
              <w:rPr/>
            </w:pPr>
            <w:r>
              <w:rPr/>
              <w:t>%</w:t>
            </w:r>
          </w:p>
        </w:tc>
      </w:tr>
      <w:tr>
        <w:trPr>
          <w:trHeight w:val="75" w:hRule="atLeast"/>
        </w:trPr>
        <w:tc>
          <w:tcPr>
            <w:tcW w:w="2477" w:type="dxa"/>
            <w:tcBorders/>
            <w:shd w:fill="E5E5E5" w:val="clear"/>
            <w:vAlign w:val="center"/>
          </w:tcPr>
          <w:p>
            <w:pPr>
              <w:pStyle w:val="TableContents"/>
              <w:spacing w:before="0" w:after="283"/>
              <w:rPr>
                <w:sz w:val="4"/>
                <w:szCs w:val="4"/>
              </w:rPr>
            </w:pPr>
            <w:r>
              <w:rPr>
                <w:sz w:val="4"/>
                <w:szCs w:val="4"/>
              </w:rPr>
            </w:r>
          </w:p>
        </w:tc>
        <w:tc>
          <w:tcPr>
            <w:tcW w:w="1277"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219"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572" w:type="dxa"/>
            <w:gridSpan w:val="5"/>
            <w:tcBorders/>
            <w:shd w:fill="E5E5E5" w:val="clear"/>
            <w:vAlign w:val="center"/>
          </w:tcPr>
          <w:p>
            <w:pPr>
              <w:pStyle w:val="TableContents"/>
              <w:spacing w:before="0" w:after="283"/>
              <w:rPr>
                <w:sz w:val="4"/>
                <w:szCs w:val="4"/>
              </w:rPr>
            </w:pPr>
            <w:r>
              <w:rPr>
                <w:sz w:val="4"/>
                <w:szCs w:val="4"/>
              </w:rPr>
            </w:r>
          </w:p>
        </w:tc>
        <w:tc>
          <w:tcPr>
            <w:tcW w:w="1406" w:type="dxa"/>
            <w:gridSpan w:val="5"/>
            <w:tcBorders/>
            <w:shd w:fill="E5E5E5" w:val="clear"/>
            <w:vAlign w:val="center"/>
          </w:tcPr>
          <w:p>
            <w:pPr>
              <w:pStyle w:val="TableContents"/>
              <w:spacing w:before="0" w:after="283"/>
              <w:rPr>
                <w:sz w:val="4"/>
                <w:szCs w:val="4"/>
              </w:rPr>
            </w:pPr>
            <w:r>
              <w:rPr>
                <w:sz w:val="4"/>
                <w:szCs w:val="4"/>
              </w:rPr>
            </w:r>
          </w:p>
        </w:tc>
      </w:tr>
      <w:tr>
        <w:trPr/>
        <w:tc>
          <w:tcPr>
            <w:tcW w:w="2477" w:type="dxa"/>
            <w:tcBorders/>
            <w:shd w:fill="E5E5E5" w:val="clear"/>
          </w:tcPr>
          <w:p>
            <w:pPr>
              <w:pStyle w:val="TableContents"/>
              <w:spacing w:before="0" w:after="0"/>
              <w:rPr>
                <w:rFonts w:ascii="arial" w:hAnsi="arial"/>
                <w:sz w:val="20"/>
              </w:rPr>
            </w:pPr>
            <w:r>
              <w:rPr>
                <w:rFonts w:ascii="arial" w:hAnsi="arial"/>
                <w:sz w:val="20"/>
              </w:rPr>
              <w:t>IHOP Same Restaurant Sales</w:t>
            </w:r>
          </w:p>
        </w:tc>
        <w:tc>
          <w:tcPr>
            <w:tcW w:w="187"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 </w:t>
            </w:r>
          </w:p>
        </w:tc>
        <w:tc>
          <w:tcPr>
            <w:tcW w:w="634" w:type="dxa"/>
            <w:tcBorders/>
            <w:shd w:fill="E5E5E5" w:val="clear"/>
            <w:vAlign w:val="bottom"/>
          </w:tcPr>
          <w:p>
            <w:pPr>
              <w:pStyle w:val="TableContents"/>
              <w:spacing w:before="0" w:after="283"/>
              <w:jc w:val="right"/>
              <w:rPr/>
            </w:pPr>
            <w:r>
              <w:rPr/>
              <w:t>-0.5</w:t>
            </w:r>
          </w:p>
        </w:tc>
        <w:tc>
          <w:tcPr>
            <w:tcW w:w="238" w:type="dxa"/>
            <w:tcBorders/>
            <w:shd w:fill="E5E5E5" w:val="clear"/>
            <w:vAlign w:val="bottom"/>
          </w:tcPr>
          <w:p>
            <w:pPr>
              <w:pStyle w:val="TableContents"/>
              <w:spacing w:before="0" w:after="283"/>
              <w:rPr/>
            </w:pPr>
            <w:r>
              <w:rPr/>
              <w:t>%</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582" w:type="dxa"/>
            <w:tcBorders/>
            <w:shd w:fill="E5E5E5" w:val="clear"/>
            <w:vAlign w:val="bottom"/>
          </w:tcPr>
          <w:p>
            <w:pPr>
              <w:pStyle w:val="TableContents"/>
              <w:spacing w:before="0" w:after="283"/>
              <w:jc w:val="right"/>
              <w:rPr/>
            </w:pPr>
            <w:r>
              <w:rPr/>
              <w:t>2.0</w:t>
            </w:r>
          </w:p>
        </w:tc>
        <w:tc>
          <w:tcPr>
            <w:tcW w:w="215" w:type="dxa"/>
            <w:tcBorders/>
            <w:shd w:fill="E5E5E5" w:val="clear"/>
            <w:vAlign w:val="bottom"/>
          </w:tcPr>
          <w:p>
            <w:pPr>
              <w:pStyle w:val="TableContents"/>
              <w:spacing w:before="0" w:after="283"/>
              <w:rPr/>
            </w:pPr>
            <w:r>
              <w:rPr/>
              <w:t>%</w:t>
            </w:r>
          </w:p>
        </w:tc>
        <w:tc>
          <w:tcPr>
            <w:tcW w:w="130" w:type="dxa"/>
            <w:tcBorders/>
            <w:shd w:fill="E5E5E5" w:val="clear"/>
            <w:vAlign w:val="bottom"/>
          </w:tcPr>
          <w:p>
            <w:pPr>
              <w:pStyle w:val="TableContents"/>
              <w:spacing w:before="0" w:after="283"/>
              <w:rPr/>
            </w:pPr>
            <w:r>
              <w:rPr/>
              <w:t> </w:t>
            </w:r>
          </w:p>
        </w:tc>
        <w:tc>
          <w:tcPr>
            <w:tcW w:w="64"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 </w:t>
            </w:r>
          </w:p>
        </w:tc>
        <w:tc>
          <w:tcPr>
            <w:tcW w:w="634" w:type="dxa"/>
            <w:tcBorders/>
            <w:shd w:fill="E5E5E5" w:val="clear"/>
            <w:vAlign w:val="bottom"/>
          </w:tcPr>
          <w:p>
            <w:pPr>
              <w:pStyle w:val="TableContents"/>
              <w:spacing w:before="0" w:after="283"/>
              <w:jc w:val="right"/>
              <w:rPr/>
            </w:pPr>
            <w:r>
              <w:rPr/>
              <w:t>4.0</w:t>
            </w:r>
          </w:p>
        </w:tc>
        <w:tc>
          <w:tcPr>
            <w:tcW w:w="238" w:type="dxa"/>
            <w:tcBorders/>
            <w:shd w:fill="E5E5E5" w:val="clear"/>
            <w:vAlign w:val="bottom"/>
          </w:tcPr>
          <w:p>
            <w:pPr>
              <w:pStyle w:val="TableContents"/>
              <w:spacing w:before="0" w:after="283"/>
              <w:rPr/>
            </w:pPr>
            <w:r>
              <w:rPr/>
              <w:t>%</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582" w:type="dxa"/>
            <w:tcBorders/>
            <w:shd w:fill="E5E5E5" w:val="clear"/>
            <w:vAlign w:val="bottom"/>
          </w:tcPr>
          <w:p>
            <w:pPr>
              <w:pStyle w:val="TableContents"/>
              <w:spacing w:before="0" w:after="283"/>
              <w:jc w:val="right"/>
              <w:rPr/>
            </w:pPr>
            <w:r>
              <w:rPr/>
              <w:t>-32.8</w:t>
            </w:r>
          </w:p>
        </w:tc>
        <w:tc>
          <w:tcPr>
            <w:tcW w:w="215" w:type="dxa"/>
            <w:tcBorders/>
            <w:shd w:fill="E5E5E5" w:val="clear"/>
            <w:vAlign w:val="bottom"/>
          </w:tcPr>
          <w:p>
            <w:pPr>
              <w:pStyle w:val="TableContents"/>
              <w:spacing w:before="0" w:after="283"/>
              <w:rPr/>
            </w:pPr>
            <w:r>
              <w:rPr/>
              <w:t>%</w:t>
            </w:r>
          </w:p>
        </w:tc>
        <w:tc>
          <w:tcPr>
            <w:tcW w:w="130"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830" w:type="dxa"/>
            <w:tcBorders/>
            <w:shd w:fill="E5E5E5" w:val="clear"/>
            <w:vAlign w:val="bottom"/>
          </w:tcPr>
          <w:p>
            <w:pPr>
              <w:pStyle w:val="TableContents"/>
              <w:spacing w:before="0" w:after="283"/>
              <w:jc w:val="right"/>
              <w:rPr/>
            </w:pPr>
            <w:r>
              <w:rPr/>
              <w:t>n/a</w:t>
            </w:r>
          </w:p>
        </w:tc>
        <w:tc>
          <w:tcPr>
            <w:tcW w:w="396" w:type="dxa"/>
            <w:tcBorders/>
            <w:shd w:fill="E5E5E5" w:val="clear"/>
            <w:vAlign w:val="bottom"/>
          </w:tcPr>
          <w:p>
            <w:pPr>
              <w:pStyle w:val="TableContents"/>
              <w:spacing w:before="0" w:after="283"/>
              <w:rPr>
                <w:sz w:val="4"/>
                <w:szCs w:val="4"/>
              </w:rPr>
            </w:pPr>
            <w:r>
              <w:rPr>
                <w:sz w:val="4"/>
                <w:szCs w:val="4"/>
              </w:rPr>
            </w:r>
          </w:p>
        </w:tc>
        <w:tc>
          <w:tcPr>
            <w:tcW w:w="129"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474" w:type="dxa"/>
            <w:tcBorders/>
            <w:shd w:fill="E5E5E5" w:val="clear"/>
            <w:vAlign w:val="bottom"/>
          </w:tcPr>
          <w:p>
            <w:pPr>
              <w:pStyle w:val="TableContents"/>
              <w:spacing w:before="0" w:after="283"/>
              <w:jc w:val="right"/>
              <w:rPr/>
            </w:pPr>
            <w:r>
              <w:rPr/>
              <w:t>0</w:t>
            </w:r>
          </w:p>
        </w:tc>
        <w:tc>
          <w:tcPr>
            <w:tcW w:w="521" w:type="dxa"/>
            <w:tcBorders/>
            <w:shd w:fill="E5E5E5" w:val="clear"/>
            <w:vAlign w:val="bottom"/>
          </w:tcPr>
          <w:p>
            <w:pPr>
              <w:pStyle w:val="TableContents"/>
              <w:spacing w:before="0" w:after="283"/>
              <w:rPr/>
            </w:pPr>
            <w:r>
              <w:rPr/>
              <w:t>%</w:t>
            </w:r>
          </w:p>
        </w:tc>
      </w:tr>
      <w:tr>
        <w:trPr>
          <w:trHeight w:val="75" w:hRule="atLeast"/>
        </w:trPr>
        <w:tc>
          <w:tcPr>
            <w:tcW w:w="2477" w:type="dxa"/>
            <w:tcBorders/>
            <w:shd w:fill="auto" w:val="clear"/>
            <w:vAlign w:val="center"/>
          </w:tcPr>
          <w:p>
            <w:pPr>
              <w:pStyle w:val="TableContents"/>
              <w:spacing w:before="0" w:after="283"/>
              <w:rPr>
                <w:sz w:val="4"/>
                <w:szCs w:val="4"/>
              </w:rPr>
            </w:pPr>
            <w:r>
              <w:rPr>
                <w:sz w:val="4"/>
                <w:szCs w:val="4"/>
              </w:rPr>
            </w:r>
          </w:p>
        </w:tc>
        <w:tc>
          <w:tcPr>
            <w:tcW w:w="1277" w:type="dxa"/>
            <w:gridSpan w:val="5"/>
            <w:tcBorders/>
            <w:shd w:fill="auto" w:val="clear"/>
            <w:vAlign w:val="center"/>
          </w:tcPr>
          <w:p>
            <w:pPr>
              <w:pStyle w:val="TableContents"/>
              <w:spacing w:before="0" w:after="283"/>
              <w:rPr>
                <w:sz w:val="4"/>
                <w:szCs w:val="4"/>
              </w:rPr>
            </w:pPr>
            <w:r>
              <w:rPr>
                <w:sz w:val="4"/>
                <w:szCs w:val="4"/>
              </w:rPr>
            </w:r>
          </w:p>
        </w:tc>
        <w:tc>
          <w:tcPr>
            <w:tcW w:w="1127" w:type="dxa"/>
            <w:gridSpan w:val="5"/>
            <w:tcBorders/>
            <w:shd w:fill="auto" w:val="clear"/>
            <w:vAlign w:val="center"/>
          </w:tcPr>
          <w:p>
            <w:pPr>
              <w:pStyle w:val="TableContents"/>
              <w:spacing w:before="0" w:after="283"/>
              <w:rPr>
                <w:sz w:val="4"/>
                <w:szCs w:val="4"/>
              </w:rPr>
            </w:pPr>
            <w:r>
              <w:rPr>
                <w:sz w:val="4"/>
                <w:szCs w:val="4"/>
              </w:rPr>
            </w:r>
          </w:p>
        </w:tc>
        <w:tc>
          <w:tcPr>
            <w:tcW w:w="1219" w:type="dxa"/>
            <w:gridSpan w:val="5"/>
            <w:tcBorders/>
            <w:shd w:fill="auto" w:val="clear"/>
            <w:vAlign w:val="center"/>
          </w:tcPr>
          <w:p>
            <w:pPr>
              <w:pStyle w:val="TableContents"/>
              <w:spacing w:before="0" w:after="283"/>
              <w:rPr>
                <w:sz w:val="4"/>
                <w:szCs w:val="4"/>
              </w:rPr>
            </w:pPr>
            <w:r>
              <w:rPr>
                <w:sz w:val="4"/>
                <w:szCs w:val="4"/>
              </w:rPr>
            </w:r>
          </w:p>
        </w:tc>
        <w:tc>
          <w:tcPr>
            <w:tcW w:w="1127" w:type="dxa"/>
            <w:gridSpan w:val="5"/>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vAlign w:val="center"/>
          </w:tcPr>
          <w:p>
            <w:pPr>
              <w:pStyle w:val="TableContents"/>
              <w:spacing w:before="0" w:after="283"/>
              <w:rPr>
                <w:sz w:val="4"/>
                <w:szCs w:val="4"/>
              </w:rPr>
            </w:pPr>
            <w:r>
              <w:rPr>
                <w:sz w:val="4"/>
                <w:szCs w:val="4"/>
              </w:rPr>
            </w:r>
          </w:p>
        </w:tc>
        <w:tc>
          <w:tcPr>
            <w:tcW w:w="1406" w:type="dxa"/>
            <w:gridSpan w:val="5"/>
            <w:tcBorders/>
            <w:shd w:fill="auto" w:val="clear"/>
            <w:vAlign w:val="center"/>
          </w:tcPr>
          <w:p>
            <w:pPr>
              <w:pStyle w:val="TableContents"/>
              <w:spacing w:before="0" w:after="283"/>
              <w:rPr>
                <w:sz w:val="4"/>
                <w:szCs w:val="4"/>
              </w:rPr>
            </w:pPr>
            <w:r>
              <w:rPr>
                <w:sz w:val="4"/>
                <w:szCs w:val="4"/>
              </w:rPr>
            </w:r>
          </w:p>
        </w:tc>
      </w:tr>
      <w:tr>
        <w:trPr/>
        <w:tc>
          <w:tcPr>
            <w:tcW w:w="2477" w:type="dxa"/>
            <w:tcBorders/>
            <w:shd w:fill="auto" w:val="clear"/>
          </w:tcPr>
          <w:p>
            <w:pPr>
              <w:pStyle w:val="TableContents"/>
              <w:spacing w:before="0" w:after="0"/>
              <w:rPr>
                <w:rFonts w:ascii="arial" w:hAnsi="arial"/>
                <w:sz w:val="20"/>
              </w:rPr>
            </w:pPr>
            <w:r>
              <w:rPr>
                <w:rFonts w:ascii="arial" w:hAnsi="arial"/>
                <w:sz w:val="20"/>
              </w:rPr>
              <w:t>Applebees Same Restaurant Sales</w:t>
            </w:r>
          </w:p>
        </w:tc>
        <w:tc>
          <w:tcPr>
            <w:tcW w:w="187"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-0.5</w:t>
            </w:r>
          </w:p>
        </w:tc>
        <w:tc>
          <w:tcPr>
            <w:tcW w:w="238" w:type="dxa"/>
            <w:tcBorders/>
            <w:shd w:fill="auto" w:val="clear"/>
            <w:vAlign w:val="bottom"/>
          </w:tcPr>
          <w:p>
            <w:pPr>
              <w:pStyle w:val="TableContents"/>
              <w:spacing w:before="0" w:after="283"/>
              <w:rPr/>
            </w:pPr>
            <w:r>
              <w:rPr/>
              <w:t>%</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2" w:type="dxa"/>
            <w:tcBorders/>
            <w:shd w:fill="auto" w:val="clear"/>
            <w:vAlign w:val="bottom"/>
          </w:tcPr>
          <w:p>
            <w:pPr>
              <w:pStyle w:val="TableContents"/>
              <w:spacing w:before="0" w:after="283"/>
              <w:jc w:val="right"/>
              <w:rPr/>
            </w:pPr>
            <w:r>
              <w:rPr/>
              <w:t>2.0</w:t>
            </w:r>
          </w:p>
        </w:tc>
        <w:tc>
          <w:tcPr>
            <w:tcW w:w="215" w:type="dxa"/>
            <w:tcBorders/>
            <w:shd w:fill="auto" w:val="clear"/>
            <w:vAlign w:val="bottom"/>
          </w:tcPr>
          <w:p>
            <w:pPr>
              <w:pStyle w:val="TableContents"/>
              <w:spacing w:before="0" w:after="283"/>
              <w:rPr/>
            </w:pPr>
            <w:r>
              <w:rPr/>
              <w:t>%</w:t>
            </w:r>
          </w:p>
        </w:tc>
        <w:tc>
          <w:tcPr>
            <w:tcW w:w="13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4.0</w:t>
            </w:r>
          </w:p>
        </w:tc>
        <w:tc>
          <w:tcPr>
            <w:tcW w:w="238" w:type="dxa"/>
            <w:tcBorders/>
            <w:shd w:fill="auto" w:val="clear"/>
            <w:vAlign w:val="bottom"/>
          </w:tcPr>
          <w:p>
            <w:pPr>
              <w:pStyle w:val="TableContents"/>
              <w:spacing w:before="0" w:after="283"/>
              <w:rPr/>
            </w:pPr>
            <w:r>
              <w:rPr/>
              <w:t>%</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2" w:type="dxa"/>
            <w:tcBorders/>
            <w:shd w:fill="auto" w:val="clear"/>
            <w:vAlign w:val="bottom"/>
          </w:tcPr>
          <w:p>
            <w:pPr>
              <w:pStyle w:val="TableContents"/>
              <w:spacing w:before="0" w:after="283"/>
              <w:jc w:val="right"/>
              <w:rPr/>
            </w:pPr>
            <w:r>
              <w:rPr/>
              <w:t>-22.4</w:t>
            </w:r>
          </w:p>
        </w:tc>
        <w:tc>
          <w:tcPr>
            <w:tcW w:w="215" w:type="dxa"/>
            <w:tcBorders/>
            <w:shd w:fill="auto" w:val="clear"/>
            <w:vAlign w:val="bottom"/>
          </w:tcPr>
          <w:p>
            <w:pPr>
              <w:pStyle w:val="TableContents"/>
              <w:spacing w:before="0" w:after="283"/>
              <w:rPr/>
            </w:pPr>
            <w:r>
              <w:rPr/>
              <w:t>%</w:t>
            </w:r>
          </w:p>
        </w:tc>
        <w:tc>
          <w:tcPr>
            <w:tcW w:w="13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n/a</w:t>
            </w:r>
          </w:p>
        </w:tc>
        <w:tc>
          <w:tcPr>
            <w:tcW w:w="39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0</w:t>
            </w:r>
          </w:p>
        </w:tc>
        <w:tc>
          <w:tcPr>
            <w:tcW w:w="521" w:type="dxa"/>
            <w:tcBorders/>
            <w:shd w:fill="auto" w:val="clear"/>
            <w:vAlign w:val="bottom"/>
          </w:tcPr>
          <w:p>
            <w:pPr>
              <w:pStyle w:val="TableContents"/>
              <w:spacing w:before="0" w:after="283"/>
              <w:rPr/>
            </w:pPr>
            <w:r>
              <w:rPr/>
              <w:t>%</w:t>
            </w:r>
          </w:p>
        </w:tc>
      </w:tr>
      <w:tr>
        <w:trPr>
          <w:trHeight w:val="75" w:hRule="atLeast"/>
        </w:trPr>
        <w:tc>
          <w:tcPr>
            <w:tcW w:w="2477" w:type="dxa"/>
            <w:tcBorders/>
            <w:shd w:fill="E5E5E5" w:val="clear"/>
            <w:vAlign w:val="center"/>
          </w:tcPr>
          <w:p>
            <w:pPr>
              <w:pStyle w:val="TableContents"/>
              <w:spacing w:before="0" w:after="283"/>
              <w:rPr>
                <w:sz w:val="4"/>
                <w:szCs w:val="4"/>
              </w:rPr>
            </w:pPr>
            <w:r>
              <w:rPr>
                <w:sz w:val="4"/>
                <w:szCs w:val="4"/>
              </w:rPr>
            </w:r>
          </w:p>
        </w:tc>
        <w:tc>
          <w:tcPr>
            <w:tcW w:w="1277"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219"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572" w:type="dxa"/>
            <w:gridSpan w:val="5"/>
            <w:tcBorders/>
            <w:shd w:fill="E5E5E5" w:val="clear"/>
            <w:vAlign w:val="center"/>
          </w:tcPr>
          <w:p>
            <w:pPr>
              <w:pStyle w:val="TableContents"/>
              <w:spacing w:before="0" w:after="283"/>
              <w:rPr>
                <w:sz w:val="4"/>
                <w:szCs w:val="4"/>
              </w:rPr>
            </w:pPr>
            <w:r>
              <w:rPr>
                <w:sz w:val="4"/>
                <w:szCs w:val="4"/>
              </w:rPr>
            </w:r>
          </w:p>
        </w:tc>
        <w:tc>
          <w:tcPr>
            <w:tcW w:w="1406" w:type="dxa"/>
            <w:gridSpan w:val="5"/>
            <w:tcBorders/>
            <w:shd w:fill="E5E5E5" w:val="clear"/>
            <w:vAlign w:val="center"/>
          </w:tcPr>
          <w:p>
            <w:pPr>
              <w:pStyle w:val="TableContents"/>
              <w:spacing w:before="0" w:after="283"/>
              <w:rPr>
                <w:sz w:val="4"/>
                <w:szCs w:val="4"/>
              </w:rPr>
            </w:pPr>
            <w:r>
              <w:rPr>
                <w:sz w:val="4"/>
                <w:szCs w:val="4"/>
              </w:rPr>
            </w:r>
          </w:p>
        </w:tc>
      </w:tr>
      <w:tr>
        <w:trPr/>
        <w:tc>
          <w:tcPr>
            <w:tcW w:w="2477" w:type="dxa"/>
            <w:tcBorders/>
            <w:shd w:fill="E5E5E5" w:val="clear"/>
          </w:tcPr>
          <w:p>
            <w:pPr>
              <w:pStyle w:val="TableContents"/>
              <w:spacing w:before="0" w:after="0"/>
              <w:rPr>
                <w:rFonts w:ascii="arial" w:hAnsi="arial"/>
                <w:sz w:val="20"/>
              </w:rPr>
            </w:pPr>
            <w:r>
              <w:rPr>
                <w:rFonts w:ascii="arial" w:hAnsi="arial"/>
                <w:sz w:val="20"/>
              </w:rPr>
              <w:t>Domestic IHOP Net Restaurant Development</w:t>
            </w:r>
          </w:p>
        </w:tc>
        <w:tc>
          <w:tcPr>
            <w:tcW w:w="187"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 </w:t>
            </w:r>
          </w:p>
        </w:tc>
        <w:tc>
          <w:tcPr>
            <w:tcW w:w="634" w:type="dxa"/>
            <w:tcBorders/>
            <w:shd w:fill="E5E5E5" w:val="clear"/>
            <w:vAlign w:val="bottom"/>
          </w:tcPr>
          <w:p>
            <w:pPr>
              <w:pStyle w:val="TableContents"/>
              <w:spacing w:before="0" w:after="283"/>
              <w:jc w:val="right"/>
              <w:rPr/>
            </w:pPr>
            <w:r>
              <w:rPr/>
              <w:t></w:t>
            </w:r>
          </w:p>
        </w:tc>
        <w:tc>
          <w:tcPr>
            <w:tcW w:w="238"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582" w:type="dxa"/>
            <w:tcBorders/>
            <w:shd w:fill="E5E5E5" w:val="clear"/>
            <w:vAlign w:val="bottom"/>
          </w:tcPr>
          <w:p>
            <w:pPr>
              <w:pStyle w:val="TableContents"/>
              <w:spacing w:before="0" w:after="283"/>
              <w:jc w:val="right"/>
              <w:rPr/>
            </w:pPr>
            <w:r>
              <w:rPr/>
              <w:t></w:t>
            </w:r>
          </w:p>
        </w:tc>
        <w:tc>
          <w:tcPr>
            <w:tcW w:w="215"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4"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 </w:t>
            </w:r>
          </w:p>
        </w:tc>
        <w:tc>
          <w:tcPr>
            <w:tcW w:w="634" w:type="dxa"/>
            <w:tcBorders/>
            <w:shd w:fill="E5E5E5" w:val="clear"/>
            <w:vAlign w:val="bottom"/>
          </w:tcPr>
          <w:p>
            <w:pPr>
              <w:pStyle w:val="TableContents"/>
              <w:spacing w:before="0" w:after="283"/>
              <w:jc w:val="right"/>
              <w:rPr/>
            </w:pPr>
            <w:r>
              <w:rPr/>
              <w:t></w:t>
            </w:r>
          </w:p>
        </w:tc>
        <w:tc>
          <w:tcPr>
            <w:tcW w:w="238"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582" w:type="dxa"/>
            <w:tcBorders/>
            <w:shd w:fill="E5E5E5" w:val="clear"/>
            <w:vAlign w:val="bottom"/>
          </w:tcPr>
          <w:p>
            <w:pPr>
              <w:pStyle w:val="TableContents"/>
              <w:spacing w:before="0" w:after="283"/>
              <w:jc w:val="right"/>
              <w:rPr/>
            </w:pPr>
            <w:r>
              <w:rPr/>
              <w:t>-38</w:t>
            </w:r>
          </w:p>
        </w:tc>
        <w:tc>
          <w:tcPr>
            <w:tcW w:w="215"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830" w:type="dxa"/>
            <w:tcBorders/>
            <w:shd w:fill="E5E5E5" w:val="clear"/>
            <w:vAlign w:val="bottom"/>
          </w:tcPr>
          <w:p>
            <w:pPr>
              <w:pStyle w:val="TableContents"/>
              <w:spacing w:before="0" w:after="283"/>
              <w:jc w:val="right"/>
              <w:rPr/>
            </w:pPr>
            <w:r>
              <w:rPr/>
              <w:t>n/a</w:t>
            </w:r>
          </w:p>
        </w:tc>
        <w:tc>
          <w:tcPr>
            <w:tcW w:w="396" w:type="dxa"/>
            <w:tcBorders/>
            <w:shd w:fill="E5E5E5" w:val="clear"/>
            <w:vAlign w:val="bottom"/>
          </w:tcPr>
          <w:p>
            <w:pPr>
              <w:pStyle w:val="TableContents"/>
              <w:spacing w:before="0" w:after="283"/>
              <w:rPr>
                <w:sz w:val="4"/>
                <w:szCs w:val="4"/>
              </w:rPr>
            </w:pPr>
            <w:r>
              <w:rPr>
                <w:sz w:val="4"/>
                <w:szCs w:val="4"/>
              </w:rPr>
            </w:r>
          </w:p>
        </w:tc>
        <w:tc>
          <w:tcPr>
            <w:tcW w:w="129"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474" w:type="dxa"/>
            <w:tcBorders/>
            <w:shd w:fill="E5E5E5" w:val="clear"/>
            <w:vAlign w:val="bottom"/>
          </w:tcPr>
          <w:p>
            <w:pPr>
              <w:pStyle w:val="TableContents"/>
              <w:spacing w:before="0" w:after="283"/>
              <w:jc w:val="right"/>
              <w:rPr/>
            </w:pPr>
            <w:r>
              <w:rPr/>
              <w:t>0</w:t>
            </w:r>
          </w:p>
        </w:tc>
        <w:tc>
          <w:tcPr>
            <w:tcW w:w="521" w:type="dxa"/>
            <w:tcBorders/>
            <w:shd w:fill="E5E5E5" w:val="clear"/>
            <w:vAlign w:val="bottom"/>
          </w:tcPr>
          <w:p>
            <w:pPr>
              <w:pStyle w:val="TableContents"/>
              <w:spacing w:before="0" w:after="283"/>
              <w:rPr/>
            </w:pPr>
            <w:r>
              <w:rPr/>
              <w:t>%</w:t>
            </w:r>
          </w:p>
        </w:tc>
      </w:tr>
      <w:tr>
        <w:trPr>
          <w:trHeight w:val="75" w:hRule="atLeast"/>
        </w:trPr>
        <w:tc>
          <w:tcPr>
            <w:tcW w:w="2477" w:type="dxa"/>
            <w:tcBorders/>
            <w:shd w:fill="auto" w:val="clear"/>
            <w:vAlign w:val="center"/>
          </w:tcPr>
          <w:p>
            <w:pPr>
              <w:pStyle w:val="TableContents"/>
              <w:spacing w:before="0" w:after="283"/>
              <w:rPr>
                <w:sz w:val="4"/>
                <w:szCs w:val="4"/>
              </w:rPr>
            </w:pPr>
            <w:r>
              <w:rPr>
                <w:sz w:val="4"/>
                <w:szCs w:val="4"/>
              </w:rPr>
            </w:r>
          </w:p>
        </w:tc>
        <w:tc>
          <w:tcPr>
            <w:tcW w:w="1277" w:type="dxa"/>
            <w:gridSpan w:val="5"/>
            <w:tcBorders/>
            <w:shd w:fill="auto" w:val="clear"/>
            <w:vAlign w:val="center"/>
          </w:tcPr>
          <w:p>
            <w:pPr>
              <w:pStyle w:val="TableContents"/>
              <w:spacing w:before="0" w:after="283"/>
              <w:rPr>
                <w:sz w:val="4"/>
                <w:szCs w:val="4"/>
              </w:rPr>
            </w:pPr>
            <w:r>
              <w:rPr>
                <w:sz w:val="4"/>
                <w:szCs w:val="4"/>
              </w:rPr>
            </w:r>
          </w:p>
        </w:tc>
        <w:tc>
          <w:tcPr>
            <w:tcW w:w="1127" w:type="dxa"/>
            <w:gridSpan w:val="5"/>
            <w:tcBorders/>
            <w:shd w:fill="auto" w:val="clear"/>
            <w:vAlign w:val="center"/>
          </w:tcPr>
          <w:p>
            <w:pPr>
              <w:pStyle w:val="TableContents"/>
              <w:spacing w:before="0" w:after="283"/>
              <w:rPr>
                <w:sz w:val="4"/>
                <w:szCs w:val="4"/>
              </w:rPr>
            </w:pPr>
            <w:r>
              <w:rPr>
                <w:sz w:val="4"/>
                <w:szCs w:val="4"/>
              </w:rPr>
            </w:r>
          </w:p>
        </w:tc>
        <w:tc>
          <w:tcPr>
            <w:tcW w:w="1219" w:type="dxa"/>
            <w:gridSpan w:val="5"/>
            <w:tcBorders/>
            <w:shd w:fill="auto" w:val="clear"/>
            <w:vAlign w:val="center"/>
          </w:tcPr>
          <w:p>
            <w:pPr>
              <w:pStyle w:val="TableContents"/>
              <w:spacing w:before="0" w:after="283"/>
              <w:rPr>
                <w:sz w:val="4"/>
                <w:szCs w:val="4"/>
              </w:rPr>
            </w:pPr>
            <w:r>
              <w:rPr>
                <w:sz w:val="4"/>
                <w:szCs w:val="4"/>
              </w:rPr>
            </w:r>
          </w:p>
        </w:tc>
        <w:tc>
          <w:tcPr>
            <w:tcW w:w="1127" w:type="dxa"/>
            <w:gridSpan w:val="5"/>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vAlign w:val="center"/>
          </w:tcPr>
          <w:p>
            <w:pPr>
              <w:pStyle w:val="TableContents"/>
              <w:spacing w:before="0" w:after="283"/>
              <w:rPr>
                <w:sz w:val="4"/>
                <w:szCs w:val="4"/>
              </w:rPr>
            </w:pPr>
            <w:r>
              <w:rPr>
                <w:sz w:val="4"/>
                <w:szCs w:val="4"/>
              </w:rPr>
            </w:r>
          </w:p>
        </w:tc>
        <w:tc>
          <w:tcPr>
            <w:tcW w:w="1406" w:type="dxa"/>
            <w:gridSpan w:val="5"/>
            <w:tcBorders/>
            <w:shd w:fill="auto" w:val="clear"/>
            <w:vAlign w:val="center"/>
          </w:tcPr>
          <w:p>
            <w:pPr>
              <w:pStyle w:val="TableContents"/>
              <w:spacing w:before="0" w:after="283"/>
              <w:rPr>
                <w:sz w:val="4"/>
                <w:szCs w:val="4"/>
              </w:rPr>
            </w:pPr>
            <w:r>
              <w:rPr>
                <w:sz w:val="4"/>
                <w:szCs w:val="4"/>
              </w:rPr>
            </w:r>
          </w:p>
        </w:tc>
      </w:tr>
      <w:tr>
        <w:trPr/>
        <w:tc>
          <w:tcPr>
            <w:tcW w:w="2477" w:type="dxa"/>
            <w:tcBorders/>
            <w:shd w:fill="auto" w:val="clear"/>
          </w:tcPr>
          <w:p>
            <w:pPr>
              <w:pStyle w:val="TableContents"/>
              <w:spacing w:before="0" w:after="0"/>
              <w:rPr>
                <w:rFonts w:ascii="arial" w:hAnsi="arial"/>
                <w:sz w:val="20"/>
              </w:rPr>
            </w:pPr>
            <w:r>
              <w:rPr>
                <w:rFonts w:ascii="arial" w:hAnsi="arial"/>
                <w:sz w:val="20"/>
              </w:rPr>
              <w:t>Domestic Applebees Net Restaurant Development</w:t>
            </w:r>
          </w:p>
        </w:tc>
        <w:tc>
          <w:tcPr>
            <w:tcW w:w="187"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w:t>
            </w:r>
          </w:p>
        </w:tc>
        <w:tc>
          <w:tcPr>
            <w:tcW w:w="23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2"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w:t>
            </w:r>
          </w:p>
        </w:tc>
        <w:tc>
          <w:tcPr>
            <w:tcW w:w="23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2" w:type="dxa"/>
            <w:tcBorders/>
            <w:shd w:fill="auto" w:val="clear"/>
            <w:vAlign w:val="bottom"/>
          </w:tcPr>
          <w:p>
            <w:pPr>
              <w:pStyle w:val="TableContents"/>
              <w:spacing w:before="0" w:after="283"/>
              <w:jc w:val="right"/>
              <w:rPr/>
            </w:pPr>
            <w:r>
              <w:rPr/>
              <w:t>-63</w:t>
            </w:r>
          </w:p>
        </w:tc>
        <w:tc>
          <w:tcPr>
            <w:tcW w:w="21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n/a</w:t>
            </w:r>
          </w:p>
        </w:tc>
        <w:tc>
          <w:tcPr>
            <w:tcW w:w="39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0</w:t>
            </w:r>
          </w:p>
        </w:tc>
        <w:tc>
          <w:tcPr>
            <w:tcW w:w="521" w:type="dxa"/>
            <w:tcBorders/>
            <w:shd w:fill="auto" w:val="clear"/>
            <w:vAlign w:val="bottom"/>
          </w:tcPr>
          <w:p>
            <w:pPr>
              <w:pStyle w:val="TableContents"/>
              <w:spacing w:before="0" w:after="283"/>
              <w:rPr/>
            </w:pPr>
            <w:r>
              <w:rPr/>
              <w:t>%</w:t>
            </w:r>
          </w:p>
        </w:tc>
      </w:tr>
      <w:tr>
        <w:trPr>
          <w:trHeight w:val="75" w:hRule="atLeast"/>
        </w:trPr>
        <w:tc>
          <w:tcPr>
            <w:tcW w:w="2477" w:type="dxa"/>
            <w:tcBorders/>
            <w:shd w:fill="E5E5E5" w:val="clear"/>
            <w:vAlign w:val="center"/>
          </w:tcPr>
          <w:p>
            <w:pPr>
              <w:pStyle w:val="TableContents"/>
              <w:spacing w:before="0" w:after="283"/>
              <w:rPr>
                <w:sz w:val="4"/>
                <w:szCs w:val="4"/>
              </w:rPr>
            </w:pPr>
            <w:r>
              <w:rPr>
                <w:sz w:val="4"/>
                <w:szCs w:val="4"/>
              </w:rPr>
            </w:r>
          </w:p>
        </w:tc>
        <w:tc>
          <w:tcPr>
            <w:tcW w:w="1277"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219" w:type="dxa"/>
            <w:gridSpan w:val="5"/>
            <w:tcBorders/>
            <w:shd w:fill="E5E5E5" w:val="clear"/>
            <w:vAlign w:val="center"/>
          </w:tcPr>
          <w:p>
            <w:pPr>
              <w:pStyle w:val="TableContents"/>
              <w:spacing w:before="0" w:after="283"/>
              <w:rPr>
                <w:sz w:val="4"/>
                <w:szCs w:val="4"/>
              </w:rPr>
            </w:pPr>
            <w:r>
              <w:rPr>
                <w:sz w:val="4"/>
                <w:szCs w:val="4"/>
              </w:rPr>
            </w:r>
          </w:p>
        </w:tc>
        <w:tc>
          <w:tcPr>
            <w:tcW w:w="1127" w:type="dxa"/>
            <w:gridSpan w:val="5"/>
            <w:tcBorders/>
            <w:shd w:fill="E5E5E5" w:val="clear"/>
            <w:vAlign w:val="center"/>
          </w:tcPr>
          <w:p>
            <w:pPr>
              <w:pStyle w:val="TableContents"/>
              <w:spacing w:before="0" w:after="283"/>
              <w:rPr>
                <w:sz w:val="4"/>
                <w:szCs w:val="4"/>
              </w:rPr>
            </w:pPr>
            <w:r>
              <w:rPr>
                <w:sz w:val="4"/>
                <w:szCs w:val="4"/>
              </w:rPr>
            </w:r>
          </w:p>
        </w:tc>
        <w:tc>
          <w:tcPr>
            <w:tcW w:w="1572" w:type="dxa"/>
            <w:gridSpan w:val="5"/>
            <w:tcBorders/>
            <w:shd w:fill="E5E5E5" w:val="clear"/>
            <w:vAlign w:val="center"/>
          </w:tcPr>
          <w:p>
            <w:pPr>
              <w:pStyle w:val="TableContents"/>
              <w:spacing w:before="0" w:after="283"/>
              <w:rPr>
                <w:sz w:val="4"/>
                <w:szCs w:val="4"/>
              </w:rPr>
            </w:pPr>
            <w:r>
              <w:rPr>
                <w:sz w:val="4"/>
                <w:szCs w:val="4"/>
              </w:rPr>
            </w:r>
          </w:p>
        </w:tc>
        <w:tc>
          <w:tcPr>
            <w:tcW w:w="1406" w:type="dxa"/>
            <w:gridSpan w:val="5"/>
            <w:tcBorders/>
            <w:shd w:fill="E5E5E5" w:val="clear"/>
            <w:vAlign w:val="center"/>
          </w:tcPr>
          <w:p>
            <w:pPr>
              <w:pStyle w:val="TableContents"/>
              <w:spacing w:before="0" w:after="283"/>
              <w:rPr>
                <w:sz w:val="4"/>
                <w:szCs w:val="4"/>
              </w:rPr>
            </w:pPr>
            <w:r>
              <w:rPr>
                <w:sz w:val="4"/>
                <w:szCs w:val="4"/>
              </w:rPr>
            </w:r>
          </w:p>
        </w:tc>
      </w:tr>
      <w:tr>
        <w:trPr/>
        <w:tc>
          <w:tcPr>
            <w:tcW w:w="2477" w:type="dxa"/>
            <w:tcBorders/>
            <w:shd w:fill="E5E5E5" w:val="clear"/>
          </w:tcPr>
          <w:p>
            <w:pPr>
              <w:pStyle w:val="TableContents"/>
              <w:spacing w:before="0" w:after="0"/>
              <w:rPr>
                <w:rFonts w:ascii="arial" w:hAnsi="arial"/>
                <w:sz w:val="20"/>
              </w:rPr>
            </w:pPr>
            <w:r>
              <w:rPr>
                <w:rFonts w:ascii="arial" w:hAnsi="arial"/>
                <w:sz w:val="20"/>
              </w:rPr>
              <w:t>Payout as a Percentage of an Executives Target</w:t>
            </w:r>
          </w:p>
        </w:tc>
        <w:tc>
          <w:tcPr>
            <w:tcW w:w="187"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 </w:t>
            </w:r>
          </w:p>
        </w:tc>
        <w:tc>
          <w:tcPr>
            <w:tcW w:w="634" w:type="dxa"/>
            <w:tcBorders/>
            <w:shd w:fill="E5E5E5" w:val="clear"/>
            <w:vAlign w:val="bottom"/>
          </w:tcPr>
          <w:p>
            <w:pPr>
              <w:pStyle w:val="TableContents"/>
              <w:spacing w:before="0" w:after="283"/>
              <w:jc w:val="right"/>
              <w:rPr/>
            </w:pPr>
            <w:r>
              <w:rPr/>
              <w:t>50</w:t>
            </w:r>
          </w:p>
        </w:tc>
        <w:tc>
          <w:tcPr>
            <w:tcW w:w="238" w:type="dxa"/>
            <w:tcBorders/>
            <w:shd w:fill="E5E5E5" w:val="clear"/>
            <w:vAlign w:val="bottom"/>
          </w:tcPr>
          <w:p>
            <w:pPr>
              <w:pStyle w:val="TableContents"/>
              <w:spacing w:before="0" w:after="283"/>
              <w:rPr/>
            </w:pPr>
            <w:r>
              <w:rPr/>
              <w:t>%</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582" w:type="dxa"/>
            <w:tcBorders/>
            <w:shd w:fill="E5E5E5" w:val="clear"/>
            <w:vAlign w:val="bottom"/>
          </w:tcPr>
          <w:p>
            <w:pPr>
              <w:pStyle w:val="TableContents"/>
              <w:spacing w:before="0" w:after="283"/>
              <w:jc w:val="right"/>
              <w:rPr/>
            </w:pPr>
            <w:r>
              <w:rPr/>
              <w:t>100</w:t>
            </w:r>
          </w:p>
        </w:tc>
        <w:tc>
          <w:tcPr>
            <w:tcW w:w="215" w:type="dxa"/>
            <w:tcBorders/>
            <w:shd w:fill="E5E5E5" w:val="clear"/>
            <w:vAlign w:val="bottom"/>
          </w:tcPr>
          <w:p>
            <w:pPr>
              <w:pStyle w:val="TableContents"/>
              <w:spacing w:before="0" w:after="283"/>
              <w:rPr/>
            </w:pPr>
            <w:r>
              <w:rPr/>
              <w:t>%</w:t>
            </w:r>
          </w:p>
        </w:tc>
        <w:tc>
          <w:tcPr>
            <w:tcW w:w="130" w:type="dxa"/>
            <w:tcBorders/>
            <w:shd w:fill="E5E5E5" w:val="clear"/>
            <w:vAlign w:val="bottom"/>
          </w:tcPr>
          <w:p>
            <w:pPr>
              <w:pStyle w:val="TableContents"/>
              <w:spacing w:before="0" w:after="283"/>
              <w:rPr/>
            </w:pPr>
            <w:r>
              <w:rPr/>
              <w:t> </w:t>
            </w:r>
          </w:p>
        </w:tc>
        <w:tc>
          <w:tcPr>
            <w:tcW w:w="64" w:type="dxa"/>
            <w:tcBorders/>
            <w:shd w:fill="E5E5E5" w:val="clear"/>
            <w:vAlign w:val="bottom"/>
          </w:tcPr>
          <w:p>
            <w:pPr>
              <w:pStyle w:val="TableContents"/>
              <w:spacing w:before="0" w:after="283"/>
              <w:rPr/>
            </w:pPr>
            <w:r>
              <w:rPr/>
              <w:t> </w:t>
            </w:r>
          </w:p>
        </w:tc>
        <w:tc>
          <w:tcPr>
            <w:tcW w:w="153" w:type="dxa"/>
            <w:tcBorders/>
            <w:shd w:fill="E5E5E5" w:val="clear"/>
            <w:vAlign w:val="bottom"/>
          </w:tcPr>
          <w:p>
            <w:pPr>
              <w:pStyle w:val="TableContents"/>
              <w:spacing w:before="0" w:after="283"/>
              <w:rPr/>
            </w:pPr>
            <w:r>
              <w:rPr/>
              <w:t> </w:t>
            </w:r>
          </w:p>
        </w:tc>
        <w:tc>
          <w:tcPr>
            <w:tcW w:w="634" w:type="dxa"/>
            <w:tcBorders/>
            <w:shd w:fill="E5E5E5" w:val="clear"/>
            <w:vAlign w:val="bottom"/>
          </w:tcPr>
          <w:p>
            <w:pPr>
              <w:pStyle w:val="TableContents"/>
              <w:spacing w:before="0" w:after="283"/>
              <w:jc w:val="right"/>
              <w:rPr/>
            </w:pPr>
            <w:r>
              <w:rPr/>
              <w:t>200</w:t>
            </w:r>
          </w:p>
        </w:tc>
        <w:tc>
          <w:tcPr>
            <w:tcW w:w="238" w:type="dxa"/>
            <w:tcBorders/>
            <w:shd w:fill="E5E5E5" w:val="clear"/>
            <w:vAlign w:val="bottom"/>
          </w:tcPr>
          <w:p>
            <w:pPr>
              <w:pStyle w:val="TableContents"/>
              <w:spacing w:before="0" w:after="283"/>
              <w:rPr/>
            </w:pPr>
            <w:r>
              <w:rPr/>
              <w:t>%</w:t>
            </w:r>
          </w:p>
        </w:tc>
        <w:tc>
          <w:tcPr>
            <w:tcW w:w="13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582" w:type="dxa"/>
            <w:tcBorders/>
            <w:shd w:fill="E5E5E5" w:val="clear"/>
            <w:vAlign w:val="bottom"/>
          </w:tcPr>
          <w:p>
            <w:pPr>
              <w:pStyle w:val="TableContents"/>
              <w:spacing w:before="0" w:after="283"/>
              <w:jc w:val="right"/>
              <w:rPr/>
            </w:pPr>
            <w:r>
              <w:rPr/>
              <w:t></w:t>
            </w:r>
          </w:p>
        </w:tc>
        <w:tc>
          <w:tcPr>
            <w:tcW w:w="215" w:type="dxa"/>
            <w:tcBorders/>
            <w:shd w:fill="E5E5E5" w:val="clear"/>
            <w:vAlign w:val="bottom"/>
          </w:tcPr>
          <w:p>
            <w:pPr>
              <w:pStyle w:val="TableContents"/>
              <w:spacing w:before="0" w:after="283"/>
              <w:rPr>
                <w:sz w:val="4"/>
                <w:szCs w:val="4"/>
              </w:rPr>
            </w:pPr>
            <w:r>
              <w:rPr>
                <w:sz w:val="4"/>
                <w:szCs w:val="4"/>
              </w:rPr>
            </w:r>
          </w:p>
        </w:tc>
        <w:tc>
          <w:tcPr>
            <w:tcW w:w="130"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108" w:type="dxa"/>
            <w:tcBorders/>
            <w:shd w:fill="E5E5E5" w:val="clear"/>
            <w:vAlign w:val="bottom"/>
          </w:tcPr>
          <w:p>
            <w:pPr>
              <w:pStyle w:val="TableContents"/>
              <w:spacing w:before="0" w:after="283"/>
              <w:rPr/>
            </w:pPr>
            <w:r>
              <w:rPr/>
              <w:t> </w:t>
            </w:r>
          </w:p>
        </w:tc>
        <w:tc>
          <w:tcPr>
            <w:tcW w:w="830" w:type="dxa"/>
            <w:tcBorders/>
            <w:shd w:fill="E5E5E5" w:val="clear"/>
            <w:vAlign w:val="bottom"/>
          </w:tcPr>
          <w:p>
            <w:pPr>
              <w:pStyle w:val="TableContents"/>
              <w:spacing w:before="0" w:after="283"/>
              <w:jc w:val="right"/>
              <w:rPr/>
            </w:pPr>
            <w:r>
              <w:rPr/>
              <w:t></w:t>
            </w:r>
          </w:p>
        </w:tc>
        <w:tc>
          <w:tcPr>
            <w:tcW w:w="396" w:type="dxa"/>
            <w:tcBorders/>
            <w:shd w:fill="E5E5E5" w:val="clear"/>
            <w:vAlign w:val="bottom"/>
          </w:tcPr>
          <w:p>
            <w:pPr>
              <w:pStyle w:val="TableContents"/>
              <w:spacing w:before="0" w:after="283"/>
              <w:rPr>
                <w:sz w:val="4"/>
                <w:szCs w:val="4"/>
              </w:rPr>
            </w:pPr>
            <w:r>
              <w:rPr>
                <w:sz w:val="4"/>
                <w:szCs w:val="4"/>
              </w:rPr>
            </w:r>
          </w:p>
        </w:tc>
        <w:tc>
          <w:tcPr>
            <w:tcW w:w="129"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 </w:t>
            </w:r>
          </w:p>
        </w:tc>
        <w:tc>
          <w:tcPr>
            <w:tcW w:w="474" w:type="dxa"/>
            <w:tcBorders/>
            <w:shd w:fill="E5E5E5" w:val="clear"/>
            <w:vAlign w:val="bottom"/>
          </w:tcPr>
          <w:p>
            <w:pPr>
              <w:pStyle w:val="TableContents"/>
              <w:spacing w:before="0" w:after="283"/>
              <w:jc w:val="right"/>
              <w:rPr/>
            </w:pPr>
            <w:r>
              <w:rPr/>
              <w:t></w:t>
            </w:r>
          </w:p>
        </w:tc>
        <w:tc>
          <w:tcPr>
            <w:tcW w:w="521" w:type="dxa"/>
            <w:tcBorders/>
            <w:shd w:fill="E5E5E5" w:val="clear"/>
            <w:vAlign w:val="bottom"/>
          </w:tcPr>
          <w:p>
            <w:pPr>
              <w:pStyle w:val="TableContents"/>
              <w:spacing w:before="0" w:after="283"/>
              <w:rPr>
                <w:sz w:val="4"/>
                <w:szCs w:val="4"/>
              </w:rPr>
            </w:pPr>
            <w:r>
              <w:rPr>
                <w:sz w:val="4"/>
                <w:szCs w:val="4"/>
              </w:rPr>
            </w:r>
          </w:p>
        </w:tc>
      </w:tr>
    </w:tbl>
    <w:p>
      <w:pPr>
        <w:pStyle w:val="TextBody"/>
        <w:spacing w:before="240" w:after="0"/>
        <w:jc w:val="left"/>
        <w:rPr>
          <w:rFonts w:ascii="arial" w:hAnsi="arial"/>
          <w:sz w:val="20"/>
        </w:rPr>
      </w:pPr>
      <w:r>
        <w:rPr>
          <w:rFonts w:ascii="arial" w:hAnsi="arial"/>
          <w:sz w:val="20"/>
        </w:rPr>
        <w:t xml:space="preserve">The amounts in the table below represent the discretionary cash payments paid to each of the NEOs based on the Compensation Committees assessment of the factors described above.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501"/>
        <w:gridCol w:w="300"/>
        <w:gridCol w:w="60"/>
        <w:gridCol w:w="141"/>
        <w:gridCol w:w="1037"/>
        <w:gridCol w:w="26"/>
        <w:gridCol w:w="300"/>
        <w:gridCol w:w="117"/>
        <w:gridCol w:w="117"/>
        <w:gridCol w:w="769"/>
        <w:gridCol w:w="432"/>
        <w:gridCol w:w="243"/>
        <w:gridCol w:w="172"/>
        <w:gridCol w:w="171"/>
        <w:gridCol w:w="1294"/>
        <w:gridCol w:w="618"/>
        <w:gridCol w:w="243"/>
        <w:gridCol w:w="95"/>
        <w:gridCol w:w="222"/>
        <w:gridCol w:w="1301"/>
        <w:gridCol w:w="46"/>
      </w:tblGrid>
      <w:tr>
        <w:trPr/>
        <w:tc>
          <w:tcPr>
            <w:tcW w:w="250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501" w:type="dxa"/>
            <w:tcBorders/>
            <w:shd w:fill="CF0A2C" w:val="clear"/>
            <w:vAlign w:val="center"/>
          </w:tcPr>
          <w:p>
            <w:pPr>
              <w:pStyle w:val="TableContents"/>
              <w:spacing w:before="0" w:after="283"/>
              <w:rPr>
                <w:sz w:val="4"/>
                <w:szCs w:val="4"/>
              </w:rPr>
            </w:pPr>
            <w:r>
              <w:rPr>
                <w:sz w:val="4"/>
                <w:szCs w:val="4"/>
              </w:rPr>
            </w:r>
          </w:p>
        </w:tc>
        <w:tc>
          <w:tcPr>
            <w:tcW w:w="1564" w:type="dxa"/>
            <w:gridSpan w:val="5"/>
            <w:tcBorders/>
            <w:shd w:fill="CF0A2C" w:val="clear"/>
            <w:vAlign w:val="center"/>
          </w:tcPr>
          <w:p>
            <w:pPr>
              <w:pStyle w:val="TableContents"/>
              <w:spacing w:before="0" w:after="283"/>
              <w:rPr>
                <w:sz w:val="4"/>
                <w:szCs w:val="4"/>
              </w:rPr>
            </w:pPr>
            <w:r>
              <w:rPr>
                <w:sz w:val="4"/>
                <w:szCs w:val="4"/>
              </w:rPr>
            </w:r>
          </w:p>
        </w:tc>
        <w:tc>
          <w:tcPr>
            <w:tcW w:w="1735" w:type="dxa"/>
            <w:gridSpan w:val="5"/>
            <w:tcBorders/>
            <w:shd w:fill="CF0A2C" w:val="clear"/>
            <w:vAlign w:val="center"/>
          </w:tcPr>
          <w:p>
            <w:pPr>
              <w:pStyle w:val="TableContents"/>
              <w:spacing w:before="0" w:after="283"/>
              <w:rPr>
                <w:sz w:val="4"/>
                <w:szCs w:val="4"/>
              </w:rPr>
            </w:pPr>
            <w:r>
              <w:rPr>
                <w:sz w:val="4"/>
                <w:szCs w:val="4"/>
              </w:rPr>
            </w:r>
          </w:p>
        </w:tc>
        <w:tc>
          <w:tcPr>
            <w:tcW w:w="2498" w:type="dxa"/>
            <w:gridSpan w:val="5"/>
            <w:tcBorders/>
            <w:shd w:fill="CF0A2C" w:val="clear"/>
            <w:vAlign w:val="center"/>
          </w:tcPr>
          <w:p>
            <w:pPr>
              <w:pStyle w:val="TableContents"/>
              <w:spacing w:before="0" w:after="283"/>
              <w:rPr>
                <w:sz w:val="4"/>
                <w:szCs w:val="4"/>
              </w:rPr>
            </w:pPr>
            <w:r>
              <w:rPr>
                <w:sz w:val="4"/>
                <w:szCs w:val="4"/>
              </w:rPr>
            </w:r>
          </w:p>
        </w:tc>
        <w:tc>
          <w:tcPr>
            <w:tcW w:w="1907" w:type="dxa"/>
            <w:gridSpan w:val="5"/>
            <w:tcBorders/>
            <w:shd w:fill="CF0A2C" w:val="clear"/>
            <w:vAlign w:val="center"/>
          </w:tcPr>
          <w:p>
            <w:pPr>
              <w:pStyle w:val="TableContents"/>
              <w:spacing w:before="0" w:after="283"/>
              <w:rPr>
                <w:sz w:val="4"/>
                <w:szCs w:val="4"/>
              </w:rPr>
            </w:pPr>
            <w:r>
              <w:rPr>
                <w:sz w:val="4"/>
                <w:szCs w:val="4"/>
              </w:rPr>
            </w:r>
          </w:p>
        </w:tc>
      </w:tr>
      <w:tr>
        <w:trPr/>
        <w:tc>
          <w:tcPr>
            <w:tcW w:w="2501"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300" w:type="dxa"/>
            <w:tcBorders/>
            <w:shd w:fill="CF0A2C" w:val="clear"/>
            <w:vAlign w:val="bottom"/>
          </w:tcPr>
          <w:p>
            <w:pPr>
              <w:pStyle w:val="TableContents"/>
              <w:spacing w:before="0" w:after="283"/>
              <w:rPr/>
            </w:pPr>
            <w:r>
              <w:rPr/>
              <w:t>  </w:t>
            </w:r>
          </w:p>
        </w:tc>
        <w:tc>
          <w:tcPr>
            <w:tcW w:w="1264" w:type="dxa"/>
            <w:gridSpan w:val="4"/>
            <w:tcBorders/>
            <w:shd w:fill="CF0A2C" w:val="clear"/>
            <w:vAlign w:val="bottom"/>
          </w:tcPr>
          <w:p>
            <w:pPr>
              <w:pStyle w:val="TableContents"/>
              <w:spacing w:before="0" w:after="283"/>
              <w:jc w:val="center"/>
              <w:rPr>
                <w:b/>
                <w:color w:val="FFFFFF"/>
              </w:rPr>
            </w:pPr>
            <w:r>
              <w:rPr>
                <w:b/>
                <w:color w:val="FFFFFF"/>
              </w:rPr>
              <w:t>Base Salary</w:t>
            </w:r>
          </w:p>
        </w:tc>
        <w:tc>
          <w:tcPr>
            <w:tcW w:w="300" w:type="dxa"/>
            <w:tcBorders/>
            <w:shd w:fill="CF0A2C" w:val="clear"/>
            <w:vAlign w:val="bottom"/>
          </w:tcPr>
          <w:p>
            <w:pPr>
              <w:pStyle w:val="TableContents"/>
              <w:spacing w:before="0" w:after="283"/>
              <w:rPr/>
            </w:pPr>
            <w:r>
              <w:rPr/>
              <w:t>  </w:t>
            </w:r>
          </w:p>
        </w:tc>
        <w:tc>
          <w:tcPr>
            <w:tcW w:w="1435" w:type="dxa"/>
            <w:gridSpan w:val="4"/>
            <w:tcBorders/>
            <w:shd w:fill="CF0A2C" w:val="clear"/>
            <w:vAlign w:val="bottom"/>
          </w:tcPr>
          <w:p>
            <w:pPr>
              <w:pStyle w:val="TableContents"/>
              <w:spacing w:before="0" w:after="283"/>
              <w:jc w:val="center"/>
              <w:rPr>
                <w:b/>
                <w:color w:val="FFFFFF"/>
              </w:rPr>
            </w:pPr>
            <w:r>
              <w:rPr>
                <w:b/>
                <w:color w:val="FFFFFF"/>
              </w:rPr>
              <w:t>Target as</w:t>
              <w:br/>
              <w:t>Percentage of</w:t>
              <w:br/>
              <w:t>Base Salary</w:t>
            </w:r>
          </w:p>
        </w:tc>
        <w:tc>
          <w:tcPr>
            <w:tcW w:w="243" w:type="dxa"/>
            <w:tcBorders/>
            <w:shd w:fill="CF0A2C" w:val="clear"/>
            <w:vAlign w:val="bottom"/>
          </w:tcPr>
          <w:p>
            <w:pPr>
              <w:pStyle w:val="TableContents"/>
              <w:spacing w:before="0" w:after="283"/>
              <w:rPr/>
            </w:pPr>
            <w:r>
              <w:rPr/>
              <w:t> </w:t>
            </w:r>
          </w:p>
        </w:tc>
        <w:tc>
          <w:tcPr>
            <w:tcW w:w="2255" w:type="dxa"/>
            <w:gridSpan w:val="4"/>
            <w:tcBorders/>
            <w:shd w:fill="CF0A2C" w:val="clear"/>
            <w:vAlign w:val="bottom"/>
          </w:tcPr>
          <w:p>
            <w:pPr>
              <w:pStyle w:val="TableContents"/>
              <w:spacing w:before="0" w:after="283"/>
              <w:jc w:val="center"/>
              <w:rPr>
                <w:b/>
                <w:color w:val="FFFFFF"/>
              </w:rPr>
            </w:pPr>
            <w:r>
              <w:rPr>
                <w:b/>
                <w:color w:val="FFFFFF"/>
              </w:rPr>
              <w:t>Discretionary Cash</w:t>
              <w:br/>
              <w:t>Payment % of Target</w:t>
            </w:r>
          </w:p>
        </w:tc>
        <w:tc>
          <w:tcPr>
            <w:tcW w:w="243" w:type="dxa"/>
            <w:tcBorders/>
            <w:shd w:fill="CF0A2C" w:val="clear"/>
            <w:vAlign w:val="bottom"/>
          </w:tcPr>
          <w:p>
            <w:pPr>
              <w:pStyle w:val="TableContents"/>
              <w:spacing w:before="0" w:after="283"/>
              <w:rPr/>
            </w:pPr>
            <w:r>
              <w:rPr/>
              <w:t> </w:t>
            </w:r>
          </w:p>
        </w:tc>
        <w:tc>
          <w:tcPr>
            <w:tcW w:w="1664" w:type="dxa"/>
            <w:gridSpan w:val="4"/>
            <w:tcBorders/>
            <w:shd w:fill="CF0A2C" w:val="clear"/>
            <w:vAlign w:val="bottom"/>
          </w:tcPr>
          <w:p>
            <w:pPr>
              <w:pStyle w:val="TableContents"/>
              <w:spacing w:before="0" w:after="283"/>
              <w:jc w:val="center"/>
              <w:rPr>
                <w:b/>
                <w:color w:val="FFFFFF"/>
              </w:rPr>
            </w:pPr>
            <w:r>
              <w:rPr>
                <w:b/>
                <w:color w:val="FFFFFF"/>
              </w:rPr>
              <w:t>Discretionary  </w:t>
              <w:br/>
              <w:t>Cash Payment  </w:t>
            </w:r>
          </w:p>
        </w:tc>
      </w:tr>
      <w:tr>
        <w:trPr>
          <w:trHeight w:val="75" w:hRule="atLeast"/>
        </w:trPr>
        <w:tc>
          <w:tcPr>
            <w:tcW w:w="2501" w:type="dxa"/>
            <w:tcBorders/>
            <w:shd w:fill="E5E5E5" w:val="clear"/>
            <w:vAlign w:val="center"/>
          </w:tcPr>
          <w:p>
            <w:pPr>
              <w:pStyle w:val="TableContents"/>
              <w:spacing w:before="0" w:after="283"/>
              <w:rPr>
                <w:sz w:val="4"/>
                <w:szCs w:val="4"/>
              </w:rPr>
            </w:pPr>
            <w:r>
              <w:rPr>
                <w:sz w:val="4"/>
                <w:szCs w:val="4"/>
              </w:rPr>
            </w:r>
          </w:p>
        </w:tc>
        <w:tc>
          <w:tcPr>
            <w:tcW w:w="1564" w:type="dxa"/>
            <w:gridSpan w:val="5"/>
            <w:tcBorders/>
            <w:shd w:fill="E5E5E5" w:val="clear"/>
            <w:vAlign w:val="center"/>
          </w:tcPr>
          <w:p>
            <w:pPr>
              <w:pStyle w:val="TableContents"/>
              <w:spacing w:before="0" w:after="283"/>
              <w:rPr>
                <w:sz w:val="4"/>
                <w:szCs w:val="4"/>
              </w:rPr>
            </w:pPr>
            <w:r>
              <w:rPr>
                <w:sz w:val="4"/>
                <w:szCs w:val="4"/>
              </w:rPr>
            </w:r>
          </w:p>
        </w:tc>
        <w:tc>
          <w:tcPr>
            <w:tcW w:w="1735" w:type="dxa"/>
            <w:gridSpan w:val="5"/>
            <w:tcBorders/>
            <w:shd w:fill="E5E5E5" w:val="clear"/>
            <w:vAlign w:val="center"/>
          </w:tcPr>
          <w:p>
            <w:pPr>
              <w:pStyle w:val="TableContents"/>
              <w:spacing w:before="0" w:after="283"/>
              <w:rPr>
                <w:sz w:val="4"/>
                <w:szCs w:val="4"/>
              </w:rPr>
            </w:pPr>
            <w:r>
              <w:rPr>
                <w:sz w:val="4"/>
                <w:szCs w:val="4"/>
              </w:rPr>
            </w:r>
          </w:p>
        </w:tc>
        <w:tc>
          <w:tcPr>
            <w:tcW w:w="2498" w:type="dxa"/>
            <w:gridSpan w:val="5"/>
            <w:tcBorders/>
            <w:shd w:fill="E5E5E5" w:val="clear"/>
            <w:vAlign w:val="center"/>
          </w:tcPr>
          <w:p>
            <w:pPr>
              <w:pStyle w:val="TableContents"/>
              <w:spacing w:before="0" w:after="283"/>
              <w:rPr>
                <w:sz w:val="4"/>
                <w:szCs w:val="4"/>
              </w:rPr>
            </w:pPr>
            <w:r>
              <w:rPr>
                <w:sz w:val="4"/>
                <w:szCs w:val="4"/>
              </w:rPr>
            </w:r>
          </w:p>
        </w:tc>
        <w:tc>
          <w:tcPr>
            <w:tcW w:w="1907" w:type="dxa"/>
            <w:gridSpan w:val="5"/>
            <w:tcBorders/>
            <w:shd w:fill="E5E5E5" w:val="clear"/>
            <w:vAlign w:val="center"/>
          </w:tcPr>
          <w:p>
            <w:pPr>
              <w:pStyle w:val="TableContents"/>
              <w:spacing w:before="0" w:after="283"/>
              <w:rPr>
                <w:sz w:val="4"/>
                <w:szCs w:val="4"/>
              </w:rPr>
            </w:pPr>
            <w:r>
              <w:rPr>
                <w:sz w:val="4"/>
                <w:szCs w:val="4"/>
              </w:rPr>
            </w:r>
          </w:p>
        </w:tc>
      </w:tr>
      <w:tr>
        <w:trPr/>
        <w:tc>
          <w:tcPr>
            <w:tcW w:w="2501" w:type="dxa"/>
            <w:tcBorders/>
            <w:shd w:fill="E5E5E5" w:val="clear"/>
          </w:tcPr>
          <w:p>
            <w:pPr>
              <w:pStyle w:val="TableContents"/>
              <w:spacing w:before="0" w:after="0"/>
              <w:rPr>
                <w:rFonts w:ascii="arial" w:hAnsi="arial"/>
                <w:sz w:val="20"/>
              </w:rPr>
            </w:pPr>
            <w:r>
              <w:rPr>
                <w:rFonts w:ascii="arial" w:hAnsi="arial"/>
                <w:sz w:val="20"/>
              </w:rPr>
              <w:t>Stephen P. Joyce</w:t>
            </w:r>
          </w:p>
        </w:tc>
        <w:tc>
          <w:tcPr>
            <w:tcW w:w="30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w:t>
            </w:r>
          </w:p>
        </w:tc>
        <w:tc>
          <w:tcPr>
            <w:tcW w:w="1037" w:type="dxa"/>
            <w:tcBorders/>
            <w:shd w:fill="E5E5E5" w:val="clear"/>
            <w:vAlign w:val="bottom"/>
          </w:tcPr>
          <w:p>
            <w:pPr>
              <w:pStyle w:val="TableContents"/>
              <w:spacing w:before="0" w:after="283"/>
              <w:jc w:val="right"/>
              <w:rPr/>
            </w:pPr>
            <w:r>
              <w:rPr/>
              <w:t>1,000,000</w:t>
            </w:r>
          </w:p>
        </w:tc>
        <w:tc>
          <w:tcPr>
            <w:tcW w:w="26" w:type="dxa"/>
            <w:tcBorders/>
            <w:shd w:fill="E5E5E5" w:val="clear"/>
            <w:vAlign w:val="bottom"/>
          </w:tcPr>
          <w:p>
            <w:pPr>
              <w:pStyle w:val="TableContents"/>
              <w:spacing w:before="0" w:after="283"/>
              <w:rPr>
                <w:sz w:val="4"/>
                <w:szCs w:val="4"/>
              </w:rPr>
            </w:pPr>
            <w:r>
              <w:rPr>
                <w:sz w:val="4"/>
                <w:szCs w:val="4"/>
              </w:rPr>
            </w:r>
          </w:p>
        </w:tc>
        <w:tc>
          <w:tcPr>
            <w:tcW w:w="300"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769" w:type="dxa"/>
            <w:tcBorders/>
            <w:shd w:fill="E5E5E5" w:val="clear"/>
            <w:vAlign w:val="bottom"/>
          </w:tcPr>
          <w:p>
            <w:pPr>
              <w:pStyle w:val="TableContents"/>
              <w:spacing w:before="0" w:after="283"/>
              <w:jc w:val="right"/>
              <w:rPr/>
            </w:pPr>
            <w:r>
              <w:rPr/>
              <w:t>100</w:t>
            </w:r>
          </w:p>
        </w:tc>
        <w:tc>
          <w:tcPr>
            <w:tcW w:w="432" w:type="dxa"/>
            <w:tcBorders/>
            <w:shd w:fill="E5E5E5" w:val="clear"/>
            <w:vAlign w:val="bottom"/>
          </w:tcPr>
          <w:p>
            <w:pPr>
              <w:pStyle w:val="TableContents"/>
              <w:spacing w:before="0" w:after="283"/>
              <w:rPr/>
            </w:pPr>
            <w:r>
              <w:rPr/>
              <w:t>%</w:t>
            </w:r>
          </w:p>
        </w:tc>
        <w:tc>
          <w:tcPr>
            <w:tcW w:w="243"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before="0" w:after="283"/>
              <w:rPr/>
            </w:pPr>
            <w:r>
              <w:rPr/>
              <w:t> </w:t>
            </w:r>
          </w:p>
        </w:tc>
        <w:tc>
          <w:tcPr>
            <w:tcW w:w="1294" w:type="dxa"/>
            <w:tcBorders/>
            <w:shd w:fill="E5E5E5" w:val="clear"/>
            <w:vAlign w:val="bottom"/>
          </w:tcPr>
          <w:p>
            <w:pPr>
              <w:pStyle w:val="TableContents"/>
              <w:spacing w:before="0" w:after="283"/>
              <w:jc w:val="right"/>
              <w:rPr/>
            </w:pPr>
            <w:r>
              <w:rPr/>
              <w:t>50.0</w:t>
            </w:r>
          </w:p>
        </w:tc>
        <w:tc>
          <w:tcPr>
            <w:tcW w:w="618" w:type="dxa"/>
            <w:tcBorders/>
            <w:shd w:fill="E5E5E5" w:val="clear"/>
            <w:vAlign w:val="bottom"/>
          </w:tcPr>
          <w:p>
            <w:pPr>
              <w:pStyle w:val="TableContents"/>
              <w:spacing w:before="0" w:after="283"/>
              <w:rPr/>
            </w:pPr>
            <w:r>
              <w:rPr/>
              <w:t>%</w:t>
            </w:r>
          </w:p>
        </w:tc>
        <w:tc>
          <w:tcPr>
            <w:tcW w:w="243" w:type="dxa"/>
            <w:tcBorders/>
            <w:shd w:fill="E5E5E5" w:val="clear"/>
            <w:vAlign w:val="bottom"/>
          </w:tcPr>
          <w:p>
            <w:pPr>
              <w:pStyle w:val="TableContents"/>
              <w:spacing w:before="0" w:after="283"/>
              <w:rPr/>
            </w:pPr>
            <w:r>
              <w:rPr/>
              <w:t> </w:t>
            </w:r>
          </w:p>
        </w:tc>
        <w:tc>
          <w:tcPr>
            <w:tcW w:w="95" w:type="dxa"/>
            <w:tcBorders/>
            <w:shd w:fill="E5E5E5" w:val="clear"/>
            <w:vAlign w:val="bottom"/>
          </w:tcPr>
          <w:p>
            <w:pPr>
              <w:pStyle w:val="TableContents"/>
              <w:spacing w:before="0" w:after="283"/>
              <w:rPr/>
            </w:pPr>
            <w:r>
              <w:rPr/>
              <w:t> </w:t>
            </w:r>
          </w:p>
        </w:tc>
        <w:tc>
          <w:tcPr>
            <w:tcW w:w="222" w:type="dxa"/>
            <w:tcBorders/>
            <w:shd w:fill="E5E5E5" w:val="clear"/>
            <w:vAlign w:val="bottom"/>
          </w:tcPr>
          <w:p>
            <w:pPr>
              <w:pStyle w:val="TableContents"/>
              <w:spacing w:before="0" w:after="283"/>
              <w:rPr/>
            </w:pPr>
            <w:r>
              <w:rPr/>
              <w:t>$</w:t>
            </w:r>
          </w:p>
        </w:tc>
        <w:tc>
          <w:tcPr>
            <w:tcW w:w="1301" w:type="dxa"/>
            <w:tcBorders/>
            <w:shd w:fill="E5E5E5" w:val="clear"/>
            <w:vAlign w:val="bottom"/>
          </w:tcPr>
          <w:p>
            <w:pPr>
              <w:pStyle w:val="TableContents"/>
              <w:spacing w:before="0" w:after="283"/>
              <w:jc w:val="right"/>
              <w:rPr/>
            </w:pPr>
            <w:r>
              <w:rPr/>
              <w:t>500,000</w:t>
            </w:r>
          </w:p>
        </w:tc>
        <w:tc>
          <w:tcPr>
            <w:tcW w:w="46"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2501" w:type="dxa"/>
            <w:tcBorders/>
            <w:shd w:fill="auto" w:val="clear"/>
            <w:vAlign w:val="center"/>
          </w:tcPr>
          <w:p>
            <w:pPr>
              <w:pStyle w:val="TableContents"/>
              <w:spacing w:before="0" w:after="283"/>
              <w:rPr>
                <w:sz w:val="4"/>
                <w:szCs w:val="4"/>
              </w:rPr>
            </w:pPr>
            <w:r>
              <w:rPr>
                <w:sz w:val="4"/>
                <w:szCs w:val="4"/>
              </w:rPr>
            </w:r>
          </w:p>
        </w:tc>
        <w:tc>
          <w:tcPr>
            <w:tcW w:w="1564" w:type="dxa"/>
            <w:gridSpan w:val="5"/>
            <w:tcBorders/>
            <w:shd w:fill="auto" w:val="clear"/>
            <w:vAlign w:val="center"/>
          </w:tcPr>
          <w:p>
            <w:pPr>
              <w:pStyle w:val="TableContents"/>
              <w:spacing w:before="0" w:after="283"/>
              <w:rPr>
                <w:sz w:val="4"/>
                <w:szCs w:val="4"/>
              </w:rPr>
            </w:pPr>
            <w:r>
              <w:rPr>
                <w:sz w:val="4"/>
                <w:szCs w:val="4"/>
              </w:rPr>
            </w:r>
          </w:p>
        </w:tc>
        <w:tc>
          <w:tcPr>
            <w:tcW w:w="1735" w:type="dxa"/>
            <w:gridSpan w:val="5"/>
            <w:tcBorders/>
            <w:shd w:fill="auto" w:val="clear"/>
            <w:vAlign w:val="center"/>
          </w:tcPr>
          <w:p>
            <w:pPr>
              <w:pStyle w:val="TableContents"/>
              <w:spacing w:before="0" w:after="283"/>
              <w:rPr>
                <w:sz w:val="4"/>
                <w:szCs w:val="4"/>
              </w:rPr>
            </w:pPr>
            <w:r>
              <w:rPr>
                <w:sz w:val="4"/>
                <w:szCs w:val="4"/>
              </w:rPr>
            </w:r>
          </w:p>
        </w:tc>
        <w:tc>
          <w:tcPr>
            <w:tcW w:w="2498" w:type="dxa"/>
            <w:gridSpan w:val="5"/>
            <w:tcBorders/>
            <w:shd w:fill="auto" w:val="clear"/>
            <w:vAlign w:val="center"/>
          </w:tcPr>
          <w:p>
            <w:pPr>
              <w:pStyle w:val="TableContents"/>
              <w:spacing w:before="0" w:after="283"/>
              <w:rPr>
                <w:sz w:val="4"/>
                <w:szCs w:val="4"/>
              </w:rPr>
            </w:pPr>
            <w:r>
              <w:rPr>
                <w:sz w:val="4"/>
                <w:szCs w:val="4"/>
              </w:rPr>
            </w:r>
          </w:p>
        </w:tc>
        <w:tc>
          <w:tcPr>
            <w:tcW w:w="1907" w:type="dxa"/>
            <w:gridSpan w:val="5"/>
            <w:tcBorders/>
            <w:shd w:fill="auto" w:val="clear"/>
            <w:vAlign w:val="center"/>
          </w:tcPr>
          <w:p>
            <w:pPr>
              <w:pStyle w:val="TableContents"/>
              <w:spacing w:before="0" w:after="283"/>
              <w:rPr>
                <w:sz w:val="4"/>
                <w:szCs w:val="4"/>
              </w:rPr>
            </w:pPr>
            <w:r>
              <w:rPr>
                <w:sz w:val="4"/>
                <w:szCs w:val="4"/>
              </w:rPr>
            </w:r>
          </w:p>
        </w:tc>
      </w:tr>
      <w:tr>
        <w:trPr/>
        <w:tc>
          <w:tcPr>
            <w:tcW w:w="2501" w:type="dxa"/>
            <w:tcBorders/>
            <w:shd w:fill="auto" w:val="clear"/>
          </w:tcPr>
          <w:p>
            <w:pPr>
              <w:pStyle w:val="TableContents"/>
              <w:spacing w:before="0" w:after="0"/>
              <w:rPr>
                <w:rFonts w:ascii="arial" w:hAnsi="arial"/>
                <w:sz w:val="20"/>
              </w:rPr>
            </w:pPr>
            <w:r>
              <w:rPr>
                <w:rFonts w:ascii="arial" w:hAnsi="arial"/>
                <w:sz w:val="20"/>
              </w:rPr>
              <w:t>Thomas H. Song</w:t>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w:t>
            </w:r>
          </w:p>
        </w:tc>
        <w:tc>
          <w:tcPr>
            <w:tcW w:w="1037" w:type="dxa"/>
            <w:tcBorders/>
            <w:shd w:fill="auto" w:val="clear"/>
            <w:vAlign w:val="bottom"/>
          </w:tcPr>
          <w:p>
            <w:pPr>
              <w:pStyle w:val="TableContents"/>
              <w:spacing w:before="0" w:after="283"/>
              <w:jc w:val="right"/>
              <w:rPr/>
            </w:pPr>
            <w:r>
              <w:rPr/>
              <w:t>550,000</w:t>
            </w:r>
          </w:p>
        </w:tc>
        <w:tc>
          <w:tcPr>
            <w:tcW w:w="2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75</w:t>
            </w:r>
          </w:p>
        </w:tc>
        <w:tc>
          <w:tcPr>
            <w:tcW w:w="432" w:type="dxa"/>
            <w:tcBorders/>
            <w:shd w:fill="auto" w:val="clear"/>
            <w:vAlign w:val="bottom"/>
          </w:tcPr>
          <w:p>
            <w:pPr>
              <w:pStyle w:val="TableContents"/>
              <w:spacing w:before="0" w:after="283"/>
              <w:rPr/>
            </w:pPr>
            <w:r>
              <w:rPr/>
              <w:t>%</w:t>
            </w:r>
          </w:p>
        </w:tc>
        <w:tc>
          <w:tcPr>
            <w:tcW w:w="24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50.0</w:t>
            </w:r>
          </w:p>
        </w:tc>
        <w:tc>
          <w:tcPr>
            <w:tcW w:w="618" w:type="dxa"/>
            <w:tcBorders/>
            <w:shd w:fill="auto" w:val="clear"/>
            <w:vAlign w:val="bottom"/>
          </w:tcPr>
          <w:p>
            <w:pPr>
              <w:pStyle w:val="TableContents"/>
              <w:spacing w:before="0" w:after="283"/>
              <w:rPr/>
            </w:pPr>
            <w:r>
              <w:rPr/>
              <w:t>%</w:t>
            </w:r>
          </w:p>
        </w:tc>
        <w:tc>
          <w:tcPr>
            <w:tcW w:w="24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w:t>
            </w:r>
          </w:p>
        </w:tc>
        <w:tc>
          <w:tcPr>
            <w:tcW w:w="1301" w:type="dxa"/>
            <w:tcBorders/>
            <w:shd w:fill="auto" w:val="clear"/>
            <w:vAlign w:val="bottom"/>
          </w:tcPr>
          <w:p>
            <w:pPr>
              <w:pStyle w:val="TableContents"/>
              <w:spacing w:before="0" w:after="283"/>
              <w:jc w:val="right"/>
              <w:rPr/>
            </w:pPr>
            <w:r>
              <w:rPr/>
              <w:t>206,250</w:t>
            </w:r>
          </w:p>
        </w:tc>
        <w:tc>
          <w:tcPr>
            <w:tcW w:w="46"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501" w:type="dxa"/>
            <w:tcBorders/>
            <w:shd w:fill="E5E5E5" w:val="clear"/>
            <w:vAlign w:val="center"/>
          </w:tcPr>
          <w:p>
            <w:pPr>
              <w:pStyle w:val="TableContents"/>
              <w:spacing w:before="0" w:after="283"/>
              <w:rPr>
                <w:sz w:val="4"/>
                <w:szCs w:val="4"/>
              </w:rPr>
            </w:pPr>
            <w:r>
              <w:rPr>
                <w:sz w:val="4"/>
                <w:szCs w:val="4"/>
              </w:rPr>
            </w:r>
          </w:p>
        </w:tc>
        <w:tc>
          <w:tcPr>
            <w:tcW w:w="1564" w:type="dxa"/>
            <w:gridSpan w:val="5"/>
            <w:tcBorders/>
            <w:shd w:fill="E5E5E5" w:val="clear"/>
            <w:vAlign w:val="center"/>
          </w:tcPr>
          <w:p>
            <w:pPr>
              <w:pStyle w:val="TableContents"/>
              <w:spacing w:before="0" w:after="283"/>
              <w:rPr>
                <w:sz w:val="4"/>
                <w:szCs w:val="4"/>
              </w:rPr>
            </w:pPr>
            <w:r>
              <w:rPr>
                <w:sz w:val="4"/>
                <w:szCs w:val="4"/>
              </w:rPr>
            </w:r>
          </w:p>
        </w:tc>
        <w:tc>
          <w:tcPr>
            <w:tcW w:w="1735" w:type="dxa"/>
            <w:gridSpan w:val="5"/>
            <w:tcBorders/>
            <w:shd w:fill="E5E5E5" w:val="clear"/>
            <w:vAlign w:val="center"/>
          </w:tcPr>
          <w:p>
            <w:pPr>
              <w:pStyle w:val="TableContents"/>
              <w:spacing w:before="0" w:after="283"/>
              <w:rPr>
                <w:sz w:val="4"/>
                <w:szCs w:val="4"/>
              </w:rPr>
            </w:pPr>
            <w:r>
              <w:rPr>
                <w:sz w:val="4"/>
                <w:szCs w:val="4"/>
              </w:rPr>
            </w:r>
          </w:p>
        </w:tc>
        <w:tc>
          <w:tcPr>
            <w:tcW w:w="2498" w:type="dxa"/>
            <w:gridSpan w:val="5"/>
            <w:tcBorders/>
            <w:shd w:fill="E5E5E5" w:val="clear"/>
            <w:vAlign w:val="center"/>
          </w:tcPr>
          <w:p>
            <w:pPr>
              <w:pStyle w:val="TableContents"/>
              <w:spacing w:before="0" w:after="283"/>
              <w:rPr>
                <w:sz w:val="4"/>
                <w:szCs w:val="4"/>
              </w:rPr>
            </w:pPr>
            <w:r>
              <w:rPr>
                <w:sz w:val="4"/>
                <w:szCs w:val="4"/>
              </w:rPr>
            </w:r>
          </w:p>
        </w:tc>
        <w:tc>
          <w:tcPr>
            <w:tcW w:w="1907" w:type="dxa"/>
            <w:gridSpan w:val="5"/>
            <w:tcBorders/>
            <w:shd w:fill="E5E5E5" w:val="clear"/>
            <w:vAlign w:val="center"/>
          </w:tcPr>
          <w:p>
            <w:pPr>
              <w:pStyle w:val="TableContents"/>
              <w:spacing w:before="0" w:after="283"/>
              <w:rPr>
                <w:sz w:val="4"/>
                <w:szCs w:val="4"/>
              </w:rPr>
            </w:pPr>
            <w:r>
              <w:rPr>
                <w:sz w:val="4"/>
                <w:szCs w:val="4"/>
              </w:rPr>
            </w:r>
          </w:p>
        </w:tc>
      </w:tr>
      <w:tr>
        <w:trPr/>
        <w:tc>
          <w:tcPr>
            <w:tcW w:w="2501" w:type="dxa"/>
            <w:tcBorders/>
            <w:shd w:fill="E5E5E5" w:val="clear"/>
          </w:tcPr>
          <w:p>
            <w:pPr>
              <w:pStyle w:val="TableContents"/>
              <w:spacing w:before="0" w:after="0"/>
              <w:rPr>
                <w:rFonts w:ascii="arial" w:hAnsi="arial"/>
                <w:sz w:val="20"/>
              </w:rPr>
            </w:pPr>
            <w:r>
              <w:rPr>
                <w:rFonts w:ascii="arial" w:hAnsi="arial"/>
                <w:sz w:val="20"/>
              </w:rPr>
              <w:t>John C. Cywinski</w:t>
            </w:r>
          </w:p>
        </w:tc>
        <w:tc>
          <w:tcPr>
            <w:tcW w:w="30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w:t>
            </w:r>
          </w:p>
        </w:tc>
        <w:tc>
          <w:tcPr>
            <w:tcW w:w="1037" w:type="dxa"/>
            <w:tcBorders/>
            <w:shd w:fill="E5E5E5" w:val="clear"/>
            <w:vAlign w:val="bottom"/>
          </w:tcPr>
          <w:p>
            <w:pPr>
              <w:pStyle w:val="TableContents"/>
              <w:spacing w:before="0" w:after="283"/>
              <w:jc w:val="right"/>
              <w:rPr/>
            </w:pPr>
            <w:r>
              <w:rPr/>
              <w:t>675,000</w:t>
            </w:r>
          </w:p>
        </w:tc>
        <w:tc>
          <w:tcPr>
            <w:tcW w:w="26" w:type="dxa"/>
            <w:tcBorders/>
            <w:shd w:fill="E5E5E5" w:val="clear"/>
            <w:vAlign w:val="bottom"/>
          </w:tcPr>
          <w:p>
            <w:pPr>
              <w:pStyle w:val="TableContents"/>
              <w:spacing w:before="0" w:after="283"/>
              <w:rPr>
                <w:sz w:val="4"/>
                <w:szCs w:val="4"/>
              </w:rPr>
            </w:pPr>
            <w:r>
              <w:rPr>
                <w:sz w:val="4"/>
                <w:szCs w:val="4"/>
              </w:rPr>
            </w:r>
          </w:p>
        </w:tc>
        <w:tc>
          <w:tcPr>
            <w:tcW w:w="300"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769" w:type="dxa"/>
            <w:tcBorders/>
            <w:shd w:fill="E5E5E5" w:val="clear"/>
            <w:vAlign w:val="bottom"/>
          </w:tcPr>
          <w:p>
            <w:pPr>
              <w:pStyle w:val="TableContents"/>
              <w:spacing w:before="0" w:after="283"/>
              <w:jc w:val="right"/>
              <w:rPr/>
            </w:pPr>
            <w:r>
              <w:rPr/>
              <w:t>85</w:t>
            </w:r>
          </w:p>
        </w:tc>
        <w:tc>
          <w:tcPr>
            <w:tcW w:w="432" w:type="dxa"/>
            <w:tcBorders/>
            <w:shd w:fill="E5E5E5" w:val="clear"/>
            <w:vAlign w:val="bottom"/>
          </w:tcPr>
          <w:p>
            <w:pPr>
              <w:pStyle w:val="TableContents"/>
              <w:spacing w:before="0" w:after="283"/>
              <w:rPr/>
            </w:pPr>
            <w:r>
              <w:rPr/>
              <w:t>%</w:t>
            </w:r>
          </w:p>
        </w:tc>
        <w:tc>
          <w:tcPr>
            <w:tcW w:w="243"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before="0" w:after="283"/>
              <w:rPr/>
            </w:pPr>
            <w:r>
              <w:rPr/>
              <w:t> </w:t>
            </w:r>
          </w:p>
        </w:tc>
        <w:tc>
          <w:tcPr>
            <w:tcW w:w="1294" w:type="dxa"/>
            <w:tcBorders/>
            <w:shd w:fill="E5E5E5" w:val="clear"/>
            <w:vAlign w:val="bottom"/>
          </w:tcPr>
          <w:p>
            <w:pPr>
              <w:pStyle w:val="TableContents"/>
              <w:spacing w:before="0" w:after="283"/>
              <w:jc w:val="right"/>
              <w:rPr/>
            </w:pPr>
            <w:r>
              <w:rPr/>
              <w:t>50.0</w:t>
            </w:r>
          </w:p>
        </w:tc>
        <w:tc>
          <w:tcPr>
            <w:tcW w:w="618" w:type="dxa"/>
            <w:tcBorders/>
            <w:shd w:fill="E5E5E5" w:val="clear"/>
            <w:vAlign w:val="bottom"/>
          </w:tcPr>
          <w:p>
            <w:pPr>
              <w:pStyle w:val="TableContents"/>
              <w:spacing w:before="0" w:after="283"/>
              <w:rPr/>
            </w:pPr>
            <w:r>
              <w:rPr/>
              <w:t>%</w:t>
            </w:r>
          </w:p>
        </w:tc>
        <w:tc>
          <w:tcPr>
            <w:tcW w:w="243" w:type="dxa"/>
            <w:tcBorders/>
            <w:shd w:fill="E5E5E5" w:val="clear"/>
            <w:vAlign w:val="bottom"/>
          </w:tcPr>
          <w:p>
            <w:pPr>
              <w:pStyle w:val="TableContents"/>
              <w:spacing w:before="0" w:after="283"/>
              <w:rPr/>
            </w:pPr>
            <w:r>
              <w:rPr/>
              <w:t> </w:t>
            </w:r>
          </w:p>
        </w:tc>
        <w:tc>
          <w:tcPr>
            <w:tcW w:w="95" w:type="dxa"/>
            <w:tcBorders/>
            <w:shd w:fill="E5E5E5" w:val="clear"/>
            <w:vAlign w:val="bottom"/>
          </w:tcPr>
          <w:p>
            <w:pPr>
              <w:pStyle w:val="TableContents"/>
              <w:spacing w:before="0" w:after="283"/>
              <w:rPr/>
            </w:pPr>
            <w:r>
              <w:rPr/>
              <w:t> </w:t>
            </w:r>
          </w:p>
        </w:tc>
        <w:tc>
          <w:tcPr>
            <w:tcW w:w="222" w:type="dxa"/>
            <w:tcBorders/>
            <w:shd w:fill="E5E5E5" w:val="clear"/>
            <w:vAlign w:val="bottom"/>
          </w:tcPr>
          <w:p>
            <w:pPr>
              <w:pStyle w:val="TableContents"/>
              <w:spacing w:before="0" w:after="283"/>
              <w:rPr/>
            </w:pPr>
            <w:r>
              <w:rPr/>
              <w:t>$</w:t>
            </w:r>
          </w:p>
        </w:tc>
        <w:tc>
          <w:tcPr>
            <w:tcW w:w="1301" w:type="dxa"/>
            <w:tcBorders/>
            <w:shd w:fill="E5E5E5" w:val="clear"/>
            <w:vAlign w:val="bottom"/>
          </w:tcPr>
          <w:p>
            <w:pPr>
              <w:pStyle w:val="TableContents"/>
              <w:spacing w:before="0" w:after="283"/>
              <w:jc w:val="right"/>
              <w:rPr/>
            </w:pPr>
            <w:r>
              <w:rPr/>
              <w:t>286,875</w:t>
            </w:r>
          </w:p>
        </w:tc>
        <w:tc>
          <w:tcPr>
            <w:tcW w:w="46"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2501" w:type="dxa"/>
            <w:tcBorders/>
            <w:shd w:fill="auto" w:val="clear"/>
            <w:vAlign w:val="center"/>
          </w:tcPr>
          <w:p>
            <w:pPr>
              <w:pStyle w:val="TableContents"/>
              <w:spacing w:before="0" w:after="283"/>
              <w:rPr>
                <w:sz w:val="4"/>
                <w:szCs w:val="4"/>
              </w:rPr>
            </w:pPr>
            <w:r>
              <w:rPr>
                <w:sz w:val="4"/>
                <w:szCs w:val="4"/>
              </w:rPr>
            </w:r>
          </w:p>
        </w:tc>
        <w:tc>
          <w:tcPr>
            <w:tcW w:w="1564" w:type="dxa"/>
            <w:gridSpan w:val="5"/>
            <w:tcBorders/>
            <w:shd w:fill="auto" w:val="clear"/>
            <w:vAlign w:val="center"/>
          </w:tcPr>
          <w:p>
            <w:pPr>
              <w:pStyle w:val="TableContents"/>
              <w:spacing w:before="0" w:after="283"/>
              <w:rPr>
                <w:sz w:val="4"/>
                <w:szCs w:val="4"/>
              </w:rPr>
            </w:pPr>
            <w:r>
              <w:rPr>
                <w:sz w:val="4"/>
                <w:szCs w:val="4"/>
              </w:rPr>
            </w:r>
          </w:p>
        </w:tc>
        <w:tc>
          <w:tcPr>
            <w:tcW w:w="1735" w:type="dxa"/>
            <w:gridSpan w:val="5"/>
            <w:tcBorders/>
            <w:shd w:fill="auto" w:val="clear"/>
            <w:vAlign w:val="center"/>
          </w:tcPr>
          <w:p>
            <w:pPr>
              <w:pStyle w:val="TableContents"/>
              <w:spacing w:before="0" w:after="283"/>
              <w:rPr>
                <w:sz w:val="4"/>
                <w:szCs w:val="4"/>
              </w:rPr>
            </w:pPr>
            <w:r>
              <w:rPr>
                <w:sz w:val="4"/>
                <w:szCs w:val="4"/>
              </w:rPr>
            </w:r>
          </w:p>
        </w:tc>
        <w:tc>
          <w:tcPr>
            <w:tcW w:w="2498" w:type="dxa"/>
            <w:gridSpan w:val="5"/>
            <w:tcBorders/>
            <w:shd w:fill="auto" w:val="clear"/>
            <w:vAlign w:val="center"/>
          </w:tcPr>
          <w:p>
            <w:pPr>
              <w:pStyle w:val="TableContents"/>
              <w:spacing w:before="0" w:after="283"/>
              <w:rPr>
                <w:sz w:val="4"/>
                <w:szCs w:val="4"/>
              </w:rPr>
            </w:pPr>
            <w:r>
              <w:rPr>
                <w:sz w:val="4"/>
                <w:szCs w:val="4"/>
              </w:rPr>
            </w:r>
          </w:p>
        </w:tc>
        <w:tc>
          <w:tcPr>
            <w:tcW w:w="1907" w:type="dxa"/>
            <w:gridSpan w:val="5"/>
            <w:tcBorders/>
            <w:shd w:fill="auto" w:val="clear"/>
            <w:vAlign w:val="center"/>
          </w:tcPr>
          <w:p>
            <w:pPr>
              <w:pStyle w:val="TableContents"/>
              <w:spacing w:before="0" w:after="283"/>
              <w:rPr>
                <w:sz w:val="4"/>
                <w:szCs w:val="4"/>
              </w:rPr>
            </w:pPr>
            <w:r>
              <w:rPr>
                <w:sz w:val="4"/>
                <w:szCs w:val="4"/>
              </w:rPr>
            </w:r>
          </w:p>
        </w:tc>
      </w:tr>
      <w:tr>
        <w:trPr/>
        <w:tc>
          <w:tcPr>
            <w:tcW w:w="2501" w:type="dxa"/>
            <w:tcBorders/>
            <w:shd w:fill="auto" w:val="clear"/>
          </w:tcPr>
          <w:p>
            <w:pPr>
              <w:pStyle w:val="TableContents"/>
              <w:spacing w:before="0" w:after="0"/>
              <w:rPr>
                <w:rFonts w:ascii="arial" w:hAnsi="arial"/>
                <w:sz w:val="20"/>
              </w:rPr>
            </w:pPr>
            <w:r>
              <w:rPr>
                <w:rFonts w:ascii="arial" w:hAnsi="arial"/>
                <w:sz w:val="20"/>
              </w:rPr>
              <w:t>Jay D. Johns</w:t>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w:t>
            </w:r>
          </w:p>
        </w:tc>
        <w:tc>
          <w:tcPr>
            <w:tcW w:w="1037" w:type="dxa"/>
            <w:tcBorders/>
            <w:shd w:fill="auto" w:val="clear"/>
            <w:vAlign w:val="bottom"/>
          </w:tcPr>
          <w:p>
            <w:pPr>
              <w:pStyle w:val="TableContents"/>
              <w:spacing w:before="0" w:after="283"/>
              <w:jc w:val="right"/>
              <w:rPr/>
            </w:pPr>
            <w:r>
              <w:rPr/>
              <w:t>550,000</w:t>
            </w:r>
          </w:p>
        </w:tc>
        <w:tc>
          <w:tcPr>
            <w:tcW w:w="2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75</w:t>
            </w:r>
          </w:p>
        </w:tc>
        <w:tc>
          <w:tcPr>
            <w:tcW w:w="432" w:type="dxa"/>
            <w:tcBorders/>
            <w:shd w:fill="auto" w:val="clear"/>
            <w:vAlign w:val="bottom"/>
          </w:tcPr>
          <w:p>
            <w:pPr>
              <w:pStyle w:val="TableContents"/>
              <w:spacing w:before="0" w:after="283"/>
              <w:rPr/>
            </w:pPr>
            <w:r>
              <w:rPr/>
              <w:t>%</w:t>
            </w:r>
          </w:p>
        </w:tc>
        <w:tc>
          <w:tcPr>
            <w:tcW w:w="24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50.0</w:t>
            </w:r>
          </w:p>
        </w:tc>
        <w:tc>
          <w:tcPr>
            <w:tcW w:w="618" w:type="dxa"/>
            <w:tcBorders/>
            <w:shd w:fill="auto" w:val="clear"/>
            <w:vAlign w:val="bottom"/>
          </w:tcPr>
          <w:p>
            <w:pPr>
              <w:pStyle w:val="TableContents"/>
              <w:spacing w:before="0" w:after="283"/>
              <w:rPr/>
            </w:pPr>
            <w:r>
              <w:rPr/>
              <w:t>%</w:t>
            </w:r>
          </w:p>
        </w:tc>
        <w:tc>
          <w:tcPr>
            <w:tcW w:w="24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w:t>
            </w:r>
          </w:p>
        </w:tc>
        <w:tc>
          <w:tcPr>
            <w:tcW w:w="1301" w:type="dxa"/>
            <w:tcBorders/>
            <w:shd w:fill="auto" w:val="clear"/>
            <w:vAlign w:val="bottom"/>
          </w:tcPr>
          <w:p>
            <w:pPr>
              <w:pStyle w:val="TableContents"/>
              <w:spacing w:before="0" w:after="283"/>
              <w:jc w:val="right"/>
              <w:rPr/>
            </w:pPr>
            <w:r>
              <w:rPr/>
              <w:t>206,250</w:t>
            </w:r>
          </w:p>
        </w:tc>
        <w:tc>
          <w:tcPr>
            <w:tcW w:w="46"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501" w:type="dxa"/>
            <w:tcBorders/>
            <w:shd w:fill="E5E5E5" w:val="clear"/>
            <w:vAlign w:val="center"/>
          </w:tcPr>
          <w:p>
            <w:pPr>
              <w:pStyle w:val="TableContents"/>
              <w:spacing w:before="0" w:after="283"/>
              <w:rPr>
                <w:sz w:val="4"/>
                <w:szCs w:val="4"/>
              </w:rPr>
            </w:pPr>
            <w:r>
              <w:rPr>
                <w:sz w:val="4"/>
                <w:szCs w:val="4"/>
              </w:rPr>
            </w:r>
          </w:p>
        </w:tc>
        <w:tc>
          <w:tcPr>
            <w:tcW w:w="1564" w:type="dxa"/>
            <w:gridSpan w:val="5"/>
            <w:tcBorders/>
            <w:shd w:fill="E5E5E5" w:val="clear"/>
            <w:vAlign w:val="center"/>
          </w:tcPr>
          <w:p>
            <w:pPr>
              <w:pStyle w:val="TableContents"/>
              <w:spacing w:before="0" w:after="283"/>
              <w:rPr>
                <w:sz w:val="4"/>
                <w:szCs w:val="4"/>
              </w:rPr>
            </w:pPr>
            <w:r>
              <w:rPr>
                <w:sz w:val="4"/>
                <w:szCs w:val="4"/>
              </w:rPr>
            </w:r>
          </w:p>
        </w:tc>
        <w:tc>
          <w:tcPr>
            <w:tcW w:w="1735" w:type="dxa"/>
            <w:gridSpan w:val="5"/>
            <w:tcBorders/>
            <w:shd w:fill="E5E5E5" w:val="clear"/>
            <w:vAlign w:val="center"/>
          </w:tcPr>
          <w:p>
            <w:pPr>
              <w:pStyle w:val="TableContents"/>
              <w:spacing w:before="0" w:after="283"/>
              <w:rPr>
                <w:sz w:val="4"/>
                <w:szCs w:val="4"/>
              </w:rPr>
            </w:pPr>
            <w:r>
              <w:rPr>
                <w:sz w:val="4"/>
                <w:szCs w:val="4"/>
              </w:rPr>
            </w:r>
          </w:p>
        </w:tc>
        <w:tc>
          <w:tcPr>
            <w:tcW w:w="2498" w:type="dxa"/>
            <w:gridSpan w:val="5"/>
            <w:tcBorders/>
            <w:shd w:fill="E5E5E5" w:val="clear"/>
            <w:vAlign w:val="center"/>
          </w:tcPr>
          <w:p>
            <w:pPr>
              <w:pStyle w:val="TableContents"/>
              <w:spacing w:before="0" w:after="283"/>
              <w:rPr>
                <w:sz w:val="4"/>
                <w:szCs w:val="4"/>
              </w:rPr>
            </w:pPr>
            <w:r>
              <w:rPr>
                <w:sz w:val="4"/>
                <w:szCs w:val="4"/>
              </w:rPr>
            </w:r>
          </w:p>
        </w:tc>
        <w:tc>
          <w:tcPr>
            <w:tcW w:w="1907" w:type="dxa"/>
            <w:gridSpan w:val="5"/>
            <w:tcBorders/>
            <w:shd w:fill="E5E5E5" w:val="clear"/>
            <w:vAlign w:val="center"/>
          </w:tcPr>
          <w:p>
            <w:pPr>
              <w:pStyle w:val="TableContents"/>
              <w:spacing w:before="0" w:after="283"/>
              <w:rPr>
                <w:sz w:val="4"/>
                <w:szCs w:val="4"/>
              </w:rPr>
            </w:pPr>
            <w:r>
              <w:rPr>
                <w:sz w:val="4"/>
                <w:szCs w:val="4"/>
              </w:rPr>
            </w:r>
          </w:p>
        </w:tc>
      </w:tr>
      <w:tr>
        <w:trPr/>
        <w:tc>
          <w:tcPr>
            <w:tcW w:w="2501" w:type="dxa"/>
            <w:tcBorders/>
            <w:shd w:fill="E5E5E5" w:val="clear"/>
          </w:tcPr>
          <w:p>
            <w:pPr>
              <w:pStyle w:val="TableContents"/>
              <w:spacing w:before="0" w:after="0"/>
              <w:rPr>
                <w:rFonts w:ascii="arial" w:hAnsi="arial"/>
                <w:sz w:val="20"/>
              </w:rPr>
            </w:pPr>
            <w:r>
              <w:rPr>
                <w:rFonts w:ascii="arial" w:hAnsi="arial"/>
                <w:sz w:val="20"/>
              </w:rPr>
              <w:t>Bryan R. Adel</w:t>
            </w:r>
          </w:p>
        </w:tc>
        <w:tc>
          <w:tcPr>
            <w:tcW w:w="30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1" w:type="dxa"/>
            <w:tcBorders/>
            <w:shd w:fill="E5E5E5" w:val="clear"/>
            <w:vAlign w:val="bottom"/>
          </w:tcPr>
          <w:p>
            <w:pPr>
              <w:pStyle w:val="TableContents"/>
              <w:spacing w:before="0" w:after="283"/>
              <w:rPr/>
            </w:pPr>
            <w:r>
              <w:rPr/>
              <w:t>$</w:t>
            </w:r>
          </w:p>
        </w:tc>
        <w:tc>
          <w:tcPr>
            <w:tcW w:w="1037" w:type="dxa"/>
            <w:tcBorders/>
            <w:shd w:fill="E5E5E5" w:val="clear"/>
            <w:vAlign w:val="bottom"/>
          </w:tcPr>
          <w:p>
            <w:pPr>
              <w:pStyle w:val="TableContents"/>
              <w:spacing w:before="0" w:after="283"/>
              <w:jc w:val="right"/>
              <w:rPr/>
            </w:pPr>
            <w:r>
              <w:rPr/>
              <w:t>525,000</w:t>
            </w:r>
          </w:p>
        </w:tc>
        <w:tc>
          <w:tcPr>
            <w:tcW w:w="26" w:type="dxa"/>
            <w:tcBorders/>
            <w:shd w:fill="E5E5E5" w:val="clear"/>
            <w:vAlign w:val="bottom"/>
          </w:tcPr>
          <w:p>
            <w:pPr>
              <w:pStyle w:val="TableContents"/>
              <w:spacing w:before="0" w:after="283"/>
              <w:rPr>
                <w:sz w:val="4"/>
                <w:szCs w:val="4"/>
              </w:rPr>
            </w:pPr>
            <w:r>
              <w:rPr>
                <w:sz w:val="4"/>
                <w:szCs w:val="4"/>
              </w:rPr>
            </w:r>
          </w:p>
        </w:tc>
        <w:tc>
          <w:tcPr>
            <w:tcW w:w="300"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117" w:type="dxa"/>
            <w:tcBorders/>
            <w:shd w:fill="E5E5E5" w:val="clear"/>
            <w:vAlign w:val="bottom"/>
          </w:tcPr>
          <w:p>
            <w:pPr>
              <w:pStyle w:val="TableContents"/>
              <w:spacing w:before="0" w:after="283"/>
              <w:rPr/>
            </w:pPr>
            <w:r>
              <w:rPr/>
              <w:t> </w:t>
            </w:r>
          </w:p>
        </w:tc>
        <w:tc>
          <w:tcPr>
            <w:tcW w:w="769" w:type="dxa"/>
            <w:tcBorders/>
            <w:shd w:fill="E5E5E5" w:val="clear"/>
            <w:vAlign w:val="bottom"/>
          </w:tcPr>
          <w:p>
            <w:pPr>
              <w:pStyle w:val="TableContents"/>
              <w:spacing w:before="0" w:after="283"/>
              <w:jc w:val="right"/>
              <w:rPr/>
            </w:pPr>
            <w:r>
              <w:rPr/>
              <w:t>75</w:t>
            </w:r>
          </w:p>
        </w:tc>
        <w:tc>
          <w:tcPr>
            <w:tcW w:w="432" w:type="dxa"/>
            <w:tcBorders/>
            <w:shd w:fill="E5E5E5" w:val="clear"/>
            <w:vAlign w:val="bottom"/>
          </w:tcPr>
          <w:p>
            <w:pPr>
              <w:pStyle w:val="TableContents"/>
              <w:spacing w:before="0" w:after="283"/>
              <w:rPr/>
            </w:pPr>
            <w:r>
              <w:rPr/>
              <w:t>%</w:t>
            </w:r>
          </w:p>
        </w:tc>
        <w:tc>
          <w:tcPr>
            <w:tcW w:w="243" w:type="dxa"/>
            <w:tcBorders/>
            <w:shd w:fill="E5E5E5" w:val="clear"/>
            <w:vAlign w:val="bottom"/>
          </w:tcPr>
          <w:p>
            <w:pPr>
              <w:pStyle w:val="TableContents"/>
              <w:spacing w:before="0" w:after="283"/>
              <w:rPr/>
            </w:pPr>
            <w:r>
              <w:rPr/>
              <w:t> </w:t>
            </w:r>
          </w:p>
        </w:tc>
        <w:tc>
          <w:tcPr>
            <w:tcW w:w="172" w:type="dxa"/>
            <w:tcBorders/>
            <w:shd w:fill="E5E5E5" w:val="clear"/>
            <w:vAlign w:val="bottom"/>
          </w:tcPr>
          <w:p>
            <w:pPr>
              <w:pStyle w:val="TableContents"/>
              <w:spacing w:before="0" w:after="283"/>
              <w:rPr/>
            </w:pPr>
            <w:r>
              <w:rPr/>
              <w:t> </w:t>
            </w:r>
          </w:p>
        </w:tc>
        <w:tc>
          <w:tcPr>
            <w:tcW w:w="171" w:type="dxa"/>
            <w:tcBorders/>
            <w:shd w:fill="E5E5E5" w:val="clear"/>
            <w:vAlign w:val="bottom"/>
          </w:tcPr>
          <w:p>
            <w:pPr>
              <w:pStyle w:val="TableContents"/>
              <w:spacing w:before="0" w:after="283"/>
              <w:rPr/>
            </w:pPr>
            <w:r>
              <w:rPr/>
              <w:t> </w:t>
            </w:r>
          </w:p>
        </w:tc>
        <w:tc>
          <w:tcPr>
            <w:tcW w:w="1294" w:type="dxa"/>
            <w:tcBorders/>
            <w:shd w:fill="E5E5E5" w:val="clear"/>
            <w:vAlign w:val="bottom"/>
          </w:tcPr>
          <w:p>
            <w:pPr>
              <w:pStyle w:val="TableContents"/>
              <w:spacing w:before="0" w:after="283"/>
              <w:jc w:val="right"/>
              <w:rPr/>
            </w:pPr>
            <w:r>
              <w:rPr/>
              <w:t>50.0</w:t>
            </w:r>
          </w:p>
        </w:tc>
        <w:tc>
          <w:tcPr>
            <w:tcW w:w="618" w:type="dxa"/>
            <w:tcBorders/>
            <w:shd w:fill="E5E5E5" w:val="clear"/>
            <w:vAlign w:val="bottom"/>
          </w:tcPr>
          <w:p>
            <w:pPr>
              <w:pStyle w:val="TableContents"/>
              <w:spacing w:before="0" w:after="283"/>
              <w:rPr/>
            </w:pPr>
            <w:r>
              <w:rPr/>
              <w:t>%</w:t>
            </w:r>
          </w:p>
        </w:tc>
        <w:tc>
          <w:tcPr>
            <w:tcW w:w="243" w:type="dxa"/>
            <w:tcBorders/>
            <w:shd w:fill="E5E5E5" w:val="clear"/>
            <w:vAlign w:val="bottom"/>
          </w:tcPr>
          <w:p>
            <w:pPr>
              <w:pStyle w:val="TableContents"/>
              <w:spacing w:before="0" w:after="283"/>
              <w:rPr/>
            </w:pPr>
            <w:r>
              <w:rPr/>
              <w:t> </w:t>
            </w:r>
          </w:p>
        </w:tc>
        <w:tc>
          <w:tcPr>
            <w:tcW w:w="95" w:type="dxa"/>
            <w:tcBorders/>
            <w:shd w:fill="E5E5E5" w:val="clear"/>
            <w:vAlign w:val="bottom"/>
          </w:tcPr>
          <w:p>
            <w:pPr>
              <w:pStyle w:val="TableContents"/>
              <w:spacing w:before="0" w:after="283"/>
              <w:rPr/>
            </w:pPr>
            <w:r>
              <w:rPr/>
              <w:t> </w:t>
            </w:r>
          </w:p>
        </w:tc>
        <w:tc>
          <w:tcPr>
            <w:tcW w:w="222" w:type="dxa"/>
            <w:tcBorders/>
            <w:shd w:fill="E5E5E5" w:val="clear"/>
            <w:vAlign w:val="bottom"/>
          </w:tcPr>
          <w:p>
            <w:pPr>
              <w:pStyle w:val="TableContents"/>
              <w:spacing w:before="0" w:after="283"/>
              <w:rPr/>
            </w:pPr>
            <w:r>
              <w:rPr/>
              <w:t>$</w:t>
            </w:r>
          </w:p>
        </w:tc>
        <w:tc>
          <w:tcPr>
            <w:tcW w:w="1301" w:type="dxa"/>
            <w:tcBorders/>
            <w:shd w:fill="E5E5E5" w:val="clear"/>
            <w:vAlign w:val="bottom"/>
          </w:tcPr>
          <w:p>
            <w:pPr>
              <w:pStyle w:val="TableContents"/>
              <w:spacing w:before="0" w:after="283"/>
              <w:jc w:val="right"/>
              <w:rPr/>
            </w:pPr>
            <w:r>
              <w:rPr/>
              <w:t>196,875</w:t>
            </w:r>
          </w:p>
        </w:tc>
        <w:tc>
          <w:tcPr>
            <w:tcW w:w="46"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32    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5"/>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p>
      <w:pPr>
        <w:pStyle w:val="TextBody"/>
        <w:spacing w:before="0" w:after="0"/>
        <w:jc w:val="left"/>
        <w:rPr>
          <w:rFonts w:ascii="arial" w:hAnsi="arial"/>
          <w:b/>
          <w:i/>
          <w:sz w:val="20"/>
        </w:rPr>
      </w:pPr>
      <w:r>
        <w:rPr>
          <w:rFonts w:ascii="arial" w:hAnsi="arial"/>
          <w:b/>
          <w:i/>
          <w:sz w:val="20"/>
        </w:rPr>
        <w:t xml:space="preserve">Long-Term Incentive or LTI Awards </w:t>
      </w:r>
    </w:p>
    <w:p>
      <w:pPr>
        <w:pStyle w:val="TextBody"/>
        <w:spacing w:before="120" w:after="0"/>
        <w:jc w:val="left"/>
        <w:rPr>
          <w:rFonts w:ascii="arial" w:hAnsi="arial"/>
          <w:sz w:val="20"/>
        </w:rPr>
      </w:pPr>
      <w:r>
        <w:rPr>
          <w:rFonts w:ascii="arial" w:hAnsi="arial"/>
          <w:sz w:val="20"/>
        </w:rPr>
        <w:t xml:space="preserve">The Compensation Committee grants each of the NEOs, other than the Chief Executive Officer, a blend of NQSOs, RSAs and cash LTIP awards. The NQSOs vest in equal installments over a three-year period and are exercisable for up to a maximum of ten years. The RSAs typically cliff vest after three years and the cash LTIP payout is based on Relative TSR against an index of publicly-traded restaurant companies over a three-year performance period. NQSOs have value to the executive only if the Corporations stock price increases over the price on the date of grant and the value of RSAs fluctuates with changes in the Corporations stock price. </w:t>
      </w:r>
    </w:p>
    <w:p>
      <w:pPr>
        <w:pStyle w:val="TextBody"/>
        <w:spacing w:before="240" w:after="0"/>
        <w:jc w:val="left"/>
        <w:rPr>
          <w:rFonts w:ascii="arial" w:hAnsi="arial"/>
          <w:sz w:val="20"/>
        </w:rPr>
      </w:pPr>
      <w:r>
        <w:rPr>
          <w:rFonts w:ascii="arial" w:hAnsi="arial"/>
          <w:sz w:val="20"/>
        </w:rPr>
        <w:t xml:space="preserve">The Compensation Committee believes that this mix of long-term incentives appropriately balances an emphasis on absolute and relative stock price performance and aligns the compensation of our NEOs with the long-term interests of stockholders. The LTI awards are comprised of 34% of the grant date value in NQSOs, 33% of the grant date value in RSAs and 33% of the grant date value in the cash LTIP (at target). The Compensation Committee believes this weighting provides a balanced strategy between stockholder alignment, executive retention, risk, and performance. </w:t>
      </w:r>
    </w:p>
    <w:p>
      <w:pPr>
        <w:pStyle w:val="TextBody"/>
        <w:spacing w:before="240" w:after="0"/>
        <w:jc w:val="left"/>
        <w:rPr>
          <w:rFonts w:ascii="arial" w:hAnsi="arial"/>
          <w:sz w:val="20"/>
        </w:rPr>
      </w:pPr>
      <w:r>
        <w:rPr>
          <w:rFonts w:ascii="arial" w:hAnsi="arial"/>
          <w:sz w:val="20"/>
        </w:rPr>
        <w:t xml:space="preserve">The Compensation Committee considered a range of factors in setting the value to be awarded to the NEOs, including assessments of individual performance, the potential contributions that each NEO could be expected to make in the future, each NEOs TDCO, LTI awards previously granted to certain NEOs, the size of awards provided to other individuals holding similar positions in the market data considered by the Compensation Committee, the number of shares which remained available for issuance under the 2019 Stock Incentive Plan and overall accounting expense associated with the awards. </w:t>
      </w:r>
    </w:p>
    <w:p>
      <w:pPr>
        <w:pStyle w:val="TextBody"/>
        <w:spacing w:before="240" w:after="0"/>
        <w:jc w:val="left"/>
        <w:rPr>
          <w:rFonts w:ascii="arial" w:hAnsi="arial"/>
          <w:sz w:val="20"/>
        </w:rPr>
      </w:pPr>
      <w:r>
        <w:rPr>
          <w:rFonts w:ascii="arial" w:hAnsi="arial"/>
          <w:sz w:val="20"/>
        </w:rPr>
        <w:t xml:space="preserve">The table below summarizes the grant date value of the annual long-term incentive awards made in 2020 (additional detail regarding long-term incentive awards granted in 2020 can be found in the Grants of Plan-Based Awards in 2020 table in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560"/>
        <w:gridCol w:w="210"/>
        <w:gridCol w:w="84"/>
        <w:gridCol w:w="197"/>
        <w:gridCol w:w="1130"/>
        <w:gridCol w:w="34"/>
        <w:gridCol w:w="210"/>
        <w:gridCol w:w="98"/>
        <w:gridCol w:w="230"/>
        <w:gridCol w:w="1325"/>
        <w:gridCol w:w="40"/>
        <w:gridCol w:w="210"/>
        <w:gridCol w:w="126"/>
        <w:gridCol w:w="298"/>
        <w:gridCol w:w="1711"/>
        <w:gridCol w:w="51"/>
        <w:gridCol w:w="210"/>
        <w:gridCol w:w="122"/>
        <w:gridCol w:w="286"/>
        <w:gridCol w:w="2018"/>
        <w:gridCol w:w="55"/>
      </w:tblGrid>
      <w:tr>
        <w:trPr/>
        <w:tc>
          <w:tcPr>
            <w:tcW w:w="15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560" w:type="dxa"/>
            <w:tcBorders/>
            <w:shd w:fill="CF0A2C" w:val="clear"/>
            <w:vAlign w:val="center"/>
          </w:tcPr>
          <w:p>
            <w:pPr>
              <w:pStyle w:val="TableContents"/>
              <w:spacing w:before="0" w:after="283"/>
              <w:rPr>
                <w:sz w:val="4"/>
                <w:szCs w:val="4"/>
              </w:rPr>
            </w:pPr>
            <w:r>
              <w:rPr>
                <w:sz w:val="4"/>
                <w:szCs w:val="4"/>
              </w:rPr>
            </w:r>
          </w:p>
        </w:tc>
        <w:tc>
          <w:tcPr>
            <w:tcW w:w="1655" w:type="dxa"/>
            <w:gridSpan w:val="5"/>
            <w:tcBorders/>
            <w:shd w:fill="CF0A2C" w:val="clear"/>
            <w:vAlign w:val="center"/>
          </w:tcPr>
          <w:p>
            <w:pPr>
              <w:pStyle w:val="TableContents"/>
              <w:spacing w:before="0" w:after="283"/>
              <w:rPr>
                <w:sz w:val="4"/>
                <w:szCs w:val="4"/>
              </w:rPr>
            </w:pPr>
            <w:r>
              <w:rPr>
                <w:sz w:val="4"/>
                <w:szCs w:val="4"/>
              </w:rPr>
            </w:r>
          </w:p>
        </w:tc>
        <w:tc>
          <w:tcPr>
            <w:tcW w:w="1903" w:type="dxa"/>
            <w:gridSpan w:val="5"/>
            <w:tcBorders/>
            <w:shd w:fill="CF0A2C" w:val="clear"/>
            <w:vAlign w:val="center"/>
          </w:tcPr>
          <w:p>
            <w:pPr>
              <w:pStyle w:val="TableContents"/>
              <w:spacing w:before="0" w:after="283"/>
              <w:rPr>
                <w:sz w:val="4"/>
                <w:szCs w:val="4"/>
              </w:rPr>
            </w:pPr>
            <w:r>
              <w:rPr>
                <w:sz w:val="4"/>
                <w:szCs w:val="4"/>
              </w:rPr>
            </w:r>
          </w:p>
        </w:tc>
        <w:tc>
          <w:tcPr>
            <w:tcW w:w="2396" w:type="dxa"/>
            <w:gridSpan w:val="5"/>
            <w:tcBorders/>
            <w:shd w:fill="CF0A2C" w:val="clear"/>
            <w:vAlign w:val="center"/>
          </w:tcPr>
          <w:p>
            <w:pPr>
              <w:pStyle w:val="TableContents"/>
              <w:spacing w:before="0" w:after="283"/>
              <w:rPr>
                <w:sz w:val="4"/>
                <w:szCs w:val="4"/>
              </w:rPr>
            </w:pPr>
            <w:r>
              <w:rPr>
                <w:sz w:val="4"/>
                <w:szCs w:val="4"/>
              </w:rPr>
            </w:r>
          </w:p>
        </w:tc>
        <w:tc>
          <w:tcPr>
            <w:tcW w:w="2691" w:type="dxa"/>
            <w:gridSpan w:val="5"/>
            <w:tcBorders/>
            <w:shd w:fill="CF0A2C" w:val="clear"/>
            <w:vAlign w:val="center"/>
          </w:tcPr>
          <w:p>
            <w:pPr>
              <w:pStyle w:val="TableContents"/>
              <w:spacing w:before="0" w:after="283"/>
              <w:rPr>
                <w:sz w:val="4"/>
                <w:szCs w:val="4"/>
              </w:rPr>
            </w:pPr>
            <w:r>
              <w:rPr>
                <w:sz w:val="4"/>
                <w:szCs w:val="4"/>
              </w:rPr>
            </w:r>
          </w:p>
        </w:tc>
      </w:tr>
      <w:tr>
        <w:trPr/>
        <w:tc>
          <w:tcPr>
            <w:tcW w:w="1560"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210" w:type="dxa"/>
            <w:tcBorders/>
            <w:shd w:fill="CF0A2C" w:val="clear"/>
            <w:vAlign w:val="bottom"/>
          </w:tcPr>
          <w:p>
            <w:pPr>
              <w:pStyle w:val="TableContents"/>
              <w:spacing w:before="0" w:after="283"/>
              <w:rPr/>
            </w:pPr>
            <w:r>
              <w:rPr/>
              <w:t>  </w:t>
            </w:r>
          </w:p>
        </w:tc>
        <w:tc>
          <w:tcPr>
            <w:tcW w:w="1445" w:type="dxa"/>
            <w:gridSpan w:val="4"/>
            <w:tcBorders/>
            <w:shd w:fill="CF0A2C" w:val="clear"/>
            <w:vAlign w:val="bottom"/>
          </w:tcPr>
          <w:p>
            <w:pPr>
              <w:pStyle w:val="TableContents"/>
              <w:spacing w:before="0" w:after="283"/>
              <w:jc w:val="center"/>
              <w:rPr>
                <w:b/>
                <w:color w:val="FFFFFF"/>
              </w:rPr>
            </w:pPr>
            <w:r>
              <w:rPr>
                <w:b/>
                <w:color w:val="FFFFFF"/>
              </w:rPr>
              <w:t>Stock Options</w:t>
            </w:r>
          </w:p>
        </w:tc>
        <w:tc>
          <w:tcPr>
            <w:tcW w:w="210" w:type="dxa"/>
            <w:tcBorders/>
            <w:shd w:fill="CF0A2C" w:val="clear"/>
            <w:vAlign w:val="bottom"/>
          </w:tcPr>
          <w:p>
            <w:pPr>
              <w:pStyle w:val="TableContents"/>
              <w:spacing w:before="0" w:after="283"/>
              <w:rPr/>
            </w:pPr>
            <w:r>
              <w:rPr/>
              <w:t>  </w:t>
            </w:r>
          </w:p>
        </w:tc>
        <w:tc>
          <w:tcPr>
            <w:tcW w:w="1693" w:type="dxa"/>
            <w:gridSpan w:val="4"/>
            <w:tcBorders/>
            <w:shd w:fill="CF0A2C" w:val="clear"/>
            <w:vAlign w:val="bottom"/>
          </w:tcPr>
          <w:p>
            <w:pPr>
              <w:pStyle w:val="TableContents"/>
              <w:spacing w:before="0" w:after="283"/>
              <w:jc w:val="center"/>
              <w:rPr>
                <w:b/>
                <w:color w:val="FFFFFF"/>
              </w:rPr>
            </w:pPr>
            <w:r>
              <w:rPr>
                <w:b/>
                <w:color w:val="FFFFFF"/>
              </w:rPr>
              <w:t>Restricted Stock</w:t>
            </w:r>
          </w:p>
        </w:tc>
        <w:tc>
          <w:tcPr>
            <w:tcW w:w="210" w:type="dxa"/>
            <w:tcBorders/>
            <w:shd w:fill="CF0A2C" w:val="clear"/>
            <w:vAlign w:val="bottom"/>
          </w:tcPr>
          <w:p>
            <w:pPr>
              <w:pStyle w:val="TableContents"/>
              <w:spacing w:before="0" w:after="283"/>
              <w:rPr/>
            </w:pPr>
            <w:r>
              <w:rPr/>
              <w:t>  </w:t>
            </w:r>
          </w:p>
        </w:tc>
        <w:tc>
          <w:tcPr>
            <w:tcW w:w="2186" w:type="dxa"/>
            <w:gridSpan w:val="4"/>
            <w:tcBorders/>
            <w:shd w:fill="CF0A2C" w:val="clear"/>
            <w:vAlign w:val="bottom"/>
          </w:tcPr>
          <w:p>
            <w:pPr>
              <w:pStyle w:val="TableContents"/>
              <w:spacing w:before="0" w:after="283"/>
              <w:jc w:val="center"/>
              <w:rPr>
                <w:b/>
                <w:color w:val="FFFFFF"/>
              </w:rPr>
            </w:pPr>
            <w:r>
              <w:rPr>
                <w:b/>
                <w:color w:val="FFFFFF"/>
              </w:rPr>
              <w:t>Cash LTIP at Target</w:t>
            </w:r>
          </w:p>
        </w:tc>
        <w:tc>
          <w:tcPr>
            <w:tcW w:w="210" w:type="dxa"/>
            <w:tcBorders/>
            <w:shd w:fill="CF0A2C" w:val="clear"/>
            <w:vAlign w:val="bottom"/>
          </w:tcPr>
          <w:p>
            <w:pPr>
              <w:pStyle w:val="TableContents"/>
              <w:spacing w:before="0" w:after="283"/>
              <w:rPr/>
            </w:pPr>
            <w:r>
              <w:rPr/>
              <w:t>  </w:t>
            </w:r>
          </w:p>
        </w:tc>
        <w:tc>
          <w:tcPr>
            <w:tcW w:w="2481" w:type="dxa"/>
            <w:gridSpan w:val="4"/>
            <w:tcBorders/>
            <w:shd w:fill="CF0A2C" w:val="clear"/>
            <w:vAlign w:val="bottom"/>
          </w:tcPr>
          <w:p>
            <w:pPr>
              <w:pStyle w:val="TableContents"/>
              <w:spacing w:before="0" w:after="283"/>
              <w:jc w:val="center"/>
              <w:rPr>
                <w:b/>
                <w:color w:val="FFFFFF"/>
              </w:rPr>
            </w:pPr>
            <w:r>
              <w:rPr>
                <w:b/>
                <w:color w:val="FFFFFF"/>
              </w:rPr>
              <w:t>Total Long-Term</w:t>
              <w:br/>
              <w:t xml:space="preserve">Incentive Opportunity   </w:t>
            </w:r>
          </w:p>
        </w:tc>
      </w:tr>
      <w:tr>
        <w:trPr>
          <w:trHeight w:val="75" w:hRule="atLeast"/>
        </w:trPr>
        <w:tc>
          <w:tcPr>
            <w:tcW w:w="1560" w:type="dxa"/>
            <w:tcBorders/>
            <w:shd w:fill="E5E5E5" w:val="clear"/>
            <w:vAlign w:val="center"/>
          </w:tcPr>
          <w:p>
            <w:pPr>
              <w:pStyle w:val="TableContents"/>
              <w:spacing w:before="0" w:after="283"/>
              <w:rPr>
                <w:sz w:val="4"/>
                <w:szCs w:val="4"/>
              </w:rPr>
            </w:pPr>
            <w:r>
              <w:rPr>
                <w:sz w:val="4"/>
                <w:szCs w:val="4"/>
              </w:rPr>
            </w:r>
          </w:p>
        </w:tc>
        <w:tc>
          <w:tcPr>
            <w:tcW w:w="1655" w:type="dxa"/>
            <w:gridSpan w:val="5"/>
            <w:tcBorders/>
            <w:shd w:fill="E5E5E5" w:val="clear"/>
            <w:vAlign w:val="center"/>
          </w:tcPr>
          <w:p>
            <w:pPr>
              <w:pStyle w:val="TableContents"/>
              <w:spacing w:before="0" w:after="283"/>
              <w:rPr>
                <w:sz w:val="4"/>
                <w:szCs w:val="4"/>
              </w:rPr>
            </w:pPr>
            <w:r>
              <w:rPr>
                <w:sz w:val="4"/>
                <w:szCs w:val="4"/>
              </w:rPr>
            </w:r>
          </w:p>
        </w:tc>
        <w:tc>
          <w:tcPr>
            <w:tcW w:w="1903" w:type="dxa"/>
            <w:gridSpan w:val="5"/>
            <w:tcBorders/>
            <w:shd w:fill="E5E5E5" w:val="clear"/>
            <w:vAlign w:val="center"/>
          </w:tcPr>
          <w:p>
            <w:pPr>
              <w:pStyle w:val="TableContents"/>
              <w:spacing w:before="0" w:after="283"/>
              <w:rPr>
                <w:sz w:val="4"/>
                <w:szCs w:val="4"/>
              </w:rPr>
            </w:pPr>
            <w:r>
              <w:rPr>
                <w:sz w:val="4"/>
                <w:szCs w:val="4"/>
              </w:rPr>
            </w:r>
          </w:p>
        </w:tc>
        <w:tc>
          <w:tcPr>
            <w:tcW w:w="2396" w:type="dxa"/>
            <w:gridSpan w:val="5"/>
            <w:tcBorders/>
            <w:shd w:fill="E5E5E5" w:val="clear"/>
            <w:vAlign w:val="center"/>
          </w:tcPr>
          <w:p>
            <w:pPr>
              <w:pStyle w:val="TableContents"/>
              <w:spacing w:before="0" w:after="283"/>
              <w:rPr>
                <w:sz w:val="4"/>
                <w:szCs w:val="4"/>
              </w:rPr>
            </w:pPr>
            <w:r>
              <w:rPr>
                <w:sz w:val="4"/>
                <w:szCs w:val="4"/>
              </w:rPr>
            </w:r>
          </w:p>
        </w:tc>
        <w:tc>
          <w:tcPr>
            <w:tcW w:w="2691" w:type="dxa"/>
            <w:gridSpan w:val="5"/>
            <w:tcBorders/>
            <w:shd w:fill="E5E5E5" w:val="clear"/>
            <w:vAlign w:val="center"/>
          </w:tcPr>
          <w:p>
            <w:pPr>
              <w:pStyle w:val="TableContents"/>
              <w:spacing w:before="0" w:after="283"/>
              <w:rPr>
                <w:sz w:val="4"/>
                <w:szCs w:val="4"/>
              </w:rPr>
            </w:pPr>
            <w:r>
              <w:rPr>
                <w:sz w:val="4"/>
                <w:szCs w:val="4"/>
              </w:rPr>
            </w:r>
          </w:p>
        </w:tc>
      </w:tr>
      <w:tr>
        <w:trPr/>
        <w:tc>
          <w:tcPr>
            <w:tcW w:w="1560" w:type="dxa"/>
            <w:tcBorders/>
            <w:shd w:fill="E5E5E5" w:val="clear"/>
          </w:tcPr>
          <w:p>
            <w:pPr>
              <w:pStyle w:val="TableContents"/>
              <w:spacing w:before="0" w:after="0"/>
              <w:rPr>
                <w:rFonts w:ascii="arial" w:hAnsi="arial"/>
                <w:sz w:val="20"/>
              </w:rPr>
            </w:pPr>
            <w:r>
              <w:rPr>
                <w:rFonts w:ascii="arial" w:hAnsi="arial"/>
                <w:sz w:val="20"/>
              </w:rPr>
              <w:t>Thomas H. Song(1)</w:t>
            </w:r>
          </w:p>
        </w:tc>
        <w:tc>
          <w:tcPr>
            <w:tcW w:w="210"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97" w:type="dxa"/>
            <w:tcBorders/>
            <w:shd w:fill="E5E5E5" w:val="clear"/>
            <w:vAlign w:val="bottom"/>
          </w:tcPr>
          <w:p>
            <w:pPr>
              <w:pStyle w:val="TableContents"/>
              <w:spacing w:before="0" w:after="283"/>
              <w:rPr/>
            </w:pPr>
            <w:r>
              <w:rPr/>
              <w:t>$</w:t>
            </w:r>
          </w:p>
        </w:tc>
        <w:tc>
          <w:tcPr>
            <w:tcW w:w="1130" w:type="dxa"/>
            <w:tcBorders/>
            <w:shd w:fill="E5E5E5" w:val="clear"/>
            <w:vAlign w:val="bottom"/>
          </w:tcPr>
          <w:p>
            <w:pPr>
              <w:pStyle w:val="TableContents"/>
              <w:spacing w:before="0" w:after="283"/>
              <w:jc w:val="right"/>
              <w:rPr/>
            </w:pPr>
            <w:r>
              <w:rPr/>
              <w:t>272,008</w:t>
            </w:r>
          </w:p>
        </w:tc>
        <w:tc>
          <w:tcPr>
            <w:tcW w:w="34"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98" w:type="dxa"/>
            <w:tcBorders/>
            <w:shd w:fill="E5E5E5" w:val="clear"/>
            <w:vAlign w:val="bottom"/>
          </w:tcPr>
          <w:p>
            <w:pPr>
              <w:pStyle w:val="TableContents"/>
              <w:spacing w:before="0" w:after="283"/>
              <w:rPr/>
            </w:pPr>
            <w:r>
              <w:rPr/>
              <w:t> </w:t>
            </w:r>
          </w:p>
        </w:tc>
        <w:tc>
          <w:tcPr>
            <w:tcW w:w="230" w:type="dxa"/>
            <w:tcBorders/>
            <w:shd w:fill="E5E5E5" w:val="clear"/>
            <w:vAlign w:val="bottom"/>
          </w:tcPr>
          <w:p>
            <w:pPr>
              <w:pStyle w:val="TableContents"/>
              <w:spacing w:before="0" w:after="283"/>
              <w:rPr/>
            </w:pPr>
            <w:r>
              <w:rPr/>
              <w:t>$</w:t>
            </w:r>
          </w:p>
        </w:tc>
        <w:tc>
          <w:tcPr>
            <w:tcW w:w="1325" w:type="dxa"/>
            <w:tcBorders/>
            <w:shd w:fill="E5E5E5" w:val="clear"/>
            <w:vAlign w:val="bottom"/>
          </w:tcPr>
          <w:p>
            <w:pPr>
              <w:pStyle w:val="TableContents"/>
              <w:spacing w:before="0" w:after="283"/>
              <w:jc w:val="right"/>
              <w:rPr/>
            </w:pPr>
            <w:r>
              <w:rPr/>
              <w:t>264,038</w:t>
            </w:r>
          </w:p>
        </w:tc>
        <w:tc>
          <w:tcPr>
            <w:tcW w:w="40"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298" w:type="dxa"/>
            <w:tcBorders/>
            <w:shd w:fill="E5E5E5" w:val="clear"/>
            <w:vAlign w:val="bottom"/>
          </w:tcPr>
          <w:p>
            <w:pPr>
              <w:pStyle w:val="TableContents"/>
              <w:spacing w:before="0" w:after="283"/>
              <w:rPr/>
            </w:pPr>
            <w:r>
              <w:rPr/>
              <w:t>$</w:t>
            </w:r>
          </w:p>
        </w:tc>
        <w:tc>
          <w:tcPr>
            <w:tcW w:w="1711" w:type="dxa"/>
            <w:tcBorders/>
            <w:shd w:fill="E5E5E5" w:val="clear"/>
            <w:vAlign w:val="bottom"/>
          </w:tcPr>
          <w:p>
            <w:pPr>
              <w:pStyle w:val="TableContents"/>
              <w:spacing w:before="0" w:after="283"/>
              <w:jc w:val="right"/>
              <w:rPr/>
            </w:pPr>
            <w:r>
              <w:rPr/>
              <w:t>264,000</w:t>
            </w:r>
          </w:p>
        </w:tc>
        <w:tc>
          <w:tcPr>
            <w:tcW w:w="51"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122" w:type="dxa"/>
            <w:tcBorders/>
            <w:shd w:fill="E5E5E5" w:val="clear"/>
            <w:vAlign w:val="bottom"/>
          </w:tcPr>
          <w:p>
            <w:pPr>
              <w:pStyle w:val="TableContents"/>
              <w:spacing w:before="0" w:after="283"/>
              <w:rPr/>
            </w:pPr>
            <w:r>
              <w:rPr/>
              <w:t> </w:t>
            </w:r>
          </w:p>
        </w:tc>
        <w:tc>
          <w:tcPr>
            <w:tcW w:w="286" w:type="dxa"/>
            <w:tcBorders/>
            <w:shd w:fill="E5E5E5" w:val="clear"/>
            <w:vAlign w:val="bottom"/>
          </w:tcPr>
          <w:p>
            <w:pPr>
              <w:pStyle w:val="TableContents"/>
              <w:spacing w:before="0" w:after="283"/>
              <w:rPr/>
            </w:pPr>
            <w:r>
              <w:rPr/>
              <w:t>$</w:t>
            </w:r>
          </w:p>
        </w:tc>
        <w:tc>
          <w:tcPr>
            <w:tcW w:w="2018" w:type="dxa"/>
            <w:tcBorders/>
            <w:shd w:fill="E5E5E5" w:val="clear"/>
            <w:vAlign w:val="bottom"/>
          </w:tcPr>
          <w:p>
            <w:pPr>
              <w:pStyle w:val="TableContents"/>
              <w:spacing w:before="0" w:after="283"/>
              <w:jc w:val="right"/>
              <w:rPr/>
            </w:pPr>
            <w:r>
              <w:rPr/>
              <w:t>800,046</w:t>
            </w:r>
          </w:p>
        </w:tc>
        <w:tc>
          <w:tcPr>
            <w:tcW w:w="55"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1560" w:type="dxa"/>
            <w:tcBorders/>
            <w:shd w:fill="auto" w:val="clear"/>
            <w:vAlign w:val="center"/>
          </w:tcPr>
          <w:p>
            <w:pPr>
              <w:pStyle w:val="TableContents"/>
              <w:spacing w:before="0" w:after="283"/>
              <w:rPr>
                <w:sz w:val="4"/>
                <w:szCs w:val="4"/>
              </w:rPr>
            </w:pPr>
            <w:r>
              <w:rPr>
                <w:sz w:val="4"/>
                <w:szCs w:val="4"/>
              </w:rPr>
            </w:r>
          </w:p>
        </w:tc>
        <w:tc>
          <w:tcPr>
            <w:tcW w:w="1655" w:type="dxa"/>
            <w:gridSpan w:val="5"/>
            <w:tcBorders/>
            <w:shd w:fill="auto" w:val="clear"/>
            <w:vAlign w:val="center"/>
          </w:tcPr>
          <w:p>
            <w:pPr>
              <w:pStyle w:val="TableContents"/>
              <w:spacing w:before="0" w:after="283"/>
              <w:rPr>
                <w:sz w:val="4"/>
                <w:szCs w:val="4"/>
              </w:rPr>
            </w:pPr>
            <w:r>
              <w:rPr>
                <w:sz w:val="4"/>
                <w:szCs w:val="4"/>
              </w:rPr>
            </w:r>
          </w:p>
        </w:tc>
        <w:tc>
          <w:tcPr>
            <w:tcW w:w="1903" w:type="dxa"/>
            <w:gridSpan w:val="5"/>
            <w:tcBorders/>
            <w:shd w:fill="auto" w:val="clear"/>
            <w:vAlign w:val="center"/>
          </w:tcPr>
          <w:p>
            <w:pPr>
              <w:pStyle w:val="TableContents"/>
              <w:spacing w:before="0" w:after="283"/>
              <w:rPr>
                <w:sz w:val="4"/>
                <w:szCs w:val="4"/>
              </w:rPr>
            </w:pPr>
            <w:r>
              <w:rPr>
                <w:sz w:val="4"/>
                <w:szCs w:val="4"/>
              </w:rPr>
            </w:r>
          </w:p>
        </w:tc>
        <w:tc>
          <w:tcPr>
            <w:tcW w:w="2396" w:type="dxa"/>
            <w:gridSpan w:val="5"/>
            <w:tcBorders/>
            <w:shd w:fill="auto" w:val="clear"/>
            <w:vAlign w:val="center"/>
          </w:tcPr>
          <w:p>
            <w:pPr>
              <w:pStyle w:val="TableContents"/>
              <w:spacing w:before="0" w:after="283"/>
              <w:rPr>
                <w:sz w:val="4"/>
                <w:szCs w:val="4"/>
              </w:rPr>
            </w:pPr>
            <w:r>
              <w:rPr>
                <w:sz w:val="4"/>
                <w:szCs w:val="4"/>
              </w:rPr>
            </w:r>
          </w:p>
        </w:tc>
        <w:tc>
          <w:tcPr>
            <w:tcW w:w="2691" w:type="dxa"/>
            <w:gridSpan w:val="5"/>
            <w:tcBorders/>
            <w:shd w:fill="auto" w:val="clear"/>
            <w:vAlign w:val="center"/>
          </w:tcPr>
          <w:p>
            <w:pPr>
              <w:pStyle w:val="TableContents"/>
              <w:spacing w:before="0" w:after="283"/>
              <w:rPr>
                <w:sz w:val="4"/>
                <w:szCs w:val="4"/>
              </w:rPr>
            </w:pPr>
            <w:r>
              <w:rPr>
                <w:sz w:val="4"/>
                <w:szCs w:val="4"/>
              </w:rPr>
            </w:r>
          </w:p>
        </w:tc>
      </w:tr>
      <w:tr>
        <w:trPr/>
        <w:tc>
          <w:tcPr>
            <w:tcW w:w="1560" w:type="dxa"/>
            <w:tcBorders/>
            <w:shd w:fill="auto" w:val="clear"/>
          </w:tcPr>
          <w:p>
            <w:pPr>
              <w:pStyle w:val="TableContents"/>
              <w:spacing w:before="0" w:after="0"/>
              <w:rPr>
                <w:rFonts w:ascii="arial" w:hAnsi="arial"/>
                <w:sz w:val="20"/>
              </w:rPr>
            </w:pPr>
            <w:r>
              <w:rPr>
                <w:rFonts w:ascii="arial" w:hAnsi="arial"/>
                <w:sz w:val="20"/>
              </w:rPr>
              <w:t>John C. Cywinski</w:t>
            </w:r>
          </w:p>
        </w:tc>
        <w:tc>
          <w:tcPr>
            <w:tcW w:w="21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w:t>
            </w:r>
          </w:p>
        </w:tc>
        <w:tc>
          <w:tcPr>
            <w:tcW w:w="1130" w:type="dxa"/>
            <w:tcBorders/>
            <w:shd w:fill="auto" w:val="clear"/>
            <w:vAlign w:val="bottom"/>
          </w:tcPr>
          <w:p>
            <w:pPr>
              <w:pStyle w:val="TableContents"/>
              <w:spacing w:before="0" w:after="283"/>
              <w:jc w:val="right"/>
              <w:rPr/>
            </w:pPr>
            <w:r>
              <w:rPr/>
              <w:t>340,014</w:t>
            </w:r>
          </w:p>
        </w:tc>
        <w:tc>
          <w:tcPr>
            <w:tcW w:w="34"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325" w:type="dxa"/>
            <w:tcBorders/>
            <w:shd w:fill="auto" w:val="clear"/>
            <w:vAlign w:val="bottom"/>
          </w:tcPr>
          <w:p>
            <w:pPr>
              <w:pStyle w:val="TableContents"/>
              <w:spacing w:before="0" w:after="283"/>
              <w:jc w:val="right"/>
              <w:rPr/>
            </w:pPr>
            <w:r>
              <w:rPr/>
              <w:t>330,026</w:t>
            </w:r>
          </w:p>
        </w:tc>
        <w:tc>
          <w:tcPr>
            <w:tcW w:w="40"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w:t>
            </w:r>
          </w:p>
        </w:tc>
        <w:tc>
          <w:tcPr>
            <w:tcW w:w="1711" w:type="dxa"/>
            <w:tcBorders/>
            <w:shd w:fill="auto" w:val="clear"/>
            <w:vAlign w:val="bottom"/>
          </w:tcPr>
          <w:p>
            <w:pPr>
              <w:pStyle w:val="TableContents"/>
              <w:spacing w:before="0" w:after="283"/>
              <w:jc w:val="right"/>
              <w:rPr/>
            </w:pPr>
            <w:r>
              <w:rPr/>
              <w:t>330,000</w:t>
            </w:r>
          </w:p>
        </w:tc>
        <w:tc>
          <w:tcPr>
            <w:tcW w:w="51"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2018" w:type="dxa"/>
            <w:tcBorders/>
            <w:shd w:fill="auto" w:val="clear"/>
            <w:vAlign w:val="bottom"/>
          </w:tcPr>
          <w:p>
            <w:pPr>
              <w:pStyle w:val="TableContents"/>
              <w:spacing w:before="0" w:after="283"/>
              <w:jc w:val="right"/>
              <w:rPr/>
            </w:pPr>
            <w:r>
              <w:rPr/>
              <w:t>1,000,040</w:t>
            </w:r>
          </w:p>
        </w:tc>
        <w:tc>
          <w:tcPr>
            <w:tcW w:w="55"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1560" w:type="dxa"/>
            <w:tcBorders/>
            <w:shd w:fill="E5E5E5" w:val="clear"/>
            <w:vAlign w:val="center"/>
          </w:tcPr>
          <w:p>
            <w:pPr>
              <w:pStyle w:val="TableContents"/>
              <w:spacing w:before="0" w:after="283"/>
              <w:rPr>
                <w:sz w:val="4"/>
                <w:szCs w:val="4"/>
              </w:rPr>
            </w:pPr>
            <w:r>
              <w:rPr>
                <w:sz w:val="4"/>
                <w:szCs w:val="4"/>
              </w:rPr>
            </w:r>
          </w:p>
        </w:tc>
        <w:tc>
          <w:tcPr>
            <w:tcW w:w="1655" w:type="dxa"/>
            <w:gridSpan w:val="5"/>
            <w:tcBorders/>
            <w:shd w:fill="E5E5E5" w:val="clear"/>
            <w:vAlign w:val="center"/>
          </w:tcPr>
          <w:p>
            <w:pPr>
              <w:pStyle w:val="TableContents"/>
              <w:spacing w:before="0" w:after="283"/>
              <w:rPr>
                <w:sz w:val="4"/>
                <w:szCs w:val="4"/>
              </w:rPr>
            </w:pPr>
            <w:r>
              <w:rPr>
                <w:sz w:val="4"/>
                <w:szCs w:val="4"/>
              </w:rPr>
            </w:r>
          </w:p>
        </w:tc>
        <w:tc>
          <w:tcPr>
            <w:tcW w:w="1903" w:type="dxa"/>
            <w:gridSpan w:val="5"/>
            <w:tcBorders/>
            <w:shd w:fill="E5E5E5" w:val="clear"/>
            <w:vAlign w:val="center"/>
          </w:tcPr>
          <w:p>
            <w:pPr>
              <w:pStyle w:val="TableContents"/>
              <w:spacing w:before="0" w:after="283"/>
              <w:rPr>
                <w:sz w:val="4"/>
                <w:szCs w:val="4"/>
              </w:rPr>
            </w:pPr>
            <w:r>
              <w:rPr>
                <w:sz w:val="4"/>
                <w:szCs w:val="4"/>
              </w:rPr>
            </w:r>
          </w:p>
        </w:tc>
        <w:tc>
          <w:tcPr>
            <w:tcW w:w="2396" w:type="dxa"/>
            <w:gridSpan w:val="5"/>
            <w:tcBorders/>
            <w:shd w:fill="E5E5E5" w:val="clear"/>
            <w:vAlign w:val="center"/>
          </w:tcPr>
          <w:p>
            <w:pPr>
              <w:pStyle w:val="TableContents"/>
              <w:spacing w:before="0" w:after="283"/>
              <w:rPr>
                <w:sz w:val="4"/>
                <w:szCs w:val="4"/>
              </w:rPr>
            </w:pPr>
            <w:r>
              <w:rPr>
                <w:sz w:val="4"/>
                <w:szCs w:val="4"/>
              </w:rPr>
            </w:r>
          </w:p>
        </w:tc>
        <w:tc>
          <w:tcPr>
            <w:tcW w:w="2691" w:type="dxa"/>
            <w:gridSpan w:val="5"/>
            <w:tcBorders/>
            <w:shd w:fill="E5E5E5" w:val="clear"/>
            <w:vAlign w:val="center"/>
          </w:tcPr>
          <w:p>
            <w:pPr>
              <w:pStyle w:val="TableContents"/>
              <w:spacing w:before="0" w:after="283"/>
              <w:rPr>
                <w:sz w:val="4"/>
                <w:szCs w:val="4"/>
              </w:rPr>
            </w:pPr>
            <w:r>
              <w:rPr>
                <w:sz w:val="4"/>
                <w:szCs w:val="4"/>
              </w:rPr>
            </w:r>
          </w:p>
        </w:tc>
      </w:tr>
      <w:tr>
        <w:trPr/>
        <w:tc>
          <w:tcPr>
            <w:tcW w:w="1560" w:type="dxa"/>
            <w:tcBorders/>
            <w:shd w:fill="E5E5E5" w:val="clear"/>
          </w:tcPr>
          <w:p>
            <w:pPr>
              <w:pStyle w:val="TableContents"/>
              <w:spacing w:before="0" w:after="0"/>
              <w:rPr>
                <w:rFonts w:ascii="arial" w:hAnsi="arial"/>
                <w:sz w:val="20"/>
              </w:rPr>
            </w:pPr>
            <w:r>
              <w:rPr>
                <w:rFonts w:ascii="arial" w:hAnsi="arial"/>
                <w:sz w:val="20"/>
              </w:rPr>
              <w:t>Jay D. Johns</w:t>
            </w:r>
          </w:p>
        </w:tc>
        <w:tc>
          <w:tcPr>
            <w:tcW w:w="210"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197" w:type="dxa"/>
            <w:tcBorders/>
            <w:shd w:fill="E5E5E5" w:val="clear"/>
            <w:vAlign w:val="bottom"/>
          </w:tcPr>
          <w:p>
            <w:pPr>
              <w:pStyle w:val="TableContents"/>
              <w:spacing w:before="0" w:after="283"/>
              <w:rPr/>
            </w:pPr>
            <w:r>
              <w:rPr/>
              <w:t>$</w:t>
            </w:r>
          </w:p>
        </w:tc>
        <w:tc>
          <w:tcPr>
            <w:tcW w:w="1130" w:type="dxa"/>
            <w:tcBorders/>
            <w:shd w:fill="E5E5E5" w:val="clear"/>
            <w:vAlign w:val="bottom"/>
          </w:tcPr>
          <w:p>
            <w:pPr>
              <w:pStyle w:val="TableContents"/>
              <w:spacing w:before="0" w:after="283"/>
              <w:jc w:val="right"/>
              <w:rPr/>
            </w:pPr>
            <w:r>
              <w:rPr/>
              <w:t>255,006</w:t>
            </w:r>
          </w:p>
        </w:tc>
        <w:tc>
          <w:tcPr>
            <w:tcW w:w="34"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98" w:type="dxa"/>
            <w:tcBorders/>
            <w:shd w:fill="E5E5E5" w:val="clear"/>
            <w:vAlign w:val="bottom"/>
          </w:tcPr>
          <w:p>
            <w:pPr>
              <w:pStyle w:val="TableContents"/>
              <w:spacing w:before="0" w:after="283"/>
              <w:rPr/>
            </w:pPr>
            <w:r>
              <w:rPr/>
              <w:t> </w:t>
            </w:r>
          </w:p>
        </w:tc>
        <w:tc>
          <w:tcPr>
            <w:tcW w:w="230" w:type="dxa"/>
            <w:tcBorders/>
            <w:shd w:fill="E5E5E5" w:val="clear"/>
            <w:vAlign w:val="bottom"/>
          </w:tcPr>
          <w:p>
            <w:pPr>
              <w:pStyle w:val="TableContents"/>
              <w:spacing w:before="0" w:after="283"/>
              <w:rPr/>
            </w:pPr>
            <w:r>
              <w:rPr/>
              <w:t>$</w:t>
            </w:r>
          </w:p>
        </w:tc>
        <w:tc>
          <w:tcPr>
            <w:tcW w:w="1325" w:type="dxa"/>
            <w:tcBorders/>
            <w:shd w:fill="E5E5E5" w:val="clear"/>
            <w:vAlign w:val="bottom"/>
          </w:tcPr>
          <w:p>
            <w:pPr>
              <w:pStyle w:val="TableContents"/>
              <w:spacing w:before="0" w:after="283"/>
              <w:jc w:val="right"/>
              <w:rPr/>
            </w:pPr>
            <w:r>
              <w:rPr/>
              <w:t>247,563</w:t>
            </w:r>
          </w:p>
        </w:tc>
        <w:tc>
          <w:tcPr>
            <w:tcW w:w="40"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298" w:type="dxa"/>
            <w:tcBorders/>
            <w:shd w:fill="E5E5E5" w:val="clear"/>
            <w:vAlign w:val="bottom"/>
          </w:tcPr>
          <w:p>
            <w:pPr>
              <w:pStyle w:val="TableContents"/>
              <w:spacing w:before="0" w:after="283"/>
              <w:rPr/>
            </w:pPr>
            <w:r>
              <w:rPr/>
              <w:t>$</w:t>
            </w:r>
          </w:p>
        </w:tc>
        <w:tc>
          <w:tcPr>
            <w:tcW w:w="1711" w:type="dxa"/>
            <w:tcBorders/>
            <w:shd w:fill="E5E5E5" w:val="clear"/>
            <w:vAlign w:val="bottom"/>
          </w:tcPr>
          <w:p>
            <w:pPr>
              <w:pStyle w:val="TableContents"/>
              <w:spacing w:before="0" w:after="283"/>
              <w:jc w:val="right"/>
              <w:rPr/>
            </w:pPr>
            <w:r>
              <w:rPr/>
              <w:t>247,500</w:t>
            </w:r>
          </w:p>
        </w:tc>
        <w:tc>
          <w:tcPr>
            <w:tcW w:w="51"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122" w:type="dxa"/>
            <w:tcBorders/>
            <w:shd w:fill="E5E5E5" w:val="clear"/>
            <w:vAlign w:val="bottom"/>
          </w:tcPr>
          <w:p>
            <w:pPr>
              <w:pStyle w:val="TableContents"/>
              <w:spacing w:before="0" w:after="283"/>
              <w:rPr/>
            </w:pPr>
            <w:r>
              <w:rPr/>
              <w:t> </w:t>
            </w:r>
          </w:p>
        </w:tc>
        <w:tc>
          <w:tcPr>
            <w:tcW w:w="286" w:type="dxa"/>
            <w:tcBorders/>
            <w:shd w:fill="E5E5E5" w:val="clear"/>
            <w:vAlign w:val="bottom"/>
          </w:tcPr>
          <w:p>
            <w:pPr>
              <w:pStyle w:val="TableContents"/>
              <w:spacing w:before="0" w:after="283"/>
              <w:rPr/>
            </w:pPr>
            <w:r>
              <w:rPr/>
              <w:t>$</w:t>
            </w:r>
          </w:p>
        </w:tc>
        <w:tc>
          <w:tcPr>
            <w:tcW w:w="2018" w:type="dxa"/>
            <w:tcBorders/>
            <w:shd w:fill="E5E5E5" w:val="clear"/>
            <w:vAlign w:val="bottom"/>
          </w:tcPr>
          <w:p>
            <w:pPr>
              <w:pStyle w:val="TableContents"/>
              <w:spacing w:before="0" w:after="283"/>
              <w:jc w:val="right"/>
              <w:rPr/>
            </w:pPr>
            <w:r>
              <w:rPr/>
              <w:t>750,069</w:t>
            </w:r>
          </w:p>
        </w:tc>
        <w:tc>
          <w:tcPr>
            <w:tcW w:w="55"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1560" w:type="dxa"/>
            <w:tcBorders/>
            <w:shd w:fill="auto" w:val="clear"/>
            <w:vAlign w:val="center"/>
          </w:tcPr>
          <w:p>
            <w:pPr>
              <w:pStyle w:val="TableContents"/>
              <w:spacing w:before="0" w:after="283"/>
              <w:rPr>
                <w:sz w:val="4"/>
                <w:szCs w:val="4"/>
              </w:rPr>
            </w:pPr>
            <w:r>
              <w:rPr>
                <w:sz w:val="4"/>
                <w:szCs w:val="4"/>
              </w:rPr>
            </w:r>
          </w:p>
        </w:tc>
        <w:tc>
          <w:tcPr>
            <w:tcW w:w="1655" w:type="dxa"/>
            <w:gridSpan w:val="5"/>
            <w:tcBorders/>
            <w:shd w:fill="auto" w:val="clear"/>
            <w:vAlign w:val="center"/>
          </w:tcPr>
          <w:p>
            <w:pPr>
              <w:pStyle w:val="TableContents"/>
              <w:spacing w:before="0" w:after="283"/>
              <w:rPr>
                <w:sz w:val="4"/>
                <w:szCs w:val="4"/>
              </w:rPr>
            </w:pPr>
            <w:r>
              <w:rPr>
                <w:sz w:val="4"/>
                <w:szCs w:val="4"/>
              </w:rPr>
            </w:r>
          </w:p>
        </w:tc>
        <w:tc>
          <w:tcPr>
            <w:tcW w:w="1903" w:type="dxa"/>
            <w:gridSpan w:val="5"/>
            <w:tcBorders/>
            <w:shd w:fill="auto" w:val="clear"/>
            <w:vAlign w:val="center"/>
          </w:tcPr>
          <w:p>
            <w:pPr>
              <w:pStyle w:val="TableContents"/>
              <w:spacing w:before="0" w:after="283"/>
              <w:rPr>
                <w:sz w:val="4"/>
                <w:szCs w:val="4"/>
              </w:rPr>
            </w:pPr>
            <w:r>
              <w:rPr>
                <w:sz w:val="4"/>
                <w:szCs w:val="4"/>
              </w:rPr>
            </w:r>
          </w:p>
        </w:tc>
        <w:tc>
          <w:tcPr>
            <w:tcW w:w="2396" w:type="dxa"/>
            <w:gridSpan w:val="5"/>
            <w:tcBorders/>
            <w:shd w:fill="auto" w:val="clear"/>
            <w:vAlign w:val="center"/>
          </w:tcPr>
          <w:p>
            <w:pPr>
              <w:pStyle w:val="TableContents"/>
              <w:spacing w:before="0" w:after="283"/>
              <w:rPr>
                <w:sz w:val="4"/>
                <w:szCs w:val="4"/>
              </w:rPr>
            </w:pPr>
            <w:r>
              <w:rPr>
                <w:sz w:val="4"/>
                <w:szCs w:val="4"/>
              </w:rPr>
            </w:r>
          </w:p>
        </w:tc>
        <w:tc>
          <w:tcPr>
            <w:tcW w:w="2691" w:type="dxa"/>
            <w:gridSpan w:val="5"/>
            <w:tcBorders/>
            <w:shd w:fill="auto" w:val="clear"/>
            <w:vAlign w:val="center"/>
          </w:tcPr>
          <w:p>
            <w:pPr>
              <w:pStyle w:val="TableContents"/>
              <w:spacing w:before="0" w:after="283"/>
              <w:rPr>
                <w:sz w:val="4"/>
                <w:szCs w:val="4"/>
              </w:rPr>
            </w:pPr>
            <w:r>
              <w:rPr>
                <w:sz w:val="4"/>
                <w:szCs w:val="4"/>
              </w:rPr>
            </w:r>
          </w:p>
        </w:tc>
      </w:tr>
      <w:tr>
        <w:trPr/>
        <w:tc>
          <w:tcPr>
            <w:tcW w:w="1560" w:type="dxa"/>
            <w:tcBorders/>
            <w:shd w:fill="auto" w:val="clear"/>
          </w:tcPr>
          <w:p>
            <w:pPr>
              <w:pStyle w:val="TableContents"/>
              <w:spacing w:before="0" w:after="0"/>
              <w:rPr>
                <w:rFonts w:ascii="arial" w:hAnsi="arial"/>
                <w:sz w:val="20"/>
              </w:rPr>
            </w:pPr>
            <w:r>
              <w:rPr>
                <w:rFonts w:ascii="arial" w:hAnsi="arial"/>
                <w:sz w:val="20"/>
              </w:rPr>
              <w:t>Bryan R. Adel</w:t>
            </w:r>
          </w:p>
        </w:tc>
        <w:tc>
          <w:tcPr>
            <w:tcW w:w="21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w:t>
            </w:r>
          </w:p>
        </w:tc>
        <w:tc>
          <w:tcPr>
            <w:tcW w:w="1130" w:type="dxa"/>
            <w:tcBorders/>
            <w:shd w:fill="auto" w:val="clear"/>
            <w:vAlign w:val="bottom"/>
          </w:tcPr>
          <w:p>
            <w:pPr>
              <w:pStyle w:val="TableContents"/>
              <w:spacing w:before="0" w:after="283"/>
              <w:jc w:val="right"/>
              <w:rPr/>
            </w:pPr>
            <w:r>
              <w:rPr/>
              <w:t>238,005</w:t>
            </w:r>
          </w:p>
        </w:tc>
        <w:tc>
          <w:tcPr>
            <w:tcW w:w="34"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325" w:type="dxa"/>
            <w:tcBorders/>
            <w:shd w:fill="auto" w:val="clear"/>
            <w:vAlign w:val="bottom"/>
          </w:tcPr>
          <w:p>
            <w:pPr>
              <w:pStyle w:val="TableContents"/>
              <w:spacing w:before="0" w:after="283"/>
              <w:jc w:val="right"/>
              <w:rPr/>
            </w:pPr>
            <w:r>
              <w:rPr/>
              <w:t>231,001</w:t>
            </w:r>
          </w:p>
        </w:tc>
        <w:tc>
          <w:tcPr>
            <w:tcW w:w="40"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w:t>
            </w:r>
          </w:p>
        </w:tc>
        <w:tc>
          <w:tcPr>
            <w:tcW w:w="1711" w:type="dxa"/>
            <w:tcBorders/>
            <w:shd w:fill="auto" w:val="clear"/>
            <w:vAlign w:val="bottom"/>
          </w:tcPr>
          <w:p>
            <w:pPr>
              <w:pStyle w:val="TableContents"/>
              <w:spacing w:before="0" w:after="283"/>
              <w:jc w:val="right"/>
              <w:rPr/>
            </w:pPr>
            <w:r>
              <w:rPr/>
              <w:t>231,000</w:t>
            </w:r>
          </w:p>
        </w:tc>
        <w:tc>
          <w:tcPr>
            <w:tcW w:w="51"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2018" w:type="dxa"/>
            <w:tcBorders/>
            <w:shd w:fill="auto" w:val="clear"/>
            <w:vAlign w:val="bottom"/>
          </w:tcPr>
          <w:p>
            <w:pPr>
              <w:pStyle w:val="TableContents"/>
              <w:spacing w:before="0" w:after="283"/>
              <w:jc w:val="right"/>
              <w:rPr/>
            </w:pPr>
            <w:r>
              <w:rPr/>
              <w:t>700,005</w:t>
            </w:r>
          </w:p>
        </w:tc>
        <w:tc>
          <w:tcPr>
            <w:tcW w:w="55"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Mr. Song is no longer entitled to any of his unvested long-term incentive awards, including stock options, restricted stock awards, and cash LTIP awards due to his voluntary termination from the Corporation on January 22, 2021. </w:t>
            </w:r>
          </w:p>
        </w:tc>
      </w:tr>
    </w:tbl>
    <w:p>
      <w:pPr>
        <w:pStyle w:val="TextBody"/>
        <w:spacing w:before="120" w:after="0"/>
        <w:jc w:val="left"/>
        <w:rPr>
          <w:rFonts w:ascii="arial" w:hAnsi="arial"/>
          <w:sz w:val="20"/>
        </w:rPr>
      </w:pPr>
      <w:r>
        <w:rPr>
          <w:rFonts w:ascii="arial" w:hAnsi="arial"/>
          <w:sz w:val="20"/>
        </w:rPr>
        <w:t xml:space="preserve">The increase in long-term incentive awards for Mr. Song was driven by external market competitiveness and an increase in his job scope to include oversight of our international business. The increases for Mr. Cywinski and Mr. Johns were based on individual performance and external market competitiveness. The increase for Mr. Adel was based on external market competitiveness and an increase in his job scope to include oversight of communications, events, and publishing services personnel. </w:t>
      </w:r>
    </w:p>
    <w:p>
      <w:pPr>
        <w:pStyle w:val="TextBody"/>
        <w:spacing w:before="120" w:after="0"/>
        <w:jc w:val="left"/>
        <w:rPr>
          <w:rFonts w:ascii="arial" w:hAnsi="arial"/>
          <w:sz w:val="20"/>
        </w:rPr>
      </w:pPr>
      <w:r>
        <w:rPr>
          <w:rFonts w:ascii="arial" w:hAnsi="arial"/>
          <w:sz w:val="20"/>
        </w:rPr>
        <w:t xml:space="preserve">At the time of grant, the 20182020, 20192021 and 20202022 cash LTIP cycles provided payment between zero and 200% of the target award based 50% on the Corporations Relative TSR performance and 50% based on the Corporations AEPS growth performance. The Relative TSR performance and AEPS growth performance targets for the 20182020 cycle were as depicted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45"/>
        <w:gridCol w:w="428"/>
        <w:gridCol w:w="60"/>
        <w:gridCol w:w="60"/>
        <w:gridCol w:w="2971"/>
        <w:gridCol w:w="60"/>
        <w:gridCol w:w="428"/>
        <w:gridCol w:w="314"/>
        <w:gridCol w:w="314"/>
        <w:gridCol w:w="2104"/>
        <w:gridCol w:w="321"/>
      </w:tblGrid>
      <w:tr>
        <w:trPr/>
        <w:tc>
          <w:tcPr>
            <w:tcW w:w="3145"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145" w:type="dxa"/>
            <w:tcBorders/>
            <w:shd w:fill="CF0A2C" w:val="clear"/>
            <w:vAlign w:val="center"/>
          </w:tcPr>
          <w:p>
            <w:pPr>
              <w:pStyle w:val="TableContents"/>
              <w:spacing w:before="0" w:after="283"/>
              <w:rPr>
                <w:sz w:val="4"/>
                <w:szCs w:val="4"/>
              </w:rPr>
            </w:pPr>
            <w:r>
              <w:rPr>
                <w:sz w:val="4"/>
                <w:szCs w:val="4"/>
              </w:rPr>
            </w:r>
          </w:p>
        </w:tc>
        <w:tc>
          <w:tcPr>
            <w:tcW w:w="3579" w:type="dxa"/>
            <w:gridSpan w:val="5"/>
            <w:tcBorders/>
            <w:shd w:fill="CF0A2C" w:val="clear"/>
            <w:vAlign w:val="center"/>
          </w:tcPr>
          <w:p>
            <w:pPr>
              <w:pStyle w:val="TableContents"/>
              <w:spacing w:before="0" w:after="283"/>
              <w:rPr>
                <w:sz w:val="4"/>
                <w:szCs w:val="4"/>
              </w:rPr>
            </w:pPr>
            <w:r>
              <w:rPr>
                <w:sz w:val="4"/>
                <w:szCs w:val="4"/>
              </w:rPr>
            </w:r>
          </w:p>
        </w:tc>
        <w:tc>
          <w:tcPr>
            <w:tcW w:w="3481" w:type="dxa"/>
            <w:gridSpan w:val="5"/>
            <w:tcBorders/>
            <w:shd w:fill="CF0A2C" w:val="clear"/>
            <w:vAlign w:val="center"/>
          </w:tcPr>
          <w:p>
            <w:pPr>
              <w:pStyle w:val="TableContents"/>
              <w:spacing w:before="0" w:after="283"/>
              <w:rPr>
                <w:sz w:val="4"/>
                <w:szCs w:val="4"/>
              </w:rPr>
            </w:pPr>
            <w:r>
              <w:rPr>
                <w:sz w:val="4"/>
                <w:szCs w:val="4"/>
              </w:rPr>
            </w:r>
          </w:p>
        </w:tc>
      </w:tr>
      <w:tr>
        <w:trPr/>
        <w:tc>
          <w:tcPr>
            <w:tcW w:w="3145" w:type="dxa"/>
            <w:tcBorders/>
            <w:shd w:fill="CF0A2C" w:val="clear"/>
            <w:vAlign w:val="bottom"/>
          </w:tcPr>
          <w:p>
            <w:pPr>
              <w:pStyle w:val="TableContents"/>
              <w:spacing w:before="0" w:after="283"/>
              <w:rPr/>
            </w:pPr>
            <w:r>
              <w:rPr/>
              <w:t> </w:t>
            </w:r>
          </w:p>
        </w:tc>
        <w:tc>
          <w:tcPr>
            <w:tcW w:w="428" w:type="dxa"/>
            <w:tcBorders/>
            <w:shd w:fill="CF0A2C" w:val="clear"/>
            <w:vAlign w:val="bottom"/>
          </w:tcPr>
          <w:p>
            <w:pPr>
              <w:pStyle w:val="TableContents"/>
              <w:spacing w:before="0" w:after="283"/>
              <w:rPr/>
            </w:pPr>
            <w:r>
              <w:rPr/>
              <w:t>  </w:t>
            </w:r>
          </w:p>
        </w:tc>
        <w:tc>
          <w:tcPr>
            <w:tcW w:w="3151" w:type="dxa"/>
            <w:gridSpan w:val="4"/>
            <w:tcBorders/>
            <w:shd w:fill="CF0A2C" w:val="clear"/>
            <w:vAlign w:val="bottom"/>
          </w:tcPr>
          <w:p>
            <w:pPr>
              <w:pStyle w:val="TableContents"/>
              <w:spacing w:before="0" w:after="283"/>
              <w:jc w:val="center"/>
              <w:rPr>
                <w:b/>
                <w:color w:val="FFFFFF"/>
              </w:rPr>
            </w:pPr>
            <w:r>
              <w:rPr>
                <w:b/>
                <w:color w:val="FFFFFF"/>
              </w:rPr>
              <w:t>Relative TSR Ranking at</w:t>
              <w:br/>
              <w:t>End of Performance Period</w:t>
            </w:r>
          </w:p>
        </w:tc>
        <w:tc>
          <w:tcPr>
            <w:tcW w:w="428" w:type="dxa"/>
            <w:tcBorders/>
            <w:shd w:fill="CF0A2C" w:val="clear"/>
            <w:vAlign w:val="bottom"/>
          </w:tcPr>
          <w:p>
            <w:pPr>
              <w:pStyle w:val="TableContents"/>
              <w:spacing w:before="0" w:after="283"/>
              <w:rPr/>
            </w:pPr>
            <w:r>
              <w:rPr/>
              <w:t>  </w:t>
            </w:r>
          </w:p>
        </w:tc>
        <w:tc>
          <w:tcPr>
            <w:tcW w:w="3053" w:type="dxa"/>
            <w:gridSpan w:val="4"/>
            <w:tcBorders/>
            <w:shd w:fill="CF0A2C" w:val="clear"/>
            <w:vAlign w:val="bottom"/>
          </w:tcPr>
          <w:p>
            <w:pPr>
              <w:pStyle w:val="TableContents"/>
              <w:spacing w:before="0" w:after="283"/>
              <w:jc w:val="center"/>
              <w:rPr>
                <w:b/>
                <w:color w:val="FFFFFF"/>
              </w:rPr>
            </w:pPr>
            <w:r>
              <w:rPr>
                <w:b/>
                <w:color w:val="FFFFFF"/>
              </w:rPr>
              <w:t>Percentage of Target</w:t>
              <w:br/>
              <w:t>Relative TSR Units Earned  </w:t>
            </w:r>
          </w:p>
        </w:tc>
      </w:tr>
      <w:tr>
        <w:trPr>
          <w:trHeight w:val="75" w:hRule="atLeast"/>
        </w:trPr>
        <w:tc>
          <w:tcPr>
            <w:tcW w:w="3145" w:type="dxa"/>
            <w:tcBorders/>
            <w:shd w:fill="E5E5E5" w:val="clear"/>
            <w:vAlign w:val="center"/>
          </w:tcPr>
          <w:p>
            <w:pPr>
              <w:pStyle w:val="TableContents"/>
              <w:spacing w:before="0" w:after="283"/>
              <w:rPr>
                <w:sz w:val="4"/>
                <w:szCs w:val="4"/>
              </w:rPr>
            </w:pPr>
            <w:r>
              <w:rPr>
                <w:sz w:val="4"/>
                <w:szCs w:val="4"/>
              </w:rPr>
            </w:r>
          </w:p>
        </w:tc>
        <w:tc>
          <w:tcPr>
            <w:tcW w:w="3579" w:type="dxa"/>
            <w:gridSpan w:val="5"/>
            <w:tcBorders/>
            <w:shd w:fill="E5E5E5" w:val="clear"/>
            <w:vAlign w:val="center"/>
          </w:tcPr>
          <w:p>
            <w:pPr>
              <w:pStyle w:val="TableContents"/>
              <w:spacing w:before="0" w:after="283"/>
              <w:rPr>
                <w:sz w:val="4"/>
                <w:szCs w:val="4"/>
              </w:rPr>
            </w:pPr>
            <w:r>
              <w:rPr>
                <w:sz w:val="4"/>
                <w:szCs w:val="4"/>
              </w:rPr>
            </w:r>
          </w:p>
        </w:tc>
        <w:tc>
          <w:tcPr>
            <w:tcW w:w="3481" w:type="dxa"/>
            <w:gridSpan w:val="5"/>
            <w:tcBorders/>
            <w:shd w:fill="E5E5E5" w:val="clear"/>
            <w:vAlign w:val="center"/>
          </w:tcPr>
          <w:p>
            <w:pPr>
              <w:pStyle w:val="TableContents"/>
              <w:spacing w:before="0" w:after="283"/>
              <w:rPr>
                <w:sz w:val="4"/>
                <w:szCs w:val="4"/>
              </w:rPr>
            </w:pPr>
            <w:r>
              <w:rPr>
                <w:sz w:val="4"/>
                <w:szCs w:val="4"/>
              </w:rPr>
            </w:r>
          </w:p>
        </w:tc>
      </w:tr>
      <w:tr>
        <w:trPr/>
        <w:tc>
          <w:tcPr>
            <w:tcW w:w="3145" w:type="dxa"/>
            <w:tcBorders/>
            <w:shd w:fill="E5E5E5" w:val="clear"/>
          </w:tcPr>
          <w:p>
            <w:pPr>
              <w:pStyle w:val="TableContents"/>
              <w:spacing w:before="0" w:after="0"/>
              <w:rPr>
                <w:rFonts w:ascii="arial" w:hAnsi="arial"/>
                <w:b/>
                <w:sz w:val="20"/>
              </w:rPr>
            </w:pPr>
            <w:r>
              <w:rPr>
                <w:rFonts w:ascii="arial" w:hAnsi="arial"/>
                <w:b/>
                <w:sz w:val="20"/>
              </w:rPr>
              <w:t>No Payout</w:t>
            </w:r>
          </w:p>
        </w:tc>
        <w:tc>
          <w:tcPr>
            <w:tcW w:w="428"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2971" w:type="dxa"/>
            <w:tcBorders/>
            <w:shd w:fill="E5E5E5" w:val="clear"/>
            <w:vAlign w:val="bottom"/>
          </w:tcPr>
          <w:p>
            <w:pPr>
              <w:pStyle w:val="TableContents"/>
              <w:spacing w:before="0" w:after="283"/>
              <w:jc w:val="right"/>
              <w:rPr/>
            </w:pPr>
            <w:r>
              <w:rPr/>
              <w:t>&lt; 33rd Percentile of the Index</w:t>
            </w:r>
          </w:p>
        </w:tc>
        <w:tc>
          <w:tcPr>
            <w:tcW w:w="60" w:type="dxa"/>
            <w:tcBorders/>
            <w:shd w:fill="E5E5E5" w:val="clear"/>
            <w:vAlign w:val="bottom"/>
          </w:tcPr>
          <w:p>
            <w:pPr>
              <w:pStyle w:val="TableContents"/>
              <w:spacing w:before="0" w:after="283"/>
              <w:rPr/>
            </w:pPr>
            <w:r>
              <w:rPr/>
              <w:t> </w:t>
            </w:r>
          </w:p>
        </w:tc>
        <w:tc>
          <w:tcPr>
            <w:tcW w:w="428" w:type="dxa"/>
            <w:tcBorders/>
            <w:shd w:fill="E5E5E5" w:val="clear"/>
            <w:vAlign w:val="bottom"/>
          </w:tcPr>
          <w:p>
            <w:pPr>
              <w:pStyle w:val="TableContents"/>
              <w:spacing w:before="0" w:after="283"/>
              <w:rPr/>
            </w:pPr>
            <w:r>
              <w:rPr/>
              <w:t>  </w:t>
            </w:r>
          </w:p>
        </w:tc>
        <w:tc>
          <w:tcPr>
            <w:tcW w:w="314" w:type="dxa"/>
            <w:tcBorders/>
            <w:shd w:fill="E5E5E5" w:val="clear"/>
            <w:vAlign w:val="bottom"/>
          </w:tcPr>
          <w:p>
            <w:pPr>
              <w:pStyle w:val="TableContents"/>
              <w:spacing w:before="0" w:after="283"/>
              <w:rPr/>
            </w:pPr>
            <w:r>
              <w:rPr/>
              <w:t> </w:t>
            </w:r>
          </w:p>
        </w:tc>
        <w:tc>
          <w:tcPr>
            <w:tcW w:w="314" w:type="dxa"/>
            <w:tcBorders/>
            <w:shd w:fill="E5E5E5" w:val="clear"/>
            <w:vAlign w:val="bottom"/>
          </w:tcPr>
          <w:p>
            <w:pPr>
              <w:pStyle w:val="TableContents"/>
              <w:spacing w:before="0" w:after="283"/>
              <w:rPr/>
            </w:pPr>
            <w:r>
              <w:rPr/>
              <w:t> </w:t>
            </w:r>
          </w:p>
        </w:tc>
        <w:tc>
          <w:tcPr>
            <w:tcW w:w="2104" w:type="dxa"/>
            <w:tcBorders/>
            <w:shd w:fill="E5E5E5" w:val="clear"/>
            <w:vAlign w:val="bottom"/>
          </w:tcPr>
          <w:p>
            <w:pPr>
              <w:pStyle w:val="TableContents"/>
              <w:spacing w:before="0" w:after="283"/>
              <w:jc w:val="right"/>
              <w:rPr/>
            </w:pPr>
            <w:r>
              <w:rPr/>
              <w:t>0%</w:t>
            </w:r>
          </w:p>
        </w:tc>
        <w:tc>
          <w:tcPr>
            <w:tcW w:w="321" w:type="dxa"/>
            <w:tcBorders/>
            <w:shd w:fill="E5E5E5" w:val="clear"/>
            <w:vAlign w:val="bottom"/>
          </w:tcPr>
          <w:p>
            <w:pPr>
              <w:pStyle w:val="TableContents"/>
              <w:spacing w:before="0" w:after="283"/>
              <w:rPr/>
            </w:pPr>
            <w:r>
              <w:rPr/>
              <w:t> </w:t>
            </w:r>
          </w:p>
        </w:tc>
      </w:tr>
      <w:tr>
        <w:trPr>
          <w:trHeight w:val="75" w:hRule="atLeast"/>
        </w:trPr>
        <w:tc>
          <w:tcPr>
            <w:tcW w:w="3145" w:type="dxa"/>
            <w:tcBorders/>
            <w:shd w:fill="auto" w:val="clear"/>
            <w:vAlign w:val="center"/>
          </w:tcPr>
          <w:p>
            <w:pPr>
              <w:pStyle w:val="TableContents"/>
              <w:spacing w:before="0" w:after="283"/>
              <w:rPr>
                <w:sz w:val="4"/>
                <w:szCs w:val="4"/>
              </w:rPr>
            </w:pPr>
            <w:r>
              <w:rPr>
                <w:sz w:val="4"/>
                <w:szCs w:val="4"/>
              </w:rPr>
            </w:r>
          </w:p>
        </w:tc>
        <w:tc>
          <w:tcPr>
            <w:tcW w:w="3579" w:type="dxa"/>
            <w:gridSpan w:val="5"/>
            <w:tcBorders/>
            <w:shd w:fill="auto" w:val="clear"/>
            <w:vAlign w:val="center"/>
          </w:tcPr>
          <w:p>
            <w:pPr>
              <w:pStyle w:val="TableContents"/>
              <w:spacing w:before="0" w:after="283"/>
              <w:rPr>
                <w:sz w:val="4"/>
                <w:szCs w:val="4"/>
              </w:rPr>
            </w:pPr>
            <w:r>
              <w:rPr>
                <w:sz w:val="4"/>
                <w:szCs w:val="4"/>
              </w:rPr>
            </w:r>
          </w:p>
        </w:tc>
        <w:tc>
          <w:tcPr>
            <w:tcW w:w="3481" w:type="dxa"/>
            <w:gridSpan w:val="5"/>
            <w:tcBorders/>
            <w:shd w:fill="auto" w:val="clear"/>
            <w:vAlign w:val="center"/>
          </w:tcPr>
          <w:p>
            <w:pPr>
              <w:pStyle w:val="TableContents"/>
              <w:spacing w:before="0" w:after="283"/>
              <w:rPr>
                <w:sz w:val="4"/>
                <w:szCs w:val="4"/>
              </w:rPr>
            </w:pPr>
            <w:r>
              <w:rPr>
                <w:sz w:val="4"/>
                <w:szCs w:val="4"/>
              </w:rPr>
            </w:r>
          </w:p>
        </w:tc>
      </w:tr>
      <w:tr>
        <w:trPr/>
        <w:tc>
          <w:tcPr>
            <w:tcW w:w="3145" w:type="dxa"/>
            <w:tcBorders/>
            <w:shd w:fill="auto" w:val="clear"/>
          </w:tcPr>
          <w:p>
            <w:pPr>
              <w:pStyle w:val="TableContents"/>
              <w:spacing w:before="0" w:after="0"/>
              <w:rPr>
                <w:rFonts w:ascii="arial" w:hAnsi="arial"/>
                <w:b/>
                <w:sz w:val="20"/>
              </w:rPr>
            </w:pPr>
            <w:r>
              <w:rPr>
                <w:rFonts w:ascii="arial" w:hAnsi="arial"/>
                <w:b/>
                <w:sz w:val="20"/>
              </w:rPr>
              <w:t>Threshold</w:t>
            </w:r>
          </w:p>
        </w:tc>
        <w:tc>
          <w:tcPr>
            <w:tcW w:w="4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71" w:type="dxa"/>
            <w:tcBorders/>
            <w:shd w:fill="auto" w:val="clear"/>
            <w:vAlign w:val="bottom"/>
          </w:tcPr>
          <w:p>
            <w:pPr>
              <w:pStyle w:val="TableContents"/>
              <w:spacing w:before="0" w:after="283"/>
              <w:jc w:val="right"/>
              <w:rPr/>
            </w:pPr>
            <w:r>
              <w:rPr/>
              <w:t>33rd Percentile of the Index</w:t>
            </w:r>
          </w:p>
        </w:tc>
        <w:tc>
          <w:tcPr>
            <w:tcW w:w="60"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104" w:type="dxa"/>
            <w:tcBorders/>
            <w:shd w:fill="auto" w:val="clear"/>
            <w:vAlign w:val="bottom"/>
          </w:tcPr>
          <w:p>
            <w:pPr>
              <w:pStyle w:val="TableContents"/>
              <w:spacing w:before="0" w:after="283"/>
              <w:jc w:val="right"/>
              <w:rPr/>
            </w:pPr>
            <w:r>
              <w:rPr/>
              <w:t>50%</w:t>
            </w:r>
          </w:p>
        </w:tc>
        <w:tc>
          <w:tcPr>
            <w:tcW w:w="321" w:type="dxa"/>
            <w:tcBorders/>
            <w:shd w:fill="auto" w:val="clear"/>
            <w:vAlign w:val="bottom"/>
          </w:tcPr>
          <w:p>
            <w:pPr>
              <w:pStyle w:val="TableContents"/>
              <w:spacing w:before="0" w:after="283"/>
              <w:rPr/>
            </w:pPr>
            <w:r>
              <w:rPr/>
              <w:t> </w:t>
            </w:r>
          </w:p>
        </w:tc>
      </w:tr>
      <w:tr>
        <w:trPr>
          <w:trHeight w:val="75" w:hRule="atLeast"/>
        </w:trPr>
        <w:tc>
          <w:tcPr>
            <w:tcW w:w="3145" w:type="dxa"/>
            <w:tcBorders/>
            <w:shd w:fill="E5E5E5" w:val="clear"/>
            <w:vAlign w:val="center"/>
          </w:tcPr>
          <w:p>
            <w:pPr>
              <w:pStyle w:val="TableContents"/>
              <w:spacing w:before="0" w:after="283"/>
              <w:rPr>
                <w:sz w:val="4"/>
                <w:szCs w:val="4"/>
              </w:rPr>
            </w:pPr>
            <w:r>
              <w:rPr>
                <w:sz w:val="4"/>
                <w:szCs w:val="4"/>
              </w:rPr>
            </w:r>
          </w:p>
        </w:tc>
        <w:tc>
          <w:tcPr>
            <w:tcW w:w="3579" w:type="dxa"/>
            <w:gridSpan w:val="5"/>
            <w:tcBorders/>
            <w:shd w:fill="E5E5E5" w:val="clear"/>
            <w:vAlign w:val="center"/>
          </w:tcPr>
          <w:p>
            <w:pPr>
              <w:pStyle w:val="TableContents"/>
              <w:spacing w:before="0" w:after="283"/>
              <w:rPr>
                <w:sz w:val="4"/>
                <w:szCs w:val="4"/>
              </w:rPr>
            </w:pPr>
            <w:r>
              <w:rPr>
                <w:sz w:val="4"/>
                <w:szCs w:val="4"/>
              </w:rPr>
            </w:r>
          </w:p>
        </w:tc>
        <w:tc>
          <w:tcPr>
            <w:tcW w:w="3481" w:type="dxa"/>
            <w:gridSpan w:val="5"/>
            <w:tcBorders/>
            <w:shd w:fill="E5E5E5" w:val="clear"/>
            <w:vAlign w:val="center"/>
          </w:tcPr>
          <w:p>
            <w:pPr>
              <w:pStyle w:val="TableContents"/>
              <w:spacing w:before="0" w:after="283"/>
              <w:rPr>
                <w:sz w:val="4"/>
                <w:szCs w:val="4"/>
              </w:rPr>
            </w:pPr>
            <w:r>
              <w:rPr>
                <w:sz w:val="4"/>
                <w:szCs w:val="4"/>
              </w:rPr>
            </w:r>
          </w:p>
        </w:tc>
      </w:tr>
      <w:tr>
        <w:trPr/>
        <w:tc>
          <w:tcPr>
            <w:tcW w:w="3145" w:type="dxa"/>
            <w:tcBorders/>
            <w:shd w:fill="E5E5E5" w:val="clear"/>
          </w:tcPr>
          <w:p>
            <w:pPr>
              <w:pStyle w:val="TableContents"/>
              <w:spacing w:before="0" w:after="0"/>
              <w:rPr>
                <w:rFonts w:ascii="arial" w:hAnsi="arial"/>
                <w:b/>
                <w:sz w:val="20"/>
              </w:rPr>
            </w:pPr>
            <w:r>
              <w:rPr>
                <w:rFonts w:ascii="arial" w:hAnsi="arial"/>
                <w:b/>
                <w:sz w:val="20"/>
              </w:rPr>
              <w:t>Target</w:t>
            </w:r>
          </w:p>
        </w:tc>
        <w:tc>
          <w:tcPr>
            <w:tcW w:w="428"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2971" w:type="dxa"/>
            <w:tcBorders/>
            <w:shd w:fill="E5E5E5" w:val="clear"/>
            <w:vAlign w:val="bottom"/>
          </w:tcPr>
          <w:p>
            <w:pPr>
              <w:pStyle w:val="TableContents"/>
              <w:spacing w:before="0" w:after="283"/>
              <w:jc w:val="right"/>
              <w:rPr/>
            </w:pPr>
            <w:r>
              <w:rPr/>
              <w:t>50th Percentile of the Index</w:t>
            </w:r>
          </w:p>
        </w:tc>
        <w:tc>
          <w:tcPr>
            <w:tcW w:w="60" w:type="dxa"/>
            <w:tcBorders/>
            <w:shd w:fill="E5E5E5" w:val="clear"/>
            <w:vAlign w:val="bottom"/>
          </w:tcPr>
          <w:p>
            <w:pPr>
              <w:pStyle w:val="TableContents"/>
              <w:spacing w:before="0" w:after="283"/>
              <w:rPr/>
            </w:pPr>
            <w:r>
              <w:rPr/>
              <w:t> </w:t>
            </w:r>
          </w:p>
        </w:tc>
        <w:tc>
          <w:tcPr>
            <w:tcW w:w="428" w:type="dxa"/>
            <w:tcBorders/>
            <w:shd w:fill="E5E5E5" w:val="clear"/>
            <w:vAlign w:val="bottom"/>
          </w:tcPr>
          <w:p>
            <w:pPr>
              <w:pStyle w:val="TableContents"/>
              <w:spacing w:before="0" w:after="283"/>
              <w:rPr/>
            </w:pPr>
            <w:r>
              <w:rPr/>
              <w:t>  </w:t>
            </w:r>
          </w:p>
        </w:tc>
        <w:tc>
          <w:tcPr>
            <w:tcW w:w="314" w:type="dxa"/>
            <w:tcBorders/>
            <w:shd w:fill="E5E5E5" w:val="clear"/>
            <w:vAlign w:val="bottom"/>
          </w:tcPr>
          <w:p>
            <w:pPr>
              <w:pStyle w:val="TableContents"/>
              <w:spacing w:before="0" w:after="283"/>
              <w:rPr/>
            </w:pPr>
            <w:r>
              <w:rPr/>
              <w:t> </w:t>
            </w:r>
          </w:p>
        </w:tc>
        <w:tc>
          <w:tcPr>
            <w:tcW w:w="314" w:type="dxa"/>
            <w:tcBorders/>
            <w:shd w:fill="E5E5E5" w:val="clear"/>
            <w:vAlign w:val="bottom"/>
          </w:tcPr>
          <w:p>
            <w:pPr>
              <w:pStyle w:val="TableContents"/>
              <w:spacing w:before="0" w:after="283"/>
              <w:rPr/>
            </w:pPr>
            <w:r>
              <w:rPr/>
              <w:t> </w:t>
            </w:r>
          </w:p>
        </w:tc>
        <w:tc>
          <w:tcPr>
            <w:tcW w:w="2104" w:type="dxa"/>
            <w:tcBorders/>
            <w:shd w:fill="E5E5E5" w:val="clear"/>
            <w:vAlign w:val="bottom"/>
          </w:tcPr>
          <w:p>
            <w:pPr>
              <w:pStyle w:val="TableContents"/>
              <w:spacing w:before="0" w:after="283"/>
              <w:jc w:val="right"/>
              <w:rPr/>
            </w:pPr>
            <w:r>
              <w:rPr/>
              <w:t>100%</w:t>
            </w:r>
          </w:p>
        </w:tc>
        <w:tc>
          <w:tcPr>
            <w:tcW w:w="321" w:type="dxa"/>
            <w:tcBorders/>
            <w:shd w:fill="E5E5E5" w:val="clear"/>
            <w:vAlign w:val="bottom"/>
          </w:tcPr>
          <w:p>
            <w:pPr>
              <w:pStyle w:val="TableContents"/>
              <w:spacing w:before="0" w:after="283"/>
              <w:rPr/>
            </w:pPr>
            <w:r>
              <w:rPr/>
              <w:t> </w:t>
            </w:r>
          </w:p>
        </w:tc>
      </w:tr>
      <w:tr>
        <w:trPr>
          <w:trHeight w:val="75" w:hRule="atLeast"/>
        </w:trPr>
        <w:tc>
          <w:tcPr>
            <w:tcW w:w="3145" w:type="dxa"/>
            <w:tcBorders/>
            <w:shd w:fill="auto" w:val="clear"/>
            <w:vAlign w:val="center"/>
          </w:tcPr>
          <w:p>
            <w:pPr>
              <w:pStyle w:val="TableContents"/>
              <w:spacing w:before="0" w:after="283"/>
              <w:rPr>
                <w:sz w:val="4"/>
                <w:szCs w:val="4"/>
              </w:rPr>
            </w:pPr>
            <w:r>
              <w:rPr>
                <w:sz w:val="4"/>
                <w:szCs w:val="4"/>
              </w:rPr>
            </w:r>
          </w:p>
        </w:tc>
        <w:tc>
          <w:tcPr>
            <w:tcW w:w="3579" w:type="dxa"/>
            <w:gridSpan w:val="5"/>
            <w:tcBorders/>
            <w:shd w:fill="auto" w:val="clear"/>
            <w:vAlign w:val="center"/>
          </w:tcPr>
          <w:p>
            <w:pPr>
              <w:pStyle w:val="TableContents"/>
              <w:spacing w:before="0" w:after="283"/>
              <w:rPr>
                <w:sz w:val="4"/>
                <w:szCs w:val="4"/>
              </w:rPr>
            </w:pPr>
            <w:r>
              <w:rPr>
                <w:sz w:val="4"/>
                <w:szCs w:val="4"/>
              </w:rPr>
            </w:r>
          </w:p>
        </w:tc>
        <w:tc>
          <w:tcPr>
            <w:tcW w:w="3481" w:type="dxa"/>
            <w:gridSpan w:val="5"/>
            <w:tcBorders/>
            <w:shd w:fill="auto" w:val="clear"/>
            <w:vAlign w:val="center"/>
          </w:tcPr>
          <w:p>
            <w:pPr>
              <w:pStyle w:val="TableContents"/>
              <w:spacing w:before="0" w:after="283"/>
              <w:rPr>
                <w:sz w:val="4"/>
                <w:szCs w:val="4"/>
              </w:rPr>
            </w:pPr>
            <w:r>
              <w:rPr>
                <w:sz w:val="4"/>
                <w:szCs w:val="4"/>
              </w:rPr>
            </w:r>
          </w:p>
        </w:tc>
      </w:tr>
      <w:tr>
        <w:trPr/>
        <w:tc>
          <w:tcPr>
            <w:tcW w:w="3145" w:type="dxa"/>
            <w:tcBorders/>
            <w:shd w:fill="auto" w:val="clear"/>
          </w:tcPr>
          <w:p>
            <w:pPr>
              <w:pStyle w:val="TableContents"/>
              <w:spacing w:before="0" w:after="0"/>
              <w:rPr>
                <w:rFonts w:ascii="arial" w:hAnsi="arial"/>
                <w:b/>
                <w:sz w:val="20"/>
              </w:rPr>
            </w:pPr>
            <w:r>
              <w:rPr>
                <w:rFonts w:ascii="arial" w:hAnsi="arial"/>
                <w:b/>
                <w:sz w:val="20"/>
              </w:rPr>
              <w:t>Maximum</w:t>
            </w:r>
          </w:p>
        </w:tc>
        <w:tc>
          <w:tcPr>
            <w:tcW w:w="4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71" w:type="dxa"/>
            <w:tcBorders/>
            <w:shd w:fill="auto" w:val="clear"/>
            <w:vAlign w:val="bottom"/>
          </w:tcPr>
          <w:p>
            <w:pPr>
              <w:pStyle w:val="TableContents"/>
              <w:spacing w:before="0" w:after="283"/>
              <w:jc w:val="right"/>
              <w:rPr/>
            </w:pPr>
            <w:r>
              <w:rPr/>
              <w:t>80th Percentile of the Index</w:t>
            </w:r>
          </w:p>
        </w:tc>
        <w:tc>
          <w:tcPr>
            <w:tcW w:w="60"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104" w:type="dxa"/>
            <w:tcBorders/>
            <w:shd w:fill="auto" w:val="clear"/>
            <w:vAlign w:val="bottom"/>
          </w:tcPr>
          <w:p>
            <w:pPr>
              <w:pStyle w:val="TableContents"/>
              <w:spacing w:before="0" w:after="283"/>
              <w:jc w:val="right"/>
              <w:rPr/>
            </w:pPr>
            <w:r>
              <w:rPr/>
              <w:t>200%</w:t>
            </w:r>
          </w:p>
        </w:tc>
        <w:tc>
          <w:tcPr>
            <w:tcW w:w="321"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6"/>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33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COMPENSATION</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056"/>
        <w:gridCol w:w="1383"/>
        <w:gridCol w:w="5133"/>
      </w:tblGrid>
      <w:tr>
        <w:trPr/>
        <w:tc>
          <w:tcPr>
            <w:tcW w:w="2056"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bottom"/>
          </w:tcPr>
          <w:p>
            <w:pPr>
              <w:pStyle w:val="TableContents"/>
              <w:spacing w:before="0" w:after="283"/>
              <w:rPr>
                <w:sz w:val="4"/>
                <w:szCs w:val="4"/>
              </w:rPr>
            </w:pPr>
            <w:r>
              <w:rPr>
                <w:sz w:val="4"/>
                <w:szCs w:val="4"/>
              </w:rPr>
            </w:r>
          </w:p>
        </w:tc>
        <w:tc>
          <w:tcPr>
            <w:tcW w:w="513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056" w:type="dxa"/>
            <w:tcBorders/>
            <w:shd w:fill="CF0A2C" w:val="clear"/>
            <w:vAlign w:val="center"/>
          </w:tcPr>
          <w:p>
            <w:pPr>
              <w:pStyle w:val="TableContents"/>
              <w:spacing w:before="0" w:after="283"/>
              <w:rPr>
                <w:sz w:val="4"/>
                <w:szCs w:val="4"/>
              </w:rPr>
            </w:pPr>
            <w:r>
              <w:rPr>
                <w:sz w:val="4"/>
                <w:szCs w:val="4"/>
              </w:rPr>
            </w:r>
          </w:p>
        </w:tc>
        <w:tc>
          <w:tcPr>
            <w:tcW w:w="6516" w:type="dxa"/>
            <w:gridSpan w:val="2"/>
            <w:tcBorders/>
            <w:shd w:fill="CF0A2C" w:val="clear"/>
            <w:vAlign w:val="center"/>
          </w:tcPr>
          <w:p>
            <w:pPr>
              <w:pStyle w:val="TableContents"/>
              <w:spacing w:before="0" w:after="283"/>
              <w:rPr>
                <w:sz w:val="4"/>
                <w:szCs w:val="4"/>
              </w:rPr>
            </w:pPr>
            <w:r>
              <w:rPr>
                <w:sz w:val="4"/>
                <w:szCs w:val="4"/>
              </w:rPr>
            </w:r>
          </w:p>
        </w:tc>
      </w:tr>
      <w:tr>
        <w:trPr/>
        <w:tc>
          <w:tcPr>
            <w:tcW w:w="2056" w:type="dxa"/>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Average Annual AEPS Growth</w:t>
              <w:br/>
              <w:t>2018 - 2020</w:t>
            </w:r>
          </w:p>
        </w:tc>
        <w:tc>
          <w:tcPr>
            <w:tcW w:w="1383" w:type="dxa"/>
            <w:tcBorders/>
            <w:shd w:fill="CF0A2C" w:val="clear"/>
            <w:vAlign w:val="bottom"/>
          </w:tcPr>
          <w:p>
            <w:pPr>
              <w:pStyle w:val="TableContents"/>
              <w:spacing w:before="0" w:after="283"/>
              <w:rPr/>
            </w:pPr>
            <w:r>
              <w:rPr/>
              <w:t>  </w:t>
            </w:r>
          </w:p>
        </w:tc>
        <w:tc>
          <w:tcPr>
            <w:tcW w:w="5133" w:type="dxa"/>
            <w:tcBorders/>
            <w:shd w:fill="CF0A2C" w:val="clear"/>
            <w:vAlign w:val="bottom"/>
          </w:tcPr>
          <w:p>
            <w:pPr>
              <w:pStyle w:val="TableContents"/>
              <w:spacing w:before="0" w:after="283"/>
              <w:jc w:val="center"/>
              <w:rPr>
                <w:b/>
                <w:color w:val="FFFFFF"/>
              </w:rPr>
            </w:pPr>
            <w:r>
              <w:rPr>
                <w:b/>
                <w:color w:val="FFFFFF"/>
              </w:rPr>
              <w:t>Percentage of Target AEPS Growth Units Earned</w:t>
            </w:r>
          </w:p>
        </w:tc>
      </w:tr>
      <w:tr>
        <w:trPr>
          <w:trHeight w:val="75" w:hRule="atLeast"/>
        </w:trPr>
        <w:tc>
          <w:tcPr>
            <w:tcW w:w="2056" w:type="dxa"/>
            <w:tcBorders/>
            <w:shd w:fill="E5E5E5" w:val="clear"/>
            <w:vAlign w:val="center"/>
          </w:tcPr>
          <w:p>
            <w:pPr>
              <w:pStyle w:val="TableContents"/>
              <w:spacing w:before="0" w:after="283"/>
              <w:rPr>
                <w:sz w:val="4"/>
                <w:szCs w:val="4"/>
              </w:rPr>
            </w:pPr>
            <w:r>
              <w:rPr>
                <w:sz w:val="4"/>
                <w:szCs w:val="4"/>
              </w:rPr>
            </w:r>
          </w:p>
        </w:tc>
        <w:tc>
          <w:tcPr>
            <w:tcW w:w="6516" w:type="dxa"/>
            <w:gridSpan w:val="2"/>
            <w:tcBorders/>
            <w:shd w:fill="E5E5E5" w:val="clear"/>
            <w:vAlign w:val="center"/>
          </w:tcPr>
          <w:p>
            <w:pPr>
              <w:pStyle w:val="TableContents"/>
              <w:spacing w:before="0" w:after="283"/>
              <w:rPr>
                <w:sz w:val="4"/>
                <w:szCs w:val="4"/>
              </w:rPr>
            </w:pPr>
            <w:r>
              <w:rPr>
                <w:sz w:val="4"/>
                <w:szCs w:val="4"/>
              </w:rPr>
            </w:r>
          </w:p>
        </w:tc>
      </w:tr>
      <w:tr>
        <w:trPr/>
        <w:tc>
          <w:tcPr>
            <w:tcW w:w="2056" w:type="dxa"/>
            <w:tcBorders/>
            <w:shd w:fill="E5E5E5" w:val="clear"/>
          </w:tcPr>
          <w:p>
            <w:pPr>
              <w:pStyle w:val="TableContents"/>
              <w:spacing w:before="0" w:after="0"/>
              <w:jc w:val="center"/>
              <w:rPr>
                <w:rFonts w:ascii="arial" w:hAnsi="arial"/>
                <w:sz w:val="20"/>
              </w:rPr>
            </w:pPr>
            <w:r>
              <w:rPr>
                <w:rFonts w:ascii="arial" w:hAnsi="arial"/>
                <w:sz w:val="20"/>
              </w:rPr>
              <w:t>&lt;10%</w:t>
            </w:r>
          </w:p>
        </w:tc>
        <w:tc>
          <w:tcPr>
            <w:tcW w:w="1383" w:type="dxa"/>
            <w:tcBorders/>
            <w:shd w:fill="E5E5E5" w:val="clear"/>
            <w:vAlign w:val="bottom"/>
          </w:tcPr>
          <w:p>
            <w:pPr>
              <w:pStyle w:val="TableContents"/>
              <w:spacing w:before="0" w:after="283"/>
              <w:rPr/>
            </w:pPr>
            <w:r>
              <w:rPr/>
              <w:t>  </w:t>
            </w:r>
          </w:p>
        </w:tc>
        <w:tc>
          <w:tcPr>
            <w:tcW w:w="5133" w:type="dxa"/>
            <w:tcBorders/>
            <w:shd w:fill="E5E5E5" w:val="clear"/>
            <w:vAlign w:val="bottom"/>
          </w:tcPr>
          <w:p>
            <w:pPr>
              <w:pStyle w:val="TableContents"/>
              <w:spacing w:before="0" w:after="283"/>
              <w:jc w:val="center"/>
              <w:rPr/>
            </w:pPr>
            <w:r>
              <w:rPr/>
              <w:t>0%</w:t>
            </w:r>
          </w:p>
        </w:tc>
      </w:tr>
      <w:tr>
        <w:trPr>
          <w:trHeight w:val="75" w:hRule="atLeast"/>
        </w:trPr>
        <w:tc>
          <w:tcPr>
            <w:tcW w:w="2056" w:type="dxa"/>
            <w:tcBorders/>
            <w:shd w:fill="auto" w:val="clear"/>
            <w:vAlign w:val="center"/>
          </w:tcPr>
          <w:p>
            <w:pPr>
              <w:pStyle w:val="TableContents"/>
              <w:spacing w:before="0" w:after="283"/>
              <w:rPr>
                <w:sz w:val="4"/>
                <w:szCs w:val="4"/>
              </w:rPr>
            </w:pPr>
            <w:r>
              <w:rPr>
                <w:sz w:val="4"/>
                <w:szCs w:val="4"/>
              </w:rPr>
            </w:r>
          </w:p>
        </w:tc>
        <w:tc>
          <w:tcPr>
            <w:tcW w:w="6516" w:type="dxa"/>
            <w:gridSpan w:val="2"/>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Pr>
          <w:p>
            <w:pPr>
              <w:pStyle w:val="TableContents"/>
              <w:spacing w:before="0" w:after="0"/>
              <w:jc w:val="center"/>
              <w:rPr>
                <w:rFonts w:ascii="arial" w:hAnsi="arial"/>
                <w:sz w:val="20"/>
              </w:rPr>
            </w:pPr>
            <w:r>
              <w:rPr>
                <w:rFonts w:ascii="arial" w:hAnsi="arial"/>
                <w:sz w:val="20"/>
              </w:rPr>
              <w:t>10%</w:t>
            </w:r>
          </w:p>
        </w:tc>
        <w:tc>
          <w:tcPr>
            <w:tcW w:w="1383" w:type="dxa"/>
            <w:tcBorders/>
            <w:shd w:fill="auto" w:val="clear"/>
            <w:vAlign w:val="bottom"/>
          </w:tcPr>
          <w:p>
            <w:pPr>
              <w:pStyle w:val="TableContents"/>
              <w:spacing w:before="0" w:after="283"/>
              <w:rPr/>
            </w:pPr>
            <w:r>
              <w:rPr/>
              <w:t>  </w:t>
            </w:r>
          </w:p>
        </w:tc>
        <w:tc>
          <w:tcPr>
            <w:tcW w:w="5133" w:type="dxa"/>
            <w:tcBorders/>
            <w:shd w:fill="auto" w:val="clear"/>
            <w:vAlign w:val="bottom"/>
          </w:tcPr>
          <w:p>
            <w:pPr>
              <w:pStyle w:val="TableContents"/>
              <w:spacing w:before="0" w:after="283"/>
              <w:jc w:val="center"/>
              <w:rPr/>
            </w:pPr>
            <w:r>
              <w:rPr/>
              <w:t>50%</w:t>
            </w:r>
          </w:p>
        </w:tc>
      </w:tr>
      <w:tr>
        <w:trPr>
          <w:trHeight w:val="75" w:hRule="atLeast"/>
        </w:trPr>
        <w:tc>
          <w:tcPr>
            <w:tcW w:w="2056" w:type="dxa"/>
            <w:tcBorders/>
            <w:shd w:fill="E5E5E5" w:val="clear"/>
            <w:vAlign w:val="center"/>
          </w:tcPr>
          <w:p>
            <w:pPr>
              <w:pStyle w:val="TableContents"/>
              <w:spacing w:before="0" w:after="283"/>
              <w:rPr>
                <w:sz w:val="4"/>
                <w:szCs w:val="4"/>
              </w:rPr>
            </w:pPr>
            <w:r>
              <w:rPr>
                <w:sz w:val="4"/>
                <w:szCs w:val="4"/>
              </w:rPr>
            </w:r>
          </w:p>
        </w:tc>
        <w:tc>
          <w:tcPr>
            <w:tcW w:w="6516" w:type="dxa"/>
            <w:gridSpan w:val="2"/>
            <w:tcBorders/>
            <w:shd w:fill="E5E5E5" w:val="clear"/>
            <w:vAlign w:val="center"/>
          </w:tcPr>
          <w:p>
            <w:pPr>
              <w:pStyle w:val="TableContents"/>
              <w:spacing w:before="0" w:after="283"/>
              <w:rPr>
                <w:sz w:val="4"/>
                <w:szCs w:val="4"/>
              </w:rPr>
            </w:pPr>
            <w:r>
              <w:rPr>
                <w:sz w:val="4"/>
                <w:szCs w:val="4"/>
              </w:rPr>
            </w:r>
          </w:p>
        </w:tc>
      </w:tr>
      <w:tr>
        <w:trPr/>
        <w:tc>
          <w:tcPr>
            <w:tcW w:w="2056" w:type="dxa"/>
            <w:tcBorders/>
            <w:shd w:fill="E5E5E5" w:val="clear"/>
          </w:tcPr>
          <w:p>
            <w:pPr>
              <w:pStyle w:val="TableContents"/>
              <w:spacing w:before="0" w:after="0"/>
              <w:jc w:val="center"/>
              <w:rPr>
                <w:rFonts w:ascii="arial" w:hAnsi="arial"/>
                <w:sz w:val="20"/>
              </w:rPr>
            </w:pPr>
            <w:r>
              <w:rPr>
                <w:rFonts w:ascii="arial" w:hAnsi="arial"/>
                <w:sz w:val="20"/>
              </w:rPr>
              <w:t>20%</w:t>
            </w:r>
          </w:p>
        </w:tc>
        <w:tc>
          <w:tcPr>
            <w:tcW w:w="1383" w:type="dxa"/>
            <w:tcBorders/>
            <w:shd w:fill="E5E5E5" w:val="clear"/>
            <w:vAlign w:val="bottom"/>
          </w:tcPr>
          <w:p>
            <w:pPr>
              <w:pStyle w:val="TableContents"/>
              <w:spacing w:before="0" w:after="283"/>
              <w:rPr/>
            </w:pPr>
            <w:r>
              <w:rPr/>
              <w:t>  </w:t>
            </w:r>
          </w:p>
        </w:tc>
        <w:tc>
          <w:tcPr>
            <w:tcW w:w="5133" w:type="dxa"/>
            <w:tcBorders/>
            <w:shd w:fill="E5E5E5" w:val="clear"/>
            <w:vAlign w:val="bottom"/>
          </w:tcPr>
          <w:p>
            <w:pPr>
              <w:pStyle w:val="TableContents"/>
              <w:spacing w:before="0" w:after="283"/>
              <w:jc w:val="center"/>
              <w:rPr/>
            </w:pPr>
            <w:r>
              <w:rPr/>
              <w:t>100%</w:t>
            </w:r>
          </w:p>
        </w:tc>
      </w:tr>
      <w:tr>
        <w:trPr>
          <w:trHeight w:val="75" w:hRule="atLeast"/>
        </w:trPr>
        <w:tc>
          <w:tcPr>
            <w:tcW w:w="2056" w:type="dxa"/>
            <w:tcBorders/>
            <w:shd w:fill="auto" w:val="clear"/>
            <w:vAlign w:val="center"/>
          </w:tcPr>
          <w:p>
            <w:pPr>
              <w:pStyle w:val="TableContents"/>
              <w:spacing w:before="0" w:after="283"/>
              <w:rPr>
                <w:sz w:val="4"/>
                <w:szCs w:val="4"/>
              </w:rPr>
            </w:pPr>
            <w:r>
              <w:rPr>
                <w:sz w:val="4"/>
                <w:szCs w:val="4"/>
              </w:rPr>
            </w:r>
          </w:p>
        </w:tc>
        <w:tc>
          <w:tcPr>
            <w:tcW w:w="6516" w:type="dxa"/>
            <w:gridSpan w:val="2"/>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Pr>
          <w:p>
            <w:pPr>
              <w:pStyle w:val="TableContents"/>
              <w:spacing w:before="0" w:after="0"/>
              <w:jc w:val="center"/>
              <w:rPr>
                <w:rFonts w:ascii="arial" w:hAnsi="arial"/>
                <w:sz w:val="20"/>
              </w:rPr>
            </w:pPr>
            <w:r>
              <w:rPr>
                <w:rFonts w:ascii="SYMBOL" w:hAnsi="SYMBOL"/>
                <w:sz w:val="20"/>
              </w:rPr>
              <w:t>³</w:t>
            </w:r>
            <w:r>
              <w:rPr>
                <w:rFonts w:ascii="arial" w:hAnsi="arial"/>
                <w:sz w:val="20"/>
              </w:rPr>
              <w:t>30%</w:t>
            </w:r>
          </w:p>
        </w:tc>
        <w:tc>
          <w:tcPr>
            <w:tcW w:w="1383" w:type="dxa"/>
            <w:tcBorders/>
            <w:shd w:fill="auto" w:val="clear"/>
            <w:vAlign w:val="bottom"/>
          </w:tcPr>
          <w:p>
            <w:pPr>
              <w:pStyle w:val="TableContents"/>
              <w:spacing w:before="0" w:after="283"/>
              <w:rPr/>
            </w:pPr>
            <w:r>
              <w:rPr/>
              <w:t>  </w:t>
            </w:r>
          </w:p>
        </w:tc>
        <w:tc>
          <w:tcPr>
            <w:tcW w:w="5133" w:type="dxa"/>
            <w:tcBorders/>
            <w:shd w:fill="auto" w:val="clear"/>
            <w:vAlign w:val="bottom"/>
          </w:tcPr>
          <w:p>
            <w:pPr>
              <w:pStyle w:val="TableContents"/>
              <w:spacing w:before="0" w:after="283"/>
              <w:jc w:val="center"/>
              <w:rPr/>
            </w:pPr>
            <w:r>
              <w:rPr/>
              <w:t>200%</w:t>
            </w:r>
          </w:p>
        </w:tc>
      </w:tr>
    </w:tbl>
    <w:p>
      <w:pPr>
        <w:pStyle w:val="TextBody"/>
        <w:spacing w:before="120" w:after="0"/>
        <w:jc w:val="left"/>
        <w:rPr>
          <w:rFonts w:ascii="arial" w:hAnsi="arial"/>
          <w:sz w:val="20"/>
        </w:rPr>
      </w:pPr>
      <w:r>
        <w:rPr>
          <w:rFonts w:ascii="arial" w:hAnsi="arial"/>
          <w:sz w:val="20"/>
        </w:rPr>
        <w:t xml:space="preserve">The performance goals were designed to be challenging but achievable with strong management performance. During 2020, the business and operations of the Corporation were, and they continue to be, negatively impacted by business disruptions resulting from the COVID-19 pandemic. These business disruptions, which could not have been foreseen when the cash LTIP awards were granted, created unintended effects on the cash LTIP awards. 2018 AEPS growth results were 29% and 2019 AEPS growth results were also 29%, well above the target and near the maximum level. The business and financial disruptions resulting from the COVID-19 pandemic resulted in -74% AEPS growth for 2020. The average of the three annual AEPS growth results was -5%, which would have completely eliminated the payout of the AEPS component of the cash LTIP awards for the 2018-2020 cycle. The historically low AEPS baseline for 2020 was likely to result in atypically high average AEPS growth results for the 2019-2021 and 2020-2022 cycles, with a high probability of maximum payouts for the AEPS portion of these awards. </w:t>
      </w:r>
    </w:p>
    <w:p>
      <w:pPr>
        <w:pStyle w:val="TextBody"/>
        <w:spacing w:before="120" w:after="0"/>
        <w:jc w:val="left"/>
        <w:rPr>
          <w:rFonts w:ascii="arial" w:hAnsi="arial"/>
          <w:sz w:val="20"/>
        </w:rPr>
      </w:pPr>
      <w:r>
        <w:rPr>
          <w:rFonts w:ascii="arial" w:hAnsi="arial"/>
          <w:sz w:val="20"/>
        </w:rPr>
        <w:t xml:space="preserve">On February 17, 2021, the Compensation Committee removed the AEPS performance metric for the cash LTIP awards for 2018, 2019, and 2020, such that each of these awards are measured only by the Corporations Relative TSR. In making this decision, the Compensation Committee considered various factors, including (i) maintaining pay-for-performance alignment, (ii) reducing the unplanned impact of the business and financial disruptions caused by the COVID-19 pandemic, and (iii) aligning executive and stockholder interests by solely measuring the Corporations shareholder returns relative to similar companies. Although this action did increase the payout for the 2018-2020 cash LTIP cycle, it more closely aligns payouts with pre-pandemic performance and Relative TSR performance. For the 2019-2021 and 2020-2022 cycles, this action avoided expected maximum payouts for the AEPS portion of the awards. The Compensation Committee routinely evaluates incentive plan performance metrics and takes into consideration the perspectives of our shareholders. AEPS growth was previously added as a second metric in part based on shareholder feedback and the Compensation Committee will reevaluate the performance metrics for future grants as business conditions stabilize. </w:t>
      </w:r>
    </w:p>
    <w:p>
      <w:pPr>
        <w:pStyle w:val="TextBody"/>
        <w:spacing w:before="240" w:after="0"/>
        <w:jc w:val="left"/>
        <w:rPr>
          <w:rFonts w:ascii="arial" w:hAnsi="arial"/>
          <w:b/>
          <w:i/>
          <w:sz w:val="20"/>
        </w:rPr>
      </w:pPr>
      <w:r>
        <w:rPr>
          <w:rFonts w:ascii="arial" w:hAnsi="arial"/>
          <w:b/>
          <w:i/>
          <w:sz w:val="20"/>
        </w:rPr>
        <w:t xml:space="preserve">20182020 Cash LTIP Payout </w:t>
      </w:r>
    </w:p>
    <w:p>
      <w:pPr>
        <w:pStyle w:val="TextBody"/>
        <w:spacing w:before="120" w:after="0"/>
        <w:jc w:val="left"/>
        <w:rPr>
          <w:rFonts w:ascii="arial" w:hAnsi="arial"/>
          <w:sz w:val="20"/>
        </w:rPr>
      </w:pPr>
      <w:r>
        <w:rPr>
          <w:rFonts w:ascii="arial" w:hAnsi="arial"/>
          <w:sz w:val="20"/>
        </w:rPr>
        <w:t xml:space="preserve">Demonstrating the Corporations pay-for-performance philosophy and the direct link between pay and the Corporations stock price performance, the cash LTIP payout as a percentage of the target has varied significantly over the past three performance periods based on TSR performance relative to the companies included in the index of publicly-traded restaurant companies. Performance and payouts under the 2018-2020 performance period and prior performance periods were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94"/>
        <w:gridCol w:w="266"/>
        <w:gridCol w:w="60"/>
        <w:gridCol w:w="60"/>
        <w:gridCol w:w="515"/>
        <w:gridCol w:w="260"/>
        <w:gridCol w:w="209"/>
        <w:gridCol w:w="132"/>
        <w:gridCol w:w="132"/>
        <w:gridCol w:w="973"/>
        <w:gridCol w:w="573"/>
        <w:gridCol w:w="209"/>
        <w:gridCol w:w="85"/>
        <w:gridCol w:w="84"/>
        <w:gridCol w:w="808"/>
        <w:gridCol w:w="545"/>
      </w:tblGrid>
      <w:tr>
        <w:trPr/>
        <w:tc>
          <w:tcPr>
            <w:tcW w:w="529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5294" w:type="dxa"/>
            <w:tcBorders/>
            <w:shd w:fill="CF0A2C" w:val="clear"/>
            <w:vAlign w:val="center"/>
          </w:tcPr>
          <w:p>
            <w:pPr>
              <w:pStyle w:val="TableContents"/>
              <w:spacing w:before="0" w:after="283"/>
              <w:rPr>
                <w:sz w:val="4"/>
                <w:szCs w:val="4"/>
              </w:rPr>
            </w:pPr>
            <w:r>
              <w:rPr>
                <w:sz w:val="4"/>
                <w:szCs w:val="4"/>
              </w:rPr>
            </w:r>
          </w:p>
        </w:tc>
        <w:tc>
          <w:tcPr>
            <w:tcW w:w="1161" w:type="dxa"/>
            <w:gridSpan w:val="5"/>
            <w:tcBorders/>
            <w:shd w:fill="CF0A2C" w:val="clear"/>
            <w:vAlign w:val="center"/>
          </w:tcPr>
          <w:p>
            <w:pPr>
              <w:pStyle w:val="TableContents"/>
              <w:spacing w:before="0" w:after="283"/>
              <w:rPr>
                <w:sz w:val="4"/>
                <w:szCs w:val="4"/>
              </w:rPr>
            </w:pPr>
            <w:r>
              <w:rPr>
                <w:sz w:val="4"/>
                <w:szCs w:val="4"/>
              </w:rPr>
            </w:r>
          </w:p>
        </w:tc>
        <w:tc>
          <w:tcPr>
            <w:tcW w:w="2019" w:type="dxa"/>
            <w:gridSpan w:val="5"/>
            <w:tcBorders/>
            <w:shd w:fill="CF0A2C" w:val="clear"/>
            <w:vAlign w:val="center"/>
          </w:tcPr>
          <w:p>
            <w:pPr>
              <w:pStyle w:val="TableContents"/>
              <w:spacing w:before="0" w:after="283"/>
              <w:rPr>
                <w:sz w:val="4"/>
                <w:szCs w:val="4"/>
              </w:rPr>
            </w:pPr>
            <w:r>
              <w:rPr>
                <w:sz w:val="4"/>
                <w:szCs w:val="4"/>
              </w:rPr>
            </w:r>
          </w:p>
        </w:tc>
        <w:tc>
          <w:tcPr>
            <w:tcW w:w="1731" w:type="dxa"/>
            <w:gridSpan w:val="5"/>
            <w:tcBorders/>
            <w:shd w:fill="CF0A2C" w:val="clear"/>
            <w:vAlign w:val="center"/>
          </w:tcPr>
          <w:p>
            <w:pPr>
              <w:pStyle w:val="TableContents"/>
              <w:spacing w:before="0" w:after="283"/>
              <w:rPr>
                <w:sz w:val="4"/>
                <w:szCs w:val="4"/>
              </w:rPr>
            </w:pPr>
            <w:r>
              <w:rPr>
                <w:sz w:val="4"/>
                <w:szCs w:val="4"/>
              </w:rPr>
            </w:r>
          </w:p>
        </w:tc>
      </w:tr>
      <w:tr>
        <w:trPr/>
        <w:tc>
          <w:tcPr>
            <w:tcW w:w="5294"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Performance Period</w:t>
            </w:r>
          </w:p>
        </w:tc>
        <w:tc>
          <w:tcPr>
            <w:tcW w:w="266" w:type="dxa"/>
            <w:tcBorders/>
            <w:shd w:fill="CF0A2C" w:val="clear"/>
            <w:vAlign w:val="bottom"/>
          </w:tcPr>
          <w:p>
            <w:pPr>
              <w:pStyle w:val="TableContents"/>
              <w:spacing w:before="0" w:after="283"/>
              <w:rPr/>
            </w:pPr>
            <w:r>
              <w:rPr/>
              <w:t>  </w:t>
            </w:r>
          </w:p>
        </w:tc>
        <w:tc>
          <w:tcPr>
            <w:tcW w:w="895" w:type="dxa"/>
            <w:gridSpan w:val="4"/>
            <w:tcBorders/>
            <w:shd w:fill="CF0A2C" w:val="clear"/>
            <w:vAlign w:val="bottom"/>
          </w:tcPr>
          <w:p>
            <w:pPr>
              <w:pStyle w:val="TableContents"/>
              <w:spacing w:before="0" w:after="283"/>
              <w:jc w:val="center"/>
              <w:rPr>
                <w:b/>
                <w:color w:val="FFFFFF"/>
              </w:rPr>
            </w:pPr>
            <w:r>
              <w:rPr>
                <w:b/>
                <w:color w:val="FFFFFF"/>
              </w:rPr>
              <w:t>Dine</w:t>
              <w:br/>
              <w:t>Brands</w:t>
              <w:br/>
              <w:t>TSR</w:t>
            </w:r>
          </w:p>
        </w:tc>
        <w:tc>
          <w:tcPr>
            <w:tcW w:w="209" w:type="dxa"/>
            <w:tcBorders/>
            <w:shd w:fill="CF0A2C" w:val="clear"/>
            <w:vAlign w:val="bottom"/>
          </w:tcPr>
          <w:p>
            <w:pPr>
              <w:pStyle w:val="TableContents"/>
              <w:spacing w:before="0" w:after="283"/>
              <w:rPr/>
            </w:pPr>
            <w:r>
              <w:rPr/>
              <w:t> </w:t>
            </w:r>
          </w:p>
        </w:tc>
        <w:tc>
          <w:tcPr>
            <w:tcW w:w="1810" w:type="dxa"/>
            <w:gridSpan w:val="4"/>
            <w:tcBorders/>
            <w:shd w:fill="CF0A2C" w:val="clear"/>
            <w:vAlign w:val="bottom"/>
          </w:tcPr>
          <w:p>
            <w:pPr>
              <w:pStyle w:val="TableContents"/>
              <w:spacing w:before="0" w:after="283"/>
              <w:jc w:val="center"/>
              <w:rPr>
                <w:b/>
                <w:color w:val="FFFFFF"/>
              </w:rPr>
            </w:pPr>
            <w:r>
              <w:rPr>
                <w:b/>
                <w:color w:val="FFFFFF"/>
              </w:rPr>
              <w:t>Restaurant Index</w:t>
              <w:br/>
              <w:t>Percentile Rank</w:t>
            </w:r>
          </w:p>
        </w:tc>
        <w:tc>
          <w:tcPr>
            <w:tcW w:w="209" w:type="dxa"/>
            <w:tcBorders/>
            <w:shd w:fill="CF0A2C" w:val="clear"/>
            <w:vAlign w:val="bottom"/>
          </w:tcPr>
          <w:p>
            <w:pPr>
              <w:pStyle w:val="TableContents"/>
              <w:spacing w:before="0" w:after="283"/>
              <w:rPr/>
            </w:pPr>
            <w:r>
              <w:rPr/>
              <w:t> </w:t>
            </w:r>
          </w:p>
        </w:tc>
        <w:tc>
          <w:tcPr>
            <w:tcW w:w="1522" w:type="dxa"/>
            <w:gridSpan w:val="4"/>
            <w:tcBorders/>
            <w:shd w:fill="CF0A2C" w:val="clear"/>
            <w:vAlign w:val="bottom"/>
          </w:tcPr>
          <w:p>
            <w:pPr>
              <w:pStyle w:val="TableContents"/>
              <w:spacing w:before="0" w:after="283"/>
              <w:jc w:val="center"/>
              <w:rPr>
                <w:b/>
                <w:color w:val="FFFFFF"/>
              </w:rPr>
            </w:pPr>
            <w:r>
              <w:rPr>
                <w:b/>
                <w:color w:val="FFFFFF"/>
              </w:rPr>
              <w:t>Payout as a  </w:t>
              <w:br/>
              <w:t>percentage of  </w:t>
              <w:br/>
              <w:t>target award  </w:t>
            </w:r>
          </w:p>
        </w:tc>
      </w:tr>
      <w:tr>
        <w:trPr>
          <w:trHeight w:val="75" w:hRule="atLeast"/>
        </w:trPr>
        <w:tc>
          <w:tcPr>
            <w:tcW w:w="5294" w:type="dxa"/>
            <w:tcBorders/>
            <w:shd w:fill="E5E5E5" w:val="clear"/>
            <w:vAlign w:val="center"/>
          </w:tcPr>
          <w:p>
            <w:pPr>
              <w:pStyle w:val="TableContents"/>
              <w:spacing w:before="0" w:after="283"/>
              <w:rPr>
                <w:sz w:val="4"/>
                <w:szCs w:val="4"/>
              </w:rPr>
            </w:pPr>
            <w:r>
              <w:rPr>
                <w:sz w:val="4"/>
                <w:szCs w:val="4"/>
              </w:rPr>
            </w:r>
          </w:p>
        </w:tc>
        <w:tc>
          <w:tcPr>
            <w:tcW w:w="1161" w:type="dxa"/>
            <w:gridSpan w:val="5"/>
            <w:tcBorders/>
            <w:shd w:fill="E5E5E5" w:val="clear"/>
            <w:vAlign w:val="center"/>
          </w:tcPr>
          <w:p>
            <w:pPr>
              <w:pStyle w:val="TableContents"/>
              <w:spacing w:before="0" w:after="283"/>
              <w:rPr>
                <w:sz w:val="4"/>
                <w:szCs w:val="4"/>
              </w:rPr>
            </w:pPr>
            <w:r>
              <w:rPr>
                <w:sz w:val="4"/>
                <w:szCs w:val="4"/>
              </w:rPr>
            </w:r>
          </w:p>
        </w:tc>
        <w:tc>
          <w:tcPr>
            <w:tcW w:w="2019" w:type="dxa"/>
            <w:gridSpan w:val="5"/>
            <w:tcBorders/>
            <w:shd w:fill="E5E5E5" w:val="clear"/>
            <w:vAlign w:val="center"/>
          </w:tcPr>
          <w:p>
            <w:pPr>
              <w:pStyle w:val="TableContents"/>
              <w:spacing w:before="0" w:after="283"/>
              <w:rPr>
                <w:sz w:val="4"/>
                <w:szCs w:val="4"/>
              </w:rPr>
            </w:pPr>
            <w:r>
              <w:rPr>
                <w:sz w:val="4"/>
                <w:szCs w:val="4"/>
              </w:rPr>
            </w:r>
          </w:p>
        </w:tc>
        <w:tc>
          <w:tcPr>
            <w:tcW w:w="1731" w:type="dxa"/>
            <w:gridSpan w:val="5"/>
            <w:tcBorders/>
            <w:shd w:fill="E5E5E5" w:val="clear"/>
            <w:vAlign w:val="center"/>
          </w:tcPr>
          <w:p>
            <w:pPr>
              <w:pStyle w:val="TableContents"/>
              <w:spacing w:before="0" w:after="283"/>
              <w:rPr>
                <w:sz w:val="4"/>
                <w:szCs w:val="4"/>
              </w:rPr>
            </w:pPr>
            <w:r>
              <w:rPr>
                <w:sz w:val="4"/>
                <w:szCs w:val="4"/>
              </w:rPr>
            </w:r>
          </w:p>
        </w:tc>
      </w:tr>
      <w:tr>
        <w:trPr/>
        <w:tc>
          <w:tcPr>
            <w:tcW w:w="5294" w:type="dxa"/>
            <w:tcBorders/>
            <w:shd w:fill="E5E5E5" w:val="clear"/>
          </w:tcPr>
          <w:p>
            <w:pPr>
              <w:pStyle w:val="TableContents"/>
              <w:spacing w:before="0" w:after="0"/>
              <w:rPr>
                <w:rFonts w:ascii="arial" w:hAnsi="arial"/>
                <w:sz w:val="20"/>
              </w:rPr>
            </w:pPr>
            <w:r>
              <w:rPr>
                <w:rFonts w:ascii="arial" w:hAnsi="arial"/>
                <w:sz w:val="20"/>
              </w:rPr>
              <w:t>2015 - 2017</w:t>
            </w:r>
          </w:p>
        </w:tc>
        <w:tc>
          <w:tcPr>
            <w:tcW w:w="266"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15" w:type="dxa"/>
            <w:tcBorders/>
            <w:shd w:fill="E5E5E5" w:val="clear"/>
            <w:vAlign w:val="bottom"/>
          </w:tcPr>
          <w:p>
            <w:pPr>
              <w:pStyle w:val="TableContents"/>
              <w:spacing w:before="0" w:after="283"/>
              <w:jc w:val="right"/>
              <w:rPr/>
            </w:pPr>
            <w:r>
              <w:rPr/>
              <w:t>-40.3</w:t>
            </w:r>
          </w:p>
        </w:tc>
        <w:tc>
          <w:tcPr>
            <w:tcW w:w="260" w:type="dxa"/>
            <w:tcBorders/>
            <w:shd w:fill="E5E5E5" w:val="clear"/>
            <w:vAlign w:val="bottom"/>
          </w:tcPr>
          <w:p>
            <w:pPr>
              <w:pStyle w:val="TableContents"/>
              <w:spacing w:before="0" w:after="283"/>
              <w:rPr/>
            </w:pPr>
            <w:r>
              <w:rPr/>
              <w:t>%</w:t>
            </w:r>
          </w:p>
        </w:tc>
        <w:tc>
          <w:tcPr>
            <w:tcW w:w="209"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973" w:type="dxa"/>
            <w:tcBorders/>
            <w:shd w:fill="E5E5E5" w:val="clear"/>
            <w:vAlign w:val="bottom"/>
          </w:tcPr>
          <w:p>
            <w:pPr>
              <w:pStyle w:val="TableContents"/>
              <w:spacing w:before="0" w:after="283"/>
              <w:jc w:val="right"/>
              <w:rPr/>
            </w:pPr>
            <w:r>
              <w:rPr/>
              <w:t>2.7</w:t>
            </w:r>
          </w:p>
        </w:tc>
        <w:tc>
          <w:tcPr>
            <w:tcW w:w="573" w:type="dxa"/>
            <w:tcBorders/>
            <w:shd w:fill="E5E5E5" w:val="clear"/>
            <w:vAlign w:val="bottom"/>
          </w:tcPr>
          <w:p>
            <w:pPr>
              <w:pStyle w:val="TableContents"/>
              <w:spacing w:before="0" w:after="283"/>
              <w:rPr/>
            </w:pPr>
            <w:r>
              <w:rPr/>
              <w:t>%</w:t>
            </w:r>
          </w:p>
        </w:tc>
        <w:tc>
          <w:tcPr>
            <w:tcW w:w="209"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808" w:type="dxa"/>
            <w:tcBorders/>
            <w:shd w:fill="E5E5E5" w:val="clear"/>
            <w:vAlign w:val="bottom"/>
          </w:tcPr>
          <w:p>
            <w:pPr>
              <w:pStyle w:val="TableContents"/>
              <w:spacing w:before="0" w:after="283"/>
              <w:jc w:val="right"/>
              <w:rPr/>
            </w:pPr>
            <w:r>
              <w:rPr/>
              <w:t>0</w:t>
            </w:r>
          </w:p>
        </w:tc>
        <w:tc>
          <w:tcPr>
            <w:tcW w:w="545" w:type="dxa"/>
            <w:tcBorders/>
            <w:shd w:fill="E5E5E5" w:val="clear"/>
            <w:vAlign w:val="bottom"/>
          </w:tcPr>
          <w:p>
            <w:pPr>
              <w:pStyle w:val="TableContents"/>
              <w:spacing w:before="0" w:after="283"/>
              <w:rPr/>
            </w:pPr>
            <w:r>
              <w:rPr/>
              <w:t>%</w:t>
            </w:r>
          </w:p>
        </w:tc>
      </w:tr>
      <w:tr>
        <w:trPr>
          <w:trHeight w:val="75" w:hRule="atLeast"/>
        </w:trPr>
        <w:tc>
          <w:tcPr>
            <w:tcW w:w="5294" w:type="dxa"/>
            <w:tcBorders/>
            <w:shd w:fill="auto" w:val="clear"/>
            <w:vAlign w:val="center"/>
          </w:tcPr>
          <w:p>
            <w:pPr>
              <w:pStyle w:val="TableContents"/>
              <w:spacing w:before="0" w:after="283"/>
              <w:rPr>
                <w:sz w:val="4"/>
                <w:szCs w:val="4"/>
              </w:rPr>
            </w:pPr>
            <w:r>
              <w:rPr>
                <w:sz w:val="4"/>
                <w:szCs w:val="4"/>
              </w:rPr>
            </w:r>
          </w:p>
        </w:tc>
        <w:tc>
          <w:tcPr>
            <w:tcW w:w="1161" w:type="dxa"/>
            <w:gridSpan w:val="5"/>
            <w:tcBorders/>
            <w:shd w:fill="auto" w:val="clear"/>
            <w:vAlign w:val="center"/>
          </w:tcPr>
          <w:p>
            <w:pPr>
              <w:pStyle w:val="TableContents"/>
              <w:spacing w:before="0" w:after="283"/>
              <w:rPr>
                <w:sz w:val="4"/>
                <w:szCs w:val="4"/>
              </w:rPr>
            </w:pPr>
            <w:r>
              <w:rPr>
                <w:sz w:val="4"/>
                <w:szCs w:val="4"/>
              </w:rPr>
            </w:r>
          </w:p>
        </w:tc>
        <w:tc>
          <w:tcPr>
            <w:tcW w:w="2019" w:type="dxa"/>
            <w:gridSpan w:val="5"/>
            <w:tcBorders/>
            <w:shd w:fill="auto" w:val="clear"/>
            <w:vAlign w:val="center"/>
          </w:tcPr>
          <w:p>
            <w:pPr>
              <w:pStyle w:val="TableContents"/>
              <w:spacing w:before="0" w:after="283"/>
              <w:rPr>
                <w:sz w:val="4"/>
                <w:szCs w:val="4"/>
              </w:rPr>
            </w:pPr>
            <w:r>
              <w:rPr>
                <w:sz w:val="4"/>
                <w:szCs w:val="4"/>
              </w:rPr>
            </w:r>
          </w:p>
        </w:tc>
        <w:tc>
          <w:tcPr>
            <w:tcW w:w="1731" w:type="dxa"/>
            <w:gridSpan w:val="5"/>
            <w:tcBorders/>
            <w:shd w:fill="auto" w:val="clear"/>
            <w:vAlign w:val="center"/>
          </w:tcPr>
          <w:p>
            <w:pPr>
              <w:pStyle w:val="TableContents"/>
              <w:spacing w:before="0" w:after="283"/>
              <w:rPr>
                <w:sz w:val="4"/>
                <w:szCs w:val="4"/>
              </w:rPr>
            </w:pPr>
            <w:r>
              <w:rPr>
                <w:sz w:val="4"/>
                <w:szCs w:val="4"/>
              </w:rPr>
            </w:r>
          </w:p>
        </w:tc>
      </w:tr>
      <w:tr>
        <w:trPr/>
        <w:tc>
          <w:tcPr>
            <w:tcW w:w="5294" w:type="dxa"/>
            <w:tcBorders/>
            <w:shd w:fill="auto" w:val="clear"/>
          </w:tcPr>
          <w:p>
            <w:pPr>
              <w:pStyle w:val="TableContents"/>
              <w:spacing w:before="0" w:after="0"/>
              <w:rPr>
                <w:rFonts w:ascii="arial" w:hAnsi="arial"/>
                <w:sz w:val="20"/>
              </w:rPr>
            </w:pPr>
            <w:r>
              <w:rPr>
                <w:rFonts w:ascii="arial" w:hAnsi="arial"/>
                <w:sz w:val="20"/>
              </w:rPr>
              <w:t>2016 - 2018</w:t>
            </w:r>
          </w:p>
        </w:tc>
        <w:tc>
          <w:tcPr>
            <w:tcW w:w="2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-8.5</w:t>
            </w:r>
          </w:p>
        </w:tc>
        <w:tc>
          <w:tcPr>
            <w:tcW w:w="260"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pPr>
            <w:r>
              <w:rPr/>
              <w:t>44.3</w:t>
            </w:r>
          </w:p>
        </w:tc>
        <w:tc>
          <w:tcPr>
            <w:tcW w:w="573"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83.2</w:t>
            </w:r>
          </w:p>
        </w:tc>
        <w:tc>
          <w:tcPr>
            <w:tcW w:w="545" w:type="dxa"/>
            <w:tcBorders/>
            <w:shd w:fill="auto" w:val="clear"/>
            <w:vAlign w:val="bottom"/>
          </w:tcPr>
          <w:p>
            <w:pPr>
              <w:pStyle w:val="TableContents"/>
              <w:spacing w:before="0" w:after="283"/>
              <w:rPr/>
            </w:pPr>
            <w:r>
              <w:rPr/>
              <w:t>%</w:t>
            </w:r>
          </w:p>
        </w:tc>
      </w:tr>
      <w:tr>
        <w:trPr>
          <w:trHeight w:val="75" w:hRule="atLeast"/>
        </w:trPr>
        <w:tc>
          <w:tcPr>
            <w:tcW w:w="5294" w:type="dxa"/>
            <w:tcBorders/>
            <w:shd w:fill="E5E5E5" w:val="clear"/>
            <w:vAlign w:val="center"/>
          </w:tcPr>
          <w:p>
            <w:pPr>
              <w:pStyle w:val="TableContents"/>
              <w:spacing w:before="0" w:after="283"/>
              <w:rPr>
                <w:sz w:val="4"/>
                <w:szCs w:val="4"/>
              </w:rPr>
            </w:pPr>
            <w:r>
              <w:rPr>
                <w:sz w:val="4"/>
                <w:szCs w:val="4"/>
              </w:rPr>
            </w:r>
          </w:p>
        </w:tc>
        <w:tc>
          <w:tcPr>
            <w:tcW w:w="1161" w:type="dxa"/>
            <w:gridSpan w:val="5"/>
            <w:tcBorders/>
            <w:shd w:fill="E5E5E5" w:val="clear"/>
            <w:vAlign w:val="center"/>
          </w:tcPr>
          <w:p>
            <w:pPr>
              <w:pStyle w:val="TableContents"/>
              <w:spacing w:before="0" w:after="283"/>
              <w:rPr>
                <w:sz w:val="4"/>
                <w:szCs w:val="4"/>
              </w:rPr>
            </w:pPr>
            <w:r>
              <w:rPr>
                <w:sz w:val="4"/>
                <w:szCs w:val="4"/>
              </w:rPr>
            </w:r>
          </w:p>
        </w:tc>
        <w:tc>
          <w:tcPr>
            <w:tcW w:w="2019" w:type="dxa"/>
            <w:gridSpan w:val="5"/>
            <w:tcBorders/>
            <w:shd w:fill="E5E5E5" w:val="clear"/>
            <w:vAlign w:val="center"/>
          </w:tcPr>
          <w:p>
            <w:pPr>
              <w:pStyle w:val="TableContents"/>
              <w:spacing w:before="0" w:after="283"/>
              <w:rPr>
                <w:sz w:val="4"/>
                <w:szCs w:val="4"/>
              </w:rPr>
            </w:pPr>
            <w:r>
              <w:rPr>
                <w:sz w:val="4"/>
                <w:szCs w:val="4"/>
              </w:rPr>
            </w:r>
          </w:p>
        </w:tc>
        <w:tc>
          <w:tcPr>
            <w:tcW w:w="1731" w:type="dxa"/>
            <w:gridSpan w:val="5"/>
            <w:tcBorders/>
            <w:shd w:fill="E5E5E5" w:val="clear"/>
            <w:vAlign w:val="center"/>
          </w:tcPr>
          <w:p>
            <w:pPr>
              <w:pStyle w:val="TableContents"/>
              <w:spacing w:before="0" w:after="283"/>
              <w:rPr>
                <w:sz w:val="4"/>
                <w:szCs w:val="4"/>
              </w:rPr>
            </w:pPr>
            <w:r>
              <w:rPr>
                <w:sz w:val="4"/>
                <w:szCs w:val="4"/>
              </w:rPr>
            </w:r>
          </w:p>
        </w:tc>
      </w:tr>
      <w:tr>
        <w:trPr/>
        <w:tc>
          <w:tcPr>
            <w:tcW w:w="5294" w:type="dxa"/>
            <w:tcBorders/>
            <w:shd w:fill="E5E5E5" w:val="clear"/>
          </w:tcPr>
          <w:p>
            <w:pPr>
              <w:pStyle w:val="TableContents"/>
              <w:spacing w:before="0" w:after="0"/>
              <w:rPr>
                <w:rFonts w:ascii="arial" w:hAnsi="arial"/>
                <w:b/>
                <w:sz w:val="20"/>
              </w:rPr>
            </w:pPr>
            <w:r>
              <w:rPr>
                <w:rFonts w:ascii="arial" w:hAnsi="arial"/>
                <w:b/>
                <w:sz w:val="20"/>
              </w:rPr>
              <w:t>2017 - 2019</w:t>
            </w:r>
          </w:p>
        </w:tc>
        <w:tc>
          <w:tcPr>
            <w:tcW w:w="266"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15" w:type="dxa"/>
            <w:tcBorders/>
            <w:shd w:fill="E5E5E5" w:val="clear"/>
            <w:vAlign w:val="bottom"/>
          </w:tcPr>
          <w:p>
            <w:pPr>
              <w:pStyle w:val="TableContents"/>
              <w:spacing w:before="0" w:after="283"/>
              <w:jc w:val="right"/>
              <w:rPr>
                <w:b/>
              </w:rPr>
            </w:pPr>
            <w:r>
              <w:rPr>
                <w:b/>
              </w:rPr>
              <w:t>20.4</w:t>
            </w:r>
          </w:p>
        </w:tc>
        <w:tc>
          <w:tcPr>
            <w:tcW w:w="260" w:type="dxa"/>
            <w:tcBorders/>
            <w:shd w:fill="E5E5E5" w:val="clear"/>
            <w:vAlign w:val="bottom"/>
          </w:tcPr>
          <w:p>
            <w:pPr>
              <w:pStyle w:val="TableContents"/>
              <w:spacing w:before="0" w:after="283"/>
              <w:rPr>
                <w:b/>
              </w:rPr>
            </w:pPr>
            <w:r>
              <w:rPr>
                <w:b/>
              </w:rPr>
              <w:t>%</w:t>
            </w:r>
          </w:p>
        </w:tc>
        <w:tc>
          <w:tcPr>
            <w:tcW w:w="209"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132" w:type="dxa"/>
            <w:tcBorders/>
            <w:shd w:fill="E5E5E5" w:val="clear"/>
            <w:vAlign w:val="bottom"/>
          </w:tcPr>
          <w:p>
            <w:pPr>
              <w:pStyle w:val="TableContents"/>
              <w:spacing w:before="0" w:after="283"/>
              <w:rPr/>
            </w:pPr>
            <w:r>
              <w:rPr/>
              <w:t> </w:t>
            </w:r>
          </w:p>
        </w:tc>
        <w:tc>
          <w:tcPr>
            <w:tcW w:w="973" w:type="dxa"/>
            <w:tcBorders/>
            <w:shd w:fill="E5E5E5" w:val="clear"/>
            <w:vAlign w:val="bottom"/>
          </w:tcPr>
          <w:p>
            <w:pPr>
              <w:pStyle w:val="TableContents"/>
              <w:spacing w:before="0" w:after="283"/>
              <w:jc w:val="right"/>
              <w:rPr>
                <w:b/>
              </w:rPr>
            </w:pPr>
            <w:r>
              <w:rPr>
                <w:b/>
              </w:rPr>
              <w:t>54.5</w:t>
            </w:r>
          </w:p>
        </w:tc>
        <w:tc>
          <w:tcPr>
            <w:tcW w:w="573" w:type="dxa"/>
            <w:tcBorders/>
            <w:shd w:fill="E5E5E5" w:val="clear"/>
            <w:vAlign w:val="bottom"/>
          </w:tcPr>
          <w:p>
            <w:pPr>
              <w:pStyle w:val="TableContents"/>
              <w:spacing w:before="0" w:after="283"/>
              <w:rPr>
                <w:b/>
              </w:rPr>
            </w:pPr>
            <w:r>
              <w:rPr>
                <w:b/>
              </w:rPr>
              <w:t>%</w:t>
            </w:r>
          </w:p>
        </w:tc>
        <w:tc>
          <w:tcPr>
            <w:tcW w:w="209" w:type="dxa"/>
            <w:tcBorders/>
            <w:shd w:fill="E5E5E5" w:val="clear"/>
            <w:vAlign w:val="bottom"/>
          </w:tcPr>
          <w:p>
            <w:pPr>
              <w:pStyle w:val="TableContents"/>
              <w:spacing w:before="0" w:after="283"/>
              <w:rPr/>
            </w:pPr>
            <w:r>
              <w:rPr/>
              <w:t> </w:t>
            </w:r>
          </w:p>
        </w:tc>
        <w:tc>
          <w:tcPr>
            <w:tcW w:w="85" w:type="dxa"/>
            <w:tcBorders/>
            <w:shd w:fill="E5E5E5" w:val="clear"/>
            <w:vAlign w:val="bottom"/>
          </w:tcPr>
          <w:p>
            <w:pPr>
              <w:pStyle w:val="TableContents"/>
              <w:spacing w:before="0" w:after="283"/>
              <w:rPr/>
            </w:pPr>
            <w:r>
              <w:rPr/>
              <w:t> </w:t>
            </w:r>
          </w:p>
        </w:tc>
        <w:tc>
          <w:tcPr>
            <w:tcW w:w="84" w:type="dxa"/>
            <w:tcBorders/>
            <w:shd w:fill="E5E5E5" w:val="clear"/>
            <w:vAlign w:val="bottom"/>
          </w:tcPr>
          <w:p>
            <w:pPr>
              <w:pStyle w:val="TableContents"/>
              <w:spacing w:before="0" w:after="283"/>
              <w:rPr/>
            </w:pPr>
            <w:r>
              <w:rPr/>
              <w:t> </w:t>
            </w:r>
          </w:p>
        </w:tc>
        <w:tc>
          <w:tcPr>
            <w:tcW w:w="808" w:type="dxa"/>
            <w:tcBorders/>
            <w:shd w:fill="E5E5E5" w:val="clear"/>
            <w:vAlign w:val="bottom"/>
          </w:tcPr>
          <w:p>
            <w:pPr>
              <w:pStyle w:val="TableContents"/>
              <w:spacing w:before="0" w:after="283"/>
              <w:jc w:val="right"/>
              <w:rPr>
                <w:b/>
              </w:rPr>
            </w:pPr>
            <w:r>
              <w:rPr>
                <w:b/>
              </w:rPr>
              <w:t>111.3</w:t>
            </w:r>
          </w:p>
        </w:tc>
        <w:tc>
          <w:tcPr>
            <w:tcW w:w="545" w:type="dxa"/>
            <w:tcBorders/>
            <w:shd w:fill="E5E5E5" w:val="clear"/>
            <w:vAlign w:val="bottom"/>
          </w:tcPr>
          <w:p>
            <w:pPr>
              <w:pStyle w:val="TableContents"/>
              <w:spacing w:before="0" w:after="283"/>
              <w:rPr>
                <w:b/>
              </w:rPr>
            </w:pPr>
            <w:r>
              <w:rPr>
                <w:b/>
              </w:rPr>
              <w:t>%</w:t>
            </w:r>
          </w:p>
        </w:tc>
      </w:tr>
      <w:tr>
        <w:trPr>
          <w:trHeight w:val="75" w:hRule="atLeast"/>
        </w:trPr>
        <w:tc>
          <w:tcPr>
            <w:tcW w:w="5294" w:type="dxa"/>
            <w:tcBorders/>
            <w:shd w:fill="auto" w:val="clear"/>
            <w:vAlign w:val="center"/>
          </w:tcPr>
          <w:p>
            <w:pPr>
              <w:pStyle w:val="TableContents"/>
              <w:spacing w:before="0" w:after="283"/>
              <w:rPr>
                <w:sz w:val="4"/>
                <w:szCs w:val="4"/>
              </w:rPr>
            </w:pPr>
            <w:r>
              <w:rPr>
                <w:sz w:val="4"/>
                <w:szCs w:val="4"/>
              </w:rPr>
            </w:r>
          </w:p>
        </w:tc>
        <w:tc>
          <w:tcPr>
            <w:tcW w:w="1161" w:type="dxa"/>
            <w:gridSpan w:val="5"/>
            <w:tcBorders/>
            <w:shd w:fill="auto" w:val="clear"/>
            <w:vAlign w:val="center"/>
          </w:tcPr>
          <w:p>
            <w:pPr>
              <w:pStyle w:val="TableContents"/>
              <w:spacing w:before="0" w:after="283"/>
              <w:rPr>
                <w:sz w:val="4"/>
                <w:szCs w:val="4"/>
              </w:rPr>
            </w:pPr>
            <w:r>
              <w:rPr>
                <w:sz w:val="4"/>
                <w:szCs w:val="4"/>
              </w:rPr>
            </w:r>
          </w:p>
        </w:tc>
        <w:tc>
          <w:tcPr>
            <w:tcW w:w="2019" w:type="dxa"/>
            <w:gridSpan w:val="5"/>
            <w:tcBorders/>
            <w:shd w:fill="auto" w:val="clear"/>
            <w:vAlign w:val="center"/>
          </w:tcPr>
          <w:p>
            <w:pPr>
              <w:pStyle w:val="TableContents"/>
              <w:spacing w:before="0" w:after="283"/>
              <w:rPr>
                <w:sz w:val="4"/>
                <w:szCs w:val="4"/>
              </w:rPr>
            </w:pPr>
            <w:r>
              <w:rPr>
                <w:sz w:val="4"/>
                <w:szCs w:val="4"/>
              </w:rPr>
            </w:r>
          </w:p>
        </w:tc>
        <w:tc>
          <w:tcPr>
            <w:tcW w:w="1731" w:type="dxa"/>
            <w:gridSpan w:val="5"/>
            <w:tcBorders/>
            <w:shd w:fill="auto" w:val="clear"/>
            <w:vAlign w:val="center"/>
          </w:tcPr>
          <w:p>
            <w:pPr>
              <w:pStyle w:val="TableContents"/>
              <w:spacing w:before="0" w:after="283"/>
              <w:rPr>
                <w:sz w:val="4"/>
                <w:szCs w:val="4"/>
              </w:rPr>
            </w:pPr>
            <w:r>
              <w:rPr>
                <w:sz w:val="4"/>
                <w:szCs w:val="4"/>
              </w:rPr>
            </w:r>
          </w:p>
        </w:tc>
      </w:tr>
      <w:tr>
        <w:trPr/>
        <w:tc>
          <w:tcPr>
            <w:tcW w:w="5294" w:type="dxa"/>
            <w:tcBorders/>
            <w:shd w:fill="auto" w:val="clear"/>
          </w:tcPr>
          <w:p>
            <w:pPr>
              <w:pStyle w:val="TableContents"/>
              <w:spacing w:before="0" w:after="0"/>
              <w:rPr>
                <w:rFonts w:ascii="arial" w:hAnsi="arial"/>
                <w:b/>
                <w:sz w:val="20"/>
              </w:rPr>
            </w:pPr>
            <w:r>
              <w:rPr>
                <w:rFonts w:ascii="arial" w:hAnsi="arial"/>
                <w:b/>
                <w:sz w:val="20"/>
              </w:rPr>
              <w:t>2018 - 2020</w:t>
            </w:r>
          </w:p>
        </w:tc>
        <w:tc>
          <w:tcPr>
            <w:tcW w:w="2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b/>
              </w:rPr>
            </w:pPr>
            <w:r>
              <w:rPr>
                <w:b/>
              </w:rPr>
              <w:t>26.2</w:t>
            </w:r>
          </w:p>
        </w:tc>
        <w:tc>
          <w:tcPr>
            <w:tcW w:w="260" w:type="dxa"/>
            <w:tcBorders/>
            <w:shd w:fill="auto" w:val="clear"/>
            <w:vAlign w:val="bottom"/>
          </w:tcPr>
          <w:p>
            <w:pPr>
              <w:pStyle w:val="TableContents"/>
              <w:spacing w:before="0" w:after="283"/>
              <w:rPr>
                <w:b/>
              </w:rPr>
            </w:pPr>
            <w:r>
              <w:rPr>
                <w:b/>
              </w:rPr>
              <w:t>%</w:t>
            </w:r>
          </w:p>
        </w:tc>
        <w:tc>
          <w:tcPr>
            <w:tcW w:w="20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b/>
              </w:rPr>
            </w:pPr>
            <w:r>
              <w:rPr>
                <w:b/>
              </w:rPr>
              <w:t>63.6</w:t>
            </w:r>
          </w:p>
        </w:tc>
        <w:tc>
          <w:tcPr>
            <w:tcW w:w="573" w:type="dxa"/>
            <w:tcBorders/>
            <w:shd w:fill="auto" w:val="clear"/>
            <w:vAlign w:val="bottom"/>
          </w:tcPr>
          <w:p>
            <w:pPr>
              <w:pStyle w:val="TableContents"/>
              <w:spacing w:before="0" w:after="283"/>
              <w:rPr>
                <w:b/>
              </w:rPr>
            </w:pPr>
            <w:r>
              <w:rPr>
                <w:b/>
              </w:rPr>
              <w:t>%</w:t>
            </w:r>
          </w:p>
        </w:tc>
        <w:tc>
          <w:tcPr>
            <w:tcW w:w="20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b/>
              </w:rPr>
            </w:pPr>
            <w:r>
              <w:rPr>
                <w:b/>
              </w:rPr>
              <w:t>134.0</w:t>
            </w:r>
          </w:p>
        </w:tc>
        <w:tc>
          <w:tcPr>
            <w:tcW w:w="545" w:type="dxa"/>
            <w:tcBorders/>
            <w:shd w:fill="auto" w:val="clear"/>
            <w:vAlign w:val="bottom"/>
          </w:tcPr>
          <w:p>
            <w:pPr>
              <w:pStyle w:val="TableContents"/>
              <w:spacing w:before="0" w:after="283"/>
              <w:rPr>
                <w:b/>
              </w:rPr>
            </w:pPr>
            <w:r>
              <w:rPr>
                <w:b/>
              </w:rPr>
              <w:t>%*</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Payout for the 2018-2020 cash LTIP cycle would have been 67% of target if the AEPS growth metric had not been removed by the Compensation Committee. Actual three-year average annual AEPS growth for 2018-2020 was -5%, based on 29% growth in 2018, 29% growth in 2019, and -74% growth in 2020. The -5% actual three-year average annual AEPS growth for 2018-2020 was below the 10% growth performance threshold for payout, and would have resulted in a 0% payout for the AEPS portion of the award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34    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For the 2018-2020 cash LTIP cycle, the Corporations TSR performance achieved a percentile rank of 63.6% relative to the companies included in the index of publicly-traded restaurant companies during the three-year performance period. The amounts in the table below represent the target cash LTIP incentive and actual amounts paid to the NEOs pursuant to the 2018-2020 cash LTIP. Mr. Joyce is not eligible to participate in the cash LTIP and did not participate in the 2018-2020 cash LTIP cycle.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560"/>
        <w:gridCol w:w="486"/>
        <w:gridCol w:w="87"/>
        <w:gridCol w:w="203"/>
        <w:gridCol w:w="1165"/>
        <w:gridCol w:w="35"/>
        <w:gridCol w:w="486"/>
        <w:gridCol w:w="125"/>
        <w:gridCol w:w="292"/>
        <w:gridCol w:w="1714"/>
        <w:gridCol w:w="52"/>
      </w:tblGrid>
      <w:tr>
        <w:trPr/>
        <w:tc>
          <w:tcPr>
            <w:tcW w:w="556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5560" w:type="dxa"/>
            <w:tcBorders/>
            <w:shd w:fill="CF0A2C" w:val="clear"/>
            <w:vAlign w:val="center"/>
          </w:tcPr>
          <w:p>
            <w:pPr>
              <w:pStyle w:val="TableContents"/>
              <w:spacing w:before="0" w:after="283"/>
              <w:rPr>
                <w:sz w:val="4"/>
                <w:szCs w:val="4"/>
              </w:rPr>
            </w:pPr>
            <w:r>
              <w:rPr>
                <w:sz w:val="4"/>
                <w:szCs w:val="4"/>
              </w:rPr>
            </w:r>
          </w:p>
        </w:tc>
        <w:tc>
          <w:tcPr>
            <w:tcW w:w="1976" w:type="dxa"/>
            <w:gridSpan w:val="5"/>
            <w:tcBorders/>
            <w:shd w:fill="CF0A2C" w:val="clear"/>
            <w:vAlign w:val="center"/>
          </w:tcPr>
          <w:p>
            <w:pPr>
              <w:pStyle w:val="TableContents"/>
              <w:spacing w:before="0" w:after="283"/>
              <w:rPr>
                <w:sz w:val="4"/>
                <w:szCs w:val="4"/>
              </w:rPr>
            </w:pPr>
            <w:r>
              <w:rPr>
                <w:sz w:val="4"/>
                <w:szCs w:val="4"/>
              </w:rPr>
            </w:r>
          </w:p>
        </w:tc>
        <w:tc>
          <w:tcPr>
            <w:tcW w:w="2669" w:type="dxa"/>
            <w:gridSpan w:val="5"/>
            <w:tcBorders/>
            <w:shd w:fill="CF0A2C" w:val="clear"/>
            <w:vAlign w:val="center"/>
          </w:tcPr>
          <w:p>
            <w:pPr>
              <w:pStyle w:val="TableContents"/>
              <w:spacing w:before="0" w:after="283"/>
              <w:rPr>
                <w:sz w:val="4"/>
                <w:szCs w:val="4"/>
              </w:rPr>
            </w:pPr>
            <w:r>
              <w:rPr>
                <w:sz w:val="4"/>
                <w:szCs w:val="4"/>
              </w:rPr>
            </w:r>
          </w:p>
        </w:tc>
      </w:tr>
      <w:tr>
        <w:trPr/>
        <w:tc>
          <w:tcPr>
            <w:tcW w:w="5560"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486" w:type="dxa"/>
            <w:tcBorders/>
            <w:shd w:fill="CF0A2C" w:val="clear"/>
            <w:vAlign w:val="bottom"/>
          </w:tcPr>
          <w:p>
            <w:pPr>
              <w:pStyle w:val="TableContents"/>
              <w:spacing w:before="0" w:after="283"/>
              <w:rPr/>
            </w:pPr>
            <w:r>
              <w:rPr/>
              <w:t>  </w:t>
            </w:r>
          </w:p>
        </w:tc>
        <w:tc>
          <w:tcPr>
            <w:tcW w:w="1490" w:type="dxa"/>
            <w:gridSpan w:val="4"/>
            <w:tcBorders/>
            <w:shd w:fill="CF0A2C" w:val="clear"/>
            <w:vAlign w:val="bottom"/>
          </w:tcPr>
          <w:p>
            <w:pPr>
              <w:pStyle w:val="TableContents"/>
              <w:spacing w:before="0" w:after="283"/>
              <w:jc w:val="center"/>
              <w:rPr>
                <w:b/>
                <w:color w:val="FFFFFF"/>
              </w:rPr>
            </w:pPr>
            <w:r>
              <w:rPr>
                <w:b/>
                <w:color w:val="FFFFFF"/>
              </w:rPr>
              <w:t>2018 - 2020</w:t>
              <w:br/>
              <w:t>Target Award</w:t>
            </w:r>
          </w:p>
        </w:tc>
        <w:tc>
          <w:tcPr>
            <w:tcW w:w="486" w:type="dxa"/>
            <w:tcBorders/>
            <w:shd w:fill="CF0A2C" w:val="clear"/>
            <w:vAlign w:val="bottom"/>
          </w:tcPr>
          <w:p>
            <w:pPr>
              <w:pStyle w:val="TableContents"/>
              <w:spacing w:before="0" w:after="283"/>
              <w:rPr/>
            </w:pPr>
            <w:r>
              <w:rPr/>
              <w:t>  </w:t>
            </w:r>
          </w:p>
        </w:tc>
        <w:tc>
          <w:tcPr>
            <w:tcW w:w="2183" w:type="dxa"/>
            <w:gridSpan w:val="4"/>
            <w:tcBorders/>
            <w:shd w:fill="CF0A2C" w:val="clear"/>
            <w:vAlign w:val="bottom"/>
          </w:tcPr>
          <w:p>
            <w:pPr>
              <w:pStyle w:val="TableContents"/>
              <w:spacing w:before="0" w:after="283"/>
              <w:jc w:val="center"/>
              <w:rPr>
                <w:b/>
                <w:color w:val="FFFFFF"/>
              </w:rPr>
            </w:pPr>
            <w:r>
              <w:rPr>
                <w:b/>
                <w:color w:val="FFFFFF"/>
              </w:rPr>
              <w:t>2018 - 2020  </w:t>
              <w:br/>
              <w:t>Payout  </w:t>
              <w:br/>
              <w:t xml:space="preserve">(134.0% of Target)   </w:t>
            </w:r>
          </w:p>
        </w:tc>
      </w:tr>
      <w:tr>
        <w:trPr>
          <w:trHeight w:val="75" w:hRule="atLeast"/>
        </w:trPr>
        <w:tc>
          <w:tcPr>
            <w:tcW w:w="5560" w:type="dxa"/>
            <w:tcBorders/>
            <w:shd w:fill="E5E5E5" w:val="clear"/>
            <w:vAlign w:val="center"/>
          </w:tcPr>
          <w:p>
            <w:pPr>
              <w:pStyle w:val="TableContents"/>
              <w:spacing w:before="0" w:after="283"/>
              <w:rPr>
                <w:sz w:val="4"/>
                <w:szCs w:val="4"/>
              </w:rPr>
            </w:pPr>
            <w:r>
              <w:rPr>
                <w:sz w:val="4"/>
                <w:szCs w:val="4"/>
              </w:rPr>
            </w:r>
          </w:p>
        </w:tc>
        <w:tc>
          <w:tcPr>
            <w:tcW w:w="1976" w:type="dxa"/>
            <w:gridSpan w:val="5"/>
            <w:tcBorders/>
            <w:shd w:fill="E5E5E5" w:val="clear"/>
            <w:vAlign w:val="center"/>
          </w:tcPr>
          <w:p>
            <w:pPr>
              <w:pStyle w:val="TableContents"/>
              <w:spacing w:before="0" w:after="283"/>
              <w:rPr>
                <w:sz w:val="4"/>
                <w:szCs w:val="4"/>
              </w:rPr>
            </w:pPr>
            <w:r>
              <w:rPr>
                <w:sz w:val="4"/>
                <w:szCs w:val="4"/>
              </w:rPr>
            </w:r>
          </w:p>
        </w:tc>
        <w:tc>
          <w:tcPr>
            <w:tcW w:w="2669" w:type="dxa"/>
            <w:gridSpan w:val="5"/>
            <w:tcBorders/>
            <w:shd w:fill="E5E5E5" w:val="clear"/>
            <w:vAlign w:val="center"/>
          </w:tcPr>
          <w:p>
            <w:pPr>
              <w:pStyle w:val="TableContents"/>
              <w:spacing w:before="0" w:after="283"/>
              <w:rPr>
                <w:sz w:val="4"/>
                <w:szCs w:val="4"/>
              </w:rPr>
            </w:pPr>
            <w:r>
              <w:rPr>
                <w:sz w:val="4"/>
                <w:szCs w:val="4"/>
              </w:rPr>
            </w:r>
          </w:p>
        </w:tc>
      </w:tr>
      <w:tr>
        <w:trPr/>
        <w:tc>
          <w:tcPr>
            <w:tcW w:w="5560" w:type="dxa"/>
            <w:tcBorders/>
            <w:shd w:fill="E5E5E5" w:val="clear"/>
          </w:tcPr>
          <w:p>
            <w:pPr>
              <w:pStyle w:val="TableContents"/>
              <w:spacing w:before="0" w:after="0"/>
              <w:rPr>
                <w:rFonts w:ascii="arial" w:hAnsi="arial"/>
                <w:sz w:val="20"/>
              </w:rPr>
            </w:pPr>
            <w:r>
              <w:rPr>
                <w:rFonts w:ascii="arial" w:hAnsi="arial"/>
                <w:sz w:val="20"/>
              </w:rPr>
              <w:t>Thomas H. Song</w:t>
            </w:r>
          </w:p>
        </w:tc>
        <w:tc>
          <w:tcPr>
            <w:tcW w:w="486" w:type="dxa"/>
            <w:tcBorders/>
            <w:shd w:fill="E5E5E5" w:val="clear"/>
            <w:vAlign w:val="bottom"/>
          </w:tcPr>
          <w:p>
            <w:pPr>
              <w:pStyle w:val="TableContents"/>
              <w:spacing w:before="0" w:after="283"/>
              <w:rPr/>
            </w:pPr>
            <w:r>
              <w:rPr/>
              <w:t>  </w:t>
            </w:r>
          </w:p>
        </w:tc>
        <w:tc>
          <w:tcPr>
            <w:tcW w:w="87" w:type="dxa"/>
            <w:tcBorders/>
            <w:shd w:fill="E5E5E5" w:val="clear"/>
            <w:vAlign w:val="bottom"/>
          </w:tcPr>
          <w:p>
            <w:pPr>
              <w:pStyle w:val="TableContents"/>
              <w:spacing w:before="0" w:after="283"/>
              <w:rPr/>
            </w:pPr>
            <w:r>
              <w:rPr/>
              <w:t> </w:t>
            </w:r>
          </w:p>
        </w:tc>
        <w:tc>
          <w:tcPr>
            <w:tcW w:w="203" w:type="dxa"/>
            <w:tcBorders/>
            <w:shd w:fill="E5E5E5" w:val="clear"/>
            <w:vAlign w:val="bottom"/>
          </w:tcPr>
          <w:p>
            <w:pPr>
              <w:pStyle w:val="TableContents"/>
              <w:spacing w:before="0" w:after="283"/>
              <w:rPr/>
            </w:pPr>
            <w:r>
              <w:rPr/>
              <w:t>$</w:t>
            </w:r>
          </w:p>
        </w:tc>
        <w:tc>
          <w:tcPr>
            <w:tcW w:w="1165" w:type="dxa"/>
            <w:tcBorders/>
            <w:shd w:fill="E5E5E5" w:val="clear"/>
            <w:vAlign w:val="bottom"/>
          </w:tcPr>
          <w:p>
            <w:pPr>
              <w:pStyle w:val="TableContents"/>
              <w:spacing w:before="0" w:after="283"/>
              <w:jc w:val="right"/>
              <w:rPr/>
            </w:pPr>
            <w:r>
              <w:rPr/>
              <w:t>198,000</w:t>
            </w:r>
          </w:p>
        </w:tc>
        <w:tc>
          <w:tcPr>
            <w:tcW w:w="35" w:type="dxa"/>
            <w:tcBorders/>
            <w:shd w:fill="E5E5E5" w:val="clear"/>
            <w:vAlign w:val="bottom"/>
          </w:tcPr>
          <w:p>
            <w:pPr>
              <w:pStyle w:val="TableContents"/>
              <w:spacing w:before="0" w:after="283"/>
              <w:rPr>
                <w:sz w:val="4"/>
                <w:szCs w:val="4"/>
              </w:rPr>
            </w:pPr>
            <w:r>
              <w:rPr>
                <w:sz w:val="4"/>
                <w:szCs w:val="4"/>
              </w:rPr>
            </w:r>
          </w:p>
        </w:tc>
        <w:tc>
          <w:tcPr>
            <w:tcW w:w="486" w:type="dxa"/>
            <w:tcBorders/>
            <w:shd w:fill="E5E5E5" w:val="clear"/>
            <w:vAlign w:val="bottom"/>
          </w:tcPr>
          <w:p>
            <w:pPr>
              <w:pStyle w:val="TableContents"/>
              <w:spacing w:before="0" w:after="283"/>
              <w:rPr/>
            </w:pPr>
            <w:r>
              <w:rPr/>
              <w:t>  </w:t>
            </w:r>
          </w:p>
        </w:tc>
        <w:tc>
          <w:tcPr>
            <w:tcW w:w="125" w:type="dxa"/>
            <w:tcBorders/>
            <w:shd w:fill="E5E5E5" w:val="clear"/>
            <w:vAlign w:val="bottom"/>
          </w:tcPr>
          <w:p>
            <w:pPr>
              <w:pStyle w:val="TableContents"/>
              <w:spacing w:before="0" w:after="283"/>
              <w:rPr/>
            </w:pPr>
            <w:r>
              <w:rPr/>
              <w:t> </w:t>
            </w:r>
          </w:p>
        </w:tc>
        <w:tc>
          <w:tcPr>
            <w:tcW w:w="292" w:type="dxa"/>
            <w:tcBorders/>
            <w:shd w:fill="E5E5E5" w:val="clear"/>
            <w:vAlign w:val="bottom"/>
          </w:tcPr>
          <w:p>
            <w:pPr>
              <w:pStyle w:val="TableContents"/>
              <w:spacing w:before="0" w:after="283"/>
              <w:rPr/>
            </w:pPr>
            <w:r>
              <w:rPr/>
              <w:t>$</w:t>
            </w:r>
          </w:p>
        </w:tc>
        <w:tc>
          <w:tcPr>
            <w:tcW w:w="1714" w:type="dxa"/>
            <w:tcBorders/>
            <w:shd w:fill="E5E5E5" w:val="clear"/>
            <w:vAlign w:val="bottom"/>
          </w:tcPr>
          <w:p>
            <w:pPr>
              <w:pStyle w:val="TableContents"/>
              <w:spacing w:before="0" w:after="283"/>
              <w:jc w:val="right"/>
              <w:rPr/>
            </w:pPr>
            <w:r>
              <w:rPr/>
              <w:t>265,320</w:t>
            </w:r>
          </w:p>
        </w:tc>
        <w:tc>
          <w:tcPr>
            <w:tcW w:w="52"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60" w:type="dxa"/>
            <w:tcBorders/>
            <w:shd w:fill="auto" w:val="clear"/>
            <w:vAlign w:val="center"/>
          </w:tcPr>
          <w:p>
            <w:pPr>
              <w:pStyle w:val="TableContents"/>
              <w:spacing w:before="0" w:after="283"/>
              <w:rPr>
                <w:sz w:val="4"/>
                <w:szCs w:val="4"/>
              </w:rPr>
            </w:pPr>
            <w:r>
              <w:rPr>
                <w:sz w:val="4"/>
                <w:szCs w:val="4"/>
              </w:rPr>
            </w:r>
          </w:p>
        </w:tc>
        <w:tc>
          <w:tcPr>
            <w:tcW w:w="1976" w:type="dxa"/>
            <w:gridSpan w:val="5"/>
            <w:tcBorders/>
            <w:shd w:fill="auto" w:val="clear"/>
            <w:vAlign w:val="center"/>
          </w:tcPr>
          <w:p>
            <w:pPr>
              <w:pStyle w:val="TableContents"/>
              <w:spacing w:before="0" w:after="283"/>
              <w:rPr>
                <w:sz w:val="4"/>
                <w:szCs w:val="4"/>
              </w:rPr>
            </w:pPr>
            <w:r>
              <w:rPr>
                <w:sz w:val="4"/>
                <w:szCs w:val="4"/>
              </w:rPr>
            </w:r>
          </w:p>
        </w:tc>
        <w:tc>
          <w:tcPr>
            <w:tcW w:w="2669" w:type="dxa"/>
            <w:gridSpan w:val="5"/>
            <w:tcBorders/>
            <w:shd w:fill="auto" w:val="clear"/>
            <w:vAlign w:val="center"/>
          </w:tcPr>
          <w:p>
            <w:pPr>
              <w:pStyle w:val="TableContents"/>
              <w:spacing w:before="0" w:after="283"/>
              <w:rPr>
                <w:sz w:val="4"/>
                <w:szCs w:val="4"/>
              </w:rPr>
            </w:pPr>
            <w:r>
              <w:rPr>
                <w:sz w:val="4"/>
                <w:szCs w:val="4"/>
              </w:rPr>
            </w:r>
          </w:p>
        </w:tc>
      </w:tr>
      <w:tr>
        <w:trPr/>
        <w:tc>
          <w:tcPr>
            <w:tcW w:w="5560" w:type="dxa"/>
            <w:tcBorders/>
            <w:shd w:fill="auto" w:val="clear"/>
          </w:tcPr>
          <w:p>
            <w:pPr>
              <w:pStyle w:val="TableContents"/>
              <w:spacing w:before="0" w:after="0"/>
              <w:rPr>
                <w:rFonts w:ascii="arial" w:hAnsi="arial"/>
                <w:sz w:val="20"/>
              </w:rPr>
            </w:pPr>
            <w:r>
              <w:rPr>
                <w:rFonts w:ascii="arial" w:hAnsi="arial"/>
                <w:sz w:val="20"/>
              </w:rPr>
              <w:t>John C. Cywinski</w:t>
            </w:r>
          </w:p>
        </w:tc>
        <w:tc>
          <w:tcPr>
            <w:tcW w:w="48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w:t>
            </w:r>
          </w:p>
        </w:tc>
        <w:tc>
          <w:tcPr>
            <w:tcW w:w="1165" w:type="dxa"/>
            <w:tcBorders/>
            <w:shd w:fill="auto" w:val="clear"/>
            <w:vAlign w:val="bottom"/>
          </w:tcPr>
          <w:p>
            <w:pPr>
              <w:pStyle w:val="TableContents"/>
              <w:spacing w:before="0" w:after="283"/>
              <w:jc w:val="right"/>
              <w:rPr/>
            </w:pPr>
            <w:r>
              <w:rPr/>
              <w:t>272,250</w:t>
            </w:r>
          </w:p>
        </w:tc>
        <w:tc>
          <w:tcPr>
            <w:tcW w:w="3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714" w:type="dxa"/>
            <w:tcBorders/>
            <w:shd w:fill="auto" w:val="clear"/>
            <w:vAlign w:val="bottom"/>
          </w:tcPr>
          <w:p>
            <w:pPr>
              <w:pStyle w:val="TableContents"/>
              <w:spacing w:before="0" w:after="283"/>
              <w:jc w:val="right"/>
              <w:rPr/>
            </w:pPr>
            <w:r>
              <w:rPr/>
              <w:t>364,815</w:t>
            </w:r>
          </w:p>
        </w:tc>
        <w:tc>
          <w:tcPr>
            <w:tcW w:w="52"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560" w:type="dxa"/>
            <w:tcBorders/>
            <w:shd w:fill="E5E5E5" w:val="clear"/>
            <w:vAlign w:val="center"/>
          </w:tcPr>
          <w:p>
            <w:pPr>
              <w:pStyle w:val="TableContents"/>
              <w:spacing w:before="0" w:after="283"/>
              <w:rPr>
                <w:sz w:val="4"/>
                <w:szCs w:val="4"/>
              </w:rPr>
            </w:pPr>
            <w:r>
              <w:rPr>
                <w:sz w:val="4"/>
                <w:szCs w:val="4"/>
              </w:rPr>
            </w:r>
          </w:p>
        </w:tc>
        <w:tc>
          <w:tcPr>
            <w:tcW w:w="1976" w:type="dxa"/>
            <w:gridSpan w:val="5"/>
            <w:tcBorders/>
            <w:shd w:fill="E5E5E5" w:val="clear"/>
            <w:vAlign w:val="center"/>
          </w:tcPr>
          <w:p>
            <w:pPr>
              <w:pStyle w:val="TableContents"/>
              <w:spacing w:before="0" w:after="283"/>
              <w:rPr>
                <w:sz w:val="4"/>
                <w:szCs w:val="4"/>
              </w:rPr>
            </w:pPr>
            <w:r>
              <w:rPr>
                <w:sz w:val="4"/>
                <w:szCs w:val="4"/>
              </w:rPr>
            </w:r>
          </w:p>
        </w:tc>
        <w:tc>
          <w:tcPr>
            <w:tcW w:w="2669" w:type="dxa"/>
            <w:gridSpan w:val="5"/>
            <w:tcBorders/>
            <w:shd w:fill="E5E5E5" w:val="clear"/>
            <w:vAlign w:val="center"/>
          </w:tcPr>
          <w:p>
            <w:pPr>
              <w:pStyle w:val="TableContents"/>
              <w:spacing w:before="0" w:after="283"/>
              <w:rPr>
                <w:sz w:val="4"/>
                <w:szCs w:val="4"/>
              </w:rPr>
            </w:pPr>
            <w:r>
              <w:rPr>
                <w:sz w:val="4"/>
                <w:szCs w:val="4"/>
              </w:rPr>
            </w:r>
          </w:p>
        </w:tc>
      </w:tr>
      <w:tr>
        <w:trPr/>
        <w:tc>
          <w:tcPr>
            <w:tcW w:w="5560" w:type="dxa"/>
            <w:tcBorders/>
            <w:shd w:fill="E5E5E5" w:val="clear"/>
          </w:tcPr>
          <w:p>
            <w:pPr>
              <w:pStyle w:val="TableContents"/>
              <w:spacing w:before="0" w:after="0"/>
              <w:rPr>
                <w:rFonts w:ascii="arial" w:hAnsi="arial"/>
                <w:sz w:val="20"/>
              </w:rPr>
            </w:pPr>
            <w:r>
              <w:rPr>
                <w:rFonts w:ascii="arial" w:hAnsi="arial"/>
                <w:sz w:val="20"/>
              </w:rPr>
              <w:t>Jay D. Johns</w:t>
            </w:r>
          </w:p>
        </w:tc>
        <w:tc>
          <w:tcPr>
            <w:tcW w:w="486" w:type="dxa"/>
            <w:tcBorders/>
            <w:shd w:fill="E5E5E5" w:val="clear"/>
            <w:vAlign w:val="bottom"/>
          </w:tcPr>
          <w:p>
            <w:pPr>
              <w:pStyle w:val="TableContents"/>
              <w:spacing w:before="0" w:after="283"/>
              <w:rPr/>
            </w:pPr>
            <w:r>
              <w:rPr/>
              <w:t>  </w:t>
            </w:r>
          </w:p>
        </w:tc>
        <w:tc>
          <w:tcPr>
            <w:tcW w:w="87" w:type="dxa"/>
            <w:tcBorders/>
            <w:shd w:fill="E5E5E5" w:val="clear"/>
            <w:vAlign w:val="bottom"/>
          </w:tcPr>
          <w:p>
            <w:pPr>
              <w:pStyle w:val="TableContents"/>
              <w:spacing w:before="0" w:after="283"/>
              <w:rPr/>
            </w:pPr>
            <w:r>
              <w:rPr/>
              <w:t> </w:t>
            </w:r>
          </w:p>
        </w:tc>
        <w:tc>
          <w:tcPr>
            <w:tcW w:w="203" w:type="dxa"/>
            <w:tcBorders/>
            <w:shd w:fill="E5E5E5" w:val="clear"/>
            <w:vAlign w:val="bottom"/>
          </w:tcPr>
          <w:p>
            <w:pPr>
              <w:pStyle w:val="TableContents"/>
              <w:spacing w:before="0" w:after="283"/>
              <w:rPr/>
            </w:pPr>
            <w:r>
              <w:rPr/>
              <w:t>$</w:t>
            </w:r>
          </w:p>
        </w:tc>
        <w:tc>
          <w:tcPr>
            <w:tcW w:w="1165" w:type="dxa"/>
            <w:tcBorders/>
            <w:shd w:fill="E5E5E5" w:val="clear"/>
            <w:vAlign w:val="bottom"/>
          </w:tcPr>
          <w:p>
            <w:pPr>
              <w:pStyle w:val="TableContents"/>
              <w:spacing w:before="0" w:after="283"/>
              <w:jc w:val="right"/>
              <w:rPr/>
            </w:pPr>
            <w:r>
              <w:rPr/>
              <w:t>82,500</w:t>
            </w:r>
          </w:p>
        </w:tc>
        <w:tc>
          <w:tcPr>
            <w:tcW w:w="35" w:type="dxa"/>
            <w:tcBorders/>
            <w:shd w:fill="E5E5E5" w:val="clear"/>
            <w:vAlign w:val="bottom"/>
          </w:tcPr>
          <w:p>
            <w:pPr>
              <w:pStyle w:val="TableContents"/>
              <w:spacing w:before="0" w:after="283"/>
              <w:rPr>
                <w:sz w:val="4"/>
                <w:szCs w:val="4"/>
              </w:rPr>
            </w:pPr>
            <w:r>
              <w:rPr>
                <w:sz w:val="4"/>
                <w:szCs w:val="4"/>
              </w:rPr>
            </w:r>
          </w:p>
        </w:tc>
        <w:tc>
          <w:tcPr>
            <w:tcW w:w="486" w:type="dxa"/>
            <w:tcBorders/>
            <w:shd w:fill="E5E5E5" w:val="clear"/>
            <w:vAlign w:val="bottom"/>
          </w:tcPr>
          <w:p>
            <w:pPr>
              <w:pStyle w:val="TableContents"/>
              <w:spacing w:before="0" w:after="283"/>
              <w:rPr/>
            </w:pPr>
            <w:r>
              <w:rPr/>
              <w:t>  </w:t>
            </w:r>
          </w:p>
        </w:tc>
        <w:tc>
          <w:tcPr>
            <w:tcW w:w="125" w:type="dxa"/>
            <w:tcBorders/>
            <w:shd w:fill="E5E5E5" w:val="clear"/>
            <w:vAlign w:val="bottom"/>
          </w:tcPr>
          <w:p>
            <w:pPr>
              <w:pStyle w:val="TableContents"/>
              <w:spacing w:before="0" w:after="283"/>
              <w:rPr/>
            </w:pPr>
            <w:r>
              <w:rPr/>
              <w:t> </w:t>
            </w:r>
          </w:p>
        </w:tc>
        <w:tc>
          <w:tcPr>
            <w:tcW w:w="292" w:type="dxa"/>
            <w:tcBorders/>
            <w:shd w:fill="E5E5E5" w:val="clear"/>
            <w:vAlign w:val="bottom"/>
          </w:tcPr>
          <w:p>
            <w:pPr>
              <w:pStyle w:val="TableContents"/>
              <w:spacing w:before="0" w:after="283"/>
              <w:rPr/>
            </w:pPr>
            <w:r>
              <w:rPr/>
              <w:t>$</w:t>
            </w:r>
          </w:p>
        </w:tc>
        <w:tc>
          <w:tcPr>
            <w:tcW w:w="1714" w:type="dxa"/>
            <w:tcBorders/>
            <w:shd w:fill="E5E5E5" w:val="clear"/>
            <w:vAlign w:val="bottom"/>
          </w:tcPr>
          <w:p>
            <w:pPr>
              <w:pStyle w:val="TableContents"/>
              <w:spacing w:before="0" w:after="283"/>
              <w:jc w:val="right"/>
              <w:rPr/>
            </w:pPr>
            <w:r>
              <w:rPr/>
              <w:t>110,550</w:t>
            </w:r>
          </w:p>
        </w:tc>
        <w:tc>
          <w:tcPr>
            <w:tcW w:w="52"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60" w:type="dxa"/>
            <w:tcBorders/>
            <w:shd w:fill="auto" w:val="clear"/>
            <w:vAlign w:val="center"/>
          </w:tcPr>
          <w:p>
            <w:pPr>
              <w:pStyle w:val="TableContents"/>
              <w:spacing w:before="0" w:after="283"/>
              <w:rPr>
                <w:sz w:val="4"/>
                <w:szCs w:val="4"/>
              </w:rPr>
            </w:pPr>
            <w:r>
              <w:rPr>
                <w:sz w:val="4"/>
                <w:szCs w:val="4"/>
              </w:rPr>
            </w:r>
          </w:p>
        </w:tc>
        <w:tc>
          <w:tcPr>
            <w:tcW w:w="1976" w:type="dxa"/>
            <w:gridSpan w:val="5"/>
            <w:tcBorders/>
            <w:shd w:fill="auto" w:val="clear"/>
            <w:vAlign w:val="center"/>
          </w:tcPr>
          <w:p>
            <w:pPr>
              <w:pStyle w:val="TableContents"/>
              <w:spacing w:before="0" w:after="283"/>
              <w:rPr>
                <w:sz w:val="4"/>
                <w:szCs w:val="4"/>
              </w:rPr>
            </w:pPr>
            <w:r>
              <w:rPr>
                <w:sz w:val="4"/>
                <w:szCs w:val="4"/>
              </w:rPr>
            </w:r>
          </w:p>
        </w:tc>
        <w:tc>
          <w:tcPr>
            <w:tcW w:w="2669" w:type="dxa"/>
            <w:gridSpan w:val="5"/>
            <w:tcBorders/>
            <w:shd w:fill="auto" w:val="clear"/>
            <w:vAlign w:val="center"/>
          </w:tcPr>
          <w:p>
            <w:pPr>
              <w:pStyle w:val="TableContents"/>
              <w:spacing w:before="0" w:after="283"/>
              <w:rPr>
                <w:sz w:val="4"/>
                <w:szCs w:val="4"/>
              </w:rPr>
            </w:pPr>
            <w:r>
              <w:rPr>
                <w:sz w:val="4"/>
                <w:szCs w:val="4"/>
              </w:rPr>
            </w:r>
          </w:p>
        </w:tc>
      </w:tr>
      <w:tr>
        <w:trPr/>
        <w:tc>
          <w:tcPr>
            <w:tcW w:w="5560" w:type="dxa"/>
            <w:tcBorders/>
            <w:shd w:fill="auto" w:val="clear"/>
          </w:tcPr>
          <w:p>
            <w:pPr>
              <w:pStyle w:val="TableContents"/>
              <w:spacing w:before="0" w:after="0"/>
              <w:rPr>
                <w:rFonts w:ascii="arial" w:hAnsi="arial"/>
                <w:sz w:val="20"/>
              </w:rPr>
            </w:pPr>
            <w:r>
              <w:rPr>
                <w:rFonts w:ascii="arial" w:hAnsi="arial"/>
                <w:sz w:val="20"/>
              </w:rPr>
              <w:t>Bryan R. Adel</w:t>
            </w:r>
          </w:p>
        </w:tc>
        <w:tc>
          <w:tcPr>
            <w:tcW w:w="48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w:t>
            </w:r>
          </w:p>
        </w:tc>
        <w:tc>
          <w:tcPr>
            <w:tcW w:w="1165" w:type="dxa"/>
            <w:tcBorders/>
            <w:shd w:fill="auto" w:val="clear"/>
            <w:vAlign w:val="bottom"/>
          </w:tcPr>
          <w:p>
            <w:pPr>
              <w:pStyle w:val="TableContents"/>
              <w:spacing w:before="0" w:after="283"/>
              <w:jc w:val="right"/>
              <w:rPr/>
            </w:pPr>
            <w:r>
              <w:rPr/>
              <w:t>181,500</w:t>
            </w:r>
          </w:p>
        </w:tc>
        <w:tc>
          <w:tcPr>
            <w:tcW w:w="3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714" w:type="dxa"/>
            <w:tcBorders/>
            <w:shd w:fill="auto" w:val="clear"/>
            <w:vAlign w:val="bottom"/>
          </w:tcPr>
          <w:p>
            <w:pPr>
              <w:pStyle w:val="TableContents"/>
              <w:spacing w:before="0" w:after="283"/>
              <w:jc w:val="right"/>
              <w:rPr/>
            </w:pPr>
            <w:r>
              <w:rPr/>
              <w:t>243,210</w:t>
            </w:r>
          </w:p>
        </w:tc>
        <w:tc>
          <w:tcPr>
            <w:tcW w:w="52" w:type="dxa"/>
            <w:tcBorders/>
            <w:shd w:fill="auto" w:val="clear"/>
            <w:vAlign w:val="bottom"/>
          </w:tcPr>
          <w:p>
            <w:pPr>
              <w:pStyle w:val="TableContents"/>
              <w:spacing w:before="0" w:after="283"/>
              <w:rPr>
                <w:sz w:val="4"/>
                <w:szCs w:val="4"/>
              </w:rPr>
            </w:pPr>
            <w:r>
              <w:rPr>
                <w:sz w:val="4"/>
                <w:szCs w:val="4"/>
              </w:rPr>
            </w:r>
          </w:p>
        </w:tc>
      </w:tr>
    </w:tbl>
    <w:p>
      <w:pPr>
        <w:pStyle w:val="TextBody"/>
        <w:spacing w:before="360" w:after="0"/>
        <w:jc w:val="left"/>
        <w:rPr>
          <w:rFonts w:ascii="arial" w:hAnsi="arial"/>
          <w:b/>
          <w:color w:val="CF0A2C"/>
          <w:sz w:val="28"/>
        </w:rPr>
      </w:pPr>
      <w:r>
        <w:rPr>
          <w:rFonts w:ascii="arial" w:hAnsi="arial"/>
          <w:b/>
          <w:color w:val="CF0A2C"/>
          <w:sz w:val="28"/>
        </w:rPr>
        <w:t xml:space="preserve">Stock Ownership Guidelines </w:t>
      </w:r>
    </w:p>
    <w:p>
      <w:pPr>
        <w:pStyle w:val="TextBody"/>
        <w:spacing w:before="120" w:after="0"/>
        <w:jc w:val="left"/>
        <w:rPr>
          <w:rFonts w:ascii="arial" w:hAnsi="arial"/>
          <w:sz w:val="20"/>
        </w:rPr>
      </w:pPr>
      <w:r>
        <w:rPr>
          <w:rFonts w:ascii="arial" w:hAnsi="arial"/>
          <w:sz w:val="20"/>
        </w:rPr>
        <w:t xml:space="preserve">The Corporation maintains robust stock ownership guidelines that are intended to further the Compensation Committees objectives of aligning the financial interests of its executives with those of the Corporations stockholders. The stock ownership guidelines call for each NEO to accumulate a minimum number of shares equal in value to a multiple of their base salary. For purposes of the guidelines, stock ownership includes Common Stock owned directly, in-the-money value of exercisable NQSOs, RSAs, and stock-settled RSUs that are not subject to performance goals that have not been achieved. The types and amounts of stock-based awards are intended, in part, to facilitate the accumulation of sufficient shares by the Corporations executives to allow them to meet the stock ownership guidelines. </w:t>
      </w:r>
    </w:p>
    <w:p>
      <w:pPr>
        <w:pStyle w:val="TextBody"/>
        <w:spacing w:before="120" w:after="0"/>
        <w:jc w:val="left"/>
        <w:rPr>
          <w:rFonts w:ascii="arial" w:hAnsi="arial"/>
          <w:sz w:val="20"/>
        </w:rPr>
      </w:pPr>
      <w:r>
        <w:rPr>
          <w:rFonts w:ascii="arial" w:hAnsi="arial"/>
          <w:sz w:val="20"/>
        </w:rPr>
        <w:t xml:space="preserve">The Compensation Committee annually reviews each NEOs progress towards meeting the stock ownership guidelines. The Compensation Committee has informed management that it may reduce or choose not to grant future stock-based compensation to any executive who fails to make reasonable progress towards meeting the stock ownership goals within five years from becoming subject to the guidelines. Based upon its October 2020 review of each NEOs equity holdings in the Corporation, the Compensation Committee determined that other than Bryan R. Adel, each NEO met, exceeded or was on schedule to meet his guideline. The Compensation Committee considered Mr. Adels previous historical consistency in exceeding his stock ownership goals and the impact of abrupt stock price declines during 2020 on the ratio of his holdings to his base salary and determined not to take any action with respect to Mr. Adels stock ownership at such time. </w:t>
      </w:r>
    </w:p>
    <w:p>
      <w:pPr>
        <w:pStyle w:val="TextBody"/>
        <w:spacing w:before="120" w:after="0"/>
        <w:jc w:val="left"/>
        <w:rPr>
          <w:rFonts w:ascii="arial" w:hAnsi="arial"/>
          <w:sz w:val="20"/>
        </w:rPr>
      </w:pPr>
      <w:r>
        <w:rPr>
          <w:rFonts w:ascii="arial" w:hAnsi="arial"/>
          <w:sz w:val="20"/>
        </w:rPr>
        <w:t xml:space="preserve">The following table sets forth the stock ownership and goals of each of the continuing NEOs: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65"/>
        <w:gridCol w:w="210"/>
        <w:gridCol w:w="506"/>
        <w:gridCol w:w="506"/>
        <w:gridCol w:w="1191"/>
        <w:gridCol w:w="196"/>
        <w:gridCol w:w="210"/>
        <w:gridCol w:w="344"/>
        <w:gridCol w:w="344"/>
        <w:gridCol w:w="1839"/>
        <w:gridCol w:w="134"/>
        <w:gridCol w:w="210"/>
        <w:gridCol w:w="60"/>
        <w:gridCol w:w="59"/>
        <w:gridCol w:w="1703"/>
        <w:gridCol w:w="28"/>
      </w:tblGrid>
      <w:tr>
        <w:trPr/>
        <w:tc>
          <w:tcPr>
            <w:tcW w:w="266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665" w:type="dxa"/>
            <w:tcBorders/>
            <w:shd w:fill="CF0A2C" w:val="clear"/>
            <w:vAlign w:val="center"/>
          </w:tcPr>
          <w:p>
            <w:pPr>
              <w:pStyle w:val="TableContents"/>
              <w:spacing w:before="0" w:after="283"/>
              <w:rPr>
                <w:sz w:val="4"/>
                <w:szCs w:val="4"/>
              </w:rPr>
            </w:pPr>
            <w:r>
              <w:rPr>
                <w:sz w:val="4"/>
                <w:szCs w:val="4"/>
              </w:rPr>
            </w:r>
          </w:p>
        </w:tc>
        <w:tc>
          <w:tcPr>
            <w:tcW w:w="2609" w:type="dxa"/>
            <w:gridSpan w:val="5"/>
            <w:tcBorders/>
            <w:shd w:fill="CF0A2C" w:val="clear"/>
            <w:vAlign w:val="center"/>
          </w:tcPr>
          <w:p>
            <w:pPr>
              <w:pStyle w:val="TableContents"/>
              <w:spacing w:before="0" w:after="283"/>
              <w:rPr>
                <w:sz w:val="4"/>
                <w:szCs w:val="4"/>
              </w:rPr>
            </w:pPr>
            <w:r>
              <w:rPr>
                <w:sz w:val="4"/>
                <w:szCs w:val="4"/>
              </w:rPr>
            </w:r>
          </w:p>
        </w:tc>
        <w:tc>
          <w:tcPr>
            <w:tcW w:w="2871" w:type="dxa"/>
            <w:gridSpan w:val="5"/>
            <w:tcBorders/>
            <w:shd w:fill="CF0A2C" w:val="clear"/>
            <w:vAlign w:val="center"/>
          </w:tcPr>
          <w:p>
            <w:pPr>
              <w:pStyle w:val="TableContents"/>
              <w:spacing w:before="0" w:after="283"/>
              <w:rPr>
                <w:sz w:val="4"/>
                <w:szCs w:val="4"/>
              </w:rPr>
            </w:pPr>
            <w:r>
              <w:rPr>
                <w:sz w:val="4"/>
                <w:szCs w:val="4"/>
              </w:rPr>
            </w:r>
          </w:p>
        </w:tc>
        <w:tc>
          <w:tcPr>
            <w:tcW w:w="2060" w:type="dxa"/>
            <w:gridSpan w:val="5"/>
            <w:tcBorders/>
            <w:shd w:fill="CF0A2C" w:val="clear"/>
            <w:vAlign w:val="center"/>
          </w:tcPr>
          <w:p>
            <w:pPr>
              <w:pStyle w:val="TableContents"/>
              <w:spacing w:before="0" w:after="283"/>
              <w:rPr>
                <w:sz w:val="4"/>
                <w:szCs w:val="4"/>
              </w:rPr>
            </w:pPr>
            <w:r>
              <w:rPr>
                <w:sz w:val="4"/>
                <w:szCs w:val="4"/>
              </w:rPr>
            </w:r>
          </w:p>
        </w:tc>
      </w:tr>
      <w:tr>
        <w:trPr/>
        <w:tc>
          <w:tcPr>
            <w:tcW w:w="2665"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210" w:type="dxa"/>
            <w:tcBorders/>
            <w:shd w:fill="CF0A2C" w:val="clear"/>
            <w:vAlign w:val="bottom"/>
          </w:tcPr>
          <w:p>
            <w:pPr>
              <w:pStyle w:val="TableContents"/>
              <w:spacing w:before="0" w:after="283"/>
              <w:rPr/>
            </w:pPr>
            <w:r>
              <w:rPr/>
              <w:t>  </w:t>
            </w:r>
          </w:p>
        </w:tc>
        <w:tc>
          <w:tcPr>
            <w:tcW w:w="2399" w:type="dxa"/>
            <w:gridSpan w:val="4"/>
            <w:tcBorders/>
            <w:shd w:fill="CF0A2C" w:val="clear"/>
            <w:vAlign w:val="bottom"/>
          </w:tcPr>
          <w:p>
            <w:pPr>
              <w:pStyle w:val="TableContents"/>
              <w:spacing w:before="0" w:after="283"/>
              <w:jc w:val="center"/>
              <w:rPr>
                <w:b/>
                <w:color w:val="FFFFFF"/>
              </w:rPr>
            </w:pPr>
            <w:r>
              <w:rPr>
                <w:b/>
                <w:color w:val="FFFFFF"/>
              </w:rPr>
              <w:t>Guideline as a</w:t>
              <w:br/>
              <w:t>Multiple of Base Salary</w:t>
            </w:r>
          </w:p>
        </w:tc>
        <w:tc>
          <w:tcPr>
            <w:tcW w:w="210" w:type="dxa"/>
            <w:tcBorders/>
            <w:shd w:fill="CF0A2C" w:val="clear"/>
            <w:vAlign w:val="bottom"/>
          </w:tcPr>
          <w:p>
            <w:pPr>
              <w:pStyle w:val="TableContents"/>
              <w:spacing w:before="0" w:after="283"/>
              <w:rPr/>
            </w:pPr>
            <w:r>
              <w:rPr/>
              <w:t>  </w:t>
            </w:r>
          </w:p>
        </w:tc>
        <w:tc>
          <w:tcPr>
            <w:tcW w:w="2661" w:type="dxa"/>
            <w:gridSpan w:val="4"/>
            <w:tcBorders/>
            <w:shd w:fill="CF0A2C" w:val="clear"/>
            <w:vAlign w:val="bottom"/>
          </w:tcPr>
          <w:p>
            <w:pPr>
              <w:pStyle w:val="TableContents"/>
              <w:spacing w:before="0" w:after="283"/>
              <w:jc w:val="center"/>
              <w:rPr>
                <w:b/>
                <w:color w:val="FFFFFF"/>
              </w:rPr>
            </w:pPr>
            <w:r>
              <w:rPr>
                <w:b/>
                <w:color w:val="FFFFFF"/>
              </w:rPr>
              <w:t>Holdings as a</w:t>
              <w:br/>
              <w:t>Multiple of Base Salary(1)</w:t>
            </w:r>
          </w:p>
        </w:tc>
        <w:tc>
          <w:tcPr>
            <w:tcW w:w="210" w:type="dxa"/>
            <w:tcBorders/>
            <w:shd w:fill="CF0A2C" w:val="clear"/>
            <w:vAlign w:val="bottom"/>
          </w:tcPr>
          <w:p>
            <w:pPr>
              <w:pStyle w:val="TableContents"/>
              <w:spacing w:before="0" w:after="283"/>
              <w:rPr/>
            </w:pPr>
            <w:r>
              <w:rPr/>
              <w:t>  </w:t>
            </w:r>
          </w:p>
        </w:tc>
        <w:tc>
          <w:tcPr>
            <w:tcW w:w="1850" w:type="dxa"/>
            <w:gridSpan w:val="4"/>
            <w:tcBorders/>
            <w:shd w:fill="CF0A2C" w:val="clear"/>
            <w:vAlign w:val="bottom"/>
          </w:tcPr>
          <w:p>
            <w:pPr>
              <w:pStyle w:val="TableContents"/>
              <w:spacing w:before="0" w:after="283"/>
              <w:jc w:val="center"/>
              <w:rPr>
                <w:b/>
                <w:color w:val="FFFFFF"/>
              </w:rPr>
            </w:pPr>
            <w:r>
              <w:rPr>
                <w:b/>
                <w:color w:val="FFFFFF"/>
              </w:rPr>
              <w:t>Guideline Status  </w:t>
            </w:r>
          </w:p>
        </w:tc>
      </w:tr>
      <w:tr>
        <w:trPr>
          <w:trHeight w:val="75" w:hRule="atLeast"/>
        </w:trPr>
        <w:tc>
          <w:tcPr>
            <w:tcW w:w="2665" w:type="dxa"/>
            <w:tcBorders/>
            <w:shd w:fill="E5E5E5" w:val="clear"/>
            <w:vAlign w:val="center"/>
          </w:tcPr>
          <w:p>
            <w:pPr>
              <w:pStyle w:val="TableContents"/>
              <w:spacing w:before="0" w:after="283"/>
              <w:rPr>
                <w:sz w:val="4"/>
                <w:szCs w:val="4"/>
              </w:rPr>
            </w:pPr>
            <w:r>
              <w:rPr>
                <w:sz w:val="4"/>
                <w:szCs w:val="4"/>
              </w:rPr>
            </w:r>
          </w:p>
        </w:tc>
        <w:tc>
          <w:tcPr>
            <w:tcW w:w="2609" w:type="dxa"/>
            <w:gridSpan w:val="5"/>
            <w:tcBorders/>
            <w:shd w:fill="E5E5E5" w:val="clear"/>
            <w:vAlign w:val="center"/>
          </w:tcPr>
          <w:p>
            <w:pPr>
              <w:pStyle w:val="TableContents"/>
              <w:spacing w:before="0" w:after="283"/>
              <w:rPr>
                <w:sz w:val="4"/>
                <w:szCs w:val="4"/>
              </w:rPr>
            </w:pPr>
            <w:r>
              <w:rPr>
                <w:sz w:val="4"/>
                <w:szCs w:val="4"/>
              </w:rPr>
            </w:r>
          </w:p>
        </w:tc>
        <w:tc>
          <w:tcPr>
            <w:tcW w:w="2871" w:type="dxa"/>
            <w:gridSpan w:val="5"/>
            <w:tcBorders/>
            <w:shd w:fill="E5E5E5" w:val="clear"/>
            <w:vAlign w:val="center"/>
          </w:tcPr>
          <w:p>
            <w:pPr>
              <w:pStyle w:val="TableContents"/>
              <w:spacing w:before="0" w:after="283"/>
              <w:rPr>
                <w:sz w:val="4"/>
                <w:szCs w:val="4"/>
              </w:rPr>
            </w:pPr>
            <w:r>
              <w:rPr>
                <w:sz w:val="4"/>
                <w:szCs w:val="4"/>
              </w:rPr>
            </w:r>
          </w:p>
        </w:tc>
        <w:tc>
          <w:tcPr>
            <w:tcW w:w="2060" w:type="dxa"/>
            <w:gridSpan w:val="5"/>
            <w:tcBorders/>
            <w:shd w:fill="E5E5E5" w:val="clear"/>
            <w:vAlign w:val="center"/>
          </w:tcPr>
          <w:p>
            <w:pPr>
              <w:pStyle w:val="TableContents"/>
              <w:spacing w:before="0" w:after="283"/>
              <w:rPr>
                <w:sz w:val="4"/>
                <w:szCs w:val="4"/>
              </w:rPr>
            </w:pPr>
            <w:r>
              <w:rPr>
                <w:sz w:val="4"/>
                <w:szCs w:val="4"/>
              </w:rPr>
            </w:r>
          </w:p>
        </w:tc>
      </w:tr>
      <w:tr>
        <w:trPr/>
        <w:tc>
          <w:tcPr>
            <w:tcW w:w="2665" w:type="dxa"/>
            <w:tcBorders/>
            <w:shd w:fill="E5E5E5" w:val="clear"/>
          </w:tcPr>
          <w:p>
            <w:pPr>
              <w:pStyle w:val="TableContents"/>
              <w:spacing w:before="0" w:after="0"/>
              <w:rPr>
                <w:rFonts w:ascii="arial" w:hAnsi="arial"/>
                <w:sz w:val="20"/>
              </w:rPr>
            </w:pPr>
            <w:r>
              <w:rPr>
                <w:rFonts w:ascii="arial" w:hAnsi="arial"/>
                <w:sz w:val="20"/>
              </w:rPr>
              <w:t>John C. Cywinski</w:t>
            </w:r>
          </w:p>
        </w:tc>
        <w:tc>
          <w:tcPr>
            <w:tcW w:w="210" w:type="dxa"/>
            <w:tcBorders/>
            <w:shd w:fill="E5E5E5" w:val="clear"/>
            <w:vAlign w:val="bottom"/>
          </w:tcPr>
          <w:p>
            <w:pPr>
              <w:pStyle w:val="TableContents"/>
              <w:spacing w:before="0" w:after="283"/>
              <w:rPr/>
            </w:pPr>
            <w:r>
              <w:rPr/>
              <w:t>  </w:t>
            </w:r>
          </w:p>
        </w:tc>
        <w:tc>
          <w:tcPr>
            <w:tcW w:w="506" w:type="dxa"/>
            <w:tcBorders/>
            <w:shd w:fill="E5E5E5" w:val="clear"/>
            <w:vAlign w:val="bottom"/>
          </w:tcPr>
          <w:p>
            <w:pPr>
              <w:pStyle w:val="TableContents"/>
              <w:spacing w:before="0" w:after="283"/>
              <w:rPr/>
            </w:pPr>
            <w:r>
              <w:rPr/>
              <w:t> </w:t>
            </w:r>
          </w:p>
        </w:tc>
        <w:tc>
          <w:tcPr>
            <w:tcW w:w="506" w:type="dxa"/>
            <w:tcBorders/>
            <w:shd w:fill="E5E5E5" w:val="clear"/>
            <w:vAlign w:val="bottom"/>
          </w:tcPr>
          <w:p>
            <w:pPr>
              <w:pStyle w:val="TableContents"/>
              <w:spacing w:before="0" w:after="283"/>
              <w:rPr/>
            </w:pPr>
            <w:r>
              <w:rPr/>
              <w:t> </w:t>
            </w:r>
          </w:p>
        </w:tc>
        <w:tc>
          <w:tcPr>
            <w:tcW w:w="1191" w:type="dxa"/>
            <w:tcBorders/>
            <w:shd w:fill="E5E5E5" w:val="clear"/>
            <w:vAlign w:val="bottom"/>
          </w:tcPr>
          <w:p>
            <w:pPr>
              <w:pStyle w:val="TableContents"/>
              <w:spacing w:before="0" w:after="283"/>
              <w:jc w:val="right"/>
              <w:rPr/>
            </w:pPr>
            <w:r>
              <w:rPr/>
              <w:t>4</w:t>
            </w:r>
          </w:p>
        </w:tc>
        <w:tc>
          <w:tcPr>
            <w:tcW w:w="196"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344" w:type="dxa"/>
            <w:tcBorders/>
            <w:shd w:fill="E5E5E5" w:val="clear"/>
            <w:vAlign w:val="bottom"/>
          </w:tcPr>
          <w:p>
            <w:pPr>
              <w:pStyle w:val="TableContents"/>
              <w:spacing w:before="0" w:after="283"/>
              <w:rPr/>
            </w:pPr>
            <w:r>
              <w:rPr/>
              <w:t> </w:t>
            </w:r>
          </w:p>
        </w:tc>
        <w:tc>
          <w:tcPr>
            <w:tcW w:w="344" w:type="dxa"/>
            <w:tcBorders/>
            <w:shd w:fill="E5E5E5" w:val="clear"/>
            <w:vAlign w:val="bottom"/>
          </w:tcPr>
          <w:p>
            <w:pPr>
              <w:pStyle w:val="TableContents"/>
              <w:spacing w:before="0" w:after="283"/>
              <w:rPr/>
            </w:pPr>
            <w:r>
              <w:rPr/>
              <w:t> </w:t>
            </w:r>
          </w:p>
        </w:tc>
        <w:tc>
          <w:tcPr>
            <w:tcW w:w="1839" w:type="dxa"/>
            <w:tcBorders/>
            <w:shd w:fill="E5E5E5" w:val="clear"/>
            <w:vAlign w:val="bottom"/>
          </w:tcPr>
          <w:p>
            <w:pPr>
              <w:pStyle w:val="TableContents"/>
              <w:spacing w:before="0" w:after="283"/>
              <w:jc w:val="right"/>
              <w:rPr/>
            </w:pPr>
            <w:r>
              <w:rPr/>
              <w:t>5.1</w:t>
            </w:r>
          </w:p>
        </w:tc>
        <w:tc>
          <w:tcPr>
            <w:tcW w:w="134"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9" w:type="dxa"/>
            <w:tcBorders/>
            <w:shd w:fill="E5E5E5" w:val="clear"/>
            <w:vAlign w:val="bottom"/>
          </w:tcPr>
          <w:p>
            <w:pPr>
              <w:pStyle w:val="TableContents"/>
              <w:spacing w:before="0" w:after="283"/>
              <w:rPr/>
            </w:pPr>
            <w:r>
              <w:rPr/>
              <w:t> </w:t>
            </w:r>
          </w:p>
        </w:tc>
        <w:tc>
          <w:tcPr>
            <w:tcW w:w="1703" w:type="dxa"/>
            <w:tcBorders/>
            <w:shd w:fill="E5E5E5" w:val="clear"/>
            <w:vAlign w:val="bottom"/>
          </w:tcPr>
          <w:p>
            <w:pPr>
              <w:pStyle w:val="TableContents"/>
              <w:spacing w:before="0" w:after="283"/>
              <w:jc w:val="right"/>
              <w:rPr/>
            </w:pPr>
            <w:r>
              <w:rPr/>
              <w:t>Meets Guideline  </w:t>
            </w:r>
          </w:p>
        </w:tc>
        <w:tc>
          <w:tcPr>
            <w:tcW w:w="28"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2665" w:type="dxa"/>
            <w:tcBorders/>
            <w:shd w:fill="auto" w:val="clear"/>
            <w:vAlign w:val="center"/>
          </w:tcPr>
          <w:p>
            <w:pPr>
              <w:pStyle w:val="TableContents"/>
              <w:spacing w:before="0" w:after="283"/>
              <w:rPr>
                <w:sz w:val="4"/>
                <w:szCs w:val="4"/>
              </w:rPr>
            </w:pPr>
            <w:r>
              <w:rPr>
                <w:sz w:val="4"/>
                <w:szCs w:val="4"/>
              </w:rPr>
            </w:r>
          </w:p>
        </w:tc>
        <w:tc>
          <w:tcPr>
            <w:tcW w:w="2609" w:type="dxa"/>
            <w:gridSpan w:val="5"/>
            <w:tcBorders/>
            <w:shd w:fill="auto" w:val="clear"/>
            <w:vAlign w:val="center"/>
          </w:tcPr>
          <w:p>
            <w:pPr>
              <w:pStyle w:val="TableContents"/>
              <w:spacing w:before="0" w:after="283"/>
              <w:rPr>
                <w:sz w:val="4"/>
                <w:szCs w:val="4"/>
              </w:rPr>
            </w:pPr>
            <w:r>
              <w:rPr>
                <w:sz w:val="4"/>
                <w:szCs w:val="4"/>
              </w:rPr>
            </w:r>
          </w:p>
        </w:tc>
        <w:tc>
          <w:tcPr>
            <w:tcW w:w="2871" w:type="dxa"/>
            <w:gridSpan w:val="5"/>
            <w:tcBorders/>
            <w:shd w:fill="auto" w:val="clear"/>
            <w:vAlign w:val="center"/>
          </w:tcPr>
          <w:p>
            <w:pPr>
              <w:pStyle w:val="TableContents"/>
              <w:spacing w:before="0" w:after="283"/>
              <w:rPr>
                <w:sz w:val="4"/>
                <w:szCs w:val="4"/>
              </w:rPr>
            </w:pPr>
            <w:r>
              <w:rPr>
                <w:sz w:val="4"/>
                <w:szCs w:val="4"/>
              </w:rPr>
            </w:r>
          </w:p>
        </w:tc>
        <w:tc>
          <w:tcPr>
            <w:tcW w:w="2060" w:type="dxa"/>
            <w:gridSpan w:val="5"/>
            <w:tcBorders/>
            <w:shd w:fill="auto" w:val="clear"/>
            <w:vAlign w:val="center"/>
          </w:tcPr>
          <w:p>
            <w:pPr>
              <w:pStyle w:val="TableContents"/>
              <w:spacing w:before="0" w:after="283"/>
              <w:rPr>
                <w:sz w:val="4"/>
                <w:szCs w:val="4"/>
              </w:rPr>
            </w:pPr>
            <w:r>
              <w:rPr>
                <w:sz w:val="4"/>
                <w:szCs w:val="4"/>
              </w:rPr>
            </w:r>
          </w:p>
        </w:tc>
      </w:tr>
      <w:tr>
        <w:trPr/>
        <w:tc>
          <w:tcPr>
            <w:tcW w:w="2665" w:type="dxa"/>
            <w:tcBorders/>
            <w:shd w:fill="auto" w:val="clear"/>
          </w:tcPr>
          <w:p>
            <w:pPr>
              <w:pStyle w:val="TableContents"/>
              <w:spacing w:before="0" w:after="0"/>
              <w:rPr>
                <w:rFonts w:ascii="arial" w:hAnsi="arial"/>
                <w:sz w:val="20"/>
              </w:rPr>
            </w:pPr>
            <w:r>
              <w:rPr>
                <w:rFonts w:ascii="arial" w:hAnsi="arial"/>
                <w:sz w:val="20"/>
              </w:rPr>
              <w:t>Jay D. Johns(2)</w:t>
            </w:r>
          </w:p>
        </w:tc>
        <w:tc>
          <w:tcPr>
            <w:tcW w:w="210"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4</w:t>
            </w:r>
          </w:p>
        </w:tc>
        <w:tc>
          <w:tcPr>
            <w:tcW w:w="196"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jc w:val="right"/>
              <w:rPr/>
            </w:pPr>
            <w:r>
              <w:rPr/>
              <w:t>2.6</w:t>
            </w:r>
          </w:p>
        </w:tc>
        <w:tc>
          <w:tcPr>
            <w:tcW w:w="134"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On Schedule  </w:t>
            </w:r>
          </w:p>
        </w:tc>
        <w:tc>
          <w:tcPr>
            <w:tcW w:w="28"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665" w:type="dxa"/>
            <w:tcBorders/>
            <w:shd w:fill="E5E5E5" w:val="clear"/>
            <w:vAlign w:val="center"/>
          </w:tcPr>
          <w:p>
            <w:pPr>
              <w:pStyle w:val="TableContents"/>
              <w:spacing w:before="0" w:after="283"/>
              <w:rPr>
                <w:sz w:val="4"/>
                <w:szCs w:val="4"/>
              </w:rPr>
            </w:pPr>
            <w:r>
              <w:rPr>
                <w:sz w:val="4"/>
                <w:szCs w:val="4"/>
              </w:rPr>
            </w:r>
          </w:p>
        </w:tc>
        <w:tc>
          <w:tcPr>
            <w:tcW w:w="2609" w:type="dxa"/>
            <w:gridSpan w:val="5"/>
            <w:tcBorders/>
            <w:shd w:fill="E5E5E5" w:val="clear"/>
            <w:vAlign w:val="center"/>
          </w:tcPr>
          <w:p>
            <w:pPr>
              <w:pStyle w:val="TableContents"/>
              <w:spacing w:before="0" w:after="283"/>
              <w:rPr>
                <w:sz w:val="4"/>
                <w:szCs w:val="4"/>
              </w:rPr>
            </w:pPr>
            <w:r>
              <w:rPr>
                <w:sz w:val="4"/>
                <w:szCs w:val="4"/>
              </w:rPr>
            </w:r>
          </w:p>
        </w:tc>
        <w:tc>
          <w:tcPr>
            <w:tcW w:w="2871" w:type="dxa"/>
            <w:gridSpan w:val="5"/>
            <w:tcBorders/>
            <w:shd w:fill="E5E5E5" w:val="clear"/>
            <w:vAlign w:val="center"/>
          </w:tcPr>
          <w:p>
            <w:pPr>
              <w:pStyle w:val="TableContents"/>
              <w:spacing w:before="0" w:after="283"/>
              <w:rPr>
                <w:sz w:val="4"/>
                <w:szCs w:val="4"/>
              </w:rPr>
            </w:pPr>
            <w:r>
              <w:rPr>
                <w:sz w:val="4"/>
                <w:szCs w:val="4"/>
              </w:rPr>
            </w:r>
          </w:p>
        </w:tc>
        <w:tc>
          <w:tcPr>
            <w:tcW w:w="2060" w:type="dxa"/>
            <w:gridSpan w:val="5"/>
            <w:tcBorders/>
            <w:shd w:fill="E5E5E5" w:val="clear"/>
            <w:vAlign w:val="center"/>
          </w:tcPr>
          <w:p>
            <w:pPr>
              <w:pStyle w:val="TableContents"/>
              <w:spacing w:before="0" w:after="283"/>
              <w:rPr>
                <w:sz w:val="4"/>
                <w:szCs w:val="4"/>
              </w:rPr>
            </w:pPr>
            <w:r>
              <w:rPr>
                <w:sz w:val="4"/>
                <w:szCs w:val="4"/>
              </w:rPr>
            </w:r>
          </w:p>
        </w:tc>
      </w:tr>
      <w:tr>
        <w:trPr/>
        <w:tc>
          <w:tcPr>
            <w:tcW w:w="2665" w:type="dxa"/>
            <w:tcBorders/>
            <w:shd w:fill="E5E5E5" w:val="clear"/>
          </w:tcPr>
          <w:p>
            <w:pPr>
              <w:pStyle w:val="TableContents"/>
              <w:spacing w:before="0" w:after="0"/>
              <w:rPr>
                <w:rFonts w:ascii="arial" w:hAnsi="arial"/>
                <w:sz w:val="20"/>
              </w:rPr>
            </w:pPr>
            <w:r>
              <w:rPr>
                <w:rFonts w:ascii="arial" w:hAnsi="arial"/>
                <w:sz w:val="20"/>
              </w:rPr>
              <w:t>Bryan R. Adel</w:t>
            </w:r>
          </w:p>
        </w:tc>
        <w:tc>
          <w:tcPr>
            <w:tcW w:w="210" w:type="dxa"/>
            <w:tcBorders/>
            <w:shd w:fill="E5E5E5" w:val="clear"/>
            <w:vAlign w:val="bottom"/>
          </w:tcPr>
          <w:p>
            <w:pPr>
              <w:pStyle w:val="TableContents"/>
              <w:spacing w:before="0" w:after="283"/>
              <w:rPr/>
            </w:pPr>
            <w:r>
              <w:rPr/>
              <w:t>  </w:t>
            </w:r>
          </w:p>
        </w:tc>
        <w:tc>
          <w:tcPr>
            <w:tcW w:w="506" w:type="dxa"/>
            <w:tcBorders/>
            <w:shd w:fill="E5E5E5" w:val="clear"/>
            <w:vAlign w:val="bottom"/>
          </w:tcPr>
          <w:p>
            <w:pPr>
              <w:pStyle w:val="TableContents"/>
              <w:spacing w:before="0" w:after="283"/>
              <w:rPr/>
            </w:pPr>
            <w:r>
              <w:rPr/>
              <w:t> </w:t>
            </w:r>
          </w:p>
        </w:tc>
        <w:tc>
          <w:tcPr>
            <w:tcW w:w="506" w:type="dxa"/>
            <w:tcBorders/>
            <w:shd w:fill="E5E5E5" w:val="clear"/>
            <w:vAlign w:val="bottom"/>
          </w:tcPr>
          <w:p>
            <w:pPr>
              <w:pStyle w:val="TableContents"/>
              <w:spacing w:before="0" w:after="283"/>
              <w:rPr/>
            </w:pPr>
            <w:r>
              <w:rPr/>
              <w:t> </w:t>
            </w:r>
          </w:p>
        </w:tc>
        <w:tc>
          <w:tcPr>
            <w:tcW w:w="1191" w:type="dxa"/>
            <w:tcBorders/>
            <w:shd w:fill="E5E5E5" w:val="clear"/>
            <w:vAlign w:val="bottom"/>
          </w:tcPr>
          <w:p>
            <w:pPr>
              <w:pStyle w:val="TableContents"/>
              <w:spacing w:before="0" w:after="283"/>
              <w:jc w:val="right"/>
              <w:rPr/>
            </w:pPr>
            <w:r>
              <w:rPr/>
              <w:t>2</w:t>
            </w:r>
          </w:p>
        </w:tc>
        <w:tc>
          <w:tcPr>
            <w:tcW w:w="196"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344" w:type="dxa"/>
            <w:tcBorders/>
            <w:shd w:fill="E5E5E5" w:val="clear"/>
            <w:vAlign w:val="bottom"/>
          </w:tcPr>
          <w:p>
            <w:pPr>
              <w:pStyle w:val="TableContents"/>
              <w:spacing w:before="0" w:after="283"/>
              <w:rPr/>
            </w:pPr>
            <w:r>
              <w:rPr/>
              <w:t> </w:t>
            </w:r>
          </w:p>
        </w:tc>
        <w:tc>
          <w:tcPr>
            <w:tcW w:w="344" w:type="dxa"/>
            <w:tcBorders/>
            <w:shd w:fill="E5E5E5" w:val="clear"/>
            <w:vAlign w:val="bottom"/>
          </w:tcPr>
          <w:p>
            <w:pPr>
              <w:pStyle w:val="TableContents"/>
              <w:spacing w:before="0" w:after="283"/>
              <w:rPr/>
            </w:pPr>
            <w:r>
              <w:rPr/>
              <w:t> </w:t>
            </w:r>
          </w:p>
        </w:tc>
        <w:tc>
          <w:tcPr>
            <w:tcW w:w="1839" w:type="dxa"/>
            <w:tcBorders/>
            <w:shd w:fill="E5E5E5" w:val="clear"/>
            <w:vAlign w:val="bottom"/>
          </w:tcPr>
          <w:p>
            <w:pPr>
              <w:pStyle w:val="TableContents"/>
              <w:spacing w:before="0" w:after="283"/>
              <w:jc w:val="right"/>
              <w:rPr/>
            </w:pPr>
            <w:r>
              <w:rPr/>
              <w:t>1.5</w:t>
            </w:r>
          </w:p>
        </w:tc>
        <w:tc>
          <w:tcPr>
            <w:tcW w:w="134" w:type="dxa"/>
            <w:tcBorders/>
            <w:shd w:fill="E5E5E5" w:val="clear"/>
            <w:vAlign w:val="bottom"/>
          </w:tcPr>
          <w:p>
            <w:pPr>
              <w:pStyle w:val="TableContents"/>
              <w:spacing w:before="0" w:after="283"/>
              <w:rPr>
                <w:sz w:val="4"/>
                <w:szCs w:val="4"/>
              </w:rPr>
            </w:pPr>
            <w:r>
              <w:rPr>
                <w:sz w:val="4"/>
                <w:szCs w:val="4"/>
              </w:rPr>
            </w:r>
          </w:p>
        </w:tc>
        <w:tc>
          <w:tcPr>
            <w:tcW w:w="21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9" w:type="dxa"/>
            <w:tcBorders/>
            <w:shd w:fill="E5E5E5" w:val="clear"/>
            <w:vAlign w:val="bottom"/>
          </w:tcPr>
          <w:p>
            <w:pPr>
              <w:pStyle w:val="TableContents"/>
              <w:spacing w:before="0" w:after="283"/>
              <w:rPr/>
            </w:pPr>
            <w:r>
              <w:rPr/>
              <w:t> </w:t>
            </w:r>
          </w:p>
        </w:tc>
        <w:tc>
          <w:tcPr>
            <w:tcW w:w="1703" w:type="dxa"/>
            <w:tcBorders/>
            <w:shd w:fill="E5E5E5" w:val="clear"/>
            <w:vAlign w:val="bottom"/>
          </w:tcPr>
          <w:p>
            <w:pPr>
              <w:pStyle w:val="TableContents"/>
              <w:spacing w:before="0" w:after="283"/>
              <w:jc w:val="right"/>
              <w:rPr/>
            </w:pPr>
            <w:r>
              <w:rPr/>
              <w:t>Does Not Meet  </w:t>
            </w:r>
          </w:p>
        </w:tc>
        <w:tc>
          <w:tcPr>
            <w:tcW w:w="28"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Based upon holdings in the shares of common stock of the Corporation and one-year average daily price per share of the Corporations common stock from October 2, 2019 to October 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Mr. Johns has until June 13, 2024 to meet his stock ownership guideline. </w:t>
            </w:r>
          </w:p>
        </w:tc>
      </w:tr>
    </w:tbl>
    <w:p>
      <w:pPr>
        <w:pStyle w:val="TextBody"/>
        <w:spacing w:before="360" w:after="0"/>
        <w:jc w:val="left"/>
        <w:rPr>
          <w:rFonts w:ascii="arial" w:hAnsi="arial"/>
          <w:b/>
          <w:color w:val="CF0A2C"/>
          <w:sz w:val="28"/>
        </w:rPr>
      </w:pPr>
      <w:r>
        <w:rPr>
          <w:rFonts w:ascii="arial" w:hAnsi="arial"/>
          <w:b/>
          <w:color w:val="CF0A2C"/>
          <w:sz w:val="28"/>
        </w:rPr>
        <w:t xml:space="preserve">Clawback Policy </w:t>
      </w:r>
    </w:p>
    <w:p>
      <w:pPr>
        <w:pStyle w:val="TextBody"/>
        <w:spacing w:before="120" w:after="0"/>
        <w:jc w:val="left"/>
        <w:rPr>
          <w:rFonts w:ascii="arial" w:hAnsi="arial"/>
          <w:sz w:val="20"/>
        </w:rPr>
      </w:pPr>
      <w:r>
        <w:rPr>
          <w:rFonts w:ascii="arial" w:hAnsi="arial"/>
          <w:sz w:val="20"/>
        </w:rPr>
        <w:t xml:space="preserve">To the extent permitted by governing law, in the event that (i) the Corporation is required to make a material restatement of its financial statements as a result of fraudulent behavior or material intentional misconduct on the part of the Corporations current or former (a) Chief Executive Officer, (b) executive officers subject to Section 16 of the Exchange Act or (c) other executive officers who report directly to the Chief Executive Officer and (ii) any incentive compensation was paid to any of these individuals based upon achievement of certain financial results and in reliance upon the financial statements to be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35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COMPENSATION</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restated, then the Board of Directors may, in its sole discretion and upon making a determination that it would be in the best interest of the Corporation to do so, direct the Corporation to make reasonable efforts to seek reimbursement of any such incentive compensation paid within the past three years from the date of the restatement to the extent it exceeds the amounts that would have been earned under the restated financial statements. This policy shall apply in addition to any right of recoupment against the Chief Executive Officer and Chief Financial Officer pursuant to Section 304 of the Sarbanes-Oxley Act of 2002 or other applicable law or regulation. </w:t>
      </w:r>
    </w:p>
    <w:p>
      <w:pPr>
        <w:pStyle w:val="TextBody"/>
        <w:spacing w:before="360" w:after="0"/>
        <w:jc w:val="left"/>
        <w:rPr>
          <w:rFonts w:ascii="arial" w:hAnsi="arial"/>
          <w:b/>
          <w:color w:val="CF0A2C"/>
          <w:sz w:val="28"/>
        </w:rPr>
      </w:pPr>
      <w:r>
        <w:rPr>
          <w:rFonts w:ascii="arial" w:hAnsi="arial"/>
          <w:b/>
          <w:color w:val="CF0A2C"/>
          <w:sz w:val="28"/>
        </w:rPr>
        <w:t xml:space="preserve">Hedging and Pledging Restrictions </w:t>
      </w:r>
    </w:p>
    <w:p>
      <w:pPr>
        <w:pStyle w:val="TextBody"/>
        <w:spacing w:before="120" w:after="0"/>
        <w:jc w:val="left"/>
        <w:rPr>
          <w:rFonts w:ascii="arial" w:hAnsi="arial"/>
          <w:sz w:val="20"/>
        </w:rPr>
      </w:pPr>
      <w:r>
        <w:rPr>
          <w:rFonts w:ascii="arial" w:hAnsi="arial"/>
          <w:sz w:val="20"/>
        </w:rPr>
        <w:t xml:space="preserve">Under the Corporations Insider Trading Policy, all officers, employees and directors of the Corporation are prohibited from engaging in short sales of the Corporations common stock or in taking positions on the Corporations publicly traded call and put options or otherwise using financial instruments to engage in hedging transactions to lock in the value of the Corporations securities by preventing a decrease and/or increase in value. </w:t>
      </w:r>
    </w:p>
    <w:p>
      <w:pPr>
        <w:pStyle w:val="TextBody"/>
        <w:spacing w:before="360" w:after="0"/>
        <w:jc w:val="left"/>
        <w:rPr>
          <w:rFonts w:ascii="arial" w:hAnsi="arial"/>
          <w:b/>
          <w:color w:val="CF0A2C"/>
          <w:sz w:val="28"/>
        </w:rPr>
      </w:pPr>
      <w:r>
        <w:rPr>
          <w:rFonts w:ascii="arial" w:hAnsi="arial"/>
          <w:b/>
          <w:color w:val="CF0A2C"/>
          <w:sz w:val="28"/>
        </w:rPr>
        <w:t xml:space="preserve">Employment Agreements and Change in Control Provisions </w:t>
      </w:r>
    </w:p>
    <w:p>
      <w:pPr>
        <w:pStyle w:val="TextBody"/>
        <w:spacing w:before="120" w:after="0"/>
        <w:jc w:val="left"/>
        <w:rPr>
          <w:rFonts w:ascii="arial" w:hAnsi="arial"/>
          <w:b/>
          <w:sz w:val="20"/>
        </w:rPr>
      </w:pPr>
      <w:r>
        <w:rPr>
          <w:rFonts w:ascii="arial" w:hAnsi="arial"/>
          <w:b/>
          <w:sz w:val="20"/>
        </w:rPr>
        <w:t xml:space="preserve">Employment Agreements </w:t>
      </w:r>
    </w:p>
    <w:p>
      <w:pPr>
        <w:pStyle w:val="TextBody"/>
        <w:spacing w:before="120" w:after="0"/>
        <w:jc w:val="left"/>
        <w:rPr>
          <w:rFonts w:ascii="arial" w:hAnsi="arial"/>
          <w:sz w:val="20"/>
        </w:rPr>
      </w:pPr>
      <w:r>
        <w:rPr>
          <w:rFonts w:ascii="arial" w:hAnsi="arial"/>
          <w:sz w:val="20"/>
        </w:rPr>
        <w:t xml:space="preserve">The Corporation enters into employment agreements with certain executives when it determines that an employment agreement is desirable for the Corporation to obtain a measure of assurance as to the executives continued employment in light of prevailing market competition for the particular position held by the executive officer, or where the Compensation Committee determines that an employment agreement is necessary and appropriate to attract an executive in light of market conditions, the prior experience of the executive or practices at the Corporation with respect to other similarly situated employees. </w:t>
      </w:r>
    </w:p>
    <w:p>
      <w:pPr>
        <w:pStyle w:val="TextBody"/>
        <w:spacing w:before="120" w:after="0"/>
        <w:jc w:val="left"/>
        <w:rPr>
          <w:rFonts w:ascii="arial" w:hAnsi="arial"/>
          <w:sz w:val="20"/>
        </w:rPr>
      </w:pPr>
      <w:r>
        <w:rPr>
          <w:rFonts w:ascii="arial" w:hAnsi="arial"/>
          <w:sz w:val="20"/>
        </w:rPr>
        <w:t xml:space="preserve">Mr. Peyton and Mr. Cywinski are each a party to an employment agreement with the Corporation. Each employment agreement provides for an initial employment term of three years and automatic successive one-year extensions unless the Corporation or the executive gives notice to the contrary more than 90 days prior to the expiration of the then-current term of the agreement. The Corporation may terminate the agreement at any time, with or without cause upon written notice to the executive. The employment agreement provides for a base salary, a target annual cash incentive opportunity as a percentage of base salary and certain other perquisites and benefit programs. The employment agreement does not contain multi-year incentive guarantees or tax gross-ups. The employment agreement contains confidentiality, trade secrets, discoveries, and non-solicitation provisions. Mr. Song was also party to an employment agreement with similar terms while he was employed with the Company. Mr. Song voluntarily terminated his employment agreement as of January 22, 2021. </w:t>
      </w:r>
    </w:p>
    <w:p>
      <w:pPr>
        <w:pStyle w:val="TextBody"/>
        <w:spacing w:before="120" w:after="0"/>
        <w:jc w:val="left"/>
        <w:rPr>
          <w:rFonts w:ascii="arial" w:hAnsi="arial"/>
          <w:sz w:val="20"/>
        </w:rPr>
      </w:pPr>
      <w:r>
        <w:rPr>
          <w:rFonts w:ascii="arial" w:hAnsi="arial"/>
          <w:sz w:val="20"/>
        </w:rPr>
        <w:t xml:space="preserve">Mr. Joyce was a party to an employment agreement with the Corporation. The employment agreement called for a term beginning on September 12, 2017 and ending on February 1, 2021 with no automatic extensions. In connection with our CEO transition, in November 2020, Mr. Joyce and the Corporation amended Mr. Joyces employment agreement to transition Mr. Joyce to the role of non-executive special advisor as of January 4, 2021 and to extend the term of the agreement through February 16, 2021. Mr. Joyces employment agreement terminated as of February 16, 2021. </w:t>
      </w:r>
    </w:p>
    <w:p>
      <w:pPr>
        <w:pStyle w:val="TextBody"/>
        <w:spacing w:before="120" w:after="0"/>
        <w:jc w:val="left"/>
        <w:rPr>
          <w:rFonts w:ascii="arial" w:hAnsi="arial"/>
          <w:sz w:val="20"/>
        </w:rPr>
      </w:pPr>
      <w:r>
        <w:rPr>
          <w:rFonts w:ascii="arial" w:hAnsi="arial"/>
          <w:sz w:val="20"/>
        </w:rPr>
        <w:t xml:space="preserve">Ms. Hall, Mr. Adel, and Mr. Johns are parties to employment offer letters with the Corporation, effective as of January 19, 2021, August 2, 2010, and June 13, 2019, respectively. </w:t>
      </w:r>
    </w:p>
    <w:p>
      <w:pPr>
        <w:pStyle w:val="TextBody"/>
        <w:spacing w:before="120" w:after="0"/>
        <w:jc w:val="left"/>
        <w:rPr>
          <w:rFonts w:ascii="arial" w:hAnsi="arial"/>
          <w:sz w:val="20"/>
        </w:rPr>
      </w:pPr>
      <w:r>
        <w:rPr>
          <w:rFonts w:ascii="arial" w:hAnsi="arial"/>
          <w:sz w:val="20"/>
        </w:rPr>
        <w:t xml:space="preserve">Under certain termination scenarios, the employment agreements may provide for severance payments, benefits continuation and vesting of outstanding equity-based awards. See Potential Payments Upon Termination or Change in Control in this proxy statement for additional information about severance arrangements, including projected severance payment amounts, pursuant to the employment agreements. </w:t>
      </w:r>
    </w:p>
    <w:p>
      <w:pPr>
        <w:pStyle w:val="TextBody"/>
        <w:spacing w:before="360" w:after="0"/>
        <w:jc w:val="left"/>
        <w:rPr>
          <w:rFonts w:ascii="arial" w:hAnsi="arial"/>
          <w:b/>
          <w:color w:val="CF0A2C"/>
          <w:sz w:val="28"/>
        </w:rPr>
      </w:pPr>
      <w:r>
        <w:rPr>
          <w:rFonts w:ascii="arial" w:hAnsi="arial"/>
          <w:b/>
          <w:color w:val="CF0A2C"/>
          <w:sz w:val="28"/>
        </w:rPr>
        <w:t xml:space="preserve">Amended and Restated Executive Severance and Change in Control Policy </w:t>
      </w:r>
    </w:p>
    <w:p>
      <w:pPr>
        <w:pStyle w:val="TextBody"/>
        <w:spacing w:before="120" w:after="0"/>
        <w:jc w:val="left"/>
        <w:rPr>
          <w:rFonts w:ascii="arial" w:hAnsi="arial"/>
          <w:sz w:val="20"/>
        </w:rPr>
      </w:pPr>
      <w:r>
        <w:rPr>
          <w:rFonts w:ascii="arial" w:hAnsi="arial"/>
          <w:sz w:val="20"/>
        </w:rPr>
        <w:t xml:space="preserve">Mr. Adel and Mr. Johns participate in the Corporations Amended and Restated Executive Severance and Change in Control Policy. This policy is intended to increase the retention of the senior leadership team and to provide severance benefits under specified circumstances to certain individuals who are in a position to contribute materially to the success of the Corporation. These arrangements also are intended to facilitate changes in the leadership team by setting terms for the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36    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49"/>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EXECUTIVE COMPENSATION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termination of an executive officer in advance, thereby allowing a smooth transition of responsibilities when it is in the best interests of the Corporation. Under certain termination scenarios, the policy may provide for severance payments, benefits continuation and vesting of certain outstanding equity-based awards. The policy does not provide for tax gross-ups. See Potential Payments Upon Termination or Change in Control in this proxy statement for additional information about severance arrangements, including projected severance payment amounts, pursuant to the Amended and Restated Executive Severance and Change in Control Policy. </w:t>
      </w:r>
    </w:p>
    <w:p>
      <w:pPr>
        <w:pStyle w:val="TextBody"/>
        <w:spacing w:before="360" w:after="0"/>
        <w:jc w:val="left"/>
        <w:rPr>
          <w:rFonts w:ascii="arial" w:hAnsi="arial"/>
          <w:b/>
          <w:color w:val="CF0A2C"/>
          <w:sz w:val="28"/>
        </w:rPr>
      </w:pPr>
      <w:r>
        <w:rPr>
          <w:rFonts w:ascii="arial" w:hAnsi="arial"/>
          <w:b/>
          <w:color w:val="CF0A2C"/>
          <w:sz w:val="28"/>
        </w:rPr>
        <w:t xml:space="preserve">Nonqualified Deferred Compensation Plan </w:t>
      </w:r>
    </w:p>
    <w:p>
      <w:pPr>
        <w:pStyle w:val="TextBody"/>
        <w:spacing w:before="120" w:after="0"/>
        <w:jc w:val="left"/>
        <w:rPr>
          <w:rFonts w:ascii="arial" w:hAnsi="arial"/>
          <w:sz w:val="20"/>
        </w:rPr>
      </w:pPr>
      <w:r>
        <w:rPr>
          <w:rFonts w:ascii="arial" w:hAnsi="arial"/>
          <w:sz w:val="20"/>
        </w:rPr>
        <w:t xml:space="preserve">Pursuant to the Deferred Compensation Plan, all NEOs are eligible to defer their base salaries, annual cash incentives, and long-term incentive plan cash distributions. Deferrals are always 100% vested. This plan provides the NEOs with a long-term capital accumulation opportunity. The Deferred Compensation Plan provides a range of investment opportunities and is designed to comply with Section 409A of the Internal Revenue Code (the Code). See 2020 Nonqualified Deferred Compensation in this proxy statement for additional information. </w:t>
      </w:r>
    </w:p>
    <w:p>
      <w:pPr>
        <w:pStyle w:val="TextBody"/>
        <w:spacing w:before="360" w:after="0"/>
        <w:jc w:val="left"/>
        <w:rPr>
          <w:rFonts w:ascii="arial" w:hAnsi="arial"/>
          <w:b/>
          <w:color w:val="CF0A2C"/>
          <w:sz w:val="28"/>
        </w:rPr>
      </w:pPr>
      <w:r>
        <w:rPr>
          <w:rFonts w:ascii="arial" w:hAnsi="arial"/>
          <w:b/>
          <w:color w:val="CF0A2C"/>
          <w:sz w:val="28"/>
        </w:rPr>
        <w:t xml:space="preserve">Perquisites </w:t>
      </w:r>
    </w:p>
    <w:p>
      <w:pPr>
        <w:pStyle w:val="TextBody"/>
        <w:spacing w:before="120" w:after="0"/>
        <w:jc w:val="left"/>
        <w:rPr>
          <w:rFonts w:ascii="arial" w:hAnsi="arial"/>
          <w:sz w:val="20"/>
        </w:rPr>
      </w:pPr>
      <w:r>
        <w:rPr>
          <w:rFonts w:ascii="arial" w:hAnsi="arial"/>
          <w:sz w:val="20"/>
        </w:rPr>
        <w:t>The Corporation provided all 2020 NEOs with limited perquisites as part of a competitive total compensation package. The Compensation Committee annually reviews the perquisites provided to the NEOs and approves those personal benefits or perquisites that it deems to be in the Corporations best interest in order to induce executives to maintain or accept employment with us.</w:t>
      </w:r>
    </w:p>
    <w:p>
      <w:pPr>
        <w:pStyle w:val="TextBody"/>
        <w:spacing w:before="120" w:after="0"/>
        <w:jc w:val="left"/>
        <w:rPr>
          <w:rFonts w:ascii="arial" w:hAnsi="arial"/>
          <w:sz w:val="20"/>
        </w:rPr>
      </w:pPr>
      <w:r>
        <w:rPr>
          <w:rFonts w:ascii="arial" w:hAnsi="arial"/>
          <w:b/>
          <w:sz w:val="20"/>
        </w:rPr>
        <w:t xml:space="preserve">Annual Physicals. </w:t>
      </w:r>
      <w:r>
        <w:rPr>
          <w:rFonts w:ascii="arial" w:hAnsi="arial"/>
          <w:sz w:val="20"/>
        </w:rPr>
        <w:t xml:space="preserve">Each NEO is entitled and expected to have an annual physical provided at the Corporations cost. </w:t>
      </w:r>
    </w:p>
    <w:p>
      <w:pPr>
        <w:pStyle w:val="TextBody"/>
        <w:spacing w:before="120" w:after="0"/>
        <w:jc w:val="left"/>
        <w:rPr>
          <w:rFonts w:ascii="arial" w:hAnsi="arial"/>
          <w:sz w:val="20"/>
        </w:rPr>
      </w:pPr>
      <w:r>
        <w:rPr>
          <w:rFonts w:ascii="arial" w:hAnsi="arial"/>
          <w:b/>
          <w:sz w:val="20"/>
        </w:rPr>
        <w:t xml:space="preserve">Automobile Allowances. </w:t>
      </w:r>
      <w:r>
        <w:rPr>
          <w:rFonts w:ascii="arial" w:hAnsi="arial"/>
          <w:sz w:val="20"/>
        </w:rPr>
        <w:t xml:space="preserve">The Corporation pays each of the NEOs an automobile allowance. </w:t>
      </w:r>
    </w:p>
    <w:p>
      <w:pPr>
        <w:pStyle w:val="TextBody"/>
        <w:spacing w:before="120" w:after="0"/>
        <w:jc w:val="left"/>
        <w:rPr>
          <w:rFonts w:ascii="arial" w:hAnsi="arial"/>
          <w:sz w:val="20"/>
        </w:rPr>
      </w:pPr>
      <w:r>
        <w:rPr>
          <w:rFonts w:ascii="arial" w:hAnsi="arial"/>
          <w:b/>
          <w:sz w:val="20"/>
        </w:rPr>
        <w:t xml:space="preserve">Supplemental Life Insurance. </w:t>
      </w:r>
      <w:r>
        <w:rPr>
          <w:rFonts w:ascii="arial" w:hAnsi="arial"/>
          <w:sz w:val="20"/>
        </w:rPr>
        <w:t xml:space="preserve">The Corporation provides supplemental life insurance for each of the NEOs in addition to paying for life insurance for all eligible employees. NEOs are provided $900,000 in life insurance under the Corporations group policy. </w:t>
      </w:r>
    </w:p>
    <w:p>
      <w:pPr>
        <w:pStyle w:val="TextBody"/>
        <w:spacing w:before="120" w:after="0"/>
        <w:jc w:val="left"/>
        <w:rPr>
          <w:rFonts w:ascii="arial" w:hAnsi="arial"/>
          <w:sz w:val="20"/>
        </w:rPr>
      </w:pPr>
      <w:r>
        <w:rPr>
          <w:rFonts w:ascii="arial" w:hAnsi="arial"/>
          <w:b/>
          <w:sz w:val="20"/>
        </w:rPr>
        <w:t xml:space="preserve">Supplemental Disability Insurance. </w:t>
      </w:r>
      <w:r>
        <w:rPr>
          <w:rFonts w:ascii="arial" w:hAnsi="arial"/>
          <w:sz w:val="20"/>
        </w:rPr>
        <w:t xml:space="preserve">The Corporation provides supplemental disability insurance for each of the NEOs in addition to paying for disability insurance for all eligible employees. The coverage for each NEO generally provides for a benefit equal to 60% of pre-disability earnings subject to a maximum of $25,000 per month. </w:t>
      </w:r>
    </w:p>
    <w:p>
      <w:pPr>
        <w:pStyle w:val="TextBody"/>
        <w:spacing w:before="120" w:after="0"/>
        <w:jc w:val="left"/>
        <w:rPr>
          <w:rFonts w:ascii="arial" w:hAnsi="arial"/>
          <w:sz w:val="20"/>
        </w:rPr>
      </w:pPr>
      <w:r>
        <w:rPr>
          <w:rFonts w:ascii="arial" w:hAnsi="arial"/>
          <w:b/>
          <w:sz w:val="20"/>
        </w:rPr>
        <w:t xml:space="preserve">Tax Preparation Reimbursement. </w:t>
      </w:r>
      <w:r>
        <w:rPr>
          <w:rFonts w:ascii="arial" w:hAnsi="arial"/>
          <w:sz w:val="20"/>
        </w:rPr>
        <w:t xml:space="preserve">The Corporation may provide tax preparation reimbursement for certain NEOs who are required to file tax returns in multiple states as a result of their employment with the Corporation. The benefit is taxable to the NEO and is intended to encourage the NEO to engage knowledgeable experts to assist with tax preparation. </w:t>
      </w:r>
    </w:p>
    <w:p>
      <w:pPr>
        <w:pStyle w:val="TextBody"/>
        <w:spacing w:before="120" w:after="0"/>
        <w:jc w:val="left"/>
        <w:rPr>
          <w:rFonts w:ascii="arial" w:hAnsi="arial"/>
          <w:sz w:val="20"/>
        </w:rPr>
      </w:pPr>
      <w:r>
        <w:rPr>
          <w:rFonts w:ascii="arial" w:hAnsi="arial"/>
          <w:b/>
          <w:sz w:val="20"/>
        </w:rPr>
        <w:t xml:space="preserve">Restaurant Dining Expenses. </w:t>
      </w:r>
      <w:r>
        <w:rPr>
          <w:rFonts w:ascii="arial" w:hAnsi="arial"/>
          <w:sz w:val="20"/>
        </w:rPr>
        <w:t xml:space="preserve">The Corporation reimburses each of the NEOs for amounts spent dining at Applebees and IHOP restaurants. </w:t>
      </w:r>
    </w:p>
    <w:p>
      <w:pPr>
        <w:pStyle w:val="TextBody"/>
        <w:spacing w:before="120" w:after="0"/>
        <w:jc w:val="left"/>
        <w:rPr>
          <w:rFonts w:ascii="arial" w:hAnsi="arial"/>
          <w:sz w:val="20"/>
        </w:rPr>
      </w:pPr>
      <w:r>
        <w:rPr>
          <w:rFonts w:ascii="arial" w:hAnsi="arial"/>
          <w:b/>
          <w:sz w:val="20"/>
        </w:rPr>
        <w:t>Other.</w:t>
      </w:r>
      <w:r>
        <w:rPr>
          <w:rFonts w:ascii="arial" w:hAnsi="arial"/>
          <w:sz w:val="20"/>
        </w:rPr>
        <w:t xml:space="preserve"> On a case-by-case basis, the Corporation may provide other perquisites to certain executives from time to time. </w:t>
      </w:r>
    </w:p>
    <w:p>
      <w:pPr>
        <w:pStyle w:val="TextBody"/>
        <w:spacing w:before="120" w:after="0"/>
        <w:jc w:val="left"/>
        <w:rPr>
          <w:rFonts w:ascii="arial" w:hAnsi="arial"/>
          <w:sz w:val="20"/>
        </w:rPr>
      </w:pPr>
      <w:r>
        <w:rPr>
          <w:rFonts w:ascii="arial" w:hAnsi="arial"/>
          <w:sz w:val="20"/>
        </w:rPr>
        <w:t xml:space="preserve">See the 2020 Summary Compensation Table for additional details on these perquisites.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37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COMPENSATION TABLES</w:t>
            </w:r>
          </w:p>
        </w:tc>
      </w:tr>
    </w:tbl>
    <w:p>
      <w:pPr>
        <w:pStyle w:val="TextBody"/>
        <w:spacing w:before="0" w:after="0"/>
        <w:jc w:val="left"/>
        <w:rPr/>
      </w:pPr>
      <w:r>
        <w:rPr/>
        <w:t> </w:t>
      </w:r>
    </w:p>
    <w:p>
      <w:pPr>
        <w:pStyle w:val="TextBody"/>
        <w:spacing w:before="0" w:after="0"/>
        <w:jc w:val="left"/>
        <w:rPr>
          <w:rFonts w:ascii="arial" w:hAnsi="arial"/>
          <w:b/>
          <w:sz w:val="42"/>
        </w:rPr>
      </w:pPr>
      <w:bookmarkStart w:id="28" w:name="toc116694_26"/>
      <w:bookmarkEnd w:id="28"/>
      <w:r>
        <w:rPr>
          <w:rFonts w:ascii="arial" w:hAnsi="arial"/>
          <w:b/>
          <w:sz w:val="42"/>
        </w:rPr>
        <w:t xml:space="preserve">COMPENSATION TABLES </w:t>
      </w:r>
    </w:p>
    <w:p>
      <w:pPr>
        <w:pStyle w:val="TextBody"/>
        <w:spacing w:before="360" w:after="0"/>
        <w:jc w:val="left"/>
        <w:rPr>
          <w:rFonts w:ascii="arial" w:hAnsi="arial"/>
          <w:sz w:val="20"/>
        </w:rPr>
      </w:pPr>
      <w:r>
        <w:rPr>
          <w:rFonts w:ascii="arial" w:hAnsi="arial"/>
          <w:sz w:val="20"/>
        </w:rPr>
        <w:t xml:space="preserve">Compensation tables and accompanying notes and disclosures for all NEOs are set forth below. </w:t>
      </w:r>
    </w:p>
    <w:p>
      <w:pPr>
        <w:pStyle w:val="TextBody"/>
        <w:spacing w:before="360" w:after="0"/>
        <w:jc w:val="left"/>
        <w:rPr>
          <w:rFonts w:ascii="arial" w:hAnsi="arial"/>
          <w:b/>
          <w:color w:val="CF0A2C"/>
          <w:sz w:val="28"/>
        </w:rPr>
      </w:pPr>
      <w:bookmarkStart w:id="29" w:name="toc116694_27"/>
      <w:bookmarkEnd w:id="29"/>
      <w:r>
        <w:rPr>
          <w:rFonts w:ascii="arial" w:hAnsi="arial"/>
          <w:b/>
          <w:color w:val="CF0A2C"/>
          <w:sz w:val="28"/>
        </w:rPr>
        <w:t xml:space="preserve">2020 Summary Compensation Table </w:t>
      </w:r>
    </w:p>
    <w:p>
      <w:pPr>
        <w:pStyle w:val="TextBody"/>
        <w:spacing w:before="120" w:after="0"/>
        <w:jc w:val="left"/>
        <w:rPr>
          <w:rFonts w:ascii="arial" w:hAnsi="arial"/>
          <w:sz w:val="20"/>
        </w:rPr>
      </w:pPr>
      <w:r>
        <w:rPr>
          <w:rFonts w:ascii="arial" w:hAnsi="arial"/>
          <w:sz w:val="20"/>
        </w:rPr>
        <w:t xml:space="preserve">The following 2020 Summary Compensation Table and accompanying notes set forth information concerning compensation earned by each of the Corporations NEOs for the fiscal year ended December 31, 2020, and, to the extent required under applicable SEC disclosure rules, the fiscal years ended December 31, 2019 and 2018. </w:t>
      </w:r>
    </w:p>
    <w:p>
      <w:pPr>
        <w:pStyle w:val="TextBody"/>
        <w:spacing w:before="0" w:after="0"/>
        <w:jc w:val="left"/>
        <w:rPr/>
      </w:pPr>
      <w:r>
        <w:rPr/>
        <w:t> </w:t>
      </w:r>
    </w:p>
    <w:tbl>
      <w:tblPr>
        <w:tblW w:w="11487" w:type="dxa"/>
        <w:jc w:val="center"/>
        <w:tblInd w:w="0" w:type="dxa"/>
        <w:tblCellMar>
          <w:top w:w="0" w:type="dxa"/>
          <w:left w:w="0" w:type="dxa"/>
          <w:bottom w:w="0" w:type="dxa"/>
          <w:right w:w="0" w:type="dxa"/>
        </w:tblCellMar>
      </w:tblPr>
      <w:tblGrid>
        <w:gridCol w:w="875"/>
        <w:gridCol w:w="120"/>
        <w:gridCol w:w="60"/>
        <w:gridCol w:w="60"/>
        <w:gridCol w:w="500"/>
        <w:gridCol w:w="23"/>
        <w:gridCol w:w="120"/>
        <w:gridCol w:w="60"/>
        <w:gridCol w:w="60"/>
        <w:gridCol w:w="980"/>
        <w:gridCol w:w="23"/>
        <w:gridCol w:w="120"/>
        <w:gridCol w:w="60"/>
        <w:gridCol w:w="60"/>
        <w:gridCol w:w="800"/>
        <w:gridCol w:w="410"/>
        <w:gridCol w:w="60"/>
        <w:gridCol w:w="60"/>
        <w:gridCol w:w="60"/>
        <w:gridCol w:w="980"/>
        <w:gridCol w:w="410"/>
        <w:gridCol w:w="60"/>
        <w:gridCol w:w="60"/>
        <w:gridCol w:w="60"/>
        <w:gridCol w:w="800"/>
        <w:gridCol w:w="23"/>
        <w:gridCol w:w="120"/>
        <w:gridCol w:w="79"/>
        <w:gridCol w:w="79"/>
        <w:gridCol w:w="1300"/>
        <w:gridCol w:w="32"/>
        <w:gridCol w:w="120"/>
        <w:gridCol w:w="94"/>
        <w:gridCol w:w="94"/>
        <w:gridCol w:w="1264"/>
        <w:gridCol w:w="38"/>
        <w:gridCol w:w="120"/>
        <w:gridCol w:w="60"/>
        <w:gridCol w:w="60"/>
        <w:gridCol w:w="1100"/>
        <w:gridCol w:w="23"/>
      </w:tblGrid>
      <w:tr>
        <w:trPr/>
        <w:tc>
          <w:tcPr>
            <w:tcW w:w="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875" w:type="dxa"/>
            <w:tcBorders/>
            <w:shd w:fill="CF0A2C" w:val="clear"/>
            <w:vAlign w:val="center"/>
          </w:tcPr>
          <w:p>
            <w:pPr>
              <w:pStyle w:val="TableContents"/>
              <w:spacing w:before="0" w:after="283"/>
              <w:rPr>
                <w:sz w:val="4"/>
                <w:szCs w:val="4"/>
              </w:rPr>
            </w:pPr>
            <w:r>
              <w:rPr>
                <w:sz w:val="4"/>
                <w:szCs w:val="4"/>
              </w:rPr>
            </w:r>
          </w:p>
        </w:tc>
        <w:tc>
          <w:tcPr>
            <w:tcW w:w="763" w:type="dxa"/>
            <w:gridSpan w:val="5"/>
            <w:tcBorders/>
            <w:shd w:fill="CF0A2C" w:val="clear"/>
            <w:vAlign w:val="center"/>
          </w:tcPr>
          <w:p>
            <w:pPr>
              <w:pStyle w:val="TableContents"/>
              <w:spacing w:before="0" w:after="283"/>
              <w:rPr>
                <w:sz w:val="4"/>
                <w:szCs w:val="4"/>
              </w:rPr>
            </w:pPr>
            <w:r>
              <w:rPr>
                <w:sz w:val="4"/>
                <w:szCs w:val="4"/>
              </w:rPr>
            </w:r>
          </w:p>
        </w:tc>
        <w:tc>
          <w:tcPr>
            <w:tcW w:w="1243" w:type="dxa"/>
            <w:gridSpan w:val="5"/>
            <w:tcBorders/>
            <w:shd w:fill="CF0A2C" w:val="clear"/>
            <w:vAlign w:val="center"/>
          </w:tcPr>
          <w:p>
            <w:pPr>
              <w:pStyle w:val="TableContents"/>
              <w:spacing w:before="0" w:after="283"/>
              <w:rPr>
                <w:sz w:val="4"/>
                <w:szCs w:val="4"/>
              </w:rPr>
            </w:pPr>
            <w:r>
              <w:rPr>
                <w:sz w:val="4"/>
                <w:szCs w:val="4"/>
              </w:rPr>
            </w:r>
          </w:p>
        </w:tc>
        <w:tc>
          <w:tcPr>
            <w:tcW w:w="1450" w:type="dxa"/>
            <w:gridSpan w:val="5"/>
            <w:tcBorders/>
            <w:shd w:fill="CF0A2C" w:val="clear"/>
            <w:vAlign w:val="center"/>
          </w:tcPr>
          <w:p>
            <w:pPr>
              <w:pStyle w:val="TableContents"/>
              <w:spacing w:before="0" w:after="283"/>
              <w:rPr>
                <w:sz w:val="4"/>
                <w:szCs w:val="4"/>
              </w:rPr>
            </w:pPr>
            <w:r>
              <w:rPr>
                <w:sz w:val="4"/>
                <w:szCs w:val="4"/>
              </w:rPr>
            </w:r>
          </w:p>
        </w:tc>
        <w:tc>
          <w:tcPr>
            <w:tcW w:w="1570" w:type="dxa"/>
            <w:gridSpan w:val="5"/>
            <w:tcBorders/>
            <w:shd w:fill="CF0A2C" w:val="clear"/>
            <w:vAlign w:val="center"/>
          </w:tcPr>
          <w:p>
            <w:pPr>
              <w:pStyle w:val="TableContents"/>
              <w:spacing w:before="0" w:after="283"/>
              <w:rPr>
                <w:sz w:val="4"/>
                <w:szCs w:val="4"/>
              </w:rPr>
            </w:pPr>
            <w:r>
              <w:rPr>
                <w:sz w:val="4"/>
                <w:szCs w:val="4"/>
              </w:rPr>
            </w:r>
          </w:p>
        </w:tc>
        <w:tc>
          <w:tcPr>
            <w:tcW w:w="1003" w:type="dxa"/>
            <w:gridSpan w:val="5"/>
            <w:tcBorders/>
            <w:shd w:fill="CF0A2C" w:val="clear"/>
            <w:vAlign w:val="center"/>
          </w:tcPr>
          <w:p>
            <w:pPr>
              <w:pStyle w:val="TableContents"/>
              <w:spacing w:before="0" w:after="283"/>
              <w:rPr>
                <w:sz w:val="4"/>
                <w:szCs w:val="4"/>
              </w:rPr>
            </w:pPr>
            <w:r>
              <w:rPr>
                <w:sz w:val="4"/>
                <w:szCs w:val="4"/>
              </w:rPr>
            </w:r>
          </w:p>
        </w:tc>
        <w:tc>
          <w:tcPr>
            <w:tcW w:w="1610" w:type="dxa"/>
            <w:gridSpan w:val="5"/>
            <w:tcBorders/>
            <w:shd w:fill="CF0A2C" w:val="clear"/>
            <w:vAlign w:val="center"/>
          </w:tcPr>
          <w:p>
            <w:pPr>
              <w:pStyle w:val="TableContents"/>
              <w:spacing w:before="0" w:after="283"/>
              <w:rPr>
                <w:sz w:val="4"/>
                <w:szCs w:val="4"/>
              </w:rPr>
            </w:pPr>
            <w:r>
              <w:rPr>
                <w:sz w:val="4"/>
                <w:szCs w:val="4"/>
              </w:rPr>
            </w:r>
          </w:p>
        </w:tc>
        <w:tc>
          <w:tcPr>
            <w:tcW w:w="1610" w:type="dxa"/>
            <w:gridSpan w:val="5"/>
            <w:tcBorders/>
            <w:shd w:fill="CF0A2C" w:val="clear"/>
            <w:vAlign w:val="center"/>
          </w:tcPr>
          <w:p>
            <w:pPr>
              <w:pStyle w:val="TableContents"/>
              <w:spacing w:before="0" w:after="283"/>
              <w:rPr>
                <w:sz w:val="4"/>
                <w:szCs w:val="4"/>
              </w:rPr>
            </w:pPr>
            <w:r>
              <w:rPr>
                <w:sz w:val="4"/>
                <w:szCs w:val="4"/>
              </w:rPr>
            </w:r>
          </w:p>
        </w:tc>
        <w:tc>
          <w:tcPr>
            <w:tcW w:w="1363" w:type="dxa"/>
            <w:gridSpan w:val="5"/>
            <w:tcBorders/>
            <w:shd w:fill="CF0A2C" w:val="clear"/>
            <w:vAlign w:val="center"/>
          </w:tcPr>
          <w:p>
            <w:pPr>
              <w:pStyle w:val="TableContents"/>
              <w:spacing w:before="0" w:after="283"/>
              <w:rPr>
                <w:sz w:val="4"/>
                <w:szCs w:val="4"/>
              </w:rPr>
            </w:pPr>
            <w:r>
              <w:rPr>
                <w:sz w:val="4"/>
                <w:szCs w:val="4"/>
              </w:rPr>
            </w:r>
          </w:p>
        </w:tc>
      </w:tr>
      <w:tr>
        <w:trPr/>
        <w:tc>
          <w:tcPr>
            <w:tcW w:w="875"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 &amp; Principal Position</w:t>
            </w:r>
          </w:p>
        </w:tc>
        <w:tc>
          <w:tcPr>
            <w:tcW w:w="120" w:type="dxa"/>
            <w:tcBorders/>
            <w:shd w:fill="CF0A2C" w:val="clear"/>
            <w:vAlign w:val="bottom"/>
          </w:tcPr>
          <w:p>
            <w:pPr>
              <w:pStyle w:val="TableContents"/>
              <w:spacing w:before="0" w:after="283"/>
              <w:rPr/>
            </w:pPr>
            <w:r>
              <w:rPr/>
              <w:t>  </w:t>
            </w:r>
          </w:p>
        </w:tc>
        <w:tc>
          <w:tcPr>
            <w:tcW w:w="643" w:type="dxa"/>
            <w:gridSpan w:val="4"/>
            <w:tcBorders/>
            <w:shd w:fill="CF0A2C" w:val="clear"/>
            <w:vAlign w:val="bottom"/>
          </w:tcPr>
          <w:p>
            <w:pPr>
              <w:pStyle w:val="TableContents"/>
              <w:spacing w:before="0" w:after="283"/>
              <w:jc w:val="center"/>
              <w:rPr>
                <w:b/>
                <w:color w:val="FFFFFF"/>
              </w:rPr>
            </w:pPr>
            <w:r>
              <w:rPr>
                <w:b/>
                <w:color w:val="FFFFFF"/>
              </w:rPr>
              <w:t>Year</w:t>
            </w:r>
          </w:p>
        </w:tc>
        <w:tc>
          <w:tcPr>
            <w:tcW w:w="120" w:type="dxa"/>
            <w:tcBorders/>
            <w:shd w:fill="CF0A2C" w:val="clear"/>
            <w:vAlign w:val="bottom"/>
          </w:tcPr>
          <w:p>
            <w:pPr>
              <w:pStyle w:val="TableContents"/>
              <w:spacing w:before="0" w:after="283"/>
              <w:rPr/>
            </w:pPr>
            <w:r>
              <w:rPr/>
              <w:t>  </w:t>
            </w:r>
          </w:p>
        </w:tc>
        <w:tc>
          <w:tcPr>
            <w:tcW w:w="1123" w:type="dxa"/>
            <w:gridSpan w:val="4"/>
            <w:tcBorders/>
            <w:shd w:fill="CF0A2C" w:val="clear"/>
            <w:vAlign w:val="bottom"/>
          </w:tcPr>
          <w:p>
            <w:pPr>
              <w:pStyle w:val="TableContents"/>
              <w:spacing w:before="0" w:after="283"/>
              <w:jc w:val="center"/>
              <w:rPr>
                <w:b/>
                <w:color w:val="FFFFFF"/>
              </w:rPr>
            </w:pPr>
            <w:r>
              <w:rPr>
                <w:b/>
                <w:color w:val="FFFFFF"/>
              </w:rPr>
              <w:t>Salary</w:t>
              <w:br/>
              <w:t>($)(1)</w:t>
            </w:r>
          </w:p>
        </w:tc>
        <w:tc>
          <w:tcPr>
            <w:tcW w:w="120" w:type="dxa"/>
            <w:tcBorders/>
            <w:shd w:fill="CF0A2C" w:val="clear"/>
            <w:vAlign w:val="bottom"/>
          </w:tcPr>
          <w:p>
            <w:pPr>
              <w:pStyle w:val="TableContents"/>
              <w:spacing w:before="0" w:after="283"/>
              <w:rPr/>
            </w:pPr>
            <w:r>
              <w:rPr/>
              <w:t>  </w:t>
            </w:r>
          </w:p>
        </w:tc>
        <w:tc>
          <w:tcPr>
            <w:tcW w:w="1330" w:type="dxa"/>
            <w:gridSpan w:val="4"/>
            <w:tcBorders/>
            <w:shd w:fill="CF0A2C" w:val="clear"/>
            <w:vAlign w:val="bottom"/>
          </w:tcPr>
          <w:p>
            <w:pPr>
              <w:pStyle w:val="TableContents"/>
              <w:spacing w:before="0" w:after="283"/>
              <w:jc w:val="center"/>
              <w:rPr>
                <w:b/>
                <w:color w:val="FFFFFF"/>
              </w:rPr>
            </w:pPr>
            <w:r>
              <w:rPr>
                <w:b/>
                <w:color w:val="FFFFFF"/>
              </w:rPr>
              <w:t>Bonus</w:t>
              <w:br/>
              <w:t>($)(2)</w:t>
            </w:r>
          </w:p>
        </w:tc>
        <w:tc>
          <w:tcPr>
            <w:tcW w:w="60" w:type="dxa"/>
            <w:tcBorders/>
            <w:shd w:fill="CF0A2C" w:val="clear"/>
            <w:vAlign w:val="bottom"/>
          </w:tcPr>
          <w:p>
            <w:pPr>
              <w:pStyle w:val="TableContents"/>
              <w:spacing w:before="0" w:after="283"/>
              <w:rPr/>
            </w:pPr>
            <w:r>
              <w:rPr/>
              <w:t> </w:t>
            </w:r>
          </w:p>
        </w:tc>
        <w:tc>
          <w:tcPr>
            <w:tcW w:w="1510" w:type="dxa"/>
            <w:gridSpan w:val="4"/>
            <w:tcBorders/>
            <w:shd w:fill="CF0A2C" w:val="clear"/>
            <w:vAlign w:val="bottom"/>
          </w:tcPr>
          <w:p>
            <w:pPr>
              <w:pStyle w:val="TableContents"/>
              <w:spacing w:before="0" w:after="283"/>
              <w:jc w:val="center"/>
              <w:rPr>
                <w:b/>
                <w:color w:val="FFFFFF"/>
              </w:rPr>
            </w:pPr>
            <w:r>
              <w:rPr>
                <w:b/>
                <w:color w:val="FFFFFF"/>
              </w:rPr>
              <w:t>Stock</w:t>
              <w:br/>
              <w:t>Awards</w:t>
              <w:br/>
              <w:t>($)(3)</w:t>
            </w:r>
          </w:p>
        </w:tc>
        <w:tc>
          <w:tcPr>
            <w:tcW w:w="60" w:type="dxa"/>
            <w:tcBorders/>
            <w:shd w:fill="CF0A2C" w:val="clear"/>
            <w:vAlign w:val="bottom"/>
          </w:tcPr>
          <w:p>
            <w:pPr>
              <w:pStyle w:val="TableContents"/>
              <w:spacing w:before="0" w:after="283"/>
              <w:rPr/>
            </w:pPr>
            <w:r>
              <w:rPr/>
              <w:t> </w:t>
            </w:r>
          </w:p>
        </w:tc>
        <w:tc>
          <w:tcPr>
            <w:tcW w:w="943" w:type="dxa"/>
            <w:gridSpan w:val="4"/>
            <w:tcBorders/>
            <w:shd w:fill="CF0A2C" w:val="clear"/>
            <w:vAlign w:val="bottom"/>
          </w:tcPr>
          <w:p>
            <w:pPr>
              <w:pStyle w:val="TableContents"/>
              <w:spacing w:before="0" w:after="283"/>
              <w:jc w:val="center"/>
              <w:rPr>
                <w:b/>
                <w:color w:val="FFFFFF"/>
              </w:rPr>
            </w:pPr>
            <w:r>
              <w:rPr>
                <w:b/>
                <w:color w:val="FFFFFF"/>
              </w:rPr>
              <w:t>Option</w:t>
              <w:br/>
              <w:t>Awards</w:t>
              <w:br/>
              <w:t>($)(4)</w:t>
            </w:r>
          </w:p>
        </w:tc>
        <w:tc>
          <w:tcPr>
            <w:tcW w:w="120" w:type="dxa"/>
            <w:tcBorders/>
            <w:shd w:fill="CF0A2C" w:val="clear"/>
            <w:vAlign w:val="bottom"/>
          </w:tcPr>
          <w:p>
            <w:pPr>
              <w:pStyle w:val="TableContents"/>
              <w:spacing w:before="0" w:after="283"/>
              <w:rPr/>
            </w:pPr>
            <w:r>
              <w:rPr/>
              <w:t>  </w:t>
            </w:r>
          </w:p>
        </w:tc>
        <w:tc>
          <w:tcPr>
            <w:tcW w:w="1490" w:type="dxa"/>
            <w:gridSpan w:val="4"/>
            <w:tcBorders/>
            <w:shd w:fill="CF0A2C" w:val="clear"/>
            <w:vAlign w:val="bottom"/>
          </w:tcPr>
          <w:p>
            <w:pPr>
              <w:pStyle w:val="TableContents"/>
              <w:spacing w:before="0" w:after="283"/>
              <w:jc w:val="center"/>
              <w:rPr>
                <w:b/>
                <w:color w:val="FFFFFF"/>
              </w:rPr>
            </w:pPr>
            <w:r>
              <w:rPr>
                <w:b/>
                <w:color w:val="FFFFFF"/>
              </w:rPr>
              <w:t>Non-Equity</w:t>
              <w:br/>
              <w:t>Incentive</w:t>
              <w:br/>
              <w:t>Plan</w:t>
              <w:br/>
              <w:t>Compensation</w:t>
              <w:br/>
              <w:t>($)(5)</w:t>
            </w:r>
          </w:p>
        </w:tc>
        <w:tc>
          <w:tcPr>
            <w:tcW w:w="120" w:type="dxa"/>
            <w:tcBorders/>
            <w:shd w:fill="CF0A2C" w:val="clear"/>
            <w:vAlign w:val="bottom"/>
          </w:tcPr>
          <w:p>
            <w:pPr>
              <w:pStyle w:val="TableContents"/>
              <w:spacing w:before="0" w:after="283"/>
              <w:rPr/>
            </w:pPr>
            <w:r>
              <w:rPr/>
              <w:t>  </w:t>
            </w:r>
          </w:p>
        </w:tc>
        <w:tc>
          <w:tcPr>
            <w:tcW w:w="1490" w:type="dxa"/>
            <w:gridSpan w:val="4"/>
            <w:tcBorders/>
            <w:shd w:fill="CF0A2C" w:val="clear"/>
            <w:vAlign w:val="bottom"/>
          </w:tcPr>
          <w:p>
            <w:pPr>
              <w:pStyle w:val="TableContents"/>
              <w:spacing w:before="0" w:after="283"/>
              <w:jc w:val="center"/>
              <w:rPr>
                <w:b/>
                <w:color w:val="FFFFFF"/>
              </w:rPr>
            </w:pPr>
            <w:r>
              <w:rPr>
                <w:b/>
                <w:color w:val="FFFFFF"/>
              </w:rPr>
              <w:t>All Other</w:t>
              <w:br/>
              <w:t>Compensation</w:t>
              <w:br/>
              <w:t>($)(6)</w:t>
            </w:r>
          </w:p>
        </w:tc>
        <w:tc>
          <w:tcPr>
            <w:tcW w:w="120" w:type="dxa"/>
            <w:tcBorders/>
            <w:shd w:fill="CF0A2C" w:val="clear"/>
            <w:vAlign w:val="bottom"/>
          </w:tcPr>
          <w:p>
            <w:pPr>
              <w:pStyle w:val="TableContents"/>
              <w:spacing w:before="0" w:after="283"/>
              <w:rPr/>
            </w:pPr>
            <w:r>
              <w:rPr/>
              <w:t>  </w:t>
            </w:r>
          </w:p>
        </w:tc>
        <w:tc>
          <w:tcPr>
            <w:tcW w:w="1243" w:type="dxa"/>
            <w:gridSpan w:val="4"/>
            <w:tcBorders/>
            <w:shd w:fill="CF0A2C" w:val="clear"/>
            <w:vAlign w:val="bottom"/>
          </w:tcPr>
          <w:p>
            <w:pPr>
              <w:pStyle w:val="TableContents"/>
              <w:spacing w:before="0" w:after="283"/>
              <w:jc w:val="center"/>
              <w:rPr>
                <w:b/>
                <w:color w:val="FFFFFF"/>
              </w:rPr>
            </w:pPr>
            <w:r>
              <w:rPr>
                <w:b/>
                <w:color w:val="FFFFFF"/>
              </w:rPr>
              <w:t>Total  </w:t>
              <w:br/>
              <w:t>($)  </w:t>
            </w:r>
          </w:p>
        </w:tc>
      </w:tr>
      <w:tr>
        <w:trPr>
          <w:trHeight w:val="75" w:hRule="atLeast"/>
        </w:trPr>
        <w:tc>
          <w:tcPr>
            <w:tcW w:w="875" w:type="dxa"/>
            <w:tcBorders/>
            <w:shd w:fill="E5E5E5" w:val="clear"/>
            <w:vAlign w:val="center"/>
          </w:tcPr>
          <w:p>
            <w:pPr>
              <w:pStyle w:val="TableContents"/>
              <w:spacing w:before="0" w:after="283"/>
              <w:rPr>
                <w:sz w:val="4"/>
                <w:szCs w:val="4"/>
              </w:rPr>
            </w:pPr>
            <w:r>
              <w:rPr>
                <w:sz w:val="4"/>
                <w:szCs w:val="4"/>
              </w:rPr>
            </w:r>
          </w:p>
        </w:tc>
        <w:tc>
          <w:tcPr>
            <w:tcW w:w="763" w:type="dxa"/>
            <w:gridSpan w:val="5"/>
            <w:tcBorders/>
            <w:shd w:fill="E5E5E5" w:val="clear"/>
            <w:vAlign w:val="center"/>
          </w:tcPr>
          <w:p>
            <w:pPr>
              <w:pStyle w:val="TableContents"/>
              <w:spacing w:before="0" w:after="283"/>
              <w:rPr>
                <w:sz w:val="4"/>
                <w:szCs w:val="4"/>
              </w:rPr>
            </w:pPr>
            <w:r>
              <w:rPr>
                <w:sz w:val="4"/>
                <w:szCs w:val="4"/>
              </w:rPr>
            </w:r>
          </w:p>
        </w:tc>
        <w:tc>
          <w:tcPr>
            <w:tcW w:w="1243" w:type="dxa"/>
            <w:gridSpan w:val="5"/>
            <w:tcBorders/>
            <w:shd w:fill="E5E5E5" w:val="clear"/>
            <w:vAlign w:val="center"/>
          </w:tcPr>
          <w:p>
            <w:pPr>
              <w:pStyle w:val="TableContents"/>
              <w:spacing w:before="0" w:after="283"/>
              <w:rPr>
                <w:sz w:val="4"/>
                <w:szCs w:val="4"/>
              </w:rPr>
            </w:pPr>
            <w:r>
              <w:rPr>
                <w:sz w:val="4"/>
                <w:szCs w:val="4"/>
              </w:rPr>
            </w:r>
          </w:p>
        </w:tc>
        <w:tc>
          <w:tcPr>
            <w:tcW w:w="1450" w:type="dxa"/>
            <w:gridSpan w:val="5"/>
            <w:tcBorders/>
            <w:shd w:fill="E5E5E5" w:val="clear"/>
            <w:vAlign w:val="center"/>
          </w:tcPr>
          <w:p>
            <w:pPr>
              <w:pStyle w:val="TableContents"/>
              <w:spacing w:before="0" w:after="283"/>
              <w:rPr>
                <w:sz w:val="4"/>
                <w:szCs w:val="4"/>
              </w:rPr>
            </w:pPr>
            <w:r>
              <w:rPr>
                <w:sz w:val="4"/>
                <w:szCs w:val="4"/>
              </w:rPr>
            </w:r>
          </w:p>
        </w:tc>
        <w:tc>
          <w:tcPr>
            <w:tcW w:w="1570" w:type="dxa"/>
            <w:gridSpan w:val="5"/>
            <w:tcBorders/>
            <w:shd w:fill="E5E5E5" w:val="clear"/>
            <w:vAlign w:val="center"/>
          </w:tcPr>
          <w:p>
            <w:pPr>
              <w:pStyle w:val="TableContents"/>
              <w:spacing w:before="0" w:after="283"/>
              <w:rPr>
                <w:sz w:val="4"/>
                <w:szCs w:val="4"/>
              </w:rPr>
            </w:pPr>
            <w:r>
              <w:rPr>
                <w:sz w:val="4"/>
                <w:szCs w:val="4"/>
              </w:rPr>
            </w:r>
          </w:p>
        </w:tc>
        <w:tc>
          <w:tcPr>
            <w:tcW w:w="1003" w:type="dxa"/>
            <w:gridSpan w:val="5"/>
            <w:tcBorders/>
            <w:shd w:fill="E5E5E5" w:val="clear"/>
            <w:vAlign w:val="center"/>
          </w:tcPr>
          <w:p>
            <w:pPr>
              <w:pStyle w:val="TableContents"/>
              <w:spacing w:before="0" w:after="283"/>
              <w:rPr>
                <w:sz w:val="4"/>
                <w:szCs w:val="4"/>
              </w:rPr>
            </w:pPr>
            <w:r>
              <w:rPr>
                <w:sz w:val="4"/>
                <w:szCs w:val="4"/>
              </w:rPr>
            </w:r>
          </w:p>
        </w:tc>
        <w:tc>
          <w:tcPr>
            <w:tcW w:w="1610" w:type="dxa"/>
            <w:gridSpan w:val="5"/>
            <w:tcBorders/>
            <w:shd w:fill="E5E5E5" w:val="clear"/>
            <w:vAlign w:val="center"/>
          </w:tcPr>
          <w:p>
            <w:pPr>
              <w:pStyle w:val="TableContents"/>
              <w:spacing w:before="0" w:after="283"/>
              <w:rPr>
                <w:sz w:val="4"/>
                <w:szCs w:val="4"/>
              </w:rPr>
            </w:pPr>
            <w:r>
              <w:rPr>
                <w:sz w:val="4"/>
                <w:szCs w:val="4"/>
              </w:rPr>
            </w:r>
          </w:p>
        </w:tc>
        <w:tc>
          <w:tcPr>
            <w:tcW w:w="1610" w:type="dxa"/>
            <w:gridSpan w:val="5"/>
            <w:tcBorders/>
            <w:shd w:fill="E5E5E5" w:val="clear"/>
            <w:vAlign w:val="center"/>
          </w:tcPr>
          <w:p>
            <w:pPr>
              <w:pStyle w:val="TableContents"/>
              <w:spacing w:before="0" w:after="283"/>
              <w:rPr>
                <w:sz w:val="4"/>
                <w:szCs w:val="4"/>
              </w:rPr>
            </w:pPr>
            <w:r>
              <w:rPr>
                <w:sz w:val="4"/>
                <w:szCs w:val="4"/>
              </w:rPr>
            </w:r>
          </w:p>
        </w:tc>
        <w:tc>
          <w:tcPr>
            <w:tcW w:w="1363" w:type="dxa"/>
            <w:gridSpan w:val="5"/>
            <w:tcBorders/>
            <w:shd w:fill="E5E5E5" w:val="clear"/>
            <w:vAlign w:val="center"/>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0"/>
              <w:rPr>
                <w:rFonts w:ascii="arial" w:hAnsi="arial"/>
                <w:b/>
                <w:sz w:val="16"/>
              </w:rPr>
            </w:pPr>
            <w:r>
              <w:rPr>
                <w:rFonts w:ascii="arial" w:hAnsi="arial"/>
                <w:b/>
                <w:sz w:val="16"/>
              </w:rPr>
              <w:t>Stephen P. Joyce</w:t>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2020</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1,000,000</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500,000</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311,131</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1,811,131  </w:t>
            </w:r>
          </w:p>
        </w:tc>
        <w:tc>
          <w:tcPr>
            <w:tcW w:w="23" w:type="dxa"/>
            <w:tcBorders/>
            <w:shd w:fill="E5E5E5" w:val="clear"/>
            <w:vAlign w:val="bottom"/>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0"/>
              <w:rPr>
                <w:rFonts w:ascii="arial" w:hAnsi="arial"/>
                <w:sz w:val="16"/>
              </w:rPr>
            </w:pPr>
            <w:r>
              <w:rPr>
                <w:rFonts w:ascii="arial" w:hAnsi="arial"/>
                <w:sz w:val="16"/>
              </w:rPr>
              <w:t>Former Chief Executive Officer</w:t>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2019</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1,000,000</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455,948</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297,810</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1,753,758  </w:t>
            </w:r>
          </w:p>
        </w:tc>
        <w:tc>
          <w:tcPr>
            <w:tcW w:w="23" w:type="dxa"/>
            <w:tcBorders/>
            <w:shd w:fill="E5E5E5" w:val="clear"/>
            <w:vAlign w:val="bottom"/>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2018</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1,000,000</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1,295,200</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275,503</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2,570,703  </w:t>
            </w:r>
          </w:p>
        </w:tc>
        <w:tc>
          <w:tcPr>
            <w:tcW w:w="23"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875" w:type="dxa"/>
            <w:tcBorders/>
            <w:shd w:fill="auto" w:val="clear"/>
            <w:vAlign w:val="center"/>
          </w:tcPr>
          <w:p>
            <w:pPr>
              <w:pStyle w:val="TableContents"/>
              <w:spacing w:before="0" w:after="283"/>
              <w:rPr>
                <w:sz w:val="4"/>
                <w:szCs w:val="4"/>
              </w:rPr>
            </w:pPr>
            <w:r>
              <w:rPr>
                <w:sz w:val="4"/>
                <w:szCs w:val="4"/>
              </w:rPr>
            </w:r>
          </w:p>
        </w:tc>
        <w:tc>
          <w:tcPr>
            <w:tcW w:w="763" w:type="dxa"/>
            <w:gridSpan w:val="5"/>
            <w:tcBorders/>
            <w:shd w:fill="auto" w:val="clear"/>
            <w:vAlign w:val="center"/>
          </w:tcPr>
          <w:p>
            <w:pPr>
              <w:pStyle w:val="TableContents"/>
              <w:spacing w:before="0" w:after="283"/>
              <w:rPr>
                <w:sz w:val="4"/>
                <w:szCs w:val="4"/>
              </w:rPr>
            </w:pPr>
            <w:r>
              <w:rPr>
                <w:sz w:val="4"/>
                <w:szCs w:val="4"/>
              </w:rPr>
            </w:r>
          </w:p>
        </w:tc>
        <w:tc>
          <w:tcPr>
            <w:tcW w:w="1243" w:type="dxa"/>
            <w:gridSpan w:val="5"/>
            <w:tcBorders/>
            <w:shd w:fill="auto" w:val="clear"/>
            <w:vAlign w:val="center"/>
          </w:tcPr>
          <w:p>
            <w:pPr>
              <w:pStyle w:val="TableContents"/>
              <w:spacing w:before="0" w:after="283"/>
              <w:rPr>
                <w:sz w:val="4"/>
                <w:szCs w:val="4"/>
              </w:rPr>
            </w:pPr>
            <w:r>
              <w:rPr>
                <w:sz w:val="4"/>
                <w:szCs w:val="4"/>
              </w:rPr>
            </w:r>
          </w:p>
        </w:tc>
        <w:tc>
          <w:tcPr>
            <w:tcW w:w="1450" w:type="dxa"/>
            <w:gridSpan w:val="5"/>
            <w:tcBorders/>
            <w:shd w:fill="auto" w:val="clear"/>
            <w:vAlign w:val="center"/>
          </w:tcPr>
          <w:p>
            <w:pPr>
              <w:pStyle w:val="TableContents"/>
              <w:spacing w:before="0" w:after="283"/>
              <w:rPr>
                <w:sz w:val="4"/>
                <w:szCs w:val="4"/>
              </w:rPr>
            </w:pPr>
            <w:r>
              <w:rPr>
                <w:sz w:val="4"/>
                <w:szCs w:val="4"/>
              </w:rPr>
            </w:r>
          </w:p>
        </w:tc>
        <w:tc>
          <w:tcPr>
            <w:tcW w:w="1570"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610" w:type="dxa"/>
            <w:gridSpan w:val="5"/>
            <w:tcBorders/>
            <w:shd w:fill="auto" w:val="clear"/>
            <w:vAlign w:val="center"/>
          </w:tcPr>
          <w:p>
            <w:pPr>
              <w:pStyle w:val="TableContents"/>
              <w:spacing w:before="0" w:after="283"/>
              <w:rPr>
                <w:sz w:val="4"/>
                <w:szCs w:val="4"/>
              </w:rPr>
            </w:pPr>
            <w:r>
              <w:rPr>
                <w:sz w:val="4"/>
                <w:szCs w:val="4"/>
              </w:rPr>
            </w:r>
          </w:p>
        </w:tc>
        <w:tc>
          <w:tcPr>
            <w:tcW w:w="1610" w:type="dxa"/>
            <w:gridSpan w:val="5"/>
            <w:tcBorders/>
            <w:shd w:fill="auto" w:val="clear"/>
            <w:vAlign w:val="center"/>
          </w:tcPr>
          <w:p>
            <w:pPr>
              <w:pStyle w:val="TableContents"/>
              <w:spacing w:before="0" w:after="283"/>
              <w:rPr>
                <w:sz w:val="4"/>
                <w:szCs w:val="4"/>
              </w:rPr>
            </w:pPr>
            <w:r>
              <w:rPr>
                <w:sz w:val="4"/>
                <w:szCs w:val="4"/>
              </w:rPr>
            </w:r>
          </w:p>
        </w:tc>
        <w:tc>
          <w:tcPr>
            <w:tcW w:w="1363" w:type="dxa"/>
            <w:gridSpan w:val="5"/>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tcPr>
          <w:p>
            <w:pPr>
              <w:pStyle w:val="TableContents"/>
              <w:spacing w:before="0" w:after="0"/>
              <w:rPr>
                <w:rFonts w:ascii="arial" w:hAnsi="arial"/>
                <w:b/>
                <w:sz w:val="16"/>
              </w:rPr>
            </w:pPr>
            <w:r>
              <w:rPr>
                <w:rFonts w:ascii="arial" w:hAnsi="arial"/>
                <w:b/>
                <w:sz w:val="16"/>
              </w:rPr>
              <w:t>Thomas H. Song (7)</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2020</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543,846</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206,250</w:t>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264,038</w:t>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272,008</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265,320</w:t>
            </w:r>
          </w:p>
        </w:tc>
        <w:tc>
          <w:tcPr>
            <w:tcW w:w="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36,064</w:t>
            </w:r>
          </w:p>
        </w:tc>
        <w:tc>
          <w:tcPr>
            <w:tcW w:w="3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1,587,525  </w:t>
            </w:r>
          </w:p>
        </w:tc>
        <w:tc>
          <w:tcPr>
            <w:tcW w:w="23" w:type="dxa"/>
            <w:tcBorders/>
            <w:shd w:fill="auto" w:val="clear"/>
            <w:vAlign w:val="bottom"/>
          </w:tcPr>
          <w:p>
            <w:pPr>
              <w:pStyle w:val="TableContents"/>
              <w:spacing w:before="0" w:after="283"/>
              <w:rPr>
                <w:sz w:val="4"/>
                <w:szCs w:val="4"/>
              </w:rPr>
            </w:pPr>
            <w:r>
              <w:rPr>
                <w:sz w:val="4"/>
                <w:szCs w:val="4"/>
              </w:rPr>
            </w:r>
          </w:p>
        </w:tc>
      </w:tr>
      <w:tr>
        <w:trPr/>
        <w:tc>
          <w:tcPr>
            <w:tcW w:w="875" w:type="dxa"/>
            <w:tcBorders/>
            <w:shd w:fill="auto" w:val="clear"/>
          </w:tcPr>
          <w:p>
            <w:pPr>
              <w:pStyle w:val="TableContents"/>
              <w:spacing w:before="0" w:after="0"/>
              <w:rPr>
                <w:rFonts w:ascii="arial" w:hAnsi="arial"/>
                <w:sz w:val="16"/>
              </w:rPr>
            </w:pPr>
            <w:r>
              <w:rPr>
                <w:rFonts w:ascii="arial" w:hAnsi="arial"/>
                <w:sz w:val="16"/>
              </w:rPr>
              <w:t>Former Chief Financial Officer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2019</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508,461</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250,000</w:t>
            </w:r>
          </w:p>
        </w:tc>
        <w:tc>
          <w:tcPr>
            <w:tcW w:w="410" w:type="dxa"/>
            <w:tcBorders/>
            <w:shd w:fill="auto" w:val="clear"/>
            <w:vAlign w:val="bottom"/>
          </w:tcPr>
          <w:p>
            <w:pPr>
              <w:pStyle w:val="TableContents"/>
              <w:spacing w:before="0" w:after="283"/>
              <w:rPr/>
            </w:pPr>
            <w:r>
              <w:rPr/>
              <w:t>(8)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231,095</w:t>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237,985</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520,930</w:t>
            </w:r>
          </w:p>
        </w:tc>
        <w:tc>
          <w:tcPr>
            <w:tcW w:w="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38,197</w:t>
            </w:r>
          </w:p>
        </w:tc>
        <w:tc>
          <w:tcPr>
            <w:tcW w:w="3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1,786,668  </w:t>
            </w:r>
          </w:p>
        </w:tc>
        <w:tc>
          <w:tcPr>
            <w:tcW w:w="23" w:type="dxa"/>
            <w:tcBorders/>
            <w:shd w:fill="auto" w:val="clear"/>
            <w:vAlign w:val="bottom"/>
          </w:tcPr>
          <w:p>
            <w:pPr>
              <w:pStyle w:val="TableContents"/>
              <w:spacing w:before="0" w:after="283"/>
              <w:rPr>
                <w:sz w:val="4"/>
                <w:szCs w:val="4"/>
              </w:rPr>
            </w:pPr>
            <w:r>
              <w:rPr>
                <w:sz w:val="4"/>
                <w:szCs w:val="4"/>
              </w:rPr>
            </w:r>
          </w:p>
        </w:tc>
      </w:tr>
      <w:tr>
        <w:trPr/>
        <w:tc>
          <w:tcPr>
            <w:tcW w:w="87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2018</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286,538</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200,000</w:t>
            </w:r>
          </w:p>
        </w:tc>
        <w:tc>
          <w:tcPr>
            <w:tcW w:w="410" w:type="dxa"/>
            <w:tcBorders/>
            <w:shd w:fill="auto" w:val="clear"/>
            <w:vAlign w:val="bottom"/>
          </w:tcPr>
          <w:p>
            <w:pPr>
              <w:pStyle w:val="TableContents"/>
              <w:spacing w:before="0" w:after="283"/>
              <w:rPr/>
            </w:pPr>
            <w:r>
              <w:rPr/>
              <w:t>(9)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1,198,010</w:t>
            </w:r>
          </w:p>
        </w:tc>
        <w:tc>
          <w:tcPr>
            <w:tcW w:w="410" w:type="dxa"/>
            <w:tcBorders/>
            <w:shd w:fill="auto" w:val="clear"/>
            <w:vAlign w:val="bottom"/>
          </w:tcPr>
          <w:p>
            <w:pPr>
              <w:pStyle w:val="TableContents"/>
              <w:spacing w:before="0" w:after="283"/>
              <w:rPr/>
            </w:pPr>
            <w:r>
              <w:rPr/>
              <w:t>(10)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204,042</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568,900</w:t>
            </w:r>
          </w:p>
        </w:tc>
        <w:tc>
          <w:tcPr>
            <w:tcW w:w="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225,893</w:t>
            </w:r>
          </w:p>
        </w:tc>
        <w:tc>
          <w:tcPr>
            <w:tcW w:w="3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2,683,383  </w:t>
            </w:r>
          </w:p>
        </w:tc>
        <w:tc>
          <w:tcPr>
            <w:tcW w:w="23"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875" w:type="dxa"/>
            <w:tcBorders/>
            <w:shd w:fill="E5E5E5" w:val="clear"/>
            <w:vAlign w:val="center"/>
          </w:tcPr>
          <w:p>
            <w:pPr>
              <w:pStyle w:val="TableContents"/>
              <w:spacing w:before="0" w:after="283"/>
              <w:rPr>
                <w:sz w:val="4"/>
                <w:szCs w:val="4"/>
              </w:rPr>
            </w:pPr>
            <w:r>
              <w:rPr>
                <w:sz w:val="4"/>
                <w:szCs w:val="4"/>
              </w:rPr>
            </w:r>
          </w:p>
        </w:tc>
        <w:tc>
          <w:tcPr>
            <w:tcW w:w="763" w:type="dxa"/>
            <w:gridSpan w:val="5"/>
            <w:tcBorders/>
            <w:shd w:fill="E5E5E5" w:val="clear"/>
            <w:vAlign w:val="center"/>
          </w:tcPr>
          <w:p>
            <w:pPr>
              <w:pStyle w:val="TableContents"/>
              <w:spacing w:before="0" w:after="283"/>
              <w:rPr>
                <w:sz w:val="4"/>
                <w:szCs w:val="4"/>
              </w:rPr>
            </w:pPr>
            <w:r>
              <w:rPr>
                <w:sz w:val="4"/>
                <w:szCs w:val="4"/>
              </w:rPr>
            </w:r>
          </w:p>
        </w:tc>
        <w:tc>
          <w:tcPr>
            <w:tcW w:w="1243" w:type="dxa"/>
            <w:gridSpan w:val="5"/>
            <w:tcBorders/>
            <w:shd w:fill="E5E5E5" w:val="clear"/>
            <w:vAlign w:val="center"/>
          </w:tcPr>
          <w:p>
            <w:pPr>
              <w:pStyle w:val="TableContents"/>
              <w:spacing w:before="0" w:after="283"/>
              <w:rPr>
                <w:sz w:val="4"/>
                <w:szCs w:val="4"/>
              </w:rPr>
            </w:pPr>
            <w:r>
              <w:rPr>
                <w:sz w:val="4"/>
                <w:szCs w:val="4"/>
              </w:rPr>
            </w:r>
          </w:p>
        </w:tc>
        <w:tc>
          <w:tcPr>
            <w:tcW w:w="1450" w:type="dxa"/>
            <w:gridSpan w:val="5"/>
            <w:tcBorders/>
            <w:shd w:fill="E5E5E5" w:val="clear"/>
            <w:vAlign w:val="center"/>
          </w:tcPr>
          <w:p>
            <w:pPr>
              <w:pStyle w:val="TableContents"/>
              <w:spacing w:before="0" w:after="283"/>
              <w:rPr>
                <w:sz w:val="4"/>
                <w:szCs w:val="4"/>
              </w:rPr>
            </w:pPr>
            <w:r>
              <w:rPr>
                <w:sz w:val="4"/>
                <w:szCs w:val="4"/>
              </w:rPr>
            </w:r>
          </w:p>
        </w:tc>
        <w:tc>
          <w:tcPr>
            <w:tcW w:w="1570" w:type="dxa"/>
            <w:gridSpan w:val="5"/>
            <w:tcBorders/>
            <w:shd w:fill="E5E5E5" w:val="clear"/>
            <w:vAlign w:val="center"/>
          </w:tcPr>
          <w:p>
            <w:pPr>
              <w:pStyle w:val="TableContents"/>
              <w:spacing w:before="0" w:after="283"/>
              <w:rPr>
                <w:sz w:val="4"/>
                <w:szCs w:val="4"/>
              </w:rPr>
            </w:pPr>
            <w:r>
              <w:rPr>
                <w:sz w:val="4"/>
                <w:szCs w:val="4"/>
              </w:rPr>
            </w:r>
          </w:p>
        </w:tc>
        <w:tc>
          <w:tcPr>
            <w:tcW w:w="1003" w:type="dxa"/>
            <w:gridSpan w:val="5"/>
            <w:tcBorders/>
            <w:shd w:fill="E5E5E5" w:val="clear"/>
            <w:vAlign w:val="center"/>
          </w:tcPr>
          <w:p>
            <w:pPr>
              <w:pStyle w:val="TableContents"/>
              <w:spacing w:before="0" w:after="283"/>
              <w:rPr>
                <w:sz w:val="4"/>
                <w:szCs w:val="4"/>
              </w:rPr>
            </w:pPr>
            <w:r>
              <w:rPr>
                <w:sz w:val="4"/>
                <w:szCs w:val="4"/>
              </w:rPr>
            </w:r>
          </w:p>
        </w:tc>
        <w:tc>
          <w:tcPr>
            <w:tcW w:w="1610" w:type="dxa"/>
            <w:gridSpan w:val="5"/>
            <w:tcBorders/>
            <w:shd w:fill="E5E5E5" w:val="clear"/>
            <w:vAlign w:val="center"/>
          </w:tcPr>
          <w:p>
            <w:pPr>
              <w:pStyle w:val="TableContents"/>
              <w:spacing w:before="0" w:after="283"/>
              <w:rPr>
                <w:sz w:val="4"/>
                <w:szCs w:val="4"/>
              </w:rPr>
            </w:pPr>
            <w:r>
              <w:rPr>
                <w:sz w:val="4"/>
                <w:szCs w:val="4"/>
              </w:rPr>
            </w:r>
          </w:p>
        </w:tc>
        <w:tc>
          <w:tcPr>
            <w:tcW w:w="1610" w:type="dxa"/>
            <w:gridSpan w:val="5"/>
            <w:tcBorders/>
            <w:shd w:fill="E5E5E5" w:val="clear"/>
            <w:vAlign w:val="center"/>
          </w:tcPr>
          <w:p>
            <w:pPr>
              <w:pStyle w:val="TableContents"/>
              <w:spacing w:before="0" w:after="283"/>
              <w:rPr>
                <w:sz w:val="4"/>
                <w:szCs w:val="4"/>
              </w:rPr>
            </w:pPr>
            <w:r>
              <w:rPr>
                <w:sz w:val="4"/>
                <w:szCs w:val="4"/>
              </w:rPr>
            </w:r>
          </w:p>
        </w:tc>
        <w:tc>
          <w:tcPr>
            <w:tcW w:w="1363" w:type="dxa"/>
            <w:gridSpan w:val="5"/>
            <w:tcBorders/>
            <w:shd w:fill="E5E5E5" w:val="clear"/>
            <w:vAlign w:val="center"/>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0"/>
              <w:rPr>
                <w:rFonts w:ascii="arial" w:hAnsi="arial"/>
                <w:b/>
                <w:sz w:val="16"/>
              </w:rPr>
            </w:pPr>
            <w:r>
              <w:rPr>
                <w:rFonts w:ascii="arial" w:hAnsi="arial"/>
                <w:b/>
                <w:sz w:val="16"/>
              </w:rPr>
              <w:t>John C. Cywinski</w:t>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2020</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668,185</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286,875</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330,026</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340,014</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364,815</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37,173</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2,027,088  </w:t>
            </w:r>
          </w:p>
        </w:tc>
        <w:tc>
          <w:tcPr>
            <w:tcW w:w="23" w:type="dxa"/>
            <w:tcBorders/>
            <w:shd w:fill="E5E5E5" w:val="clear"/>
            <w:vAlign w:val="bottom"/>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0"/>
              <w:rPr>
                <w:rFonts w:ascii="arial" w:hAnsi="arial"/>
                <w:sz w:val="16"/>
              </w:rPr>
            </w:pPr>
            <w:r>
              <w:rPr>
                <w:rFonts w:ascii="arial" w:hAnsi="arial"/>
                <w:sz w:val="16"/>
              </w:rPr>
              <w:t>President, Applebees Business Unit</w:t>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2019</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612,295</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288,794</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297,475</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606,730</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34,871</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1,840,166  </w:t>
            </w:r>
          </w:p>
        </w:tc>
        <w:tc>
          <w:tcPr>
            <w:tcW w:w="23" w:type="dxa"/>
            <w:tcBorders/>
            <w:shd w:fill="E5E5E5" w:val="clear"/>
            <w:vAlign w:val="bottom"/>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2018</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589,596</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2,319,309</w:t>
            </w:r>
          </w:p>
        </w:tc>
        <w:tc>
          <w:tcPr>
            <w:tcW w:w="410" w:type="dxa"/>
            <w:tcBorders/>
            <w:shd w:fill="E5E5E5" w:val="clear"/>
            <w:vAlign w:val="bottom"/>
          </w:tcPr>
          <w:p>
            <w:pPr>
              <w:pStyle w:val="TableContents"/>
              <w:spacing w:before="0" w:after="283"/>
              <w:rPr/>
            </w:pPr>
            <w:r>
              <w:rPr/>
              <w:t>(11)</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280,555</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1,016,400</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174,434</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4,380,294  </w:t>
            </w:r>
          </w:p>
        </w:tc>
        <w:tc>
          <w:tcPr>
            <w:tcW w:w="23"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875" w:type="dxa"/>
            <w:tcBorders/>
            <w:shd w:fill="auto" w:val="clear"/>
            <w:vAlign w:val="center"/>
          </w:tcPr>
          <w:p>
            <w:pPr>
              <w:pStyle w:val="TableContents"/>
              <w:spacing w:before="0" w:after="283"/>
              <w:rPr>
                <w:sz w:val="4"/>
                <w:szCs w:val="4"/>
              </w:rPr>
            </w:pPr>
            <w:r>
              <w:rPr>
                <w:sz w:val="4"/>
                <w:szCs w:val="4"/>
              </w:rPr>
            </w:r>
          </w:p>
        </w:tc>
        <w:tc>
          <w:tcPr>
            <w:tcW w:w="763" w:type="dxa"/>
            <w:gridSpan w:val="5"/>
            <w:tcBorders/>
            <w:shd w:fill="auto" w:val="clear"/>
            <w:vAlign w:val="center"/>
          </w:tcPr>
          <w:p>
            <w:pPr>
              <w:pStyle w:val="TableContents"/>
              <w:spacing w:before="0" w:after="283"/>
              <w:rPr>
                <w:sz w:val="4"/>
                <w:szCs w:val="4"/>
              </w:rPr>
            </w:pPr>
            <w:r>
              <w:rPr>
                <w:sz w:val="4"/>
                <w:szCs w:val="4"/>
              </w:rPr>
            </w:r>
          </w:p>
        </w:tc>
        <w:tc>
          <w:tcPr>
            <w:tcW w:w="1243" w:type="dxa"/>
            <w:gridSpan w:val="5"/>
            <w:tcBorders/>
            <w:shd w:fill="auto" w:val="clear"/>
            <w:vAlign w:val="center"/>
          </w:tcPr>
          <w:p>
            <w:pPr>
              <w:pStyle w:val="TableContents"/>
              <w:spacing w:before="0" w:after="283"/>
              <w:rPr>
                <w:sz w:val="4"/>
                <w:szCs w:val="4"/>
              </w:rPr>
            </w:pPr>
            <w:r>
              <w:rPr>
                <w:sz w:val="4"/>
                <w:szCs w:val="4"/>
              </w:rPr>
            </w:r>
          </w:p>
        </w:tc>
        <w:tc>
          <w:tcPr>
            <w:tcW w:w="1450" w:type="dxa"/>
            <w:gridSpan w:val="5"/>
            <w:tcBorders/>
            <w:shd w:fill="auto" w:val="clear"/>
            <w:vAlign w:val="center"/>
          </w:tcPr>
          <w:p>
            <w:pPr>
              <w:pStyle w:val="TableContents"/>
              <w:spacing w:before="0" w:after="283"/>
              <w:rPr>
                <w:sz w:val="4"/>
                <w:szCs w:val="4"/>
              </w:rPr>
            </w:pPr>
            <w:r>
              <w:rPr>
                <w:sz w:val="4"/>
                <w:szCs w:val="4"/>
              </w:rPr>
            </w:r>
          </w:p>
        </w:tc>
        <w:tc>
          <w:tcPr>
            <w:tcW w:w="1570"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610" w:type="dxa"/>
            <w:gridSpan w:val="5"/>
            <w:tcBorders/>
            <w:shd w:fill="auto" w:val="clear"/>
            <w:vAlign w:val="center"/>
          </w:tcPr>
          <w:p>
            <w:pPr>
              <w:pStyle w:val="TableContents"/>
              <w:spacing w:before="0" w:after="283"/>
              <w:rPr>
                <w:sz w:val="4"/>
                <w:szCs w:val="4"/>
              </w:rPr>
            </w:pPr>
            <w:r>
              <w:rPr>
                <w:sz w:val="4"/>
                <w:szCs w:val="4"/>
              </w:rPr>
            </w:r>
          </w:p>
        </w:tc>
        <w:tc>
          <w:tcPr>
            <w:tcW w:w="1610" w:type="dxa"/>
            <w:gridSpan w:val="5"/>
            <w:tcBorders/>
            <w:shd w:fill="auto" w:val="clear"/>
            <w:vAlign w:val="center"/>
          </w:tcPr>
          <w:p>
            <w:pPr>
              <w:pStyle w:val="TableContents"/>
              <w:spacing w:before="0" w:after="283"/>
              <w:rPr>
                <w:sz w:val="4"/>
                <w:szCs w:val="4"/>
              </w:rPr>
            </w:pPr>
            <w:r>
              <w:rPr>
                <w:sz w:val="4"/>
                <w:szCs w:val="4"/>
              </w:rPr>
            </w:r>
          </w:p>
        </w:tc>
        <w:tc>
          <w:tcPr>
            <w:tcW w:w="1363" w:type="dxa"/>
            <w:gridSpan w:val="5"/>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tcPr>
          <w:p>
            <w:pPr>
              <w:pStyle w:val="TableContents"/>
              <w:spacing w:before="0" w:after="0"/>
              <w:rPr>
                <w:rFonts w:ascii="arial" w:hAnsi="arial"/>
                <w:b/>
                <w:sz w:val="16"/>
              </w:rPr>
            </w:pPr>
            <w:r>
              <w:rPr>
                <w:rFonts w:ascii="arial" w:hAnsi="arial"/>
                <w:b/>
                <w:sz w:val="16"/>
              </w:rPr>
              <w:t>Jay D. Johns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2020</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546,154</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206,250</w:t>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247,563</w:t>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255,006</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110,550</w:t>
            </w:r>
          </w:p>
        </w:tc>
        <w:tc>
          <w:tcPr>
            <w:tcW w:w="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35,433</w:t>
            </w:r>
          </w:p>
        </w:tc>
        <w:tc>
          <w:tcPr>
            <w:tcW w:w="3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1,400,956  </w:t>
            </w:r>
          </w:p>
        </w:tc>
        <w:tc>
          <w:tcPr>
            <w:tcW w:w="23" w:type="dxa"/>
            <w:tcBorders/>
            <w:shd w:fill="auto" w:val="clear"/>
            <w:vAlign w:val="bottom"/>
          </w:tcPr>
          <w:p>
            <w:pPr>
              <w:pStyle w:val="TableContents"/>
              <w:spacing w:before="0" w:after="283"/>
              <w:rPr>
                <w:sz w:val="4"/>
                <w:szCs w:val="4"/>
              </w:rPr>
            </w:pPr>
            <w:r>
              <w:rPr>
                <w:sz w:val="4"/>
                <w:szCs w:val="4"/>
              </w:rPr>
            </w:r>
          </w:p>
        </w:tc>
      </w:tr>
      <w:tr>
        <w:trPr/>
        <w:tc>
          <w:tcPr>
            <w:tcW w:w="875" w:type="dxa"/>
            <w:tcBorders/>
            <w:shd w:fill="auto" w:val="clear"/>
          </w:tcPr>
          <w:p>
            <w:pPr>
              <w:pStyle w:val="TableContents"/>
              <w:spacing w:before="0" w:after="0"/>
              <w:rPr>
                <w:rFonts w:ascii="arial" w:hAnsi="arial"/>
                <w:sz w:val="16"/>
              </w:rPr>
            </w:pPr>
            <w:r>
              <w:rPr>
                <w:rFonts w:ascii="arial" w:hAnsi="arial"/>
                <w:sz w:val="16"/>
              </w:rPr>
              <w:t>President, IHOP Business Unit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2019</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476,803</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1,107,358</w:t>
            </w:r>
          </w:p>
        </w:tc>
        <w:tc>
          <w:tcPr>
            <w:tcW w:w="410" w:type="dxa"/>
            <w:tcBorders/>
            <w:shd w:fill="auto" w:val="clear"/>
            <w:vAlign w:val="bottom"/>
          </w:tcPr>
          <w:p>
            <w:pPr>
              <w:pStyle w:val="TableContents"/>
              <w:spacing w:before="0" w:after="283"/>
              <w:rPr/>
            </w:pPr>
            <w:r>
              <w:rPr/>
              <w:t>(12)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110,495</w:t>
            </w:r>
          </w:p>
        </w:tc>
        <w:tc>
          <w:tcPr>
            <w:tcW w:w="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383,869</w:t>
            </w:r>
          </w:p>
        </w:tc>
        <w:tc>
          <w:tcPr>
            <w:tcW w:w="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38,984</w:t>
            </w:r>
          </w:p>
        </w:tc>
        <w:tc>
          <w:tcPr>
            <w:tcW w:w="3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2,117,509  </w:t>
            </w:r>
          </w:p>
        </w:tc>
        <w:tc>
          <w:tcPr>
            <w:tcW w:w="23"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875" w:type="dxa"/>
            <w:tcBorders/>
            <w:shd w:fill="E5E5E5" w:val="clear"/>
            <w:vAlign w:val="center"/>
          </w:tcPr>
          <w:p>
            <w:pPr>
              <w:pStyle w:val="TableContents"/>
              <w:spacing w:before="0" w:after="283"/>
              <w:rPr>
                <w:sz w:val="4"/>
                <w:szCs w:val="4"/>
              </w:rPr>
            </w:pPr>
            <w:r>
              <w:rPr>
                <w:sz w:val="4"/>
                <w:szCs w:val="4"/>
              </w:rPr>
            </w:r>
          </w:p>
        </w:tc>
        <w:tc>
          <w:tcPr>
            <w:tcW w:w="763" w:type="dxa"/>
            <w:gridSpan w:val="5"/>
            <w:tcBorders/>
            <w:shd w:fill="E5E5E5" w:val="clear"/>
            <w:vAlign w:val="center"/>
          </w:tcPr>
          <w:p>
            <w:pPr>
              <w:pStyle w:val="TableContents"/>
              <w:spacing w:before="0" w:after="283"/>
              <w:rPr>
                <w:sz w:val="4"/>
                <w:szCs w:val="4"/>
              </w:rPr>
            </w:pPr>
            <w:r>
              <w:rPr>
                <w:sz w:val="4"/>
                <w:szCs w:val="4"/>
              </w:rPr>
            </w:r>
          </w:p>
        </w:tc>
        <w:tc>
          <w:tcPr>
            <w:tcW w:w="1243" w:type="dxa"/>
            <w:gridSpan w:val="5"/>
            <w:tcBorders/>
            <w:shd w:fill="E5E5E5" w:val="clear"/>
            <w:vAlign w:val="center"/>
          </w:tcPr>
          <w:p>
            <w:pPr>
              <w:pStyle w:val="TableContents"/>
              <w:spacing w:before="0" w:after="283"/>
              <w:rPr>
                <w:sz w:val="4"/>
                <w:szCs w:val="4"/>
              </w:rPr>
            </w:pPr>
            <w:r>
              <w:rPr>
                <w:sz w:val="4"/>
                <w:szCs w:val="4"/>
              </w:rPr>
            </w:r>
          </w:p>
        </w:tc>
        <w:tc>
          <w:tcPr>
            <w:tcW w:w="1450" w:type="dxa"/>
            <w:gridSpan w:val="5"/>
            <w:tcBorders/>
            <w:shd w:fill="E5E5E5" w:val="clear"/>
            <w:vAlign w:val="center"/>
          </w:tcPr>
          <w:p>
            <w:pPr>
              <w:pStyle w:val="TableContents"/>
              <w:spacing w:before="0" w:after="283"/>
              <w:rPr>
                <w:sz w:val="4"/>
                <w:szCs w:val="4"/>
              </w:rPr>
            </w:pPr>
            <w:r>
              <w:rPr>
                <w:sz w:val="4"/>
                <w:szCs w:val="4"/>
              </w:rPr>
            </w:r>
          </w:p>
        </w:tc>
        <w:tc>
          <w:tcPr>
            <w:tcW w:w="1570" w:type="dxa"/>
            <w:gridSpan w:val="5"/>
            <w:tcBorders/>
            <w:shd w:fill="E5E5E5" w:val="clear"/>
            <w:vAlign w:val="center"/>
          </w:tcPr>
          <w:p>
            <w:pPr>
              <w:pStyle w:val="TableContents"/>
              <w:spacing w:before="0" w:after="283"/>
              <w:rPr>
                <w:sz w:val="4"/>
                <w:szCs w:val="4"/>
              </w:rPr>
            </w:pPr>
            <w:r>
              <w:rPr>
                <w:sz w:val="4"/>
                <w:szCs w:val="4"/>
              </w:rPr>
            </w:r>
          </w:p>
        </w:tc>
        <w:tc>
          <w:tcPr>
            <w:tcW w:w="1003" w:type="dxa"/>
            <w:gridSpan w:val="5"/>
            <w:tcBorders/>
            <w:shd w:fill="E5E5E5" w:val="clear"/>
            <w:vAlign w:val="center"/>
          </w:tcPr>
          <w:p>
            <w:pPr>
              <w:pStyle w:val="TableContents"/>
              <w:spacing w:before="0" w:after="283"/>
              <w:rPr>
                <w:sz w:val="4"/>
                <w:szCs w:val="4"/>
              </w:rPr>
            </w:pPr>
            <w:r>
              <w:rPr>
                <w:sz w:val="4"/>
                <w:szCs w:val="4"/>
              </w:rPr>
            </w:r>
          </w:p>
        </w:tc>
        <w:tc>
          <w:tcPr>
            <w:tcW w:w="1610" w:type="dxa"/>
            <w:gridSpan w:val="5"/>
            <w:tcBorders/>
            <w:shd w:fill="E5E5E5" w:val="clear"/>
            <w:vAlign w:val="center"/>
          </w:tcPr>
          <w:p>
            <w:pPr>
              <w:pStyle w:val="TableContents"/>
              <w:spacing w:before="0" w:after="283"/>
              <w:rPr>
                <w:sz w:val="4"/>
                <w:szCs w:val="4"/>
              </w:rPr>
            </w:pPr>
            <w:r>
              <w:rPr>
                <w:sz w:val="4"/>
                <w:szCs w:val="4"/>
              </w:rPr>
            </w:r>
          </w:p>
        </w:tc>
        <w:tc>
          <w:tcPr>
            <w:tcW w:w="1610" w:type="dxa"/>
            <w:gridSpan w:val="5"/>
            <w:tcBorders/>
            <w:shd w:fill="E5E5E5" w:val="clear"/>
            <w:vAlign w:val="center"/>
          </w:tcPr>
          <w:p>
            <w:pPr>
              <w:pStyle w:val="TableContents"/>
              <w:spacing w:before="0" w:after="283"/>
              <w:rPr>
                <w:sz w:val="4"/>
                <w:szCs w:val="4"/>
              </w:rPr>
            </w:pPr>
            <w:r>
              <w:rPr>
                <w:sz w:val="4"/>
                <w:szCs w:val="4"/>
              </w:rPr>
            </w:r>
          </w:p>
        </w:tc>
        <w:tc>
          <w:tcPr>
            <w:tcW w:w="1363" w:type="dxa"/>
            <w:gridSpan w:val="5"/>
            <w:tcBorders/>
            <w:shd w:fill="E5E5E5" w:val="clear"/>
            <w:vAlign w:val="center"/>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0"/>
              <w:rPr>
                <w:rFonts w:ascii="arial" w:hAnsi="arial"/>
                <w:b/>
                <w:sz w:val="16"/>
              </w:rPr>
            </w:pPr>
            <w:r>
              <w:rPr>
                <w:rFonts w:ascii="arial" w:hAnsi="arial"/>
                <w:b/>
                <w:sz w:val="16"/>
              </w:rPr>
              <w:t>Bryan R. Adel</w:t>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2020</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521,154</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196,875</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231,001</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238,005</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243,210</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38,684</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1,468,928  </w:t>
            </w:r>
          </w:p>
        </w:tc>
        <w:tc>
          <w:tcPr>
            <w:tcW w:w="23" w:type="dxa"/>
            <w:tcBorders/>
            <w:shd w:fill="E5E5E5" w:val="clear"/>
            <w:vAlign w:val="bottom"/>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0"/>
              <w:rPr>
                <w:rFonts w:ascii="arial" w:hAnsi="arial"/>
                <w:sz w:val="16"/>
              </w:rPr>
            </w:pPr>
            <w:r>
              <w:rPr>
                <w:rFonts w:ascii="arial" w:hAnsi="arial"/>
                <w:sz w:val="16"/>
              </w:rPr>
              <w:t>Senior Vice President, Legal, General</w:t>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2019</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496,154</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198,039</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203,996</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438,263</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38,201</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1,374,652  </w:t>
            </w:r>
          </w:p>
        </w:tc>
        <w:tc>
          <w:tcPr>
            <w:tcW w:w="23" w:type="dxa"/>
            <w:tcBorders/>
            <w:shd w:fill="E5E5E5" w:val="clear"/>
            <w:vAlign w:val="bottom"/>
          </w:tcPr>
          <w:p>
            <w:pPr>
              <w:pStyle w:val="TableContents"/>
              <w:spacing w:before="0" w:after="283"/>
              <w:rPr>
                <w:sz w:val="4"/>
                <w:szCs w:val="4"/>
              </w:rPr>
            </w:pPr>
            <w:r>
              <w:rPr>
                <w:sz w:val="4"/>
                <w:szCs w:val="4"/>
              </w:rPr>
            </w:r>
          </w:p>
        </w:tc>
      </w:tr>
      <w:tr>
        <w:trPr/>
        <w:tc>
          <w:tcPr>
            <w:tcW w:w="875" w:type="dxa"/>
            <w:tcBorders/>
            <w:shd w:fill="E5E5E5" w:val="clear"/>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2018</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475,000</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250,000</w:t>
            </w:r>
          </w:p>
        </w:tc>
        <w:tc>
          <w:tcPr>
            <w:tcW w:w="410" w:type="dxa"/>
            <w:tcBorders/>
            <w:shd w:fill="E5E5E5" w:val="clear"/>
            <w:vAlign w:val="bottom"/>
          </w:tcPr>
          <w:p>
            <w:pPr>
              <w:pStyle w:val="TableContents"/>
              <w:spacing w:before="0" w:after="283"/>
              <w:rPr/>
            </w:pPr>
            <w:r>
              <w:rPr/>
              <w:t>(13)</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181,563</w:t>
            </w:r>
          </w:p>
        </w:tc>
        <w:tc>
          <w:tcPr>
            <w:tcW w:w="41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187,037</w:t>
            </w:r>
          </w:p>
        </w:tc>
        <w:tc>
          <w:tcPr>
            <w:tcW w:w="23"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300" w:type="dxa"/>
            <w:tcBorders/>
            <w:shd w:fill="E5E5E5" w:val="clear"/>
            <w:vAlign w:val="bottom"/>
          </w:tcPr>
          <w:p>
            <w:pPr>
              <w:pStyle w:val="TableContents"/>
              <w:spacing w:before="0" w:after="283"/>
              <w:jc w:val="right"/>
              <w:rPr/>
            </w:pPr>
            <w:r>
              <w:rPr/>
              <w:t>598,552</w:t>
            </w:r>
          </w:p>
        </w:tc>
        <w:tc>
          <w:tcPr>
            <w:tcW w:w="32"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264" w:type="dxa"/>
            <w:tcBorders/>
            <w:shd w:fill="E5E5E5" w:val="clear"/>
            <w:vAlign w:val="bottom"/>
          </w:tcPr>
          <w:p>
            <w:pPr>
              <w:pStyle w:val="TableContents"/>
              <w:spacing w:before="0" w:after="283"/>
              <w:jc w:val="right"/>
              <w:rPr/>
            </w:pPr>
            <w:r>
              <w:rPr/>
              <w:t>65,835</w:t>
            </w:r>
          </w:p>
        </w:tc>
        <w:tc>
          <w:tcPr>
            <w:tcW w:w="38"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1,757,987  </w:t>
            </w:r>
          </w:p>
        </w:tc>
        <w:tc>
          <w:tcPr>
            <w:tcW w:w="23"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Represents 26 bi-weekly pay periods during the fiscal years ended December 31, 2018, 2019 and 2020,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The amounts reported in this column for 2020 represent discretionary bonuses received with respect to 2020. As discussed in the CD&amp;A, for 2020, the Compensation Committee approved a discretionary cash award to our employees equivalent to a minimum threshold-level payout of 50% of target under the 2020 Annual Incentive Plan, including discretionary cash payments equal to 50% of the target annual cash incentive for each NEO.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The amounts reported in this column for 2020 represent the aggregate grant date fair value related to the RSAs that were granted as part of the 2020 LTI award, computed in accordance with FASB ASC Topic 718. The amounts in the Stock Awards column for prior years include the aggregate grant date fair value related to stock awards granted in each of the years shown, computed in accordance with FASB ASC Topic 718. See Note 14 to Consolidated Financial Statements in the Corporations annual reports on Form 10-K for the years ended 2020, 2019 and 2018, and for information regarding assumptions underlying the valuation of equity awards granted in 2020, 2019, and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The amounts in the Option Awards column for 2020, 2019, and 2018 represent the aggregate grant date fair value related to option awards granted in each of such years, computed in accordance with FASB ASC Topic 718. See Note 14 to Consolidated Financial Statements in the Corporations annual report on Form 10-K for the years ended 2020, 2019, and 2018 for information regarding assumptions underlying the valuation of equity awards granted in 2020, 2019, and 2018.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38    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COMPENSATION TABLES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 amounts in the Non-Equity Incentive Plan Compensation column for 2020 represent the cash LTIP for the 2018  2020 performance period. These payout amounts were based on the Corporations attainment of certain pre-determined performance targets. </w:t>
            </w:r>
          </w:p>
        </w:tc>
      </w:tr>
    </w:tbl>
    <w:p>
      <w:pPr>
        <w:pStyle w:val="TextBody"/>
        <w:spacing w:before="0" w:after="0"/>
        <w:jc w:val="left"/>
        <w:rPr/>
      </w:pPr>
      <w:r>
        <w:rPr/>
        <w:t> </w:t>
      </w:r>
    </w:p>
    <w:tbl>
      <w:tblPr>
        <w:tblW w:w="11450" w:type="dxa"/>
        <w:jc w:val="center"/>
        <w:tblInd w:w="0" w:type="dxa"/>
        <w:tblCellMar>
          <w:top w:w="0" w:type="dxa"/>
          <w:left w:w="0" w:type="dxa"/>
          <w:bottom w:w="0" w:type="dxa"/>
          <w:right w:w="0" w:type="dxa"/>
        </w:tblCellMar>
      </w:tblPr>
      <w:tblGrid>
        <w:gridCol w:w="680"/>
        <w:gridCol w:w="120"/>
        <w:gridCol w:w="722"/>
        <w:gridCol w:w="722"/>
        <w:gridCol w:w="1686"/>
        <w:gridCol w:w="280"/>
        <w:gridCol w:w="120"/>
        <w:gridCol w:w="145"/>
        <w:gridCol w:w="145"/>
        <w:gridCol w:w="1938"/>
        <w:gridCol w:w="57"/>
        <w:gridCol w:w="120"/>
        <w:gridCol w:w="300"/>
        <w:gridCol w:w="300"/>
        <w:gridCol w:w="4000"/>
        <w:gridCol w:w="115"/>
      </w:tblGrid>
      <w:tr>
        <w:trPr/>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400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r>
      <w:tr>
        <w:trPr/>
        <w:tc>
          <w:tcPr>
            <w:tcW w:w="680" w:type="dxa"/>
            <w:tcBorders>
              <w:bottom w:val="single" w:sz="2" w:space="0" w:color="CF0A2C"/>
            </w:tcBorders>
            <w:shd w:fill="auto" w:val="clear"/>
            <w:tcMar>
              <w:bottom w:w="28" w:type="dxa"/>
            </w:tcMar>
            <w:vAlign w:val="bottom"/>
          </w:tcPr>
          <w:p>
            <w:pPr>
              <w:pStyle w:val="TableContents"/>
              <w:spacing w:before="0" w:after="0"/>
              <w:rPr>
                <w:rFonts w:ascii="arial" w:hAnsi="arial"/>
                <w:b/>
                <w:sz w:val="16"/>
              </w:rPr>
            </w:pPr>
            <w:r>
              <w:rPr>
                <w:rFonts w:ascii="arial" w:hAnsi="arial"/>
                <w:b/>
                <w:sz w:val="16"/>
              </w:rPr>
              <w:t>Name</w:t>
            </w:r>
          </w:p>
        </w:tc>
        <w:tc>
          <w:tcPr>
            <w:tcW w:w="120" w:type="dxa"/>
            <w:tcBorders>
              <w:bottom w:val="single" w:sz="2" w:space="0" w:color="CF0A2C"/>
            </w:tcBorders>
            <w:shd w:fill="auto" w:val="clear"/>
            <w:tcMar>
              <w:bottom w:w="28" w:type="dxa"/>
            </w:tcMar>
            <w:vAlign w:val="bottom"/>
          </w:tcPr>
          <w:p>
            <w:pPr>
              <w:pStyle w:val="TableContents"/>
              <w:spacing w:before="0" w:after="283"/>
              <w:rPr/>
            </w:pPr>
            <w:r>
              <w:rPr/>
              <w:t>  </w:t>
            </w:r>
          </w:p>
        </w:tc>
        <w:tc>
          <w:tcPr>
            <w:tcW w:w="3410" w:type="dxa"/>
            <w:gridSpan w:val="4"/>
            <w:tcBorders>
              <w:bottom w:val="single" w:sz="2" w:space="0" w:color="CF0A2C"/>
            </w:tcBorders>
            <w:shd w:fill="auto" w:val="clear"/>
            <w:tcMar>
              <w:bottom w:w="28" w:type="dxa"/>
            </w:tcMar>
            <w:vAlign w:val="bottom"/>
          </w:tcPr>
          <w:p>
            <w:pPr>
              <w:pStyle w:val="TableContents"/>
              <w:spacing w:before="0" w:after="283"/>
              <w:jc w:val="right"/>
              <w:rPr>
                <w:b/>
              </w:rPr>
            </w:pPr>
            <w:r>
              <w:rPr>
                <w:b/>
              </w:rPr>
              <w:t>Annual Incentive Plan Award ($)</w:t>
            </w:r>
          </w:p>
        </w:tc>
        <w:tc>
          <w:tcPr>
            <w:tcW w:w="120" w:type="dxa"/>
            <w:tcBorders>
              <w:bottom w:val="single" w:sz="2" w:space="0" w:color="CF0A2C"/>
            </w:tcBorders>
            <w:shd w:fill="auto" w:val="clear"/>
            <w:tcMar>
              <w:bottom w:w="28" w:type="dxa"/>
            </w:tcMar>
            <w:vAlign w:val="bottom"/>
          </w:tcPr>
          <w:p>
            <w:pPr>
              <w:pStyle w:val="TableContents"/>
              <w:spacing w:before="0" w:after="283"/>
              <w:rPr/>
            </w:pPr>
            <w:r>
              <w:rPr/>
              <w:t>  </w:t>
            </w:r>
          </w:p>
        </w:tc>
        <w:tc>
          <w:tcPr>
            <w:tcW w:w="2285" w:type="dxa"/>
            <w:gridSpan w:val="4"/>
            <w:tcBorders>
              <w:bottom w:val="single" w:sz="2" w:space="0" w:color="CF0A2C"/>
            </w:tcBorders>
            <w:shd w:fill="auto" w:val="clear"/>
            <w:tcMar>
              <w:bottom w:w="28" w:type="dxa"/>
            </w:tcMar>
            <w:vAlign w:val="bottom"/>
          </w:tcPr>
          <w:p>
            <w:pPr>
              <w:pStyle w:val="TableContents"/>
              <w:spacing w:before="0" w:after="283"/>
              <w:jc w:val="right"/>
              <w:rPr>
                <w:b/>
              </w:rPr>
            </w:pPr>
            <w:r>
              <w:rPr>
                <w:b/>
              </w:rPr>
              <w:t>Cash LTIP Award ($)</w:t>
            </w:r>
          </w:p>
        </w:tc>
        <w:tc>
          <w:tcPr>
            <w:tcW w:w="120" w:type="dxa"/>
            <w:tcBorders>
              <w:bottom w:val="single" w:sz="2" w:space="0" w:color="CF0A2C"/>
            </w:tcBorders>
            <w:shd w:fill="auto" w:val="clear"/>
            <w:tcMar>
              <w:bottom w:w="28" w:type="dxa"/>
            </w:tcMar>
            <w:vAlign w:val="bottom"/>
          </w:tcPr>
          <w:p>
            <w:pPr>
              <w:pStyle w:val="TableContents"/>
              <w:spacing w:before="0" w:after="283"/>
              <w:rPr/>
            </w:pPr>
            <w:r>
              <w:rPr/>
              <w:t>  </w:t>
            </w:r>
          </w:p>
        </w:tc>
        <w:tc>
          <w:tcPr>
            <w:tcW w:w="4715" w:type="dxa"/>
            <w:gridSpan w:val="4"/>
            <w:tcBorders>
              <w:bottom w:val="single" w:sz="2" w:space="0" w:color="CF0A2C"/>
            </w:tcBorders>
            <w:shd w:fill="auto" w:val="clear"/>
            <w:tcMar>
              <w:bottom w:w="28" w:type="dxa"/>
            </w:tcMar>
            <w:vAlign w:val="bottom"/>
          </w:tcPr>
          <w:p>
            <w:pPr>
              <w:pStyle w:val="TableContents"/>
              <w:spacing w:before="0" w:after="283"/>
              <w:jc w:val="right"/>
              <w:rPr>
                <w:b/>
              </w:rPr>
            </w:pPr>
            <w:r>
              <w:rPr>
                <w:b/>
              </w:rPr>
              <w:t>Non-Equity Incentive Plan Compensation ($)  </w:t>
            </w:r>
          </w:p>
        </w:tc>
      </w:tr>
      <w:tr>
        <w:trPr>
          <w:trHeight w:val="75" w:hRule="atLeast"/>
        </w:trPr>
        <w:tc>
          <w:tcPr>
            <w:tcW w:w="680" w:type="dxa"/>
            <w:tcBorders/>
            <w:shd w:fill="E5E5E5" w:val="clear"/>
            <w:vAlign w:val="center"/>
          </w:tcPr>
          <w:p>
            <w:pPr>
              <w:pStyle w:val="TableContents"/>
              <w:spacing w:before="0" w:after="283"/>
              <w:rPr>
                <w:sz w:val="4"/>
                <w:szCs w:val="4"/>
              </w:rPr>
            </w:pPr>
            <w:r>
              <w:rPr>
                <w:sz w:val="4"/>
                <w:szCs w:val="4"/>
              </w:rPr>
            </w:r>
          </w:p>
        </w:tc>
        <w:tc>
          <w:tcPr>
            <w:tcW w:w="3530" w:type="dxa"/>
            <w:gridSpan w:val="5"/>
            <w:tcBorders/>
            <w:shd w:fill="E5E5E5" w:val="clear"/>
            <w:vAlign w:val="center"/>
          </w:tcPr>
          <w:p>
            <w:pPr>
              <w:pStyle w:val="TableContents"/>
              <w:spacing w:before="0" w:after="283"/>
              <w:rPr>
                <w:sz w:val="4"/>
                <w:szCs w:val="4"/>
              </w:rPr>
            </w:pPr>
            <w:r>
              <w:rPr>
                <w:sz w:val="4"/>
                <w:szCs w:val="4"/>
              </w:rPr>
            </w:r>
          </w:p>
        </w:tc>
        <w:tc>
          <w:tcPr>
            <w:tcW w:w="2405" w:type="dxa"/>
            <w:gridSpan w:val="5"/>
            <w:tcBorders/>
            <w:shd w:fill="E5E5E5" w:val="clear"/>
            <w:vAlign w:val="center"/>
          </w:tcPr>
          <w:p>
            <w:pPr>
              <w:pStyle w:val="TableContents"/>
              <w:spacing w:before="0" w:after="283"/>
              <w:rPr>
                <w:sz w:val="4"/>
                <w:szCs w:val="4"/>
              </w:rPr>
            </w:pPr>
            <w:r>
              <w:rPr>
                <w:sz w:val="4"/>
                <w:szCs w:val="4"/>
              </w:rPr>
            </w:r>
          </w:p>
        </w:tc>
        <w:tc>
          <w:tcPr>
            <w:tcW w:w="4835" w:type="dxa"/>
            <w:gridSpan w:val="5"/>
            <w:tcBorders/>
            <w:shd w:fill="E5E5E5" w:val="clear"/>
            <w:vAlign w:val="center"/>
          </w:tcPr>
          <w:p>
            <w:pPr>
              <w:pStyle w:val="TableContents"/>
              <w:spacing w:before="0" w:after="283"/>
              <w:rPr>
                <w:sz w:val="4"/>
                <w:szCs w:val="4"/>
              </w:rPr>
            </w:pPr>
            <w:r>
              <w:rPr>
                <w:sz w:val="4"/>
                <w:szCs w:val="4"/>
              </w:rPr>
            </w:r>
          </w:p>
        </w:tc>
      </w:tr>
      <w:tr>
        <w:trPr/>
        <w:tc>
          <w:tcPr>
            <w:tcW w:w="680" w:type="dxa"/>
            <w:tcBorders/>
            <w:shd w:fill="E5E5E5" w:val="clear"/>
          </w:tcPr>
          <w:p>
            <w:pPr>
              <w:pStyle w:val="TableContents"/>
              <w:spacing w:before="0" w:after="0"/>
              <w:rPr>
                <w:rFonts w:ascii="arial" w:hAnsi="arial"/>
                <w:sz w:val="16"/>
              </w:rPr>
            </w:pPr>
            <w:r>
              <w:rPr>
                <w:rFonts w:ascii="arial" w:hAnsi="arial"/>
                <w:sz w:val="16"/>
              </w:rPr>
              <w:t>Stephen P. Joyce</w:t>
            </w:r>
          </w:p>
        </w:tc>
        <w:tc>
          <w:tcPr>
            <w:tcW w:w="120"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rPr/>
            </w:pPr>
            <w:r>
              <w:rPr/>
              <w:t> </w:t>
            </w:r>
          </w:p>
        </w:tc>
        <w:tc>
          <w:tcPr>
            <w:tcW w:w="1686" w:type="dxa"/>
            <w:tcBorders/>
            <w:shd w:fill="E5E5E5" w:val="clear"/>
            <w:vAlign w:val="bottom"/>
          </w:tcPr>
          <w:p>
            <w:pPr>
              <w:pStyle w:val="TableContents"/>
              <w:spacing w:before="0" w:after="283"/>
              <w:jc w:val="right"/>
              <w:rPr/>
            </w:pPr>
            <w:r>
              <w:rPr/>
              <w:t>0</w:t>
            </w:r>
          </w:p>
        </w:tc>
        <w:tc>
          <w:tcPr>
            <w:tcW w:w="280"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45" w:type="dxa"/>
            <w:tcBorders/>
            <w:shd w:fill="E5E5E5" w:val="clear"/>
            <w:vAlign w:val="bottom"/>
          </w:tcPr>
          <w:p>
            <w:pPr>
              <w:pStyle w:val="TableContents"/>
              <w:spacing w:before="0" w:after="283"/>
              <w:rPr/>
            </w:pPr>
            <w:r>
              <w:rPr/>
              <w:t> </w:t>
            </w:r>
          </w:p>
        </w:tc>
        <w:tc>
          <w:tcPr>
            <w:tcW w:w="145" w:type="dxa"/>
            <w:tcBorders/>
            <w:shd w:fill="E5E5E5" w:val="clear"/>
            <w:vAlign w:val="bottom"/>
          </w:tcPr>
          <w:p>
            <w:pPr>
              <w:pStyle w:val="TableContents"/>
              <w:spacing w:before="0" w:after="283"/>
              <w:rPr/>
            </w:pPr>
            <w:r>
              <w:rPr/>
              <w:t> </w:t>
            </w:r>
          </w:p>
        </w:tc>
        <w:tc>
          <w:tcPr>
            <w:tcW w:w="1938" w:type="dxa"/>
            <w:tcBorders/>
            <w:shd w:fill="E5E5E5" w:val="clear"/>
            <w:vAlign w:val="bottom"/>
          </w:tcPr>
          <w:p>
            <w:pPr>
              <w:pStyle w:val="TableContents"/>
              <w:spacing w:before="0" w:after="283"/>
              <w:jc w:val="right"/>
              <w:rPr/>
            </w:pPr>
            <w:r>
              <w:rPr/>
              <w:t>0</w:t>
            </w:r>
          </w:p>
        </w:tc>
        <w:tc>
          <w:tcPr>
            <w:tcW w:w="57"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300" w:type="dxa"/>
            <w:tcBorders/>
            <w:shd w:fill="E5E5E5" w:val="clear"/>
            <w:vAlign w:val="bottom"/>
          </w:tcPr>
          <w:p>
            <w:pPr>
              <w:pStyle w:val="TableContents"/>
              <w:spacing w:before="0" w:after="283"/>
              <w:rPr/>
            </w:pPr>
            <w:r>
              <w:rPr/>
              <w:t> </w:t>
            </w:r>
          </w:p>
        </w:tc>
        <w:tc>
          <w:tcPr>
            <w:tcW w:w="300" w:type="dxa"/>
            <w:tcBorders/>
            <w:shd w:fill="E5E5E5" w:val="clear"/>
            <w:vAlign w:val="bottom"/>
          </w:tcPr>
          <w:p>
            <w:pPr>
              <w:pStyle w:val="TableContents"/>
              <w:spacing w:before="0" w:after="283"/>
              <w:rPr/>
            </w:pPr>
            <w:r>
              <w:rPr/>
              <w:t> </w:t>
            </w:r>
          </w:p>
        </w:tc>
        <w:tc>
          <w:tcPr>
            <w:tcW w:w="4000" w:type="dxa"/>
            <w:tcBorders/>
            <w:shd w:fill="E5E5E5" w:val="clear"/>
            <w:vAlign w:val="bottom"/>
          </w:tcPr>
          <w:p>
            <w:pPr>
              <w:pStyle w:val="TableContents"/>
              <w:spacing w:before="0" w:after="283"/>
              <w:jc w:val="right"/>
              <w:rPr/>
            </w:pPr>
            <w:r>
              <w:rPr/>
              <w:t>0</w:t>
            </w:r>
          </w:p>
        </w:tc>
        <w:tc>
          <w:tcPr>
            <w:tcW w:w="115"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680" w:type="dxa"/>
            <w:tcBorders/>
            <w:shd w:fill="auto" w:val="clear"/>
            <w:vAlign w:val="center"/>
          </w:tcPr>
          <w:p>
            <w:pPr>
              <w:pStyle w:val="TableContents"/>
              <w:spacing w:before="0" w:after="283"/>
              <w:rPr>
                <w:sz w:val="4"/>
                <w:szCs w:val="4"/>
              </w:rPr>
            </w:pPr>
            <w:r>
              <w:rPr>
                <w:sz w:val="4"/>
                <w:szCs w:val="4"/>
              </w:rPr>
            </w:r>
          </w:p>
        </w:tc>
        <w:tc>
          <w:tcPr>
            <w:tcW w:w="3530" w:type="dxa"/>
            <w:gridSpan w:val="5"/>
            <w:tcBorders/>
            <w:shd w:fill="auto" w:val="clear"/>
            <w:vAlign w:val="center"/>
          </w:tcPr>
          <w:p>
            <w:pPr>
              <w:pStyle w:val="TableContents"/>
              <w:spacing w:before="0" w:after="283"/>
              <w:rPr>
                <w:sz w:val="4"/>
                <w:szCs w:val="4"/>
              </w:rPr>
            </w:pPr>
            <w:r>
              <w:rPr>
                <w:sz w:val="4"/>
                <w:szCs w:val="4"/>
              </w:rPr>
            </w:r>
          </w:p>
        </w:tc>
        <w:tc>
          <w:tcPr>
            <w:tcW w:w="2405" w:type="dxa"/>
            <w:gridSpan w:val="5"/>
            <w:tcBorders/>
            <w:shd w:fill="auto" w:val="clear"/>
            <w:vAlign w:val="center"/>
          </w:tcPr>
          <w:p>
            <w:pPr>
              <w:pStyle w:val="TableContents"/>
              <w:spacing w:before="0" w:after="283"/>
              <w:rPr>
                <w:sz w:val="4"/>
                <w:szCs w:val="4"/>
              </w:rPr>
            </w:pPr>
            <w:r>
              <w:rPr>
                <w:sz w:val="4"/>
                <w:szCs w:val="4"/>
              </w:rPr>
            </w:r>
          </w:p>
        </w:tc>
        <w:tc>
          <w:tcPr>
            <w:tcW w:w="4835" w:type="dxa"/>
            <w:gridSpan w:val="5"/>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tcPr>
          <w:p>
            <w:pPr>
              <w:pStyle w:val="TableContents"/>
              <w:spacing w:before="0" w:after="0"/>
              <w:rPr>
                <w:rFonts w:ascii="arial" w:hAnsi="arial"/>
                <w:sz w:val="16"/>
              </w:rPr>
            </w:pPr>
            <w:r>
              <w:rPr>
                <w:rFonts w:ascii="arial" w:hAnsi="arial"/>
                <w:sz w:val="16"/>
              </w:rPr>
              <w:t>Thomas H. Song</w:t>
            </w:r>
          </w:p>
        </w:tc>
        <w:tc>
          <w:tcPr>
            <w:tcW w:w="120"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1686" w:type="dxa"/>
            <w:tcBorders/>
            <w:shd w:fill="auto" w:val="clear"/>
            <w:vAlign w:val="bottom"/>
          </w:tcPr>
          <w:p>
            <w:pPr>
              <w:pStyle w:val="TableContents"/>
              <w:spacing w:before="0" w:after="283"/>
              <w:jc w:val="right"/>
              <w:rPr/>
            </w:pPr>
            <w:r>
              <w:rPr/>
              <w:t>0</w:t>
            </w:r>
          </w:p>
        </w:tc>
        <w:tc>
          <w:tcPr>
            <w:tcW w:w="28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938" w:type="dxa"/>
            <w:tcBorders/>
            <w:shd w:fill="auto" w:val="clear"/>
            <w:vAlign w:val="bottom"/>
          </w:tcPr>
          <w:p>
            <w:pPr>
              <w:pStyle w:val="TableContents"/>
              <w:spacing w:before="0" w:after="283"/>
              <w:jc w:val="right"/>
              <w:rPr/>
            </w:pPr>
            <w:r>
              <w:rPr/>
              <w:t>265,320</w:t>
            </w:r>
          </w:p>
        </w:tc>
        <w:tc>
          <w:tcPr>
            <w:tcW w:w="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4000" w:type="dxa"/>
            <w:tcBorders/>
            <w:shd w:fill="auto" w:val="clear"/>
            <w:vAlign w:val="bottom"/>
          </w:tcPr>
          <w:p>
            <w:pPr>
              <w:pStyle w:val="TableContents"/>
              <w:spacing w:before="0" w:after="283"/>
              <w:jc w:val="right"/>
              <w:rPr/>
            </w:pPr>
            <w:r>
              <w:rPr/>
              <w:t>265,320</w:t>
            </w:r>
          </w:p>
        </w:tc>
        <w:tc>
          <w:tcPr>
            <w:tcW w:w="115"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680" w:type="dxa"/>
            <w:tcBorders/>
            <w:shd w:fill="E5E5E5" w:val="clear"/>
            <w:vAlign w:val="center"/>
          </w:tcPr>
          <w:p>
            <w:pPr>
              <w:pStyle w:val="TableContents"/>
              <w:spacing w:before="0" w:after="283"/>
              <w:rPr>
                <w:sz w:val="4"/>
                <w:szCs w:val="4"/>
              </w:rPr>
            </w:pPr>
            <w:r>
              <w:rPr>
                <w:sz w:val="4"/>
                <w:szCs w:val="4"/>
              </w:rPr>
            </w:r>
          </w:p>
        </w:tc>
        <w:tc>
          <w:tcPr>
            <w:tcW w:w="3530" w:type="dxa"/>
            <w:gridSpan w:val="5"/>
            <w:tcBorders/>
            <w:shd w:fill="E5E5E5" w:val="clear"/>
            <w:vAlign w:val="center"/>
          </w:tcPr>
          <w:p>
            <w:pPr>
              <w:pStyle w:val="TableContents"/>
              <w:spacing w:before="0" w:after="283"/>
              <w:rPr>
                <w:sz w:val="4"/>
                <w:szCs w:val="4"/>
              </w:rPr>
            </w:pPr>
            <w:r>
              <w:rPr>
                <w:sz w:val="4"/>
                <w:szCs w:val="4"/>
              </w:rPr>
            </w:r>
          </w:p>
        </w:tc>
        <w:tc>
          <w:tcPr>
            <w:tcW w:w="2405" w:type="dxa"/>
            <w:gridSpan w:val="5"/>
            <w:tcBorders/>
            <w:shd w:fill="E5E5E5" w:val="clear"/>
            <w:vAlign w:val="center"/>
          </w:tcPr>
          <w:p>
            <w:pPr>
              <w:pStyle w:val="TableContents"/>
              <w:spacing w:before="0" w:after="283"/>
              <w:rPr>
                <w:sz w:val="4"/>
                <w:szCs w:val="4"/>
              </w:rPr>
            </w:pPr>
            <w:r>
              <w:rPr>
                <w:sz w:val="4"/>
                <w:szCs w:val="4"/>
              </w:rPr>
            </w:r>
          </w:p>
        </w:tc>
        <w:tc>
          <w:tcPr>
            <w:tcW w:w="4835" w:type="dxa"/>
            <w:gridSpan w:val="5"/>
            <w:tcBorders/>
            <w:shd w:fill="E5E5E5" w:val="clear"/>
            <w:vAlign w:val="center"/>
          </w:tcPr>
          <w:p>
            <w:pPr>
              <w:pStyle w:val="TableContents"/>
              <w:spacing w:before="0" w:after="283"/>
              <w:rPr>
                <w:sz w:val="4"/>
                <w:szCs w:val="4"/>
              </w:rPr>
            </w:pPr>
            <w:r>
              <w:rPr>
                <w:sz w:val="4"/>
                <w:szCs w:val="4"/>
              </w:rPr>
            </w:r>
          </w:p>
        </w:tc>
      </w:tr>
      <w:tr>
        <w:trPr/>
        <w:tc>
          <w:tcPr>
            <w:tcW w:w="680" w:type="dxa"/>
            <w:tcBorders/>
            <w:shd w:fill="E5E5E5" w:val="clear"/>
          </w:tcPr>
          <w:p>
            <w:pPr>
              <w:pStyle w:val="TableContents"/>
              <w:spacing w:before="0" w:after="0"/>
              <w:rPr>
                <w:rFonts w:ascii="arial" w:hAnsi="arial"/>
                <w:sz w:val="16"/>
              </w:rPr>
            </w:pPr>
            <w:r>
              <w:rPr>
                <w:rFonts w:ascii="arial" w:hAnsi="arial"/>
                <w:sz w:val="16"/>
              </w:rPr>
              <w:t>John C. Cywinski</w:t>
            </w:r>
          </w:p>
        </w:tc>
        <w:tc>
          <w:tcPr>
            <w:tcW w:w="120"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rPr/>
            </w:pPr>
            <w:r>
              <w:rPr/>
              <w:t> </w:t>
            </w:r>
          </w:p>
        </w:tc>
        <w:tc>
          <w:tcPr>
            <w:tcW w:w="1686" w:type="dxa"/>
            <w:tcBorders/>
            <w:shd w:fill="E5E5E5" w:val="clear"/>
            <w:vAlign w:val="bottom"/>
          </w:tcPr>
          <w:p>
            <w:pPr>
              <w:pStyle w:val="TableContents"/>
              <w:spacing w:before="0" w:after="283"/>
              <w:jc w:val="right"/>
              <w:rPr/>
            </w:pPr>
            <w:r>
              <w:rPr/>
              <w:t>0</w:t>
            </w:r>
          </w:p>
        </w:tc>
        <w:tc>
          <w:tcPr>
            <w:tcW w:w="280"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45" w:type="dxa"/>
            <w:tcBorders/>
            <w:shd w:fill="E5E5E5" w:val="clear"/>
            <w:vAlign w:val="bottom"/>
          </w:tcPr>
          <w:p>
            <w:pPr>
              <w:pStyle w:val="TableContents"/>
              <w:spacing w:before="0" w:after="283"/>
              <w:rPr/>
            </w:pPr>
            <w:r>
              <w:rPr/>
              <w:t> </w:t>
            </w:r>
          </w:p>
        </w:tc>
        <w:tc>
          <w:tcPr>
            <w:tcW w:w="145" w:type="dxa"/>
            <w:tcBorders/>
            <w:shd w:fill="E5E5E5" w:val="clear"/>
            <w:vAlign w:val="bottom"/>
          </w:tcPr>
          <w:p>
            <w:pPr>
              <w:pStyle w:val="TableContents"/>
              <w:spacing w:before="0" w:after="283"/>
              <w:rPr/>
            </w:pPr>
            <w:r>
              <w:rPr/>
              <w:t> </w:t>
            </w:r>
          </w:p>
        </w:tc>
        <w:tc>
          <w:tcPr>
            <w:tcW w:w="1938" w:type="dxa"/>
            <w:tcBorders/>
            <w:shd w:fill="E5E5E5" w:val="clear"/>
            <w:vAlign w:val="bottom"/>
          </w:tcPr>
          <w:p>
            <w:pPr>
              <w:pStyle w:val="TableContents"/>
              <w:spacing w:before="0" w:after="283"/>
              <w:jc w:val="right"/>
              <w:rPr/>
            </w:pPr>
            <w:r>
              <w:rPr/>
              <w:t>364,815</w:t>
            </w:r>
          </w:p>
        </w:tc>
        <w:tc>
          <w:tcPr>
            <w:tcW w:w="57"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300" w:type="dxa"/>
            <w:tcBorders/>
            <w:shd w:fill="E5E5E5" w:val="clear"/>
            <w:vAlign w:val="bottom"/>
          </w:tcPr>
          <w:p>
            <w:pPr>
              <w:pStyle w:val="TableContents"/>
              <w:spacing w:before="0" w:after="283"/>
              <w:rPr/>
            </w:pPr>
            <w:r>
              <w:rPr/>
              <w:t> </w:t>
            </w:r>
          </w:p>
        </w:tc>
        <w:tc>
          <w:tcPr>
            <w:tcW w:w="300" w:type="dxa"/>
            <w:tcBorders/>
            <w:shd w:fill="E5E5E5" w:val="clear"/>
            <w:vAlign w:val="bottom"/>
          </w:tcPr>
          <w:p>
            <w:pPr>
              <w:pStyle w:val="TableContents"/>
              <w:spacing w:before="0" w:after="283"/>
              <w:rPr/>
            </w:pPr>
            <w:r>
              <w:rPr/>
              <w:t> </w:t>
            </w:r>
          </w:p>
        </w:tc>
        <w:tc>
          <w:tcPr>
            <w:tcW w:w="4000" w:type="dxa"/>
            <w:tcBorders/>
            <w:shd w:fill="E5E5E5" w:val="clear"/>
            <w:vAlign w:val="bottom"/>
          </w:tcPr>
          <w:p>
            <w:pPr>
              <w:pStyle w:val="TableContents"/>
              <w:spacing w:before="0" w:after="283"/>
              <w:jc w:val="right"/>
              <w:rPr/>
            </w:pPr>
            <w:r>
              <w:rPr/>
              <w:t>364,815</w:t>
            </w:r>
          </w:p>
        </w:tc>
        <w:tc>
          <w:tcPr>
            <w:tcW w:w="115"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680" w:type="dxa"/>
            <w:tcBorders/>
            <w:shd w:fill="auto" w:val="clear"/>
            <w:vAlign w:val="center"/>
          </w:tcPr>
          <w:p>
            <w:pPr>
              <w:pStyle w:val="TableContents"/>
              <w:spacing w:before="0" w:after="283"/>
              <w:rPr>
                <w:sz w:val="4"/>
                <w:szCs w:val="4"/>
              </w:rPr>
            </w:pPr>
            <w:r>
              <w:rPr>
                <w:sz w:val="4"/>
                <w:szCs w:val="4"/>
              </w:rPr>
            </w:r>
          </w:p>
        </w:tc>
        <w:tc>
          <w:tcPr>
            <w:tcW w:w="3530" w:type="dxa"/>
            <w:gridSpan w:val="5"/>
            <w:tcBorders/>
            <w:shd w:fill="auto" w:val="clear"/>
            <w:vAlign w:val="center"/>
          </w:tcPr>
          <w:p>
            <w:pPr>
              <w:pStyle w:val="TableContents"/>
              <w:spacing w:before="0" w:after="283"/>
              <w:rPr>
                <w:sz w:val="4"/>
                <w:szCs w:val="4"/>
              </w:rPr>
            </w:pPr>
            <w:r>
              <w:rPr>
                <w:sz w:val="4"/>
                <w:szCs w:val="4"/>
              </w:rPr>
            </w:r>
          </w:p>
        </w:tc>
        <w:tc>
          <w:tcPr>
            <w:tcW w:w="2405" w:type="dxa"/>
            <w:gridSpan w:val="5"/>
            <w:tcBorders/>
            <w:shd w:fill="auto" w:val="clear"/>
            <w:vAlign w:val="center"/>
          </w:tcPr>
          <w:p>
            <w:pPr>
              <w:pStyle w:val="TableContents"/>
              <w:spacing w:before="0" w:after="283"/>
              <w:rPr>
                <w:sz w:val="4"/>
                <w:szCs w:val="4"/>
              </w:rPr>
            </w:pPr>
            <w:r>
              <w:rPr>
                <w:sz w:val="4"/>
                <w:szCs w:val="4"/>
              </w:rPr>
            </w:r>
          </w:p>
        </w:tc>
        <w:tc>
          <w:tcPr>
            <w:tcW w:w="4835" w:type="dxa"/>
            <w:gridSpan w:val="5"/>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tcPr>
          <w:p>
            <w:pPr>
              <w:pStyle w:val="TableContents"/>
              <w:spacing w:before="0" w:after="0"/>
              <w:rPr>
                <w:rFonts w:ascii="arial" w:hAnsi="arial"/>
                <w:sz w:val="16"/>
              </w:rPr>
            </w:pPr>
            <w:r>
              <w:rPr>
                <w:rFonts w:ascii="arial" w:hAnsi="arial"/>
                <w:sz w:val="16"/>
              </w:rPr>
              <w:t>Jay D. Johns</w:t>
            </w:r>
          </w:p>
        </w:tc>
        <w:tc>
          <w:tcPr>
            <w:tcW w:w="120"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1686" w:type="dxa"/>
            <w:tcBorders/>
            <w:shd w:fill="auto" w:val="clear"/>
            <w:vAlign w:val="bottom"/>
          </w:tcPr>
          <w:p>
            <w:pPr>
              <w:pStyle w:val="TableContents"/>
              <w:spacing w:before="0" w:after="283"/>
              <w:jc w:val="right"/>
              <w:rPr/>
            </w:pPr>
            <w:r>
              <w:rPr/>
              <w:t>0</w:t>
            </w:r>
          </w:p>
        </w:tc>
        <w:tc>
          <w:tcPr>
            <w:tcW w:w="28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938" w:type="dxa"/>
            <w:tcBorders/>
            <w:shd w:fill="auto" w:val="clear"/>
            <w:vAlign w:val="bottom"/>
          </w:tcPr>
          <w:p>
            <w:pPr>
              <w:pStyle w:val="TableContents"/>
              <w:spacing w:before="0" w:after="283"/>
              <w:jc w:val="right"/>
              <w:rPr/>
            </w:pPr>
            <w:r>
              <w:rPr/>
              <w:t>110,550</w:t>
            </w:r>
          </w:p>
        </w:tc>
        <w:tc>
          <w:tcPr>
            <w:tcW w:w="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4000" w:type="dxa"/>
            <w:tcBorders/>
            <w:shd w:fill="auto" w:val="clear"/>
            <w:vAlign w:val="bottom"/>
          </w:tcPr>
          <w:p>
            <w:pPr>
              <w:pStyle w:val="TableContents"/>
              <w:spacing w:before="0" w:after="283"/>
              <w:jc w:val="right"/>
              <w:rPr/>
            </w:pPr>
            <w:r>
              <w:rPr/>
              <w:t>110,550</w:t>
            </w:r>
          </w:p>
        </w:tc>
        <w:tc>
          <w:tcPr>
            <w:tcW w:w="115"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680" w:type="dxa"/>
            <w:tcBorders/>
            <w:shd w:fill="E5E5E5" w:val="clear"/>
            <w:vAlign w:val="center"/>
          </w:tcPr>
          <w:p>
            <w:pPr>
              <w:pStyle w:val="TableContents"/>
              <w:spacing w:before="0" w:after="283"/>
              <w:rPr>
                <w:sz w:val="4"/>
                <w:szCs w:val="4"/>
              </w:rPr>
            </w:pPr>
            <w:r>
              <w:rPr>
                <w:sz w:val="4"/>
                <w:szCs w:val="4"/>
              </w:rPr>
            </w:r>
          </w:p>
        </w:tc>
        <w:tc>
          <w:tcPr>
            <w:tcW w:w="3530" w:type="dxa"/>
            <w:gridSpan w:val="5"/>
            <w:tcBorders/>
            <w:shd w:fill="E5E5E5" w:val="clear"/>
            <w:vAlign w:val="center"/>
          </w:tcPr>
          <w:p>
            <w:pPr>
              <w:pStyle w:val="TableContents"/>
              <w:spacing w:before="0" w:after="283"/>
              <w:rPr>
                <w:sz w:val="4"/>
                <w:szCs w:val="4"/>
              </w:rPr>
            </w:pPr>
            <w:r>
              <w:rPr>
                <w:sz w:val="4"/>
                <w:szCs w:val="4"/>
              </w:rPr>
            </w:r>
          </w:p>
        </w:tc>
        <w:tc>
          <w:tcPr>
            <w:tcW w:w="2405" w:type="dxa"/>
            <w:gridSpan w:val="5"/>
            <w:tcBorders/>
            <w:shd w:fill="E5E5E5" w:val="clear"/>
            <w:vAlign w:val="center"/>
          </w:tcPr>
          <w:p>
            <w:pPr>
              <w:pStyle w:val="TableContents"/>
              <w:spacing w:before="0" w:after="283"/>
              <w:rPr>
                <w:sz w:val="4"/>
                <w:szCs w:val="4"/>
              </w:rPr>
            </w:pPr>
            <w:r>
              <w:rPr>
                <w:sz w:val="4"/>
                <w:szCs w:val="4"/>
              </w:rPr>
            </w:r>
          </w:p>
        </w:tc>
        <w:tc>
          <w:tcPr>
            <w:tcW w:w="4835" w:type="dxa"/>
            <w:gridSpan w:val="5"/>
            <w:tcBorders/>
            <w:shd w:fill="E5E5E5" w:val="clear"/>
            <w:vAlign w:val="center"/>
          </w:tcPr>
          <w:p>
            <w:pPr>
              <w:pStyle w:val="TableContents"/>
              <w:spacing w:before="0" w:after="283"/>
              <w:rPr>
                <w:sz w:val="4"/>
                <w:szCs w:val="4"/>
              </w:rPr>
            </w:pPr>
            <w:r>
              <w:rPr>
                <w:sz w:val="4"/>
                <w:szCs w:val="4"/>
              </w:rPr>
            </w:r>
          </w:p>
        </w:tc>
      </w:tr>
      <w:tr>
        <w:trPr/>
        <w:tc>
          <w:tcPr>
            <w:tcW w:w="680" w:type="dxa"/>
            <w:tcBorders/>
            <w:shd w:fill="E5E5E5" w:val="clear"/>
          </w:tcPr>
          <w:p>
            <w:pPr>
              <w:pStyle w:val="TableContents"/>
              <w:spacing w:before="0" w:after="0"/>
              <w:rPr>
                <w:rFonts w:ascii="arial" w:hAnsi="arial"/>
                <w:sz w:val="16"/>
              </w:rPr>
            </w:pPr>
            <w:r>
              <w:rPr>
                <w:rFonts w:ascii="arial" w:hAnsi="arial"/>
                <w:sz w:val="16"/>
              </w:rPr>
              <w:t>Bryan R. Adel</w:t>
            </w:r>
          </w:p>
        </w:tc>
        <w:tc>
          <w:tcPr>
            <w:tcW w:w="120"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rPr/>
            </w:pPr>
            <w:r>
              <w:rPr/>
              <w:t> </w:t>
            </w:r>
          </w:p>
        </w:tc>
        <w:tc>
          <w:tcPr>
            <w:tcW w:w="1686" w:type="dxa"/>
            <w:tcBorders/>
            <w:shd w:fill="E5E5E5" w:val="clear"/>
            <w:vAlign w:val="bottom"/>
          </w:tcPr>
          <w:p>
            <w:pPr>
              <w:pStyle w:val="TableContents"/>
              <w:spacing w:before="0" w:after="283"/>
              <w:jc w:val="right"/>
              <w:rPr/>
            </w:pPr>
            <w:r>
              <w:rPr/>
              <w:t>0</w:t>
            </w:r>
          </w:p>
        </w:tc>
        <w:tc>
          <w:tcPr>
            <w:tcW w:w="280"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145" w:type="dxa"/>
            <w:tcBorders/>
            <w:shd w:fill="E5E5E5" w:val="clear"/>
            <w:vAlign w:val="bottom"/>
          </w:tcPr>
          <w:p>
            <w:pPr>
              <w:pStyle w:val="TableContents"/>
              <w:spacing w:before="0" w:after="283"/>
              <w:rPr/>
            </w:pPr>
            <w:r>
              <w:rPr/>
              <w:t> </w:t>
            </w:r>
          </w:p>
        </w:tc>
        <w:tc>
          <w:tcPr>
            <w:tcW w:w="145" w:type="dxa"/>
            <w:tcBorders/>
            <w:shd w:fill="E5E5E5" w:val="clear"/>
            <w:vAlign w:val="bottom"/>
          </w:tcPr>
          <w:p>
            <w:pPr>
              <w:pStyle w:val="TableContents"/>
              <w:spacing w:before="0" w:after="283"/>
              <w:rPr/>
            </w:pPr>
            <w:r>
              <w:rPr/>
              <w:t> </w:t>
            </w:r>
          </w:p>
        </w:tc>
        <w:tc>
          <w:tcPr>
            <w:tcW w:w="1938" w:type="dxa"/>
            <w:tcBorders/>
            <w:shd w:fill="E5E5E5" w:val="clear"/>
            <w:vAlign w:val="bottom"/>
          </w:tcPr>
          <w:p>
            <w:pPr>
              <w:pStyle w:val="TableContents"/>
              <w:spacing w:before="0" w:after="283"/>
              <w:jc w:val="right"/>
              <w:rPr/>
            </w:pPr>
            <w:r>
              <w:rPr/>
              <w:t>243,210</w:t>
            </w:r>
          </w:p>
        </w:tc>
        <w:tc>
          <w:tcPr>
            <w:tcW w:w="57" w:type="dxa"/>
            <w:tcBorders/>
            <w:shd w:fill="E5E5E5" w:val="clear"/>
            <w:vAlign w:val="bottom"/>
          </w:tcPr>
          <w:p>
            <w:pPr>
              <w:pStyle w:val="TableContents"/>
              <w:spacing w:before="0" w:after="283"/>
              <w:rPr>
                <w:sz w:val="4"/>
                <w:szCs w:val="4"/>
              </w:rPr>
            </w:pPr>
            <w:r>
              <w:rPr>
                <w:sz w:val="4"/>
                <w:szCs w:val="4"/>
              </w:rPr>
            </w:r>
          </w:p>
        </w:tc>
        <w:tc>
          <w:tcPr>
            <w:tcW w:w="120" w:type="dxa"/>
            <w:tcBorders/>
            <w:shd w:fill="E5E5E5" w:val="clear"/>
            <w:vAlign w:val="bottom"/>
          </w:tcPr>
          <w:p>
            <w:pPr>
              <w:pStyle w:val="TableContents"/>
              <w:spacing w:before="0" w:after="283"/>
              <w:rPr/>
            </w:pPr>
            <w:r>
              <w:rPr/>
              <w:t>  </w:t>
            </w:r>
          </w:p>
        </w:tc>
        <w:tc>
          <w:tcPr>
            <w:tcW w:w="300" w:type="dxa"/>
            <w:tcBorders/>
            <w:shd w:fill="E5E5E5" w:val="clear"/>
            <w:vAlign w:val="bottom"/>
          </w:tcPr>
          <w:p>
            <w:pPr>
              <w:pStyle w:val="TableContents"/>
              <w:spacing w:before="0" w:after="283"/>
              <w:rPr/>
            </w:pPr>
            <w:r>
              <w:rPr/>
              <w:t> </w:t>
            </w:r>
          </w:p>
        </w:tc>
        <w:tc>
          <w:tcPr>
            <w:tcW w:w="300" w:type="dxa"/>
            <w:tcBorders/>
            <w:shd w:fill="E5E5E5" w:val="clear"/>
            <w:vAlign w:val="bottom"/>
          </w:tcPr>
          <w:p>
            <w:pPr>
              <w:pStyle w:val="TableContents"/>
              <w:spacing w:before="0" w:after="283"/>
              <w:rPr/>
            </w:pPr>
            <w:r>
              <w:rPr/>
              <w:t> </w:t>
            </w:r>
          </w:p>
        </w:tc>
        <w:tc>
          <w:tcPr>
            <w:tcW w:w="4000" w:type="dxa"/>
            <w:tcBorders/>
            <w:shd w:fill="E5E5E5" w:val="clear"/>
            <w:vAlign w:val="bottom"/>
          </w:tcPr>
          <w:p>
            <w:pPr>
              <w:pStyle w:val="TableContents"/>
              <w:spacing w:before="0" w:after="283"/>
              <w:jc w:val="right"/>
              <w:rPr/>
            </w:pPr>
            <w:r>
              <w:rPr/>
              <w:t>243,210</w:t>
            </w:r>
          </w:p>
        </w:tc>
        <w:tc>
          <w:tcPr>
            <w:tcW w:w="115"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 amounts in All Other Compensation for 2020 include amounts paid or reimbursed for the following: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09"/>
        <w:gridCol w:w="101"/>
        <w:gridCol w:w="79"/>
        <w:gridCol w:w="79"/>
        <w:gridCol w:w="925"/>
        <w:gridCol w:w="31"/>
        <w:gridCol w:w="101"/>
        <w:gridCol w:w="105"/>
        <w:gridCol w:w="105"/>
        <w:gridCol w:w="1224"/>
        <w:gridCol w:w="42"/>
        <w:gridCol w:w="101"/>
        <w:gridCol w:w="111"/>
        <w:gridCol w:w="110"/>
        <w:gridCol w:w="1062"/>
        <w:gridCol w:w="45"/>
        <w:gridCol w:w="101"/>
        <w:gridCol w:w="61"/>
        <w:gridCol w:w="61"/>
        <w:gridCol w:w="830"/>
        <w:gridCol w:w="25"/>
        <w:gridCol w:w="101"/>
        <w:gridCol w:w="69"/>
        <w:gridCol w:w="69"/>
        <w:gridCol w:w="650"/>
        <w:gridCol w:w="28"/>
        <w:gridCol w:w="101"/>
        <w:gridCol w:w="72"/>
        <w:gridCol w:w="73"/>
        <w:gridCol w:w="706"/>
        <w:gridCol w:w="29"/>
        <w:gridCol w:w="101"/>
        <w:gridCol w:w="60"/>
        <w:gridCol w:w="60"/>
        <w:gridCol w:w="947"/>
        <w:gridCol w:w="31"/>
      </w:tblGrid>
      <w:tr>
        <w:trPr/>
        <w:tc>
          <w:tcPr>
            <w:tcW w:w="180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r>
      <w:tr>
        <w:trPr/>
        <w:tc>
          <w:tcPr>
            <w:tcW w:w="1809" w:type="dxa"/>
            <w:tcBorders>
              <w:bottom w:val="single" w:sz="2" w:space="0" w:color="CF0A2C"/>
            </w:tcBorders>
            <w:shd w:fill="auto" w:val="clear"/>
            <w:tcMar>
              <w:bottom w:w="28" w:type="dxa"/>
            </w:tcMar>
            <w:vAlign w:val="bottom"/>
          </w:tcPr>
          <w:p>
            <w:pPr>
              <w:pStyle w:val="TableContents"/>
              <w:spacing w:before="0" w:after="0"/>
              <w:rPr>
                <w:rFonts w:ascii="arial" w:hAnsi="arial"/>
                <w:b/>
                <w:sz w:val="16"/>
              </w:rPr>
            </w:pPr>
            <w:r>
              <w:rPr>
                <w:rFonts w:ascii="arial" w:hAnsi="arial"/>
                <w:b/>
                <w:sz w:val="16"/>
              </w:rPr>
              <w:t>Name</w:t>
            </w:r>
          </w:p>
        </w:tc>
        <w:tc>
          <w:tcPr>
            <w:tcW w:w="101" w:type="dxa"/>
            <w:tcBorders>
              <w:bottom w:val="single" w:sz="2" w:space="0" w:color="CF0A2C"/>
            </w:tcBorders>
            <w:shd w:fill="auto" w:val="clear"/>
            <w:tcMar>
              <w:bottom w:w="28" w:type="dxa"/>
            </w:tcMar>
            <w:vAlign w:val="bottom"/>
          </w:tcPr>
          <w:p>
            <w:pPr>
              <w:pStyle w:val="TableContents"/>
              <w:spacing w:before="0" w:after="283"/>
              <w:rPr/>
            </w:pPr>
            <w:r>
              <w:rPr/>
              <w:t> </w:t>
            </w:r>
          </w:p>
        </w:tc>
        <w:tc>
          <w:tcPr>
            <w:tcW w:w="1114" w:type="dxa"/>
            <w:gridSpan w:val="4"/>
            <w:tcBorders>
              <w:bottom w:val="single" w:sz="2" w:space="0" w:color="CF0A2C"/>
            </w:tcBorders>
            <w:shd w:fill="auto" w:val="clear"/>
            <w:tcMar>
              <w:bottom w:w="28" w:type="dxa"/>
            </w:tcMar>
            <w:vAlign w:val="bottom"/>
          </w:tcPr>
          <w:p>
            <w:pPr>
              <w:pStyle w:val="TableContents"/>
              <w:spacing w:before="0" w:after="283"/>
              <w:jc w:val="right"/>
              <w:rPr>
                <w:b/>
              </w:rPr>
            </w:pPr>
            <w:r>
              <w:rPr>
                <w:b/>
              </w:rPr>
              <w:t>Auto</w:t>
              <w:br/>
              <w:t>Allowance</w:t>
              <w:br/>
              <w:t>and</w:t>
              <w:br/>
              <w:t>Expenses</w:t>
              <w:br/>
              <w:t>($)</w:t>
            </w:r>
          </w:p>
        </w:tc>
        <w:tc>
          <w:tcPr>
            <w:tcW w:w="101" w:type="dxa"/>
            <w:tcBorders>
              <w:bottom w:val="single" w:sz="2" w:space="0" w:color="CF0A2C"/>
            </w:tcBorders>
            <w:shd w:fill="auto" w:val="clear"/>
            <w:tcMar>
              <w:bottom w:w="28" w:type="dxa"/>
            </w:tcMar>
            <w:vAlign w:val="bottom"/>
          </w:tcPr>
          <w:p>
            <w:pPr>
              <w:pStyle w:val="TableContents"/>
              <w:spacing w:before="0" w:after="283"/>
              <w:rPr/>
            </w:pPr>
            <w:r>
              <w:rPr/>
              <w:t> </w:t>
            </w:r>
          </w:p>
        </w:tc>
        <w:tc>
          <w:tcPr>
            <w:tcW w:w="1476" w:type="dxa"/>
            <w:gridSpan w:val="4"/>
            <w:tcBorders>
              <w:bottom w:val="single" w:sz="2" w:space="0" w:color="CF0A2C"/>
            </w:tcBorders>
            <w:shd w:fill="auto" w:val="clear"/>
            <w:tcMar>
              <w:bottom w:w="28" w:type="dxa"/>
            </w:tcMar>
            <w:vAlign w:val="bottom"/>
          </w:tcPr>
          <w:p>
            <w:pPr>
              <w:pStyle w:val="TableContents"/>
              <w:spacing w:before="0" w:after="283"/>
              <w:jc w:val="right"/>
              <w:rPr>
                <w:b/>
              </w:rPr>
            </w:pPr>
            <w:r>
              <w:rPr>
                <w:b/>
              </w:rPr>
              <w:t>401(k) Plan</w:t>
              <w:br/>
              <w:t>Contributions</w:t>
              <w:br/>
              <w:t>($)</w:t>
            </w:r>
          </w:p>
        </w:tc>
        <w:tc>
          <w:tcPr>
            <w:tcW w:w="101" w:type="dxa"/>
            <w:tcBorders>
              <w:bottom w:val="single" w:sz="2" w:space="0" w:color="CF0A2C"/>
            </w:tcBorders>
            <w:shd w:fill="auto" w:val="clear"/>
            <w:tcMar>
              <w:bottom w:w="28" w:type="dxa"/>
            </w:tcMar>
            <w:vAlign w:val="bottom"/>
          </w:tcPr>
          <w:p>
            <w:pPr>
              <w:pStyle w:val="TableContents"/>
              <w:spacing w:before="0" w:after="283"/>
              <w:rPr/>
            </w:pPr>
            <w:r>
              <w:rPr/>
              <w:t> </w:t>
            </w:r>
          </w:p>
        </w:tc>
        <w:tc>
          <w:tcPr>
            <w:tcW w:w="1328" w:type="dxa"/>
            <w:gridSpan w:val="4"/>
            <w:tcBorders>
              <w:bottom w:val="single" w:sz="2" w:space="0" w:color="CF0A2C"/>
            </w:tcBorders>
            <w:shd w:fill="auto" w:val="clear"/>
            <w:tcMar>
              <w:bottom w:w="28" w:type="dxa"/>
            </w:tcMar>
            <w:vAlign w:val="bottom"/>
          </w:tcPr>
          <w:p>
            <w:pPr>
              <w:pStyle w:val="TableContents"/>
              <w:spacing w:before="0" w:after="283"/>
              <w:jc w:val="right"/>
              <w:rPr>
                <w:b/>
              </w:rPr>
            </w:pPr>
            <w:r>
              <w:rPr>
                <w:b/>
              </w:rPr>
              <w:t>Dine Brands</w:t>
              <w:br/>
              <w:t>Restaurant</w:t>
              <w:br/>
              <w:t>Dining</w:t>
              <w:br/>
              <w:t>Expenses</w:t>
              <w:br/>
              <w:t>($)</w:t>
            </w:r>
          </w:p>
        </w:tc>
        <w:tc>
          <w:tcPr>
            <w:tcW w:w="101" w:type="dxa"/>
            <w:tcBorders>
              <w:bottom w:val="single" w:sz="2" w:space="0" w:color="CF0A2C"/>
            </w:tcBorders>
            <w:shd w:fill="auto" w:val="clear"/>
            <w:tcMar>
              <w:bottom w:w="28" w:type="dxa"/>
            </w:tcMar>
            <w:vAlign w:val="bottom"/>
          </w:tcPr>
          <w:p>
            <w:pPr>
              <w:pStyle w:val="TableContents"/>
              <w:spacing w:before="0" w:after="283"/>
              <w:rPr/>
            </w:pPr>
            <w:r>
              <w:rPr/>
              <w:t> </w:t>
            </w:r>
          </w:p>
        </w:tc>
        <w:tc>
          <w:tcPr>
            <w:tcW w:w="977" w:type="dxa"/>
            <w:gridSpan w:val="4"/>
            <w:tcBorders>
              <w:bottom w:val="single" w:sz="2" w:space="0" w:color="CF0A2C"/>
            </w:tcBorders>
            <w:shd w:fill="auto" w:val="clear"/>
            <w:tcMar>
              <w:bottom w:w="28" w:type="dxa"/>
            </w:tcMar>
            <w:vAlign w:val="bottom"/>
          </w:tcPr>
          <w:p>
            <w:pPr>
              <w:pStyle w:val="TableContents"/>
              <w:spacing w:before="0" w:after="0"/>
              <w:jc w:val="right"/>
              <w:rPr>
                <w:rFonts w:ascii="arial" w:hAnsi="arial"/>
                <w:b/>
                <w:sz w:val="16"/>
              </w:rPr>
            </w:pPr>
            <w:r>
              <w:rPr>
                <w:rFonts w:ascii="arial" w:hAnsi="arial"/>
                <w:b/>
                <w:sz w:val="16"/>
              </w:rPr>
              <w:t>Housing</w:t>
              <w:br/>
              <w:t>and</w:t>
              <w:br/>
              <w:t>Commuting</w:t>
              <w:br/>
              <w:t>Expenses</w:t>
            </w:r>
          </w:p>
          <w:p>
            <w:pPr>
              <w:pStyle w:val="TableContents"/>
              <w:spacing w:before="0" w:after="20"/>
              <w:jc w:val="right"/>
              <w:rPr>
                <w:rFonts w:ascii="arial" w:hAnsi="arial"/>
                <w:b/>
                <w:sz w:val="16"/>
              </w:rPr>
            </w:pPr>
            <w:r>
              <w:rPr>
                <w:rFonts w:ascii="arial" w:hAnsi="arial"/>
                <w:b/>
                <w:sz w:val="16"/>
              </w:rPr>
              <w:t>($)</w:t>
            </w:r>
          </w:p>
        </w:tc>
        <w:tc>
          <w:tcPr>
            <w:tcW w:w="101" w:type="dxa"/>
            <w:tcBorders>
              <w:bottom w:val="single" w:sz="2" w:space="0" w:color="CF0A2C"/>
            </w:tcBorders>
            <w:shd w:fill="auto" w:val="clear"/>
            <w:tcMar>
              <w:bottom w:w="28" w:type="dxa"/>
            </w:tcMar>
            <w:vAlign w:val="bottom"/>
          </w:tcPr>
          <w:p>
            <w:pPr>
              <w:pStyle w:val="TableContents"/>
              <w:spacing w:before="0" w:after="283"/>
              <w:rPr/>
            </w:pPr>
            <w:r>
              <w:rPr/>
              <w:t> </w:t>
            </w:r>
          </w:p>
        </w:tc>
        <w:tc>
          <w:tcPr>
            <w:tcW w:w="816" w:type="dxa"/>
            <w:gridSpan w:val="4"/>
            <w:tcBorders>
              <w:bottom w:val="single" w:sz="2" w:space="0" w:color="CF0A2C"/>
            </w:tcBorders>
            <w:shd w:fill="auto" w:val="clear"/>
            <w:tcMar>
              <w:bottom w:w="28" w:type="dxa"/>
            </w:tcMar>
            <w:vAlign w:val="bottom"/>
          </w:tcPr>
          <w:p>
            <w:pPr>
              <w:pStyle w:val="TableContents"/>
              <w:spacing w:before="0" w:after="0"/>
              <w:jc w:val="right"/>
              <w:rPr>
                <w:rFonts w:ascii="arial" w:hAnsi="arial"/>
                <w:b/>
                <w:sz w:val="16"/>
              </w:rPr>
            </w:pPr>
            <w:r>
              <w:rPr>
                <w:rFonts w:ascii="arial" w:hAnsi="arial"/>
                <w:b/>
                <w:sz w:val="16"/>
              </w:rPr>
              <w:t>Life and</w:t>
              <w:br/>
              <w:t>Disability</w:t>
              <w:br/>
              <w:t>Insurance</w:t>
              <w:br/>
              <w:t>Premiums</w:t>
            </w:r>
          </w:p>
          <w:p>
            <w:pPr>
              <w:pStyle w:val="TableContents"/>
              <w:spacing w:before="0" w:after="20"/>
              <w:jc w:val="right"/>
              <w:rPr>
                <w:rFonts w:ascii="arial" w:hAnsi="arial"/>
                <w:b/>
                <w:sz w:val="16"/>
              </w:rPr>
            </w:pPr>
            <w:r>
              <w:rPr>
                <w:rFonts w:ascii="arial" w:hAnsi="arial"/>
                <w:b/>
                <w:sz w:val="16"/>
              </w:rPr>
              <w:t>($)</w:t>
            </w:r>
          </w:p>
        </w:tc>
        <w:tc>
          <w:tcPr>
            <w:tcW w:w="101" w:type="dxa"/>
            <w:tcBorders>
              <w:bottom w:val="single" w:sz="2" w:space="0" w:color="CF0A2C"/>
            </w:tcBorders>
            <w:shd w:fill="auto" w:val="clear"/>
            <w:tcMar>
              <w:bottom w:w="28" w:type="dxa"/>
            </w:tcMar>
            <w:vAlign w:val="bottom"/>
          </w:tcPr>
          <w:p>
            <w:pPr>
              <w:pStyle w:val="TableContents"/>
              <w:spacing w:before="0" w:after="283"/>
              <w:rPr/>
            </w:pPr>
            <w:r>
              <w:rPr/>
              <w:t> </w:t>
            </w:r>
          </w:p>
        </w:tc>
        <w:tc>
          <w:tcPr>
            <w:tcW w:w="880" w:type="dxa"/>
            <w:gridSpan w:val="4"/>
            <w:tcBorders>
              <w:bottom w:val="single" w:sz="2" w:space="0" w:color="CF0A2C"/>
            </w:tcBorders>
            <w:shd w:fill="auto" w:val="clear"/>
            <w:tcMar>
              <w:bottom w:w="28" w:type="dxa"/>
            </w:tcMar>
            <w:vAlign w:val="bottom"/>
          </w:tcPr>
          <w:p>
            <w:pPr>
              <w:pStyle w:val="TableContents"/>
              <w:spacing w:before="0" w:after="283"/>
              <w:jc w:val="right"/>
              <w:rPr>
                <w:b/>
              </w:rPr>
            </w:pPr>
            <w:r>
              <w:rPr>
                <w:b/>
              </w:rPr>
              <w:t>Annual</w:t>
              <w:br/>
              <w:t>Physical</w:t>
              <w:br/>
              <w:t>Exam</w:t>
              <w:br/>
              <w:t>($)</w:t>
            </w:r>
          </w:p>
        </w:tc>
        <w:tc>
          <w:tcPr>
            <w:tcW w:w="101" w:type="dxa"/>
            <w:tcBorders>
              <w:bottom w:val="single" w:sz="2" w:space="0" w:color="CF0A2C"/>
            </w:tcBorders>
            <w:shd w:fill="auto" w:val="clear"/>
            <w:tcMar>
              <w:bottom w:w="28" w:type="dxa"/>
            </w:tcMar>
            <w:vAlign w:val="bottom"/>
          </w:tcPr>
          <w:p>
            <w:pPr>
              <w:pStyle w:val="TableContents"/>
              <w:spacing w:before="0" w:after="283"/>
              <w:rPr/>
            </w:pPr>
            <w:r>
              <w:rPr/>
              <w:t> </w:t>
            </w:r>
          </w:p>
        </w:tc>
        <w:tc>
          <w:tcPr>
            <w:tcW w:w="1098" w:type="dxa"/>
            <w:gridSpan w:val="4"/>
            <w:tcBorders>
              <w:bottom w:val="single" w:sz="2" w:space="0" w:color="CF0A2C"/>
            </w:tcBorders>
            <w:shd w:fill="auto" w:val="clear"/>
            <w:tcMar>
              <w:bottom w:w="28" w:type="dxa"/>
            </w:tcMar>
            <w:vAlign w:val="bottom"/>
          </w:tcPr>
          <w:p>
            <w:pPr>
              <w:pStyle w:val="TableContents"/>
              <w:spacing w:before="0" w:after="0"/>
              <w:jc w:val="right"/>
              <w:rPr>
                <w:rFonts w:ascii="arial" w:hAnsi="arial"/>
                <w:b/>
                <w:sz w:val="16"/>
              </w:rPr>
            </w:pPr>
            <w:r>
              <w:rPr>
                <w:rFonts w:ascii="arial" w:hAnsi="arial"/>
                <w:b/>
                <w:sz w:val="16"/>
              </w:rPr>
              <w:t>Total  </w:t>
            </w:r>
          </w:p>
          <w:p>
            <w:pPr>
              <w:pStyle w:val="TableContents"/>
              <w:spacing w:before="0" w:after="20"/>
              <w:jc w:val="right"/>
              <w:rPr>
                <w:rFonts w:ascii="arial" w:hAnsi="arial"/>
                <w:b/>
                <w:sz w:val="16"/>
              </w:rPr>
            </w:pPr>
            <w:r>
              <w:rPr>
                <w:rFonts w:ascii="arial" w:hAnsi="arial"/>
                <w:b/>
                <w:sz w:val="16"/>
              </w:rPr>
              <w:t>($)  </w:t>
            </w:r>
          </w:p>
        </w:tc>
      </w:tr>
      <w:tr>
        <w:trPr>
          <w:trHeight w:val="75" w:hRule="atLeast"/>
        </w:trPr>
        <w:tc>
          <w:tcPr>
            <w:tcW w:w="1809" w:type="dxa"/>
            <w:tcBorders/>
            <w:shd w:fill="E5E5E5" w:val="clear"/>
            <w:vAlign w:val="center"/>
          </w:tcPr>
          <w:p>
            <w:pPr>
              <w:pStyle w:val="TableContents"/>
              <w:spacing w:before="0" w:after="283"/>
              <w:rPr>
                <w:sz w:val="4"/>
                <w:szCs w:val="4"/>
              </w:rPr>
            </w:pPr>
            <w:r>
              <w:rPr>
                <w:sz w:val="4"/>
                <w:szCs w:val="4"/>
              </w:rPr>
            </w:r>
          </w:p>
        </w:tc>
        <w:tc>
          <w:tcPr>
            <w:tcW w:w="1215" w:type="dxa"/>
            <w:gridSpan w:val="5"/>
            <w:tcBorders/>
            <w:shd w:fill="E5E5E5" w:val="clear"/>
            <w:vAlign w:val="center"/>
          </w:tcPr>
          <w:p>
            <w:pPr>
              <w:pStyle w:val="TableContents"/>
              <w:spacing w:before="0" w:after="283"/>
              <w:rPr>
                <w:sz w:val="4"/>
                <w:szCs w:val="4"/>
              </w:rPr>
            </w:pPr>
            <w:r>
              <w:rPr>
                <w:sz w:val="4"/>
                <w:szCs w:val="4"/>
              </w:rPr>
            </w:r>
          </w:p>
        </w:tc>
        <w:tc>
          <w:tcPr>
            <w:tcW w:w="1577" w:type="dxa"/>
            <w:gridSpan w:val="5"/>
            <w:tcBorders/>
            <w:shd w:fill="E5E5E5" w:val="clear"/>
            <w:vAlign w:val="center"/>
          </w:tcPr>
          <w:p>
            <w:pPr>
              <w:pStyle w:val="TableContents"/>
              <w:spacing w:before="0" w:after="283"/>
              <w:rPr>
                <w:sz w:val="4"/>
                <w:szCs w:val="4"/>
              </w:rPr>
            </w:pPr>
            <w:r>
              <w:rPr>
                <w:sz w:val="4"/>
                <w:szCs w:val="4"/>
              </w:rPr>
            </w:r>
          </w:p>
        </w:tc>
        <w:tc>
          <w:tcPr>
            <w:tcW w:w="1429" w:type="dxa"/>
            <w:gridSpan w:val="5"/>
            <w:tcBorders/>
            <w:shd w:fill="E5E5E5" w:val="clear"/>
            <w:vAlign w:val="center"/>
          </w:tcPr>
          <w:p>
            <w:pPr>
              <w:pStyle w:val="TableContents"/>
              <w:spacing w:before="0" w:after="283"/>
              <w:rPr>
                <w:sz w:val="4"/>
                <w:szCs w:val="4"/>
              </w:rPr>
            </w:pPr>
            <w:r>
              <w:rPr>
                <w:sz w:val="4"/>
                <w:szCs w:val="4"/>
              </w:rPr>
            </w:r>
          </w:p>
        </w:tc>
        <w:tc>
          <w:tcPr>
            <w:tcW w:w="1078" w:type="dxa"/>
            <w:gridSpan w:val="5"/>
            <w:tcBorders/>
            <w:shd w:fill="E5E5E5" w:val="clear"/>
            <w:vAlign w:val="center"/>
          </w:tcPr>
          <w:p>
            <w:pPr>
              <w:pStyle w:val="TableContents"/>
              <w:spacing w:before="0" w:after="283"/>
              <w:rPr>
                <w:sz w:val="4"/>
                <w:szCs w:val="4"/>
              </w:rPr>
            </w:pPr>
            <w:r>
              <w:rPr>
                <w:sz w:val="4"/>
                <w:szCs w:val="4"/>
              </w:rPr>
            </w:r>
          </w:p>
        </w:tc>
        <w:tc>
          <w:tcPr>
            <w:tcW w:w="917" w:type="dxa"/>
            <w:gridSpan w:val="5"/>
            <w:tcBorders/>
            <w:shd w:fill="E5E5E5" w:val="clear"/>
            <w:vAlign w:val="center"/>
          </w:tcPr>
          <w:p>
            <w:pPr>
              <w:pStyle w:val="TableContents"/>
              <w:spacing w:before="0" w:after="283"/>
              <w:rPr>
                <w:sz w:val="4"/>
                <w:szCs w:val="4"/>
              </w:rPr>
            </w:pPr>
            <w:r>
              <w:rPr>
                <w:sz w:val="4"/>
                <w:szCs w:val="4"/>
              </w:rPr>
            </w:r>
          </w:p>
        </w:tc>
        <w:tc>
          <w:tcPr>
            <w:tcW w:w="981" w:type="dxa"/>
            <w:gridSpan w:val="5"/>
            <w:tcBorders/>
            <w:shd w:fill="E5E5E5" w:val="clear"/>
            <w:vAlign w:val="center"/>
          </w:tcPr>
          <w:p>
            <w:pPr>
              <w:pStyle w:val="TableContents"/>
              <w:spacing w:before="0" w:after="283"/>
              <w:rPr>
                <w:sz w:val="4"/>
                <w:szCs w:val="4"/>
              </w:rPr>
            </w:pPr>
            <w:r>
              <w:rPr>
                <w:sz w:val="4"/>
                <w:szCs w:val="4"/>
              </w:rPr>
            </w:r>
          </w:p>
        </w:tc>
        <w:tc>
          <w:tcPr>
            <w:tcW w:w="1199" w:type="dxa"/>
            <w:gridSpan w:val="5"/>
            <w:tcBorders/>
            <w:shd w:fill="E5E5E5" w:val="clear"/>
            <w:vAlign w:val="center"/>
          </w:tcPr>
          <w:p>
            <w:pPr>
              <w:pStyle w:val="TableContents"/>
              <w:spacing w:before="0" w:after="283"/>
              <w:rPr>
                <w:sz w:val="4"/>
                <w:szCs w:val="4"/>
              </w:rPr>
            </w:pPr>
            <w:r>
              <w:rPr>
                <w:sz w:val="4"/>
                <w:szCs w:val="4"/>
              </w:rPr>
            </w:r>
          </w:p>
        </w:tc>
      </w:tr>
      <w:tr>
        <w:trPr/>
        <w:tc>
          <w:tcPr>
            <w:tcW w:w="1809" w:type="dxa"/>
            <w:tcBorders/>
            <w:shd w:fill="E5E5E5" w:val="clear"/>
          </w:tcPr>
          <w:p>
            <w:pPr>
              <w:pStyle w:val="TableContents"/>
              <w:spacing w:before="0" w:after="0"/>
              <w:rPr>
                <w:rFonts w:ascii="arial" w:hAnsi="arial"/>
                <w:sz w:val="16"/>
              </w:rPr>
            </w:pPr>
            <w:r>
              <w:rPr>
                <w:rFonts w:ascii="arial" w:hAnsi="arial"/>
                <w:sz w:val="16"/>
              </w:rPr>
              <w:t>Stephen P. Joyce</w:t>
            </w:r>
          </w:p>
        </w:tc>
        <w:tc>
          <w:tcPr>
            <w:tcW w:w="101"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925" w:type="dxa"/>
            <w:tcBorders/>
            <w:shd w:fill="E5E5E5" w:val="clear"/>
            <w:vAlign w:val="bottom"/>
          </w:tcPr>
          <w:p>
            <w:pPr>
              <w:pStyle w:val="TableContents"/>
              <w:spacing w:before="0" w:after="283"/>
              <w:jc w:val="right"/>
              <w:rPr/>
            </w:pPr>
            <w:r>
              <w:rPr/>
              <w:t>15,000</w:t>
            </w:r>
          </w:p>
        </w:tc>
        <w:tc>
          <w:tcPr>
            <w:tcW w:w="31"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105" w:type="dxa"/>
            <w:tcBorders/>
            <w:shd w:fill="E5E5E5" w:val="clear"/>
            <w:vAlign w:val="bottom"/>
          </w:tcPr>
          <w:p>
            <w:pPr>
              <w:pStyle w:val="TableContents"/>
              <w:spacing w:before="0" w:after="283"/>
              <w:rPr/>
            </w:pPr>
            <w:r>
              <w:rPr/>
              <w:t> </w:t>
            </w:r>
          </w:p>
        </w:tc>
        <w:tc>
          <w:tcPr>
            <w:tcW w:w="105" w:type="dxa"/>
            <w:tcBorders/>
            <w:shd w:fill="E5E5E5" w:val="clear"/>
            <w:vAlign w:val="bottom"/>
          </w:tcPr>
          <w:p>
            <w:pPr>
              <w:pStyle w:val="TableContents"/>
              <w:spacing w:before="0" w:after="283"/>
              <w:rPr/>
            </w:pPr>
            <w:r>
              <w:rPr/>
              <w:t> </w:t>
            </w:r>
          </w:p>
        </w:tc>
        <w:tc>
          <w:tcPr>
            <w:tcW w:w="1224" w:type="dxa"/>
            <w:tcBorders/>
            <w:shd w:fill="E5E5E5" w:val="clear"/>
            <w:vAlign w:val="bottom"/>
          </w:tcPr>
          <w:p>
            <w:pPr>
              <w:pStyle w:val="TableContents"/>
              <w:spacing w:before="0" w:after="283"/>
              <w:jc w:val="right"/>
              <w:rPr/>
            </w:pPr>
            <w:r>
              <w:rPr/>
              <w:t>14,250</w:t>
            </w:r>
          </w:p>
        </w:tc>
        <w:tc>
          <w:tcPr>
            <w:tcW w:w="42"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before="0" w:after="283"/>
              <w:rPr/>
            </w:pPr>
            <w:r>
              <w:rPr/>
              <w:t> </w:t>
            </w:r>
          </w:p>
        </w:tc>
        <w:tc>
          <w:tcPr>
            <w:tcW w:w="1062" w:type="dxa"/>
            <w:tcBorders/>
            <w:shd w:fill="E5E5E5" w:val="clear"/>
            <w:vAlign w:val="bottom"/>
          </w:tcPr>
          <w:p>
            <w:pPr>
              <w:pStyle w:val="TableContents"/>
              <w:spacing w:before="0" w:after="283"/>
              <w:jc w:val="right"/>
              <w:rPr/>
            </w:pPr>
            <w:r>
              <w:rPr/>
              <w:t></w:t>
            </w:r>
          </w:p>
        </w:tc>
        <w:tc>
          <w:tcPr>
            <w:tcW w:w="45"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1" w:type="dxa"/>
            <w:tcBorders/>
            <w:shd w:fill="E5E5E5" w:val="clear"/>
            <w:vAlign w:val="bottom"/>
          </w:tcPr>
          <w:p>
            <w:pPr>
              <w:pStyle w:val="TableContents"/>
              <w:spacing w:before="0" w:after="283"/>
              <w:rPr/>
            </w:pPr>
            <w:r>
              <w:rPr/>
              <w:t> </w:t>
            </w:r>
          </w:p>
        </w:tc>
        <w:tc>
          <w:tcPr>
            <w:tcW w:w="61" w:type="dxa"/>
            <w:tcBorders/>
            <w:shd w:fill="E5E5E5" w:val="clear"/>
            <w:vAlign w:val="bottom"/>
          </w:tcPr>
          <w:p>
            <w:pPr>
              <w:pStyle w:val="TableContents"/>
              <w:spacing w:before="0" w:after="283"/>
              <w:rPr/>
            </w:pPr>
            <w:r>
              <w:rPr/>
              <w:t> </w:t>
            </w:r>
          </w:p>
        </w:tc>
        <w:tc>
          <w:tcPr>
            <w:tcW w:w="830" w:type="dxa"/>
            <w:tcBorders/>
            <w:shd w:fill="E5E5E5" w:val="clear"/>
            <w:vAlign w:val="bottom"/>
          </w:tcPr>
          <w:p>
            <w:pPr>
              <w:pStyle w:val="TableContents"/>
              <w:spacing w:before="0" w:after="283"/>
              <w:jc w:val="right"/>
              <w:rPr/>
            </w:pPr>
            <w:r>
              <w:rPr/>
              <w:t>273,769</w:t>
            </w:r>
          </w:p>
        </w:tc>
        <w:tc>
          <w:tcPr>
            <w:tcW w:w="25"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9" w:type="dxa"/>
            <w:tcBorders/>
            <w:shd w:fill="E5E5E5" w:val="clear"/>
            <w:vAlign w:val="bottom"/>
          </w:tcPr>
          <w:p>
            <w:pPr>
              <w:pStyle w:val="TableContents"/>
              <w:spacing w:before="0" w:after="283"/>
              <w:rPr/>
            </w:pPr>
            <w:r>
              <w:rPr/>
              <w:t> </w:t>
            </w:r>
          </w:p>
        </w:tc>
        <w:tc>
          <w:tcPr>
            <w:tcW w:w="69" w:type="dxa"/>
            <w:tcBorders/>
            <w:shd w:fill="E5E5E5" w:val="clear"/>
            <w:vAlign w:val="bottom"/>
          </w:tcPr>
          <w:p>
            <w:pPr>
              <w:pStyle w:val="TableContents"/>
              <w:spacing w:before="0" w:after="283"/>
              <w:rPr/>
            </w:pPr>
            <w:r>
              <w:rPr/>
              <w:t> </w:t>
            </w:r>
          </w:p>
        </w:tc>
        <w:tc>
          <w:tcPr>
            <w:tcW w:w="650" w:type="dxa"/>
            <w:tcBorders/>
            <w:shd w:fill="E5E5E5" w:val="clear"/>
            <w:vAlign w:val="bottom"/>
          </w:tcPr>
          <w:p>
            <w:pPr>
              <w:pStyle w:val="TableContents"/>
              <w:spacing w:before="0" w:after="283"/>
              <w:jc w:val="right"/>
              <w:rPr/>
            </w:pPr>
            <w:r>
              <w:rPr/>
              <w:t>8,112</w:t>
            </w:r>
          </w:p>
        </w:tc>
        <w:tc>
          <w:tcPr>
            <w:tcW w:w="28"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706" w:type="dxa"/>
            <w:tcBorders/>
            <w:shd w:fill="E5E5E5" w:val="clear"/>
            <w:vAlign w:val="bottom"/>
          </w:tcPr>
          <w:p>
            <w:pPr>
              <w:pStyle w:val="TableContents"/>
              <w:spacing w:before="0" w:after="283"/>
              <w:jc w:val="right"/>
              <w:rPr/>
            </w:pPr>
            <w:r>
              <w:rPr/>
              <w:t></w:t>
            </w:r>
          </w:p>
        </w:tc>
        <w:tc>
          <w:tcPr>
            <w:tcW w:w="29"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47" w:type="dxa"/>
            <w:tcBorders/>
            <w:shd w:fill="E5E5E5" w:val="clear"/>
            <w:vAlign w:val="bottom"/>
          </w:tcPr>
          <w:p>
            <w:pPr>
              <w:pStyle w:val="TableContents"/>
              <w:spacing w:before="0" w:after="283"/>
              <w:jc w:val="right"/>
              <w:rPr/>
            </w:pPr>
            <w:r>
              <w:rPr/>
              <w:t>311,131  </w:t>
            </w:r>
          </w:p>
        </w:tc>
        <w:tc>
          <w:tcPr>
            <w:tcW w:w="31"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1809" w:type="dxa"/>
            <w:tcBorders/>
            <w:shd w:fill="auto" w:val="clear"/>
            <w:vAlign w:val="center"/>
          </w:tcPr>
          <w:p>
            <w:pPr>
              <w:pStyle w:val="TableContents"/>
              <w:spacing w:before="0" w:after="283"/>
              <w:rPr>
                <w:sz w:val="4"/>
                <w:szCs w:val="4"/>
              </w:rPr>
            </w:pPr>
            <w:r>
              <w:rPr>
                <w:sz w:val="4"/>
                <w:szCs w:val="4"/>
              </w:rPr>
            </w:r>
          </w:p>
        </w:tc>
        <w:tc>
          <w:tcPr>
            <w:tcW w:w="1215" w:type="dxa"/>
            <w:gridSpan w:val="5"/>
            <w:tcBorders/>
            <w:shd w:fill="auto" w:val="clear"/>
            <w:vAlign w:val="center"/>
          </w:tcPr>
          <w:p>
            <w:pPr>
              <w:pStyle w:val="TableContents"/>
              <w:spacing w:before="0" w:after="283"/>
              <w:rPr>
                <w:sz w:val="4"/>
                <w:szCs w:val="4"/>
              </w:rPr>
            </w:pPr>
            <w:r>
              <w:rPr>
                <w:sz w:val="4"/>
                <w:szCs w:val="4"/>
              </w:rPr>
            </w:r>
          </w:p>
        </w:tc>
        <w:tc>
          <w:tcPr>
            <w:tcW w:w="1577" w:type="dxa"/>
            <w:gridSpan w:val="5"/>
            <w:tcBorders/>
            <w:shd w:fill="auto" w:val="clear"/>
            <w:vAlign w:val="center"/>
          </w:tcPr>
          <w:p>
            <w:pPr>
              <w:pStyle w:val="TableContents"/>
              <w:spacing w:before="0" w:after="283"/>
              <w:rPr>
                <w:sz w:val="4"/>
                <w:szCs w:val="4"/>
              </w:rPr>
            </w:pPr>
            <w:r>
              <w:rPr>
                <w:sz w:val="4"/>
                <w:szCs w:val="4"/>
              </w:rPr>
            </w:r>
          </w:p>
        </w:tc>
        <w:tc>
          <w:tcPr>
            <w:tcW w:w="1429" w:type="dxa"/>
            <w:gridSpan w:val="5"/>
            <w:tcBorders/>
            <w:shd w:fill="auto" w:val="clear"/>
            <w:vAlign w:val="center"/>
          </w:tcPr>
          <w:p>
            <w:pPr>
              <w:pStyle w:val="TableContents"/>
              <w:spacing w:before="0" w:after="283"/>
              <w:rPr>
                <w:sz w:val="4"/>
                <w:szCs w:val="4"/>
              </w:rPr>
            </w:pPr>
            <w:r>
              <w:rPr>
                <w:sz w:val="4"/>
                <w:szCs w:val="4"/>
              </w:rPr>
            </w:r>
          </w:p>
        </w:tc>
        <w:tc>
          <w:tcPr>
            <w:tcW w:w="1078" w:type="dxa"/>
            <w:gridSpan w:val="5"/>
            <w:tcBorders/>
            <w:shd w:fill="auto" w:val="clear"/>
            <w:vAlign w:val="center"/>
          </w:tcPr>
          <w:p>
            <w:pPr>
              <w:pStyle w:val="TableContents"/>
              <w:spacing w:before="0" w:after="283"/>
              <w:rPr>
                <w:sz w:val="4"/>
                <w:szCs w:val="4"/>
              </w:rPr>
            </w:pPr>
            <w:r>
              <w:rPr>
                <w:sz w:val="4"/>
                <w:szCs w:val="4"/>
              </w:rPr>
            </w:r>
          </w:p>
        </w:tc>
        <w:tc>
          <w:tcPr>
            <w:tcW w:w="917"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c>
          <w:tcPr>
            <w:tcW w:w="1199" w:type="dxa"/>
            <w:gridSpan w:val="5"/>
            <w:tcBorders/>
            <w:shd w:fill="auto" w:val="clear"/>
            <w:vAlign w:val="center"/>
          </w:tcPr>
          <w:p>
            <w:pPr>
              <w:pStyle w:val="TableContents"/>
              <w:spacing w:before="0" w:after="283"/>
              <w:rPr>
                <w:sz w:val="4"/>
                <w:szCs w:val="4"/>
              </w:rPr>
            </w:pPr>
            <w:r>
              <w:rPr>
                <w:sz w:val="4"/>
                <w:szCs w:val="4"/>
              </w:rPr>
            </w:r>
          </w:p>
        </w:tc>
      </w:tr>
      <w:tr>
        <w:trPr/>
        <w:tc>
          <w:tcPr>
            <w:tcW w:w="1809" w:type="dxa"/>
            <w:tcBorders/>
            <w:shd w:fill="auto" w:val="clear"/>
          </w:tcPr>
          <w:p>
            <w:pPr>
              <w:pStyle w:val="TableContents"/>
              <w:spacing w:before="0" w:after="0"/>
              <w:rPr>
                <w:rFonts w:ascii="arial" w:hAnsi="arial"/>
                <w:sz w:val="16"/>
              </w:rPr>
            </w:pPr>
            <w:r>
              <w:rPr>
                <w:rFonts w:ascii="arial" w:hAnsi="arial"/>
                <w:sz w:val="16"/>
              </w:rPr>
              <w:t>Thomas H. Song</w:t>
            </w:r>
          </w:p>
        </w:tc>
        <w:tc>
          <w:tcPr>
            <w:tcW w:w="10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15,000</w:t>
            </w:r>
          </w:p>
        </w:tc>
        <w:tc>
          <w:tcPr>
            <w:tcW w:w="31"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14,250</w:t>
            </w:r>
          </w:p>
        </w:tc>
        <w:tc>
          <w:tcPr>
            <w:tcW w:w="42"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403</w:t>
            </w:r>
          </w:p>
        </w:tc>
        <w:tc>
          <w:tcPr>
            <w:tcW w:w="4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w:t>
            </w:r>
          </w:p>
        </w:tc>
        <w:tc>
          <w:tcPr>
            <w:tcW w:w="2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pPr>
            <w:r>
              <w:rPr/>
              <w:t>2,910</w:t>
            </w:r>
          </w:p>
        </w:tc>
        <w:tc>
          <w:tcPr>
            <w:tcW w:w="2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3,500</w:t>
            </w:r>
          </w:p>
        </w:tc>
        <w:tc>
          <w:tcPr>
            <w:tcW w:w="29"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36,064  </w:t>
            </w:r>
          </w:p>
        </w:tc>
        <w:tc>
          <w:tcPr>
            <w:tcW w:w="31"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1809" w:type="dxa"/>
            <w:tcBorders/>
            <w:shd w:fill="E5E5E5" w:val="clear"/>
            <w:vAlign w:val="center"/>
          </w:tcPr>
          <w:p>
            <w:pPr>
              <w:pStyle w:val="TableContents"/>
              <w:spacing w:before="0" w:after="283"/>
              <w:rPr>
                <w:sz w:val="4"/>
                <w:szCs w:val="4"/>
              </w:rPr>
            </w:pPr>
            <w:r>
              <w:rPr>
                <w:sz w:val="4"/>
                <w:szCs w:val="4"/>
              </w:rPr>
            </w:r>
          </w:p>
        </w:tc>
        <w:tc>
          <w:tcPr>
            <w:tcW w:w="1215" w:type="dxa"/>
            <w:gridSpan w:val="5"/>
            <w:tcBorders/>
            <w:shd w:fill="E5E5E5" w:val="clear"/>
            <w:vAlign w:val="center"/>
          </w:tcPr>
          <w:p>
            <w:pPr>
              <w:pStyle w:val="TableContents"/>
              <w:spacing w:before="0" w:after="283"/>
              <w:rPr>
                <w:sz w:val="4"/>
                <w:szCs w:val="4"/>
              </w:rPr>
            </w:pPr>
            <w:r>
              <w:rPr>
                <w:sz w:val="4"/>
                <w:szCs w:val="4"/>
              </w:rPr>
            </w:r>
          </w:p>
        </w:tc>
        <w:tc>
          <w:tcPr>
            <w:tcW w:w="1577" w:type="dxa"/>
            <w:gridSpan w:val="5"/>
            <w:tcBorders/>
            <w:shd w:fill="E5E5E5" w:val="clear"/>
            <w:vAlign w:val="center"/>
          </w:tcPr>
          <w:p>
            <w:pPr>
              <w:pStyle w:val="TableContents"/>
              <w:spacing w:before="0" w:after="283"/>
              <w:rPr>
                <w:sz w:val="4"/>
                <w:szCs w:val="4"/>
              </w:rPr>
            </w:pPr>
            <w:r>
              <w:rPr>
                <w:sz w:val="4"/>
                <w:szCs w:val="4"/>
              </w:rPr>
            </w:r>
          </w:p>
        </w:tc>
        <w:tc>
          <w:tcPr>
            <w:tcW w:w="1429" w:type="dxa"/>
            <w:gridSpan w:val="5"/>
            <w:tcBorders/>
            <w:shd w:fill="E5E5E5" w:val="clear"/>
            <w:vAlign w:val="center"/>
          </w:tcPr>
          <w:p>
            <w:pPr>
              <w:pStyle w:val="TableContents"/>
              <w:spacing w:before="0" w:after="283"/>
              <w:rPr>
                <w:sz w:val="4"/>
                <w:szCs w:val="4"/>
              </w:rPr>
            </w:pPr>
            <w:r>
              <w:rPr>
                <w:sz w:val="4"/>
                <w:szCs w:val="4"/>
              </w:rPr>
            </w:r>
          </w:p>
        </w:tc>
        <w:tc>
          <w:tcPr>
            <w:tcW w:w="1078" w:type="dxa"/>
            <w:gridSpan w:val="5"/>
            <w:tcBorders/>
            <w:shd w:fill="E5E5E5" w:val="clear"/>
            <w:vAlign w:val="center"/>
          </w:tcPr>
          <w:p>
            <w:pPr>
              <w:pStyle w:val="TableContents"/>
              <w:spacing w:before="0" w:after="283"/>
              <w:rPr>
                <w:sz w:val="4"/>
                <w:szCs w:val="4"/>
              </w:rPr>
            </w:pPr>
            <w:r>
              <w:rPr>
                <w:sz w:val="4"/>
                <w:szCs w:val="4"/>
              </w:rPr>
            </w:r>
          </w:p>
        </w:tc>
        <w:tc>
          <w:tcPr>
            <w:tcW w:w="917" w:type="dxa"/>
            <w:gridSpan w:val="5"/>
            <w:tcBorders/>
            <w:shd w:fill="E5E5E5" w:val="clear"/>
            <w:vAlign w:val="center"/>
          </w:tcPr>
          <w:p>
            <w:pPr>
              <w:pStyle w:val="TableContents"/>
              <w:spacing w:before="0" w:after="283"/>
              <w:rPr>
                <w:sz w:val="4"/>
                <w:szCs w:val="4"/>
              </w:rPr>
            </w:pPr>
            <w:r>
              <w:rPr>
                <w:sz w:val="4"/>
                <w:szCs w:val="4"/>
              </w:rPr>
            </w:r>
          </w:p>
        </w:tc>
        <w:tc>
          <w:tcPr>
            <w:tcW w:w="981" w:type="dxa"/>
            <w:gridSpan w:val="5"/>
            <w:tcBorders/>
            <w:shd w:fill="E5E5E5" w:val="clear"/>
            <w:vAlign w:val="center"/>
          </w:tcPr>
          <w:p>
            <w:pPr>
              <w:pStyle w:val="TableContents"/>
              <w:spacing w:before="0" w:after="283"/>
              <w:rPr>
                <w:sz w:val="4"/>
                <w:szCs w:val="4"/>
              </w:rPr>
            </w:pPr>
            <w:r>
              <w:rPr>
                <w:sz w:val="4"/>
                <w:szCs w:val="4"/>
              </w:rPr>
            </w:r>
          </w:p>
        </w:tc>
        <w:tc>
          <w:tcPr>
            <w:tcW w:w="1199" w:type="dxa"/>
            <w:gridSpan w:val="5"/>
            <w:tcBorders/>
            <w:shd w:fill="E5E5E5" w:val="clear"/>
            <w:vAlign w:val="center"/>
          </w:tcPr>
          <w:p>
            <w:pPr>
              <w:pStyle w:val="TableContents"/>
              <w:spacing w:before="0" w:after="283"/>
              <w:rPr>
                <w:sz w:val="4"/>
                <w:szCs w:val="4"/>
              </w:rPr>
            </w:pPr>
            <w:r>
              <w:rPr>
                <w:sz w:val="4"/>
                <w:szCs w:val="4"/>
              </w:rPr>
            </w:r>
          </w:p>
        </w:tc>
      </w:tr>
      <w:tr>
        <w:trPr/>
        <w:tc>
          <w:tcPr>
            <w:tcW w:w="1809" w:type="dxa"/>
            <w:tcBorders/>
            <w:shd w:fill="E5E5E5" w:val="clear"/>
          </w:tcPr>
          <w:p>
            <w:pPr>
              <w:pStyle w:val="TableContents"/>
              <w:spacing w:before="0" w:after="0"/>
              <w:rPr>
                <w:rFonts w:ascii="arial" w:hAnsi="arial"/>
                <w:sz w:val="16"/>
              </w:rPr>
            </w:pPr>
            <w:r>
              <w:rPr>
                <w:rFonts w:ascii="arial" w:hAnsi="arial"/>
                <w:sz w:val="16"/>
              </w:rPr>
              <w:t>John C. Cywinski</w:t>
            </w:r>
          </w:p>
        </w:tc>
        <w:tc>
          <w:tcPr>
            <w:tcW w:w="101"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925" w:type="dxa"/>
            <w:tcBorders/>
            <w:shd w:fill="E5E5E5" w:val="clear"/>
            <w:vAlign w:val="bottom"/>
          </w:tcPr>
          <w:p>
            <w:pPr>
              <w:pStyle w:val="TableContents"/>
              <w:spacing w:before="0" w:after="283"/>
              <w:jc w:val="right"/>
              <w:rPr/>
            </w:pPr>
            <w:r>
              <w:rPr/>
              <w:t>15,000</w:t>
            </w:r>
          </w:p>
        </w:tc>
        <w:tc>
          <w:tcPr>
            <w:tcW w:w="31"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105" w:type="dxa"/>
            <w:tcBorders/>
            <w:shd w:fill="E5E5E5" w:val="clear"/>
            <w:vAlign w:val="bottom"/>
          </w:tcPr>
          <w:p>
            <w:pPr>
              <w:pStyle w:val="TableContents"/>
              <w:spacing w:before="0" w:after="283"/>
              <w:rPr/>
            </w:pPr>
            <w:r>
              <w:rPr/>
              <w:t> </w:t>
            </w:r>
          </w:p>
        </w:tc>
        <w:tc>
          <w:tcPr>
            <w:tcW w:w="105" w:type="dxa"/>
            <w:tcBorders/>
            <w:shd w:fill="E5E5E5" w:val="clear"/>
            <w:vAlign w:val="bottom"/>
          </w:tcPr>
          <w:p>
            <w:pPr>
              <w:pStyle w:val="TableContents"/>
              <w:spacing w:before="0" w:after="283"/>
              <w:rPr/>
            </w:pPr>
            <w:r>
              <w:rPr/>
              <w:t> </w:t>
            </w:r>
          </w:p>
        </w:tc>
        <w:tc>
          <w:tcPr>
            <w:tcW w:w="1224" w:type="dxa"/>
            <w:tcBorders/>
            <w:shd w:fill="E5E5E5" w:val="clear"/>
            <w:vAlign w:val="bottom"/>
          </w:tcPr>
          <w:p>
            <w:pPr>
              <w:pStyle w:val="TableContents"/>
              <w:spacing w:before="0" w:after="283"/>
              <w:jc w:val="right"/>
              <w:rPr/>
            </w:pPr>
            <w:r>
              <w:rPr/>
              <w:t>14,250</w:t>
            </w:r>
          </w:p>
        </w:tc>
        <w:tc>
          <w:tcPr>
            <w:tcW w:w="42"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before="0" w:after="283"/>
              <w:rPr/>
            </w:pPr>
            <w:r>
              <w:rPr/>
              <w:t> </w:t>
            </w:r>
          </w:p>
        </w:tc>
        <w:tc>
          <w:tcPr>
            <w:tcW w:w="1062" w:type="dxa"/>
            <w:tcBorders/>
            <w:shd w:fill="E5E5E5" w:val="clear"/>
            <w:vAlign w:val="bottom"/>
          </w:tcPr>
          <w:p>
            <w:pPr>
              <w:pStyle w:val="TableContents"/>
              <w:spacing w:before="0" w:after="283"/>
              <w:jc w:val="right"/>
              <w:rPr/>
            </w:pPr>
            <w:r>
              <w:rPr/>
              <w:t>2,157</w:t>
            </w:r>
          </w:p>
        </w:tc>
        <w:tc>
          <w:tcPr>
            <w:tcW w:w="45"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1" w:type="dxa"/>
            <w:tcBorders/>
            <w:shd w:fill="E5E5E5" w:val="clear"/>
            <w:vAlign w:val="bottom"/>
          </w:tcPr>
          <w:p>
            <w:pPr>
              <w:pStyle w:val="TableContents"/>
              <w:spacing w:before="0" w:after="283"/>
              <w:rPr/>
            </w:pPr>
            <w:r>
              <w:rPr/>
              <w:t> </w:t>
            </w:r>
          </w:p>
        </w:tc>
        <w:tc>
          <w:tcPr>
            <w:tcW w:w="61" w:type="dxa"/>
            <w:tcBorders/>
            <w:shd w:fill="E5E5E5" w:val="clear"/>
            <w:vAlign w:val="bottom"/>
          </w:tcPr>
          <w:p>
            <w:pPr>
              <w:pStyle w:val="TableContents"/>
              <w:spacing w:before="0" w:after="283"/>
              <w:rPr/>
            </w:pPr>
            <w:r>
              <w:rPr/>
              <w:t> </w:t>
            </w:r>
          </w:p>
        </w:tc>
        <w:tc>
          <w:tcPr>
            <w:tcW w:w="830" w:type="dxa"/>
            <w:tcBorders/>
            <w:shd w:fill="E5E5E5" w:val="clear"/>
            <w:vAlign w:val="bottom"/>
          </w:tcPr>
          <w:p>
            <w:pPr>
              <w:pStyle w:val="TableContents"/>
              <w:spacing w:before="0" w:after="283"/>
              <w:jc w:val="right"/>
              <w:rPr/>
            </w:pPr>
            <w:r>
              <w:rPr/>
              <w:t></w:t>
            </w:r>
          </w:p>
        </w:tc>
        <w:tc>
          <w:tcPr>
            <w:tcW w:w="25"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9" w:type="dxa"/>
            <w:tcBorders/>
            <w:shd w:fill="E5E5E5" w:val="clear"/>
            <w:vAlign w:val="bottom"/>
          </w:tcPr>
          <w:p>
            <w:pPr>
              <w:pStyle w:val="TableContents"/>
              <w:spacing w:before="0" w:after="283"/>
              <w:rPr/>
            </w:pPr>
            <w:r>
              <w:rPr/>
              <w:t> </w:t>
            </w:r>
          </w:p>
        </w:tc>
        <w:tc>
          <w:tcPr>
            <w:tcW w:w="69" w:type="dxa"/>
            <w:tcBorders/>
            <w:shd w:fill="E5E5E5" w:val="clear"/>
            <w:vAlign w:val="bottom"/>
          </w:tcPr>
          <w:p>
            <w:pPr>
              <w:pStyle w:val="TableContents"/>
              <w:spacing w:before="0" w:after="283"/>
              <w:rPr/>
            </w:pPr>
            <w:r>
              <w:rPr/>
              <w:t> </w:t>
            </w:r>
          </w:p>
        </w:tc>
        <w:tc>
          <w:tcPr>
            <w:tcW w:w="650" w:type="dxa"/>
            <w:tcBorders/>
            <w:shd w:fill="E5E5E5" w:val="clear"/>
            <w:vAlign w:val="bottom"/>
          </w:tcPr>
          <w:p>
            <w:pPr>
              <w:pStyle w:val="TableContents"/>
              <w:spacing w:before="0" w:after="283"/>
              <w:jc w:val="right"/>
              <w:rPr/>
            </w:pPr>
            <w:r>
              <w:rPr/>
              <w:t>5,766</w:t>
            </w:r>
          </w:p>
        </w:tc>
        <w:tc>
          <w:tcPr>
            <w:tcW w:w="28"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706" w:type="dxa"/>
            <w:tcBorders/>
            <w:shd w:fill="E5E5E5" w:val="clear"/>
            <w:vAlign w:val="bottom"/>
          </w:tcPr>
          <w:p>
            <w:pPr>
              <w:pStyle w:val="TableContents"/>
              <w:spacing w:before="0" w:after="283"/>
              <w:jc w:val="right"/>
              <w:rPr/>
            </w:pPr>
            <w:r>
              <w:rPr/>
              <w:t></w:t>
            </w:r>
          </w:p>
        </w:tc>
        <w:tc>
          <w:tcPr>
            <w:tcW w:w="29"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47" w:type="dxa"/>
            <w:tcBorders/>
            <w:shd w:fill="E5E5E5" w:val="clear"/>
            <w:vAlign w:val="bottom"/>
          </w:tcPr>
          <w:p>
            <w:pPr>
              <w:pStyle w:val="TableContents"/>
              <w:spacing w:before="0" w:after="283"/>
              <w:jc w:val="right"/>
              <w:rPr/>
            </w:pPr>
            <w:r>
              <w:rPr/>
              <w:t>37,173  </w:t>
            </w:r>
          </w:p>
        </w:tc>
        <w:tc>
          <w:tcPr>
            <w:tcW w:w="31"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1809" w:type="dxa"/>
            <w:tcBorders/>
            <w:shd w:fill="auto" w:val="clear"/>
            <w:vAlign w:val="center"/>
          </w:tcPr>
          <w:p>
            <w:pPr>
              <w:pStyle w:val="TableContents"/>
              <w:spacing w:before="0" w:after="283"/>
              <w:rPr>
                <w:sz w:val="4"/>
                <w:szCs w:val="4"/>
              </w:rPr>
            </w:pPr>
            <w:r>
              <w:rPr>
                <w:sz w:val="4"/>
                <w:szCs w:val="4"/>
              </w:rPr>
            </w:r>
          </w:p>
        </w:tc>
        <w:tc>
          <w:tcPr>
            <w:tcW w:w="1215" w:type="dxa"/>
            <w:gridSpan w:val="5"/>
            <w:tcBorders/>
            <w:shd w:fill="auto" w:val="clear"/>
            <w:vAlign w:val="center"/>
          </w:tcPr>
          <w:p>
            <w:pPr>
              <w:pStyle w:val="TableContents"/>
              <w:spacing w:before="0" w:after="283"/>
              <w:rPr>
                <w:sz w:val="4"/>
                <w:szCs w:val="4"/>
              </w:rPr>
            </w:pPr>
            <w:r>
              <w:rPr>
                <w:sz w:val="4"/>
                <w:szCs w:val="4"/>
              </w:rPr>
            </w:r>
          </w:p>
        </w:tc>
        <w:tc>
          <w:tcPr>
            <w:tcW w:w="1577" w:type="dxa"/>
            <w:gridSpan w:val="5"/>
            <w:tcBorders/>
            <w:shd w:fill="auto" w:val="clear"/>
            <w:vAlign w:val="center"/>
          </w:tcPr>
          <w:p>
            <w:pPr>
              <w:pStyle w:val="TableContents"/>
              <w:spacing w:before="0" w:after="283"/>
              <w:rPr>
                <w:sz w:val="4"/>
                <w:szCs w:val="4"/>
              </w:rPr>
            </w:pPr>
            <w:r>
              <w:rPr>
                <w:sz w:val="4"/>
                <w:szCs w:val="4"/>
              </w:rPr>
            </w:r>
          </w:p>
        </w:tc>
        <w:tc>
          <w:tcPr>
            <w:tcW w:w="1429" w:type="dxa"/>
            <w:gridSpan w:val="5"/>
            <w:tcBorders/>
            <w:shd w:fill="auto" w:val="clear"/>
            <w:vAlign w:val="center"/>
          </w:tcPr>
          <w:p>
            <w:pPr>
              <w:pStyle w:val="TableContents"/>
              <w:spacing w:before="0" w:after="283"/>
              <w:rPr>
                <w:sz w:val="4"/>
                <w:szCs w:val="4"/>
              </w:rPr>
            </w:pPr>
            <w:r>
              <w:rPr>
                <w:sz w:val="4"/>
                <w:szCs w:val="4"/>
              </w:rPr>
            </w:r>
          </w:p>
        </w:tc>
        <w:tc>
          <w:tcPr>
            <w:tcW w:w="1078" w:type="dxa"/>
            <w:gridSpan w:val="5"/>
            <w:tcBorders/>
            <w:shd w:fill="auto" w:val="clear"/>
            <w:vAlign w:val="center"/>
          </w:tcPr>
          <w:p>
            <w:pPr>
              <w:pStyle w:val="TableContents"/>
              <w:spacing w:before="0" w:after="283"/>
              <w:rPr>
                <w:sz w:val="4"/>
                <w:szCs w:val="4"/>
              </w:rPr>
            </w:pPr>
            <w:r>
              <w:rPr>
                <w:sz w:val="4"/>
                <w:szCs w:val="4"/>
              </w:rPr>
            </w:r>
          </w:p>
        </w:tc>
        <w:tc>
          <w:tcPr>
            <w:tcW w:w="917" w:type="dxa"/>
            <w:gridSpan w:val="5"/>
            <w:tcBorders/>
            <w:shd w:fill="auto" w:val="clear"/>
            <w:vAlign w:val="center"/>
          </w:tcPr>
          <w:p>
            <w:pPr>
              <w:pStyle w:val="TableContents"/>
              <w:spacing w:before="0" w:after="283"/>
              <w:rPr>
                <w:sz w:val="4"/>
                <w:szCs w:val="4"/>
              </w:rPr>
            </w:pPr>
            <w:r>
              <w:rPr>
                <w:sz w:val="4"/>
                <w:szCs w:val="4"/>
              </w:rPr>
            </w:r>
          </w:p>
        </w:tc>
        <w:tc>
          <w:tcPr>
            <w:tcW w:w="981" w:type="dxa"/>
            <w:gridSpan w:val="5"/>
            <w:tcBorders/>
            <w:shd w:fill="auto" w:val="clear"/>
            <w:vAlign w:val="center"/>
          </w:tcPr>
          <w:p>
            <w:pPr>
              <w:pStyle w:val="TableContents"/>
              <w:spacing w:before="0" w:after="283"/>
              <w:rPr>
                <w:sz w:val="4"/>
                <w:szCs w:val="4"/>
              </w:rPr>
            </w:pPr>
            <w:r>
              <w:rPr>
                <w:sz w:val="4"/>
                <w:szCs w:val="4"/>
              </w:rPr>
            </w:r>
          </w:p>
        </w:tc>
        <w:tc>
          <w:tcPr>
            <w:tcW w:w="1199" w:type="dxa"/>
            <w:gridSpan w:val="5"/>
            <w:tcBorders/>
            <w:shd w:fill="auto" w:val="clear"/>
            <w:vAlign w:val="center"/>
          </w:tcPr>
          <w:p>
            <w:pPr>
              <w:pStyle w:val="TableContents"/>
              <w:spacing w:before="0" w:after="283"/>
              <w:rPr>
                <w:sz w:val="4"/>
                <w:szCs w:val="4"/>
              </w:rPr>
            </w:pPr>
            <w:r>
              <w:rPr>
                <w:sz w:val="4"/>
                <w:szCs w:val="4"/>
              </w:rPr>
            </w:r>
          </w:p>
        </w:tc>
      </w:tr>
      <w:tr>
        <w:trPr/>
        <w:tc>
          <w:tcPr>
            <w:tcW w:w="1809" w:type="dxa"/>
            <w:tcBorders/>
            <w:shd w:fill="auto" w:val="clear"/>
          </w:tcPr>
          <w:p>
            <w:pPr>
              <w:pStyle w:val="TableContents"/>
              <w:spacing w:before="0" w:after="0"/>
              <w:rPr>
                <w:rFonts w:ascii="arial" w:hAnsi="arial"/>
                <w:sz w:val="16"/>
              </w:rPr>
            </w:pPr>
            <w:r>
              <w:rPr>
                <w:rFonts w:ascii="arial" w:hAnsi="arial"/>
                <w:sz w:val="16"/>
              </w:rPr>
              <w:t>Jay D. Johns</w:t>
            </w:r>
          </w:p>
        </w:tc>
        <w:tc>
          <w:tcPr>
            <w:tcW w:w="10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15,000</w:t>
            </w:r>
          </w:p>
        </w:tc>
        <w:tc>
          <w:tcPr>
            <w:tcW w:w="31"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14,250</w:t>
            </w:r>
          </w:p>
        </w:tc>
        <w:tc>
          <w:tcPr>
            <w:tcW w:w="42"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418</w:t>
            </w:r>
          </w:p>
        </w:tc>
        <w:tc>
          <w:tcPr>
            <w:tcW w:w="4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w:t>
            </w:r>
          </w:p>
        </w:tc>
        <w:tc>
          <w:tcPr>
            <w:tcW w:w="2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pPr>
            <w:r>
              <w:rPr/>
              <w:t>5,766</w:t>
            </w:r>
          </w:p>
        </w:tc>
        <w:tc>
          <w:tcPr>
            <w:tcW w:w="2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w:t>
            </w:r>
          </w:p>
        </w:tc>
        <w:tc>
          <w:tcPr>
            <w:tcW w:w="29"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35,433  </w:t>
            </w:r>
          </w:p>
        </w:tc>
        <w:tc>
          <w:tcPr>
            <w:tcW w:w="31"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1809" w:type="dxa"/>
            <w:tcBorders/>
            <w:shd w:fill="E5E5E5" w:val="clear"/>
            <w:vAlign w:val="center"/>
          </w:tcPr>
          <w:p>
            <w:pPr>
              <w:pStyle w:val="TableContents"/>
              <w:spacing w:before="0" w:after="283"/>
              <w:rPr>
                <w:sz w:val="4"/>
                <w:szCs w:val="4"/>
              </w:rPr>
            </w:pPr>
            <w:r>
              <w:rPr>
                <w:sz w:val="4"/>
                <w:szCs w:val="4"/>
              </w:rPr>
            </w:r>
          </w:p>
        </w:tc>
        <w:tc>
          <w:tcPr>
            <w:tcW w:w="1215" w:type="dxa"/>
            <w:gridSpan w:val="5"/>
            <w:tcBorders/>
            <w:shd w:fill="E5E5E5" w:val="clear"/>
            <w:vAlign w:val="center"/>
          </w:tcPr>
          <w:p>
            <w:pPr>
              <w:pStyle w:val="TableContents"/>
              <w:spacing w:before="0" w:after="283"/>
              <w:rPr>
                <w:sz w:val="4"/>
                <w:szCs w:val="4"/>
              </w:rPr>
            </w:pPr>
            <w:r>
              <w:rPr>
                <w:sz w:val="4"/>
                <w:szCs w:val="4"/>
              </w:rPr>
            </w:r>
          </w:p>
        </w:tc>
        <w:tc>
          <w:tcPr>
            <w:tcW w:w="1577" w:type="dxa"/>
            <w:gridSpan w:val="5"/>
            <w:tcBorders/>
            <w:shd w:fill="E5E5E5" w:val="clear"/>
            <w:vAlign w:val="center"/>
          </w:tcPr>
          <w:p>
            <w:pPr>
              <w:pStyle w:val="TableContents"/>
              <w:spacing w:before="0" w:after="283"/>
              <w:rPr>
                <w:sz w:val="4"/>
                <w:szCs w:val="4"/>
              </w:rPr>
            </w:pPr>
            <w:r>
              <w:rPr>
                <w:sz w:val="4"/>
                <w:szCs w:val="4"/>
              </w:rPr>
            </w:r>
          </w:p>
        </w:tc>
        <w:tc>
          <w:tcPr>
            <w:tcW w:w="1429" w:type="dxa"/>
            <w:gridSpan w:val="5"/>
            <w:tcBorders/>
            <w:shd w:fill="E5E5E5" w:val="clear"/>
            <w:vAlign w:val="center"/>
          </w:tcPr>
          <w:p>
            <w:pPr>
              <w:pStyle w:val="TableContents"/>
              <w:spacing w:before="0" w:after="283"/>
              <w:rPr>
                <w:sz w:val="4"/>
                <w:szCs w:val="4"/>
              </w:rPr>
            </w:pPr>
            <w:r>
              <w:rPr>
                <w:sz w:val="4"/>
                <w:szCs w:val="4"/>
              </w:rPr>
            </w:r>
          </w:p>
        </w:tc>
        <w:tc>
          <w:tcPr>
            <w:tcW w:w="1078" w:type="dxa"/>
            <w:gridSpan w:val="5"/>
            <w:tcBorders/>
            <w:shd w:fill="E5E5E5" w:val="clear"/>
            <w:vAlign w:val="center"/>
          </w:tcPr>
          <w:p>
            <w:pPr>
              <w:pStyle w:val="TableContents"/>
              <w:spacing w:before="0" w:after="283"/>
              <w:rPr>
                <w:sz w:val="4"/>
                <w:szCs w:val="4"/>
              </w:rPr>
            </w:pPr>
            <w:r>
              <w:rPr>
                <w:sz w:val="4"/>
                <w:szCs w:val="4"/>
              </w:rPr>
            </w:r>
          </w:p>
        </w:tc>
        <w:tc>
          <w:tcPr>
            <w:tcW w:w="917" w:type="dxa"/>
            <w:gridSpan w:val="5"/>
            <w:tcBorders/>
            <w:shd w:fill="E5E5E5" w:val="clear"/>
            <w:vAlign w:val="center"/>
          </w:tcPr>
          <w:p>
            <w:pPr>
              <w:pStyle w:val="TableContents"/>
              <w:spacing w:before="0" w:after="283"/>
              <w:rPr>
                <w:sz w:val="4"/>
                <w:szCs w:val="4"/>
              </w:rPr>
            </w:pPr>
            <w:r>
              <w:rPr>
                <w:sz w:val="4"/>
                <w:szCs w:val="4"/>
              </w:rPr>
            </w:r>
          </w:p>
        </w:tc>
        <w:tc>
          <w:tcPr>
            <w:tcW w:w="981" w:type="dxa"/>
            <w:gridSpan w:val="5"/>
            <w:tcBorders/>
            <w:shd w:fill="E5E5E5" w:val="clear"/>
            <w:vAlign w:val="center"/>
          </w:tcPr>
          <w:p>
            <w:pPr>
              <w:pStyle w:val="TableContents"/>
              <w:spacing w:before="0" w:after="283"/>
              <w:rPr>
                <w:sz w:val="4"/>
                <w:szCs w:val="4"/>
              </w:rPr>
            </w:pPr>
            <w:r>
              <w:rPr>
                <w:sz w:val="4"/>
                <w:szCs w:val="4"/>
              </w:rPr>
            </w:r>
          </w:p>
        </w:tc>
        <w:tc>
          <w:tcPr>
            <w:tcW w:w="1199" w:type="dxa"/>
            <w:gridSpan w:val="5"/>
            <w:tcBorders/>
            <w:shd w:fill="E5E5E5" w:val="clear"/>
            <w:vAlign w:val="center"/>
          </w:tcPr>
          <w:p>
            <w:pPr>
              <w:pStyle w:val="TableContents"/>
              <w:spacing w:before="0" w:after="283"/>
              <w:rPr>
                <w:sz w:val="4"/>
                <w:szCs w:val="4"/>
              </w:rPr>
            </w:pPr>
            <w:r>
              <w:rPr>
                <w:sz w:val="4"/>
                <w:szCs w:val="4"/>
              </w:rPr>
            </w:r>
          </w:p>
        </w:tc>
      </w:tr>
      <w:tr>
        <w:trPr/>
        <w:tc>
          <w:tcPr>
            <w:tcW w:w="1809" w:type="dxa"/>
            <w:tcBorders/>
            <w:shd w:fill="E5E5E5" w:val="clear"/>
          </w:tcPr>
          <w:p>
            <w:pPr>
              <w:pStyle w:val="TableContents"/>
              <w:spacing w:before="0" w:after="0"/>
              <w:rPr>
                <w:rFonts w:ascii="arial" w:hAnsi="arial"/>
                <w:sz w:val="16"/>
              </w:rPr>
            </w:pPr>
            <w:r>
              <w:rPr>
                <w:rFonts w:ascii="arial" w:hAnsi="arial"/>
                <w:sz w:val="16"/>
              </w:rPr>
              <w:t>Bryan R. Adel</w:t>
            </w:r>
          </w:p>
        </w:tc>
        <w:tc>
          <w:tcPr>
            <w:tcW w:w="101"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925" w:type="dxa"/>
            <w:tcBorders/>
            <w:shd w:fill="E5E5E5" w:val="clear"/>
            <w:vAlign w:val="bottom"/>
          </w:tcPr>
          <w:p>
            <w:pPr>
              <w:pStyle w:val="TableContents"/>
              <w:spacing w:before="0" w:after="283"/>
              <w:jc w:val="right"/>
              <w:rPr/>
            </w:pPr>
            <w:r>
              <w:rPr/>
              <w:t>15,000</w:t>
            </w:r>
          </w:p>
        </w:tc>
        <w:tc>
          <w:tcPr>
            <w:tcW w:w="31"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105" w:type="dxa"/>
            <w:tcBorders/>
            <w:shd w:fill="E5E5E5" w:val="clear"/>
            <w:vAlign w:val="bottom"/>
          </w:tcPr>
          <w:p>
            <w:pPr>
              <w:pStyle w:val="TableContents"/>
              <w:spacing w:before="0" w:after="283"/>
              <w:rPr/>
            </w:pPr>
            <w:r>
              <w:rPr/>
              <w:t> </w:t>
            </w:r>
          </w:p>
        </w:tc>
        <w:tc>
          <w:tcPr>
            <w:tcW w:w="105" w:type="dxa"/>
            <w:tcBorders/>
            <w:shd w:fill="E5E5E5" w:val="clear"/>
            <w:vAlign w:val="bottom"/>
          </w:tcPr>
          <w:p>
            <w:pPr>
              <w:pStyle w:val="TableContents"/>
              <w:spacing w:before="0" w:after="283"/>
              <w:rPr/>
            </w:pPr>
            <w:r>
              <w:rPr/>
              <w:t> </w:t>
            </w:r>
          </w:p>
        </w:tc>
        <w:tc>
          <w:tcPr>
            <w:tcW w:w="1224" w:type="dxa"/>
            <w:tcBorders/>
            <w:shd w:fill="E5E5E5" w:val="clear"/>
            <w:vAlign w:val="bottom"/>
          </w:tcPr>
          <w:p>
            <w:pPr>
              <w:pStyle w:val="TableContents"/>
              <w:spacing w:before="0" w:after="283"/>
              <w:jc w:val="right"/>
              <w:rPr/>
            </w:pPr>
            <w:r>
              <w:rPr/>
              <w:t>14,250</w:t>
            </w:r>
          </w:p>
        </w:tc>
        <w:tc>
          <w:tcPr>
            <w:tcW w:w="42"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10" w:type="dxa"/>
            <w:tcBorders/>
            <w:shd w:fill="E5E5E5" w:val="clear"/>
            <w:vAlign w:val="bottom"/>
          </w:tcPr>
          <w:p>
            <w:pPr>
              <w:pStyle w:val="TableContents"/>
              <w:spacing w:before="0" w:after="283"/>
              <w:rPr/>
            </w:pPr>
            <w:r>
              <w:rPr/>
              <w:t> </w:t>
            </w:r>
          </w:p>
        </w:tc>
        <w:tc>
          <w:tcPr>
            <w:tcW w:w="1062" w:type="dxa"/>
            <w:tcBorders/>
            <w:shd w:fill="E5E5E5" w:val="clear"/>
            <w:vAlign w:val="bottom"/>
          </w:tcPr>
          <w:p>
            <w:pPr>
              <w:pStyle w:val="TableContents"/>
              <w:spacing w:before="0" w:after="283"/>
              <w:jc w:val="right"/>
              <w:rPr/>
            </w:pPr>
            <w:r>
              <w:rPr/>
              <w:t>268</w:t>
            </w:r>
          </w:p>
        </w:tc>
        <w:tc>
          <w:tcPr>
            <w:tcW w:w="45"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1" w:type="dxa"/>
            <w:tcBorders/>
            <w:shd w:fill="E5E5E5" w:val="clear"/>
            <w:vAlign w:val="bottom"/>
          </w:tcPr>
          <w:p>
            <w:pPr>
              <w:pStyle w:val="TableContents"/>
              <w:spacing w:before="0" w:after="283"/>
              <w:rPr/>
            </w:pPr>
            <w:r>
              <w:rPr/>
              <w:t> </w:t>
            </w:r>
          </w:p>
        </w:tc>
        <w:tc>
          <w:tcPr>
            <w:tcW w:w="61" w:type="dxa"/>
            <w:tcBorders/>
            <w:shd w:fill="E5E5E5" w:val="clear"/>
            <w:vAlign w:val="bottom"/>
          </w:tcPr>
          <w:p>
            <w:pPr>
              <w:pStyle w:val="TableContents"/>
              <w:spacing w:before="0" w:after="283"/>
              <w:rPr/>
            </w:pPr>
            <w:r>
              <w:rPr/>
              <w:t> </w:t>
            </w:r>
          </w:p>
        </w:tc>
        <w:tc>
          <w:tcPr>
            <w:tcW w:w="830" w:type="dxa"/>
            <w:tcBorders/>
            <w:shd w:fill="E5E5E5" w:val="clear"/>
            <w:vAlign w:val="bottom"/>
          </w:tcPr>
          <w:p>
            <w:pPr>
              <w:pStyle w:val="TableContents"/>
              <w:spacing w:before="0" w:after="283"/>
              <w:jc w:val="right"/>
              <w:rPr/>
            </w:pPr>
            <w:r>
              <w:rPr/>
              <w:t></w:t>
            </w:r>
          </w:p>
        </w:tc>
        <w:tc>
          <w:tcPr>
            <w:tcW w:w="25"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9" w:type="dxa"/>
            <w:tcBorders/>
            <w:shd w:fill="E5E5E5" w:val="clear"/>
            <w:vAlign w:val="bottom"/>
          </w:tcPr>
          <w:p>
            <w:pPr>
              <w:pStyle w:val="TableContents"/>
              <w:spacing w:before="0" w:after="283"/>
              <w:rPr/>
            </w:pPr>
            <w:r>
              <w:rPr/>
              <w:t> </w:t>
            </w:r>
          </w:p>
        </w:tc>
        <w:tc>
          <w:tcPr>
            <w:tcW w:w="69" w:type="dxa"/>
            <w:tcBorders/>
            <w:shd w:fill="E5E5E5" w:val="clear"/>
            <w:vAlign w:val="bottom"/>
          </w:tcPr>
          <w:p>
            <w:pPr>
              <w:pStyle w:val="TableContents"/>
              <w:spacing w:before="0" w:after="283"/>
              <w:rPr/>
            </w:pPr>
            <w:r>
              <w:rPr/>
              <w:t> </w:t>
            </w:r>
          </w:p>
        </w:tc>
        <w:tc>
          <w:tcPr>
            <w:tcW w:w="650" w:type="dxa"/>
            <w:tcBorders/>
            <w:shd w:fill="E5E5E5" w:val="clear"/>
            <w:vAlign w:val="bottom"/>
          </w:tcPr>
          <w:p>
            <w:pPr>
              <w:pStyle w:val="TableContents"/>
              <w:spacing w:before="0" w:after="283"/>
              <w:jc w:val="right"/>
              <w:rPr/>
            </w:pPr>
            <w:r>
              <w:rPr/>
              <w:t>5,766</w:t>
            </w:r>
          </w:p>
        </w:tc>
        <w:tc>
          <w:tcPr>
            <w:tcW w:w="28"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73" w:type="dxa"/>
            <w:tcBorders/>
            <w:shd w:fill="E5E5E5" w:val="clear"/>
            <w:vAlign w:val="bottom"/>
          </w:tcPr>
          <w:p>
            <w:pPr>
              <w:pStyle w:val="TableContents"/>
              <w:spacing w:before="0" w:after="283"/>
              <w:rPr/>
            </w:pPr>
            <w:r>
              <w:rPr/>
              <w:t> </w:t>
            </w:r>
          </w:p>
        </w:tc>
        <w:tc>
          <w:tcPr>
            <w:tcW w:w="706" w:type="dxa"/>
            <w:tcBorders/>
            <w:shd w:fill="E5E5E5" w:val="clear"/>
            <w:vAlign w:val="bottom"/>
          </w:tcPr>
          <w:p>
            <w:pPr>
              <w:pStyle w:val="TableContents"/>
              <w:spacing w:before="0" w:after="283"/>
              <w:jc w:val="right"/>
              <w:rPr/>
            </w:pPr>
            <w:r>
              <w:rPr/>
              <w:t>3,400</w:t>
            </w:r>
          </w:p>
        </w:tc>
        <w:tc>
          <w:tcPr>
            <w:tcW w:w="29" w:type="dxa"/>
            <w:tcBorders/>
            <w:shd w:fill="E5E5E5" w:val="clear"/>
            <w:vAlign w:val="bottom"/>
          </w:tcPr>
          <w:p>
            <w:pPr>
              <w:pStyle w:val="TableContents"/>
              <w:spacing w:before="0" w:after="283"/>
              <w:rPr>
                <w:sz w:val="4"/>
                <w:szCs w:val="4"/>
              </w:rPr>
            </w:pPr>
            <w:r>
              <w:rPr>
                <w:sz w:val="4"/>
                <w:szCs w:val="4"/>
              </w:rPr>
            </w:r>
          </w:p>
        </w:tc>
        <w:tc>
          <w:tcPr>
            <w:tcW w:w="101"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47" w:type="dxa"/>
            <w:tcBorders/>
            <w:shd w:fill="E5E5E5" w:val="clear"/>
            <w:vAlign w:val="bottom"/>
          </w:tcPr>
          <w:p>
            <w:pPr>
              <w:pStyle w:val="TableContents"/>
              <w:spacing w:before="0" w:after="283"/>
              <w:jc w:val="right"/>
              <w:rPr/>
            </w:pPr>
            <w:r>
              <w:rPr/>
              <w:t>38,684  </w:t>
            </w:r>
          </w:p>
        </w:tc>
        <w:tc>
          <w:tcPr>
            <w:tcW w:w="31"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Mr. Song is no longer entitled to any of his unvested long-term incentive awards, including stock options, restricted stock awards, and cash LTIP awards award due to his voluntary termination from the Corporation on January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Represents a special recognition bonus of $250,000 paid to Mr. Song in August of 2019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(9)</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Represents Mr. Songs sign-on bonus.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Includes sign-on RSAs awarded to Mr. Song valued at $1,000,002.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Includes a special retention grant of performance  and time-based RSUs valued at $2,046,999.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Includes special recognition RSAs awarded to Mr. Johns valued at $1,000,075 in connection with his promotion to President of the IHOP Business Unit.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Represents a special recognition bonus of $50,000 paid to Mr. Adel in November 2019 and special recognition bonus of $200,000 paid to Mr. Adel in March 2019.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39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COMPENSATION TABLES</w:t>
            </w:r>
          </w:p>
        </w:tc>
      </w:tr>
    </w:tbl>
    <w:p>
      <w:pPr>
        <w:pStyle w:val="TextBody"/>
        <w:spacing w:before="0" w:after="0"/>
        <w:jc w:val="left"/>
        <w:rPr/>
      </w:pPr>
      <w:r>
        <w:rPr/>
        <w:t> </w:t>
      </w:r>
    </w:p>
    <w:p>
      <w:pPr>
        <w:pStyle w:val="TextBody"/>
        <w:spacing w:before="0" w:after="0"/>
        <w:jc w:val="left"/>
        <w:rPr>
          <w:rFonts w:ascii="arial" w:hAnsi="arial"/>
          <w:b/>
          <w:color w:val="CF0A2C"/>
          <w:sz w:val="28"/>
        </w:rPr>
      </w:pPr>
      <w:bookmarkStart w:id="30" w:name="toc116694_28"/>
      <w:bookmarkEnd w:id="30"/>
      <w:r>
        <w:rPr>
          <w:rFonts w:ascii="arial" w:hAnsi="arial"/>
          <w:b/>
          <w:color w:val="CF0A2C"/>
          <w:sz w:val="28"/>
        </w:rPr>
        <w:t xml:space="preserve">Grants of Plan-Based Awards in 2020 </w:t>
      </w:r>
    </w:p>
    <w:p>
      <w:pPr>
        <w:pStyle w:val="TextBody"/>
        <w:spacing w:before="120" w:after="0"/>
        <w:jc w:val="left"/>
        <w:rPr>
          <w:rFonts w:ascii="arial" w:hAnsi="arial"/>
          <w:sz w:val="20"/>
        </w:rPr>
      </w:pPr>
      <w:r>
        <w:rPr>
          <w:rFonts w:ascii="arial" w:hAnsi="arial"/>
          <w:sz w:val="20"/>
        </w:rPr>
        <w:t xml:space="preserve">The following table provides information with respect to the plan-based awards granted by the Compensation Committee to the NEOs. Plan-based awards include annual incentive plan awards under the Corporations 2020 Annual Incentive Plan (AIP), RSAs, NQSOs and cash LTIP awards under the 2019 Stock Incentive Plan. For additional information on the performance objectives and determination of threshold, target, and maximum payouts for these awards, see the section entitled Performance- and Stock-Based Compensation in the Compensation Discussion and Analysis section of this proxy statement. </w:t>
      </w:r>
    </w:p>
    <w:p>
      <w:pPr>
        <w:pStyle w:val="TextBody"/>
        <w:spacing w:before="0" w:after="0"/>
        <w:jc w:val="left"/>
        <w:rPr/>
      </w:pPr>
      <w:r>
        <w:rPr/>
        <w:t> </w:t>
      </w:r>
    </w:p>
    <w:tbl>
      <w:tblPr>
        <w:tblW w:w="10760" w:type="dxa"/>
        <w:jc w:val="center"/>
        <w:tblInd w:w="0" w:type="dxa"/>
        <w:tblCellMar>
          <w:top w:w="0" w:type="dxa"/>
          <w:left w:w="0" w:type="dxa"/>
          <w:bottom w:w="0" w:type="dxa"/>
          <w:right w:w="0" w:type="dxa"/>
        </w:tblCellMar>
      </w:tblPr>
      <w:tblGrid>
        <w:gridCol w:w="1850"/>
        <w:gridCol w:w="60"/>
        <w:gridCol w:w="60"/>
        <w:gridCol w:w="500"/>
        <w:gridCol w:w="60"/>
        <w:gridCol w:w="60"/>
        <w:gridCol w:w="60"/>
        <w:gridCol w:w="680"/>
        <w:gridCol w:w="60"/>
        <w:gridCol w:w="60"/>
        <w:gridCol w:w="60"/>
        <w:gridCol w:w="800"/>
        <w:gridCol w:w="60"/>
        <w:gridCol w:w="60"/>
        <w:gridCol w:w="60"/>
        <w:gridCol w:w="980"/>
        <w:gridCol w:w="60"/>
        <w:gridCol w:w="60"/>
        <w:gridCol w:w="60"/>
        <w:gridCol w:w="980"/>
        <w:gridCol w:w="60"/>
        <w:gridCol w:w="60"/>
        <w:gridCol w:w="83"/>
        <w:gridCol w:w="777"/>
        <w:gridCol w:w="60"/>
        <w:gridCol w:w="60"/>
        <w:gridCol w:w="72"/>
        <w:gridCol w:w="818"/>
        <w:gridCol w:w="60"/>
        <w:gridCol w:w="60"/>
        <w:gridCol w:w="70"/>
        <w:gridCol w:w="655"/>
        <w:gridCol w:w="60"/>
        <w:gridCol w:w="60"/>
        <w:gridCol w:w="77"/>
        <w:gridCol w:w="1038"/>
        <w:gridCol w:w="60"/>
      </w:tblGrid>
      <w:tr>
        <w:trPr/>
        <w:tc>
          <w:tcPr>
            <w:tcW w:w="18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560" w:type="dxa"/>
            <w:gridSpan w:val="2"/>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740" w:type="dxa"/>
            <w:gridSpan w:val="2"/>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3180" w:type="dxa"/>
            <w:gridSpan w:val="10"/>
            <w:tcBorders>
              <w:bottom w:val="single" w:sz="2" w:space="0" w:color="FFFFFF"/>
            </w:tcBorders>
            <w:shd w:fill="CF0A2C" w:val="clear"/>
            <w:tcMar>
              <w:bottom w:w="28" w:type="dxa"/>
            </w:tcMar>
            <w:vAlign w:val="bottom"/>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Estimated Future Payouts</w:t>
              <w:br/>
              <w:t>Under Non-Equity Incentive</w:t>
              <w:br/>
              <w:t>Plan Awards(1)</w:t>
            </w:r>
          </w:p>
        </w:tc>
        <w:tc>
          <w:tcPr>
            <w:tcW w:w="60" w:type="dxa"/>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860" w:type="dxa"/>
            <w:gridSpan w:val="2"/>
            <w:vMerge w:val="restart"/>
            <w:tcBorders/>
            <w:shd w:fill="CF0A2C"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All Other</w:t>
              <w:br/>
              <w:t>Stock</w:t>
              <w:br/>
              <w:t>Awards:</w:t>
              <w:br/>
              <w:t>Number of</w:t>
              <w:br/>
              <w:t>Shares or</w:t>
              <w:br/>
              <w:t>Stock</w:t>
              <w:br/>
              <w:t>Units</w:t>
              <w:br/>
              <w:t>(#)(2)</w:t>
            </w:r>
          </w:p>
          <w:p>
            <w:pPr>
              <w:pStyle w:val="TableContents"/>
              <w:spacing w:before="0" w:after="20"/>
              <w:jc w:val="left"/>
              <w:rPr/>
            </w:pPr>
            <w:r>
              <w:rPr/>
              <w:t> </w:t>
            </w:r>
          </w:p>
        </w:tc>
        <w:tc>
          <w:tcPr>
            <w:tcW w:w="6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890" w:type="dxa"/>
            <w:gridSpan w:val="2"/>
            <w:vMerge w:val="restart"/>
            <w:tcBorders/>
            <w:shd w:fill="CF0A2C" w:val="clear"/>
            <w:vAlign w:val="bottom"/>
          </w:tcPr>
          <w:p>
            <w:pPr>
              <w:pStyle w:val="TableContents"/>
              <w:spacing w:before="0" w:after="0"/>
              <w:rPr/>
            </w:pPr>
            <w:r>
              <w:rPr/>
              <w:t> </w:t>
            </w:r>
          </w:p>
          <w:p>
            <w:pPr>
              <w:pStyle w:val="TableContents"/>
              <w:spacing w:before="0" w:after="0"/>
              <w:jc w:val="center"/>
              <w:rPr>
                <w:rFonts w:ascii="arial" w:hAnsi="arial"/>
                <w:b/>
                <w:color w:val="FFFFFF"/>
                <w:sz w:val="16"/>
              </w:rPr>
            </w:pPr>
            <w:r>
              <w:rPr>
                <w:rFonts w:ascii="arial" w:hAnsi="arial"/>
                <w:b/>
                <w:color w:val="FFFFFF"/>
                <w:sz w:val="16"/>
              </w:rPr>
              <w:t>All Other</w:t>
              <w:br/>
              <w:t>Option</w:t>
              <w:br/>
              <w:t>Awards:</w:t>
              <w:br/>
              <w:t>Number of</w:t>
              <w:br/>
              <w:t>Securities</w:t>
              <w:br/>
              <w:t>Underlying</w:t>
            </w:r>
          </w:p>
          <w:p>
            <w:pPr>
              <w:pStyle w:val="TableContents"/>
              <w:spacing w:before="0" w:after="0"/>
              <w:jc w:val="center"/>
              <w:rPr>
                <w:rFonts w:ascii="arial" w:hAnsi="arial"/>
                <w:b/>
                <w:color w:val="FFFFFF"/>
                <w:sz w:val="16"/>
              </w:rPr>
            </w:pPr>
            <w:r>
              <w:rPr>
                <w:rFonts w:ascii="arial" w:hAnsi="arial"/>
                <w:b/>
                <w:color w:val="FFFFFF"/>
                <w:sz w:val="16"/>
              </w:rPr>
              <w:t>Options</w:t>
              <w:br/>
              <w:t>(#)(3)</w:t>
            </w:r>
          </w:p>
          <w:p>
            <w:pPr>
              <w:pStyle w:val="TableContents"/>
              <w:spacing w:before="0" w:after="20"/>
              <w:jc w:val="left"/>
              <w:rPr/>
            </w:pPr>
            <w:r>
              <w:rPr/>
              <w:t> </w:t>
            </w:r>
          </w:p>
        </w:tc>
        <w:tc>
          <w:tcPr>
            <w:tcW w:w="6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725" w:type="dxa"/>
            <w:gridSpan w:val="2"/>
            <w:vMerge w:val="restart"/>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Exercise</w:t>
              <w:br/>
              <w:t>or Base</w:t>
              <w:br/>
              <w:t>Price of</w:t>
              <w:br/>
              <w:t>Option</w:t>
            </w:r>
          </w:p>
          <w:p>
            <w:pPr>
              <w:pStyle w:val="TableContents"/>
              <w:spacing w:before="0" w:after="0"/>
              <w:jc w:val="center"/>
              <w:rPr>
                <w:rFonts w:ascii="arial" w:hAnsi="arial"/>
                <w:b/>
                <w:color w:val="FFFFFF"/>
                <w:sz w:val="16"/>
              </w:rPr>
            </w:pPr>
            <w:r>
              <w:rPr>
                <w:rFonts w:ascii="arial" w:hAnsi="arial"/>
                <w:b/>
                <w:color w:val="FFFFFF"/>
                <w:sz w:val="16"/>
              </w:rPr>
              <w:t>Awards</w:t>
              <w:br/>
              <w:t>($/Share)</w:t>
            </w:r>
          </w:p>
          <w:p>
            <w:pPr>
              <w:pStyle w:val="TableContents"/>
              <w:spacing w:before="0" w:after="20"/>
              <w:jc w:val="left"/>
              <w:rPr/>
            </w:pPr>
            <w:r>
              <w:rPr/>
              <w:t> </w:t>
            </w:r>
          </w:p>
        </w:tc>
        <w:tc>
          <w:tcPr>
            <w:tcW w:w="6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1115" w:type="dxa"/>
            <w:gridSpan w:val="2"/>
            <w:vMerge w:val="restart"/>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Grant Date  </w:t>
            </w:r>
          </w:p>
          <w:p>
            <w:pPr>
              <w:pStyle w:val="TableContents"/>
              <w:spacing w:before="0" w:after="0"/>
              <w:jc w:val="center"/>
              <w:rPr>
                <w:rFonts w:ascii="arial" w:hAnsi="arial"/>
                <w:b/>
                <w:color w:val="FFFFFF"/>
                <w:sz w:val="16"/>
              </w:rPr>
            </w:pPr>
            <w:r>
              <w:rPr>
                <w:rFonts w:ascii="arial" w:hAnsi="arial"/>
                <w:b/>
                <w:color w:val="FFFFFF"/>
                <w:sz w:val="16"/>
              </w:rPr>
              <w:t>Fair Value  </w:t>
            </w:r>
          </w:p>
          <w:p>
            <w:pPr>
              <w:pStyle w:val="TableContents"/>
              <w:spacing w:before="0" w:after="0"/>
              <w:jc w:val="center"/>
              <w:rPr>
                <w:rFonts w:ascii="arial" w:hAnsi="arial"/>
                <w:b/>
                <w:color w:val="FFFFFF"/>
                <w:sz w:val="16"/>
              </w:rPr>
            </w:pPr>
            <w:r>
              <w:rPr>
                <w:rFonts w:ascii="arial" w:hAnsi="arial"/>
                <w:b/>
                <w:color w:val="FFFFFF"/>
                <w:sz w:val="16"/>
              </w:rPr>
              <w:t>of Stock and  </w:t>
            </w:r>
          </w:p>
          <w:p>
            <w:pPr>
              <w:pStyle w:val="TableContents"/>
              <w:spacing w:before="0" w:after="0"/>
              <w:jc w:val="center"/>
              <w:rPr>
                <w:rFonts w:ascii="arial" w:hAnsi="arial"/>
                <w:b/>
                <w:color w:val="FFFFFF"/>
                <w:sz w:val="16"/>
              </w:rPr>
            </w:pPr>
            <w:r>
              <w:rPr>
                <w:rFonts w:ascii="arial" w:hAnsi="arial"/>
                <w:b/>
                <w:color w:val="FFFFFF"/>
                <w:sz w:val="16"/>
              </w:rPr>
              <w:t>Option  </w:t>
            </w:r>
          </w:p>
          <w:p>
            <w:pPr>
              <w:pStyle w:val="TableContents"/>
              <w:spacing w:before="0" w:after="0"/>
              <w:jc w:val="center"/>
              <w:rPr>
                <w:rFonts w:ascii="arial" w:hAnsi="arial"/>
                <w:b/>
                <w:color w:val="FFFFFF"/>
                <w:sz w:val="16"/>
              </w:rPr>
            </w:pPr>
            <w:r>
              <w:rPr>
                <w:rFonts w:ascii="arial" w:hAnsi="arial"/>
                <w:b/>
                <w:color w:val="FFFFFF"/>
                <w:sz w:val="16"/>
              </w:rPr>
              <w:t>Awards  </w:t>
            </w:r>
          </w:p>
          <w:p>
            <w:pPr>
              <w:pStyle w:val="TableContents"/>
              <w:spacing w:before="0" w:after="0"/>
              <w:jc w:val="center"/>
              <w:rPr>
                <w:rFonts w:ascii="arial" w:hAnsi="arial"/>
                <w:b/>
                <w:color w:val="FFFFFF"/>
                <w:sz w:val="16"/>
              </w:rPr>
            </w:pPr>
            <w:r>
              <w:rPr>
                <w:rFonts w:ascii="arial" w:hAnsi="arial"/>
                <w:b/>
                <w:color w:val="FFFFFF"/>
                <w:sz w:val="16"/>
              </w:rPr>
              <w:t>($)(4)  </w:t>
            </w:r>
          </w:p>
          <w:p>
            <w:pPr>
              <w:pStyle w:val="TableContents"/>
              <w:spacing w:before="0" w:after="20"/>
              <w:jc w:val="left"/>
              <w:rPr/>
            </w:pPr>
            <w:r>
              <w:rPr/>
              <w:t> </w:t>
            </w:r>
          </w:p>
        </w:tc>
        <w:tc>
          <w:tcPr>
            <w:tcW w:w="60" w:type="dxa"/>
            <w:vMerge w:val="restart"/>
            <w:tcBorders/>
            <w:shd w:fill="CF0A2C" w:val="clear"/>
            <w:vAlign w:val="bottom"/>
          </w:tcPr>
          <w:p>
            <w:pPr>
              <w:pStyle w:val="TableContents"/>
              <w:spacing w:before="0" w:after="283"/>
              <w:rPr/>
            </w:pPr>
            <w:r>
              <w:rPr/>
              <w:t> </w:t>
            </w:r>
          </w:p>
        </w:tc>
      </w:tr>
      <w:tr>
        <w:trPr/>
        <w:tc>
          <w:tcPr>
            <w:tcW w:w="1850"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 /   Type of Award</w:t>
            </w:r>
          </w:p>
          <w:p>
            <w:pPr>
              <w:pStyle w:val="TableContents"/>
              <w:spacing w:before="0" w:after="20"/>
              <w:rPr/>
            </w:pPr>
            <w:r>
              <w:rPr/>
              <w:t> </w:t>
            </w:r>
          </w:p>
        </w:tc>
        <w:tc>
          <w:tcPr>
            <w:tcW w:w="60" w:type="dxa"/>
            <w:tcBorders/>
            <w:shd w:fill="CF0A2C" w:val="clear"/>
            <w:vAlign w:val="bottom"/>
          </w:tcPr>
          <w:p>
            <w:pPr>
              <w:pStyle w:val="TableContents"/>
              <w:spacing w:before="0" w:after="283"/>
              <w:rPr/>
            </w:pPr>
            <w:r>
              <w:rPr/>
              <w:t> </w:t>
            </w:r>
          </w:p>
        </w:tc>
        <w:tc>
          <w:tcPr>
            <w:tcW w:w="560" w:type="dxa"/>
            <w:gridSpan w:val="2"/>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Grant</w:t>
              <w:br/>
              <w:t>Date</w:t>
            </w:r>
          </w:p>
          <w:p>
            <w:pPr>
              <w:pStyle w:val="TableContents"/>
              <w:spacing w:before="0" w:after="20"/>
              <w:jc w:val="left"/>
              <w:rPr/>
            </w:pPr>
            <w:r>
              <w:rPr/>
              <w:t> </w:t>
            </w:r>
          </w:p>
        </w:tc>
        <w:tc>
          <w:tcPr>
            <w:tcW w:w="6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740" w:type="dxa"/>
            <w:gridSpan w:val="2"/>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Approval</w:t>
              <w:br/>
              <w:t>Date</w:t>
            </w:r>
          </w:p>
          <w:p>
            <w:pPr>
              <w:pStyle w:val="TableContents"/>
              <w:spacing w:before="0" w:after="20"/>
              <w:jc w:val="left"/>
              <w:rPr/>
            </w:pPr>
            <w:r>
              <w:rPr/>
              <w:t> </w:t>
            </w:r>
          </w:p>
        </w:tc>
        <w:tc>
          <w:tcPr>
            <w:tcW w:w="6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860" w:type="dxa"/>
            <w:gridSpan w:val="2"/>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Threshold</w:t>
              <w:br/>
              <w:t>($)</w:t>
            </w:r>
          </w:p>
          <w:p>
            <w:pPr>
              <w:pStyle w:val="TableContents"/>
              <w:spacing w:before="0" w:after="20"/>
              <w:jc w:val="left"/>
              <w:rPr/>
            </w:pPr>
            <w:r>
              <w:rPr/>
              <w:t> </w:t>
            </w:r>
          </w:p>
        </w:tc>
        <w:tc>
          <w:tcPr>
            <w:tcW w:w="6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1040" w:type="dxa"/>
            <w:gridSpan w:val="2"/>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Target</w:t>
              <w:br/>
              <w:t>($)</w:t>
            </w:r>
          </w:p>
          <w:p>
            <w:pPr>
              <w:pStyle w:val="TableContents"/>
              <w:spacing w:before="0" w:after="20"/>
              <w:jc w:val="left"/>
              <w:rPr/>
            </w:pPr>
            <w:r>
              <w:rPr/>
              <w:t> </w:t>
            </w:r>
          </w:p>
        </w:tc>
        <w:tc>
          <w:tcPr>
            <w:tcW w:w="6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1040" w:type="dxa"/>
            <w:gridSpan w:val="2"/>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Maximum</w:t>
              <w:br/>
              <w:t>($)</w:t>
            </w:r>
          </w:p>
          <w:p>
            <w:pPr>
              <w:pStyle w:val="TableContents"/>
              <w:spacing w:before="0" w:after="20"/>
              <w:jc w:val="left"/>
              <w:rPr/>
            </w:pPr>
            <w:r>
              <w:rPr/>
              <w:t> </w:t>
            </w:r>
          </w:p>
        </w:tc>
        <w:tc>
          <w:tcPr>
            <w:tcW w:w="60" w:type="dxa"/>
            <w:tcBorders/>
            <w:shd w:fill="CF0A2C" w:val="clear"/>
            <w:vAlign w:val="bottom"/>
          </w:tcPr>
          <w:p>
            <w:pPr>
              <w:pStyle w:val="TableContents"/>
              <w:spacing w:before="0" w:after="283"/>
              <w:rPr/>
            </w:pPr>
            <w:r>
              <w:rPr/>
              <w:t> </w:t>
            </w:r>
          </w:p>
        </w:tc>
        <w:tc>
          <w:tcPr>
            <w:tcW w:w="60" w:type="dxa"/>
            <w:vMerge w:val="continue"/>
            <w:tcBorders/>
            <w:shd w:fill="CF0A2C" w:val="clear"/>
            <w:vAlign w:val="bottom"/>
          </w:tcPr>
          <w:p>
            <w:pPr>
              <w:pStyle w:val="Normal"/>
              <w:rPr/>
            </w:pPr>
            <w:r>
              <w:rPr/>
            </w:r>
          </w:p>
        </w:tc>
        <w:tc>
          <w:tcPr>
            <w:tcW w:w="860" w:type="dxa"/>
            <w:gridSpan w:val="2"/>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890" w:type="dxa"/>
            <w:gridSpan w:val="2"/>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725" w:type="dxa"/>
            <w:gridSpan w:val="2"/>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1115" w:type="dxa"/>
            <w:gridSpan w:val="2"/>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r>
      <w:tr>
        <w:trPr/>
        <w:tc>
          <w:tcPr>
            <w:tcW w:w="1850" w:type="dxa"/>
            <w:tcBorders/>
            <w:shd w:fill="E5E5E5" w:val="clear"/>
          </w:tcPr>
          <w:p>
            <w:pPr>
              <w:pStyle w:val="TableContents"/>
              <w:spacing w:before="0" w:after="0"/>
              <w:rPr>
                <w:rFonts w:ascii="arial" w:hAnsi="arial"/>
                <w:b/>
                <w:sz w:val="16"/>
              </w:rPr>
            </w:pPr>
            <w:r>
              <w:rPr>
                <w:rFonts w:ascii="arial" w:hAnsi="arial"/>
                <w:b/>
                <w:sz w:val="16"/>
              </w:rPr>
              <w:t>Stephen P. Joyce</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50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80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sz w:val="4"/>
                <w:szCs w:val="4"/>
              </w:rPr>
            </w:pPr>
            <w:r>
              <w:rPr>
                <w:sz w:val="4"/>
                <w:szCs w:val="4"/>
              </w:rPr>
            </w:r>
          </w:p>
        </w:tc>
        <w:tc>
          <w:tcPr>
            <w:tcW w:w="77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sz w:val="4"/>
                <w:szCs w:val="4"/>
              </w:rPr>
            </w:pPr>
            <w:r>
              <w:rPr>
                <w:sz w:val="4"/>
                <w:szCs w:val="4"/>
              </w:rPr>
            </w:r>
          </w:p>
        </w:tc>
        <w:tc>
          <w:tcPr>
            <w:tcW w:w="81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sz w:val="4"/>
                <w:szCs w:val="4"/>
              </w:rPr>
            </w:pPr>
            <w:r>
              <w:rPr>
                <w:sz w:val="4"/>
                <w:szCs w:val="4"/>
              </w:rPr>
            </w:r>
          </w:p>
        </w:tc>
        <w:tc>
          <w:tcPr>
            <w:tcW w:w="6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sz w:val="4"/>
                <w:szCs w:val="4"/>
              </w:rPr>
            </w:pPr>
            <w:r>
              <w:rPr>
                <w:sz w:val="4"/>
                <w:szCs w:val="4"/>
              </w:rPr>
            </w:r>
          </w:p>
        </w:tc>
        <w:tc>
          <w:tcPr>
            <w:tcW w:w="103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c>
          <w:tcPr>
            <w:tcW w:w="1850" w:type="dxa"/>
            <w:tcBorders/>
            <w:shd w:fill="E5E5E5" w:val="clear"/>
          </w:tcPr>
          <w:p>
            <w:pPr>
              <w:pStyle w:val="TableContents"/>
              <w:spacing w:before="0" w:after="0"/>
              <w:rPr/>
            </w:pPr>
            <w:r>
              <w:rPr/>
              <w:t>  </w:t>
            </w:r>
            <w:r>
              <w:rPr>
                <w:rFonts w:ascii="arial" w:hAnsi="arial"/>
                <w:sz w:val="16"/>
              </w:rPr>
              <w:t>AIP</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500,000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1,000,000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2,000,000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r>
      <w:tr>
        <w:trPr/>
        <w:tc>
          <w:tcPr>
            <w:tcW w:w="1850" w:type="dxa"/>
            <w:tcBorders/>
            <w:shd w:fill="auto" w:val="clear"/>
          </w:tcPr>
          <w:p>
            <w:pPr>
              <w:pStyle w:val="TableContents"/>
              <w:spacing w:before="0" w:after="0"/>
              <w:rPr>
                <w:rFonts w:ascii="arial" w:hAnsi="arial"/>
                <w:sz w:val="16"/>
              </w:rPr>
            </w:pPr>
            <w:r>
              <w:rPr>
                <w:rFonts w:ascii="arial" w:hAnsi="arial"/>
                <w:b/>
                <w:sz w:val="16"/>
              </w:rPr>
              <w:t xml:space="preserve">Thomas H. Song </w:t>
            </w:r>
            <w:r>
              <w:rPr>
                <w:rFonts w:ascii="arial" w:hAnsi="arial"/>
                <w:sz w:val="16"/>
              </w:rPr>
              <w:t>(5)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sz w:val="4"/>
                <w:szCs w:val="4"/>
              </w:rPr>
            </w:pPr>
            <w:r>
              <w:rPr>
                <w:sz w:val="4"/>
                <w:szCs w:val="4"/>
              </w:rPr>
            </w:r>
          </w:p>
        </w:tc>
        <w:tc>
          <w:tcPr>
            <w:tcW w:w="7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8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103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850" w:type="dxa"/>
            <w:tcBorders/>
            <w:shd w:fill="auto" w:val="clear"/>
          </w:tcPr>
          <w:p>
            <w:pPr>
              <w:pStyle w:val="TableContents"/>
              <w:spacing w:before="0" w:after="0"/>
              <w:rPr/>
            </w:pPr>
            <w:r>
              <w:rPr/>
              <w:t>  </w:t>
            </w:r>
            <w:r>
              <w:rPr>
                <w:rFonts w:ascii="arial" w:hAnsi="arial"/>
                <w:sz w:val="16"/>
              </w:rPr>
              <w:t>AIP</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2/19/2020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206,250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412,500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825,000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850" w:type="dxa"/>
            <w:tcBorders/>
            <w:shd w:fill="auto" w:val="clear"/>
          </w:tcPr>
          <w:p>
            <w:pPr>
              <w:pStyle w:val="TableContents"/>
              <w:spacing w:before="0" w:after="0"/>
              <w:rPr/>
            </w:pPr>
            <w:r>
              <w:rPr/>
              <w:t>  </w:t>
            </w:r>
            <w:r>
              <w:rPr>
                <w:rFonts w:ascii="arial" w:hAnsi="arial"/>
                <w:sz w:val="16"/>
              </w:rPr>
              <w:t>LTIP</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2/19/2020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132,000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264,000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528,000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850" w:type="dxa"/>
            <w:tcBorders/>
            <w:shd w:fill="auto" w:val="clear"/>
          </w:tcPr>
          <w:p>
            <w:pPr>
              <w:pStyle w:val="TableContents"/>
              <w:spacing w:before="0" w:after="0"/>
              <w:rPr/>
            </w:pPr>
            <w:r>
              <w:rPr/>
              <w:t>  </w:t>
            </w:r>
            <w:r>
              <w:rPr>
                <w:rFonts w:ascii="arial" w:hAnsi="arial"/>
                <w:sz w:val="16"/>
              </w:rPr>
              <w:t>RSA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2/26/2020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2/19/2020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3,029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264,038</w:t>
            </w:r>
          </w:p>
        </w:tc>
        <w:tc>
          <w:tcPr>
            <w:tcW w:w="60" w:type="dxa"/>
            <w:tcBorders/>
            <w:shd w:fill="auto" w:val="clear"/>
            <w:vAlign w:val="bottom"/>
          </w:tcPr>
          <w:p>
            <w:pPr>
              <w:pStyle w:val="TableContents"/>
              <w:spacing w:before="0" w:after="283"/>
              <w:rPr/>
            </w:pPr>
            <w:r>
              <w:rPr/>
              <w:t> </w:t>
            </w:r>
          </w:p>
        </w:tc>
      </w:tr>
      <w:tr>
        <w:trPr/>
        <w:tc>
          <w:tcPr>
            <w:tcW w:w="1850" w:type="dxa"/>
            <w:tcBorders/>
            <w:shd w:fill="auto" w:val="clear"/>
          </w:tcPr>
          <w:p>
            <w:pPr>
              <w:pStyle w:val="TableContents"/>
              <w:spacing w:before="0" w:after="0"/>
              <w:rPr/>
            </w:pPr>
            <w:r>
              <w:rPr/>
              <w:t>  </w:t>
            </w:r>
            <w:r>
              <w:rPr>
                <w:rFonts w:ascii="arial" w:hAnsi="arial"/>
                <w:sz w:val="16"/>
              </w:rPr>
              <w:t>NQSO</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2/26/2020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2/19/2020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15,519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87.17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272,008</w:t>
            </w:r>
          </w:p>
        </w:tc>
        <w:tc>
          <w:tcPr>
            <w:tcW w:w="60" w:type="dxa"/>
            <w:tcBorders/>
            <w:shd w:fill="auto" w:val="clear"/>
            <w:vAlign w:val="bottom"/>
          </w:tcPr>
          <w:p>
            <w:pPr>
              <w:pStyle w:val="TableContents"/>
              <w:spacing w:before="0" w:after="283"/>
              <w:rPr/>
            </w:pPr>
            <w:r>
              <w:rPr/>
              <w:t> </w:t>
            </w:r>
          </w:p>
        </w:tc>
      </w:tr>
      <w:tr>
        <w:trPr/>
        <w:tc>
          <w:tcPr>
            <w:tcW w:w="1850" w:type="dxa"/>
            <w:tcBorders/>
            <w:shd w:fill="E5E5E5" w:val="clear"/>
          </w:tcPr>
          <w:p>
            <w:pPr>
              <w:pStyle w:val="TableContents"/>
              <w:spacing w:before="0" w:after="0"/>
              <w:rPr>
                <w:rFonts w:ascii="arial" w:hAnsi="arial"/>
                <w:b/>
                <w:sz w:val="16"/>
              </w:rPr>
            </w:pPr>
            <w:r>
              <w:rPr>
                <w:rFonts w:ascii="arial" w:hAnsi="arial"/>
                <w:b/>
                <w:sz w:val="16"/>
              </w:rPr>
              <w:t>John C. Cywinski</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50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80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sz w:val="4"/>
                <w:szCs w:val="4"/>
              </w:rPr>
            </w:pPr>
            <w:r>
              <w:rPr>
                <w:sz w:val="4"/>
                <w:szCs w:val="4"/>
              </w:rPr>
            </w:r>
          </w:p>
        </w:tc>
        <w:tc>
          <w:tcPr>
            <w:tcW w:w="77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sz w:val="4"/>
                <w:szCs w:val="4"/>
              </w:rPr>
            </w:pPr>
            <w:r>
              <w:rPr>
                <w:sz w:val="4"/>
                <w:szCs w:val="4"/>
              </w:rPr>
            </w:r>
          </w:p>
        </w:tc>
        <w:tc>
          <w:tcPr>
            <w:tcW w:w="81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sz w:val="4"/>
                <w:szCs w:val="4"/>
              </w:rPr>
            </w:pPr>
            <w:r>
              <w:rPr>
                <w:sz w:val="4"/>
                <w:szCs w:val="4"/>
              </w:rPr>
            </w:r>
          </w:p>
        </w:tc>
        <w:tc>
          <w:tcPr>
            <w:tcW w:w="6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sz w:val="4"/>
                <w:szCs w:val="4"/>
              </w:rPr>
            </w:pPr>
            <w:r>
              <w:rPr>
                <w:sz w:val="4"/>
                <w:szCs w:val="4"/>
              </w:rPr>
            </w:r>
          </w:p>
        </w:tc>
        <w:tc>
          <w:tcPr>
            <w:tcW w:w="103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c>
          <w:tcPr>
            <w:tcW w:w="1850" w:type="dxa"/>
            <w:tcBorders/>
            <w:shd w:fill="E5E5E5" w:val="clear"/>
          </w:tcPr>
          <w:p>
            <w:pPr>
              <w:pStyle w:val="TableContents"/>
              <w:spacing w:before="0" w:after="0"/>
              <w:rPr/>
            </w:pPr>
            <w:r>
              <w:rPr/>
              <w:t>  </w:t>
            </w:r>
            <w:r>
              <w:rPr>
                <w:rFonts w:ascii="arial" w:hAnsi="arial"/>
                <w:sz w:val="16"/>
              </w:rPr>
              <w:t>AIP</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286,875</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573,750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1,147,500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r>
      <w:tr>
        <w:trPr/>
        <w:tc>
          <w:tcPr>
            <w:tcW w:w="1850" w:type="dxa"/>
            <w:tcBorders/>
            <w:shd w:fill="E5E5E5" w:val="clear"/>
          </w:tcPr>
          <w:p>
            <w:pPr>
              <w:pStyle w:val="TableContents"/>
              <w:spacing w:before="0" w:after="0"/>
              <w:rPr/>
            </w:pPr>
            <w:r>
              <w:rPr/>
              <w:t>  </w:t>
            </w:r>
            <w:r>
              <w:rPr>
                <w:rFonts w:ascii="arial" w:hAnsi="arial"/>
                <w:sz w:val="16"/>
              </w:rPr>
              <w:t>LTIP</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165,000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330,000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660,000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r>
      <w:tr>
        <w:trPr/>
        <w:tc>
          <w:tcPr>
            <w:tcW w:w="1850" w:type="dxa"/>
            <w:tcBorders/>
            <w:shd w:fill="E5E5E5" w:val="clear"/>
          </w:tcPr>
          <w:p>
            <w:pPr>
              <w:pStyle w:val="TableContents"/>
              <w:spacing w:before="0" w:after="0"/>
              <w:rPr/>
            </w:pPr>
            <w:r>
              <w:rPr/>
              <w:t>  </w:t>
            </w:r>
            <w:r>
              <w:rPr>
                <w:rFonts w:ascii="arial" w:hAnsi="arial"/>
                <w:sz w:val="16"/>
              </w:rPr>
              <w:t>RSA</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2/26/2020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3,786</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330,026</w:t>
            </w:r>
          </w:p>
        </w:tc>
        <w:tc>
          <w:tcPr>
            <w:tcW w:w="60" w:type="dxa"/>
            <w:tcBorders/>
            <w:shd w:fill="E5E5E5" w:val="clear"/>
            <w:vAlign w:val="bottom"/>
          </w:tcPr>
          <w:p>
            <w:pPr>
              <w:pStyle w:val="TableContents"/>
              <w:spacing w:before="0" w:after="283"/>
              <w:rPr/>
            </w:pPr>
            <w:r>
              <w:rPr/>
              <w:t> </w:t>
            </w:r>
          </w:p>
        </w:tc>
      </w:tr>
      <w:tr>
        <w:trPr/>
        <w:tc>
          <w:tcPr>
            <w:tcW w:w="1850" w:type="dxa"/>
            <w:tcBorders/>
            <w:shd w:fill="E5E5E5" w:val="clear"/>
          </w:tcPr>
          <w:p>
            <w:pPr>
              <w:pStyle w:val="TableContents"/>
              <w:spacing w:before="0" w:after="0"/>
              <w:rPr/>
            </w:pPr>
            <w:r>
              <w:rPr/>
              <w:t>  </w:t>
            </w:r>
            <w:r>
              <w:rPr>
                <w:rFonts w:ascii="arial" w:hAnsi="arial"/>
                <w:sz w:val="16"/>
              </w:rPr>
              <w:t>NQSO</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2/26/2020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19,399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87.17</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340,014</w:t>
            </w:r>
          </w:p>
        </w:tc>
        <w:tc>
          <w:tcPr>
            <w:tcW w:w="60" w:type="dxa"/>
            <w:tcBorders/>
            <w:shd w:fill="E5E5E5" w:val="clear"/>
            <w:vAlign w:val="bottom"/>
          </w:tcPr>
          <w:p>
            <w:pPr>
              <w:pStyle w:val="TableContents"/>
              <w:spacing w:before="0" w:after="283"/>
              <w:rPr/>
            </w:pPr>
            <w:r>
              <w:rPr/>
              <w:t> </w:t>
            </w:r>
          </w:p>
        </w:tc>
      </w:tr>
      <w:tr>
        <w:trPr/>
        <w:tc>
          <w:tcPr>
            <w:tcW w:w="1850" w:type="dxa"/>
            <w:tcBorders/>
            <w:shd w:fill="auto" w:val="clear"/>
          </w:tcPr>
          <w:p>
            <w:pPr>
              <w:pStyle w:val="TableContents"/>
              <w:spacing w:before="0" w:after="0"/>
              <w:rPr>
                <w:rFonts w:ascii="arial" w:hAnsi="arial"/>
                <w:b/>
                <w:sz w:val="16"/>
              </w:rPr>
            </w:pPr>
            <w:r>
              <w:rPr>
                <w:rFonts w:ascii="arial" w:hAnsi="arial"/>
                <w:b/>
                <w:sz w:val="16"/>
              </w:rPr>
              <w:t>Jay D. Johns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sz w:val="4"/>
                <w:szCs w:val="4"/>
              </w:rPr>
            </w:pPr>
            <w:r>
              <w:rPr>
                <w:sz w:val="4"/>
                <w:szCs w:val="4"/>
              </w:rPr>
            </w:r>
          </w:p>
        </w:tc>
        <w:tc>
          <w:tcPr>
            <w:tcW w:w="7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8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103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850" w:type="dxa"/>
            <w:tcBorders/>
            <w:shd w:fill="auto" w:val="clear"/>
          </w:tcPr>
          <w:p>
            <w:pPr>
              <w:pStyle w:val="TableContents"/>
              <w:spacing w:before="0" w:after="0"/>
              <w:rPr/>
            </w:pPr>
            <w:r>
              <w:rPr/>
              <w:t>  </w:t>
            </w:r>
            <w:r>
              <w:rPr>
                <w:rFonts w:ascii="arial" w:hAnsi="arial"/>
                <w:sz w:val="16"/>
              </w:rPr>
              <w:t>AIP</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2/19/2020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206,250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412,500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825,000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850" w:type="dxa"/>
            <w:tcBorders/>
            <w:shd w:fill="auto" w:val="clear"/>
          </w:tcPr>
          <w:p>
            <w:pPr>
              <w:pStyle w:val="TableContents"/>
              <w:spacing w:before="0" w:after="0"/>
              <w:rPr/>
            </w:pPr>
            <w:r>
              <w:rPr/>
              <w:t>  </w:t>
            </w:r>
            <w:r>
              <w:rPr>
                <w:rFonts w:ascii="arial" w:hAnsi="arial"/>
                <w:sz w:val="16"/>
              </w:rPr>
              <w:t>LTIP</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2/19/2020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123,750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247,500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495,000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850" w:type="dxa"/>
            <w:tcBorders/>
            <w:shd w:fill="auto" w:val="clear"/>
          </w:tcPr>
          <w:p>
            <w:pPr>
              <w:pStyle w:val="TableContents"/>
              <w:spacing w:before="0" w:after="0"/>
              <w:rPr/>
            </w:pPr>
            <w:r>
              <w:rPr/>
              <w:t>  </w:t>
            </w:r>
            <w:r>
              <w:rPr>
                <w:rFonts w:ascii="arial" w:hAnsi="arial"/>
                <w:sz w:val="16"/>
              </w:rPr>
              <w:t>RSA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2/26/2020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2/19/2020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2,840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247,563</w:t>
            </w:r>
          </w:p>
        </w:tc>
        <w:tc>
          <w:tcPr>
            <w:tcW w:w="60" w:type="dxa"/>
            <w:tcBorders/>
            <w:shd w:fill="auto" w:val="clear"/>
            <w:vAlign w:val="bottom"/>
          </w:tcPr>
          <w:p>
            <w:pPr>
              <w:pStyle w:val="TableContents"/>
              <w:spacing w:before="0" w:after="283"/>
              <w:rPr/>
            </w:pPr>
            <w:r>
              <w:rPr/>
              <w:t> </w:t>
            </w:r>
          </w:p>
        </w:tc>
      </w:tr>
      <w:tr>
        <w:trPr/>
        <w:tc>
          <w:tcPr>
            <w:tcW w:w="1850" w:type="dxa"/>
            <w:tcBorders/>
            <w:shd w:fill="auto" w:val="clear"/>
          </w:tcPr>
          <w:p>
            <w:pPr>
              <w:pStyle w:val="TableContents"/>
              <w:spacing w:before="0" w:after="0"/>
              <w:rPr/>
            </w:pPr>
            <w:r>
              <w:rPr/>
              <w:t>  </w:t>
            </w:r>
            <w:r>
              <w:rPr>
                <w:rFonts w:ascii="arial" w:hAnsi="arial"/>
                <w:sz w:val="16"/>
              </w:rPr>
              <w:t>NQSO</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2/26/2020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2/19/2020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14,549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87.17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255,006</w:t>
            </w:r>
          </w:p>
        </w:tc>
        <w:tc>
          <w:tcPr>
            <w:tcW w:w="60" w:type="dxa"/>
            <w:tcBorders/>
            <w:shd w:fill="auto" w:val="clear"/>
            <w:vAlign w:val="bottom"/>
          </w:tcPr>
          <w:p>
            <w:pPr>
              <w:pStyle w:val="TableContents"/>
              <w:spacing w:before="0" w:after="283"/>
              <w:rPr/>
            </w:pPr>
            <w:r>
              <w:rPr/>
              <w:t> </w:t>
            </w:r>
          </w:p>
        </w:tc>
      </w:tr>
      <w:tr>
        <w:trPr/>
        <w:tc>
          <w:tcPr>
            <w:tcW w:w="1850" w:type="dxa"/>
            <w:tcBorders/>
            <w:shd w:fill="E5E5E5" w:val="clear"/>
          </w:tcPr>
          <w:p>
            <w:pPr>
              <w:pStyle w:val="TableContents"/>
              <w:spacing w:before="0" w:after="0"/>
              <w:rPr>
                <w:rFonts w:ascii="arial" w:hAnsi="arial"/>
                <w:b/>
                <w:sz w:val="16"/>
              </w:rPr>
            </w:pPr>
            <w:r>
              <w:rPr>
                <w:rFonts w:ascii="arial" w:hAnsi="arial"/>
                <w:b/>
                <w:sz w:val="16"/>
              </w:rPr>
              <w:t>Bryan R. Adel</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50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6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80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98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sz w:val="4"/>
                <w:szCs w:val="4"/>
              </w:rPr>
            </w:pPr>
            <w:r>
              <w:rPr>
                <w:sz w:val="4"/>
                <w:szCs w:val="4"/>
              </w:rPr>
            </w:r>
          </w:p>
        </w:tc>
        <w:tc>
          <w:tcPr>
            <w:tcW w:w="777"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sz w:val="4"/>
                <w:szCs w:val="4"/>
              </w:rPr>
            </w:pPr>
            <w:r>
              <w:rPr>
                <w:sz w:val="4"/>
                <w:szCs w:val="4"/>
              </w:rPr>
            </w:r>
          </w:p>
        </w:tc>
        <w:tc>
          <w:tcPr>
            <w:tcW w:w="81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sz w:val="4"/>
                <w:szCs w:val="4"/>
              </w:rPr>
            </w:pPr>
            <w:r>
              <w:rPr>
                <w:sz w:val="4"/>
                <w:szCs w:val="4"/>
              </w:rPr>
            </w:r>
          </w:p>
        </w:tc>
        <w:tc>
          <w:tcPr>
            <w:tcW w:w="6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sz w:val="4"/>
                <w:szCs w:val="4"/>
              </w:rPr>
            </w:pPr>
            <w:r>
              <w:rPr>
                <w:sz w:val="4"/>
                <w:szCs w:val="4"/>
              </w:rPr>
            </w:r>
          </w:p>
        </w:tc>
        <w:tc>
          <w:tcPr>
            <w:tcW w:w="1038"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r>
      <w:tr>
        <w:trPr/>
        <w:tc>
          <w:tcPr>
            <w:tcW w:w="1850" w:type="dxa"/>
            <w:tcBorders/>
            <w:shd w:fill="E5E5E5" w:val="clear"/>
          </w:tcPr>
          <w:p>
            <w:pPr>
              <w:pStyle w:val="TableContents"/>
              <w:spacing w:before="0" w:after="0"/>
              <w:rPr/>
            </w:pPr>
            <w:r>
              <w:rPr/>
              <w:t>  </w:t>
            </w:r>
            <w:r>
              <w:rPr>
                <w:rFonts w:ascii="arial" w:hAnsi="arial"/>
                <w:sz w:val="16"/>
              </w:rPr>
              <w:t>AIP</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196,875</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393,750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787,500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r>
      <w:tr>
        <w:trPr/>
        <w:tc>
          <w:tcPr>
            <w:tcW w:w="1850" w:type="dxa"/>
            <w:tcBorders/>
            <w:shd w:fill="E5E5E5" w:val="clear"/>
          </w:tcPr>
          <w:p>
            <w:pPr>
              <w:pStyle w:val="TableContents"/>
              <w:spacing w:before="0" w:after="0"/>
              <w:rPr/>
            </w:pPr>
            <w:r>
              <w:rPr/>
              <w:t>  </w:t>
            </w:r>
            <w:r>
              <w:rPr>
                <w:rFonts w:ascii="arial" w:hAnsi="arial"/>
                <w:sz w:val="16"/>
              </w:rPr>
              <w:t>LTIP</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115,500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231,000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462,000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r>
      <w:tr>
        <w:trPr/>
        <w:tc>
          <w:tcPr>
            <w:tcW w:w="1850" w:type="dxa"/>
            <w:tcBorders/>
            <w:shd w:fill="E5E5E5" w:val="clear"/>
          </w:tcPr>
          <w:p>
            <w:pPr>
              <w:pStyle w:val="TableContents"/>
              <w:spacing w:before="0" w:after="0"/>
              <w:rPr/>
            </w:pPr>
            <w:r>
              <w:rPr/>
              <w:t>  </w:t>
            </w:r>
            <w:r>
              <w:rPr>
                <w:rFonts w:ascii="arial" w:hAnsi="arial"/>
                <w:sz w:val="16"/>
              </w:rPr>
              <w:t>RSA</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2/26/2020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2,650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231,001</w:t>
            </w:r>
          </w:p>
        </w:tc>
        <w:tc>
          <w:tcPr>
            <w:tcW w:w="60" w:type="dxa"/>
            <w:tcBorders/>
            <w:shd w:fill="E5E5E5" w:val="clear"/>
            <w:vAlign w:val="bottom"/>
          </w:tcPr>
          <w:p>
            <w:pPr>
              <w:pStyle w:val="TableContents"/>
              <w:spacing w:before="0" w:after="283"/>
              <w:rPr/>
            </w:pPr>
            <w:r>
              <w:rPr/>
              <w:t> </w:t>
            </w:r>
          </w:p>
        </w:tc>
      </w:tr>
      <w:tr>
        <w:trPr/>
        <w:tc>
          <w:tcPr>
            <w:tcW w:w="1850" w:type="dxa"/>
            <w:tcBorders/>
            <w:shd w:fill="E5E5E5" w:val="clear"/>
          </w:tcPr>
          <w:p>
            <w:pPr>
              <w:pStyle w:val="TableContents"/>
              <w:spacing w:before="0" w:after="0"/>
              <w:rPr/>
            </w:pPr>
            <w:r>
              <w:rPr/>
              <w:t>  </w:t>
            </w:r>
            <w:r>
              <w:rPr>
                <w:rFonts w:ascii="arial" w:hAnsi="arial"/>
                <w:sz w:val="16"/>
              </w:rPr>
              <w:t>NQSO</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500" w:type="dxa"/>
            <w:tcBorders/>
            <w:shd w:fill="E5E5E5" w:val="clear"/>
            <w:vAlign w:val="bottom"/>
          </w:tcPr>
          <w:p>
            <w:pPr>
              <w:pStyle w:val="TableContents"/>
              <w:spacing w:before="0" w:after="283"/>
              <w:jc w:val="right"/>
              <w:rPr/>
            </w:pPr>
            <w:r>
              <w:rPr/>
              <w:t>2/26/2020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80" w:type="dxa"/>
            <w:tcBorders/>
            <w:shd w:fill="E5E5E5" w:val="clear"/>
            <w:vAlign w:val="bottom"/>
          </w:tcPr>
          <w:p>
            <w:pPr>
              <w:pStyle w:val="TableContents"/>
              <w:spacing w:before="0" w:after="283"/>
              <w:jc w:val="right"/>
              <w:rPr/>
            </w:pPr>
            <w:r>
              <w:rPr/>
              <w:t>2/19/2020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3" w:type="dxa"/>
            <w:tcBorders/>
            <w:shd w:fill="E5E5E5" w:val="clear"/>
            <w:vAlign w:val="bottom"/>
          </w:tcPr>
          <w:p>
            <w:pPr>
              <w:pStyle w:val="TableContents"/>
              <w:spacing w:before="0" w:after="283"/>
              <w:rPr/>
            </w:pPr>
            <w:r>
              <w:rPr/>
              <w:t> </w:t>
            </w:r>
          </w:p>
        </w:tc>
        <w:tc>
          <w:tcPr>
            <w:tcW w:w="777"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2" w:type="dxa"/>
            <w:tcBorders/>
            <w:shd w:fill="E5E5E5" w:val="clear"/>
            <w:vAlign w:val="bottom"/>
          </w:tcPr>
          <w:p>
            <w:pPr>
              <w:pStyle w:val="TableContents"/>
              <w:spacing w:before="0" w:after="283"/>
              <w:rPr/>
            </w:pPr>
            <w:r>
              <w:rPr/>
              <w:t> </w:t>
            </w:r>
          </w:p>
        </w:tc>
        <w:tc>
          <w:tcPr>
            <w:tcW w:w="818" w:type="dxa"/>
            <w:tcBorders/>
            <w:shd w:fill="E5E5E5" w:val="clear"/>
            <w:vAlign w:val="bottom"/>
          </w:tcPr>
          <w:p>
            <w:pPr>
              <w:pStyle w:val="TableContents"/>
              <w:spacing w:before="0" w:after="283"/>
              <w:jc w:val="right"/>
              <w:rPr/>
            </w:pPr>
            <w:r>
              <w:rPr/>
              <w:t>13,579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0" w:type="dxa"/>
            <w:tcBorders/>
            <w:shd w:fill="E5E5E5" w:val="clear"/>
            <w:vAlign w:val="bottom"/>
          </w:tcPr>
          <w:p>
            <w:pPr>
              <w:pStyle w:val="TableContents"/>
              <w:spacing w:before="0" w:after="283"/>
              <w:rPr/>
            </w:pPr>
            <w:r>
              <w:rPr/>
              <w:t> </w:t>
            </w:r>
          </w:p>
        </w:tc>
        <w:tc>
          <w:tcPr>
            <w:tcW w:w="655" w:type="dxa"/>
            <w:tcBorders/>
            <w:shd w:fill="E5E5E5" w:val="clear"/>
            <w:vAlign w:val="bottom"/>
          </w:tcPr>
          <w:p>
            <w:pPr>
              <w:pStyle w:val="TableContents"/>
              <w:spacing w:before="0" w:after="283"/>
              <w:jc w:val="right"/>
              <w:rPr/>
            </w:pPr>
            <w:r>
              <w:rPr/>
              <w:t>87.17</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 w:type="dxa"/>
            <w:tcBorders/>
            <w:shd w:fill="E5E5E5" w:val="clear"/>
            <w:vAlign w:val="bottom"/>
          </w:tcPr>
          <w:p>
            <w:pPr>
              <w:pStyle w:val="TableContents"/>
              <w:spacing w:before="0" w:after="283"/>
              <w:rPr/>
            </w:pPr>
            <w:r>
              <w:rPr/>
              <w:t> </w:t>
            </w:r>
          </w:p>
        </w:tc>
        <w:tc>
          <w:tcPr>
            <w:tcW w:w="1038" w:type="dxa"/>
            <w:tcBorders/>
            <w:shd w:fill="E5E5E5" w:val="clear"/>
            <w:vAlign w:val="bottom"/>
          </w:tcPr>
          <w:p>
            <w:pPr>
              <w:pStyle w:val="TableContents"/>
              <w:spacing w:before="0" w:after="283"/>
              <w:jc w:val="right"/>
              <w:rPr/>
            </w:pPr>
            <w:r>
              <w:rPr/>
              <w:t>238,005</w:t>
            </w:r>
          </w:p>
        </w:tc>
        <w:tc>
          <w:tcPr>
            <w:tcW w:w="60" w:type="dxa"/>
            <w:tcBorders/>
            <w:shd w:fill="E5E5E5"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Please see the section entitled Performance- and Stock-Based Compensation in the Compensation Discussion and Analysis section of this proxy statement for additional information regarding the AIP and cash LTIP.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RSAs reflected in this table cliff vest in full on the third anniversary of the date of grant.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NQSOs reflected in this table vest and become exercisable as to one-third of the shares subject to the NQSO on each of the first, second and third anniversaries of the date of grant.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The amounts in this column represent the aggregate grant date fair value related to RSAs and NQSO awards granted in 2020 computed in accordance with FASB ASC Topic 718. See Note 14 to Consolidated Financial Statements in the Corporations annual report on Form 10-K for the year ended December 31, 2020 for information regarding assumptions underlying the valuation of equity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Mr. Song is no longer entitled to any of his unvested long-term incentive awards, including stock options, restricted stock awards, and cash LTIP awards award due to his voluntary termination from the Corporation on January 22, 2021.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40    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3"/>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COMPENSATION TABLES   </w:t>
            </w:r>
          </w:p>
        </w:tc>
      </w:tr>
    </w:tbl>
    <w:p>
      <w:pPr>
        <w:pStyle w:val="TextBody"/>
        <w:spacing w:before="0" w:after="0"/>
        <w:jc w:val="left"/>
        <w:rPr/>
      </w:pPr>
      <w:r>
        <w:rPr/>
        <w:t> </w:t>
      </w:r>
    </w:p>
    <w:p>
      <w:pPr>
        <w:pStyle w:val="TextBody"/>
        <w:spacing w:before="0" w:after="0"/>
        <w:jc w:val="left"/>
        <w:rPr>
          <w:rFonts w:ascii="arial" w:hAnsi="arial"/>
          <w:b/>
          <w:color w:val="CF0A2C"/>
          <w:sz w:val="28"/>
        </w:rPr>
      </w:pPr>
      <w:bookmarkStart w:id="31" w:name="toc116694_29"/>
      <w:bookmarkEnd w:id="31"/>
      <w:r>
        <w:rPr>
          <w:rFonts w:ascii="arial" w:hAnsi="arial"/>
          <w:b/>
          <w:color w:val="CF0A2C"/>
          <w:sz w:val="28"/>
        </w:rPr>
        <w:t xml:space="preserve">Outstanding Equity Awards at 2020 Fiscal Year-End </w:t>
      </w:r>
    </w:p>
    <w:p>
      <w:pPr>
        <w:pStyle w:val="TextBody"/>
        <w:spacing w:before="120" w:after="0"/>
        <w:jc w:val="left"/>
        <w:rPr>
          <w:rFonts w:ascii="arial" w:hAnsi="arial"/>
          <w:sz w:val="20"/>
        </w:rPr>
      </w:pPr>
      <w:r>
        <w:rPr>
          <w:rFonts w:ascii="arial" w:hAnsi="arial"/>
          <w:sz w:val="20"/>
        </w:rPr>
        <w:t xml:space="preserve">The following table provides summary information regarding the outstanding equity awards for the Corporations NEOs at December 31, 2020. </w:t>
      </w:r>
    </w:p>
    <w:p>
      <w:pPr>
        <w:pStyle w:val="TextBody"/>
        <w:spacing w:before="0" w:after="0"/>
        <w:jc w:val="left"/>
        <w:rPr/>
      </w:pPr>
      <w:r>
        <w:rPr/>
        <w:t> </w:t>
      </w:r>
    </w:p>
    <w:tbl>
      <w:tblPr>
        <w:tblW w:w="12893" w:type="dxa"/>
        <w:jc w:val="center"/>
        <w:tblInd w:w="0" w:type="dxa"/>
        <w:tblCellMar>
          <w:top w:w="0" w:type="dxa"/>
          <w:left w:w="0" w:type="dxa"/>
          <w:bottom w:w="0" w:type="dxa"/>
          <w:right w:w="0" w:type="dxa"/>
        </w:tblCellMar>
      </w:tblPr>
      <w:tblGrid>
        <w:gridCol w:w="1400"/>
        <w:gridCol w:w="60"/>
        <w:gridCol w:w="94"/>
        <w:gridCol w:w="1081"/>
        <w:gridCol w:w="481"/>
        <w:gridCol w:w="82"/>
        <w:gridCol w:w="111"/>
        <w:gridCol w:w="1274"/>
        <w:gridCol w:w="740"/>
        <w:gridCol w:w="60"/>
        <w:gridCol w:w="65"/>
        <w:gridCol w:w="615"/>
        <w:gridCol w:w="60"/>
        <w:gridCol w:w="60"/>
        <w:gridCol w:w="60"/>
        <w:gridCol w:w="770"/>
        <w:gridCol w:w="60"/>
        <w:gridCol w:w="60"/>
        <w:gridCol w:w="79"/>
        <w:gridCol w:w="1066"/>
        <w:gridCol w:w="740"/>
        <w:gridCol w:w="60"/>
        <w:gridCol w:w="60"/>
        <w:gridCol w:w="1100"/>
        <w:gridCol w:w="60"/>
        <w:gridCol w:w="60"/>
        <w:gridCol w:w="63"/>
        <w:gridCol w:w="722"/>
        <w:gridCol w:w="470"/>
        <w:gridCol w:w="60"/>
        <w:gridCol w:w="60"/>
        <w:gridCol w:w="980"/>
        <w:gridCol w:w="60"/>
        <w:gridCol w:w="60"/>
        <w:gridCol w:w="60"/>
      </w:tblGrid>
      <w:tr>
        <w:trPr/>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400" w:type="dxa"/>
            <w:tcBorders/>
            <w:shd w:fill="CF0A2C" w:val="clear"/>
            <w:vAlign w:val="center"/>
          </w:tcPr>
          <w:p>
            <w:pPr>
              <w:pStyle w:val="TableContents"/>
              <w:spacing w:before="0" w:after="283"/>
              <w:rPr>
                <w:sz w:val="4"/>
                <w:szCs w:val="4"/>
              </w:rPr>
            </w:pPr>
            <w:r>
              <w:rPr>
                <w:sz w:val="4"/>
                <w:szCs w:val="4"/>
              </w:rPr>
            </w:r>
          </w:p>
        </w:tc>
        <w:tc>
          <w:tcPr>
            <w:tcW w:w="11373" w:type="dxa"/>
            <w:gridSpan w:val="32"/>
            <w:tcBorders/>
            <w:shd w:fill="CF0A2C" w:val="clear"/>
            <w:vAlign w:val="center"/>
          </w:tcPr>
          <w:p>
            <w:pPr>
              <w:pStyle w:val="TableContents"/>
              <w:spacing w:before="0" w:after="283"/>
              <w:rPr>
                <w:sz w:val="4"/>
                <w:szCs w:val="4"/>
              </w:rPr>
            </w:pPr>
            <w:r>
              <w:rPr>
                <w:sz w:val="4"/>
                <w:szCs w:val="4"/>
              </w:rPr>
            </w:r>
          </w:p>
        </w:tc>
        <w:tc>
          <w:tcPr>
            <w:tcW w:w="120" w:type="dxa"/>
            <w:gridSpan w:val="2"/>
            <w:tcBorders/>
            <w:shd w:fill="CF0A2C" w:val="clear"/>
            <w:vAlign w:val="center"/>
          </w:tcPr>
          <w:p>
            <w:pPr>
              <w:pStyle w:val="TableContents"/>
              <w:spacing w:before="0" w:after="283"/>
              <w:rPr>
                <w:sz w:val="4"/>
                <w:szCs w:val="4"/>
              </w:rPr>
            </w:pPr>
            <w:r>
              <w:rPr>
                <w:sz w:val="4"/>
                <w:szCs w:val="4"/>
              </w:rPr>
            </w:r>
          </w:p>
        </w:tc>
      </w:tr>
      <w:tr>
        <w:trPr/>
        <w:tc>
          <w:tcPr>
            <w:tcW w:w="140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11253" w:type="dxa"/>
            <w:gridSpan w:val="30"/>
            <w:tcBorders>
              <w:bottom w:val="single" w:sz="2" w:space="0" w:color="FFFFFF"/>
            </w:tcBorders>
            <w:shd w:fill="CF0A2C" w:val="clear"/>
            <w:tcMar>
              <w:bottom w:w="28" w:type="dxa"/>
            </w:tcMar>
            <w:vAlign w:val="bottom"/>
          </w:tcPr>
          <w:p>
            <w:pPr>
              <w:pStyle w:val="TableContents"/>
              <w:spacing w:before="0" w:after="283"/>
              <w:jc w:val="center"/>
              <w:rPr>
                <w:b/>
                <w:color w:val="FFFFFF"/>
              </w:rPr>
            </w:pPr>
            <w:r>
              <w:rPr>
                <w:b/>
                <w:color w:val="FFFFFF"/>
              </w:rPr>
              <w:t>Stock Awards</w:t>
            </w:r>
          </w:p>
        </w:tc>
        <w:tc>
          <w:tcPr>
            <w:tcW w:w="6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r>
      <w:tr>
        <w:trPr>
          <w:trHeight w:val="75" w:hRule="atLeast"/>
        </w:trPr>
        <w:tc>
          <w:tcPr>
            <w:tcW w:w="1400" w:type="dxa"/>
            <w:tcBorders/>
            <w:shd w:fill="CF0A2C" w:val="clear"/>
            <w:vAlign w:val="center"/>
          </w:tcPr>
          <w:p>
            <w:pPr>
              <w:pStyle w:val="TableContents"/>
              <w:spacing w:before="0" w:after="283"/>
              <w:rPr>
                <w:sz w:val="4"/>
                <w:szCs w:val="4"/>
              </w:rPr>
            </w:pPr>
            <w:r>
              <w:rPr>
                <w:sz w:val="4"/>
                <w:szCs w:val="4"/>
              </w:rPr>
            </w:r>
          </w:p>
        </w:tc>
        <w:tc>
          <w:tcPr>
            <w:tcW w:w="3923" w:type="dxa"/>
            <w:gridSpan w:val="8"/>
            <w:tcBorders/>
            <w:shd w:fill="CF0A2C" w:val="clear"/>
            <w:vAlign w:val="center"/>
          </w:tcPr>
          <w:p>
            <w:pPr>
              <w:pStyle w:val="TableContents"/>
              <w:spacing w:before="0" w:after="283"/>
              <w:rPr>
                <w:sz w:val="4"/>
                <w:szCs w:val="4"/>
              </w:rPr>
            </w:pPr>
            <w:r>
              <w:rPr>
                <w:sz w:val="4"/>
                <w:szCs w:val="4"/>
              </w:rPr>
            </w:r>
          </w:p>
        </w:tc>
        <w:tc>
          <w:tcPr>
            <w:tcW w:w="800" w:type="dxa"/>
            <w:gridSpan w:val="4"/>
            <w:tcBorders/>
            <w:shd w:fill="CF0A2C" w:val="clear"/>
            <w:vAlign w:val="center"/>
          </w:tcPr>
          <w:p>
            <w:pPr>
              <w:pStyle w:val="TableContents"/>
              <w:spacing w:before="0" w:after="283"/>
              <w:rPr>
                <w:sz w:val="4"/>
                <w:szCs w:val="4"/>
              </w:rPr>
            </w:pPr>
            <w:r>
              <w:rPr>
                <w:sz w:val="4"/>
                <w:szCs w:val="4"/>
              </w:rPr>
            </w:r>
          </w:p>
        </w:tc>
        <w:tc>
          <w:tcPr>
            <w:tcW w:w="950" w:type="dxa"/>
            <w:gridSpan w:val="4"/>
            <w:tcBorders/>
            <w:shd w:fill="CF0A2C" w:val="clear"/>
            <w:vAlign w:val="center"/>
          </w:tcPr>
          <w:p>
            <w:pPr>
              <w:pStyle w:val="TableContents"/>
              <w:spacing w:before="0" w:after="283"/>
              <w:rPr>
                <w:sz w:val="4"/>
                <w:szCs w:val="4"/>
              </w:rPr>
            </w:pPr>
            <w:r>
              <w:rPr>
                <w:sz w:val="4"/>
                <w:szCs w:val="4"/>
              </w:rPr>
            </w:r>
          </w:p>
        </w:tc>
        <w:tc>
          <w:tcPr>
            <w:tcW w:w="1945" w:type="dxa"/>
            <w:gridSpan w:val="4"/>
            <w:tcBorders/>
            <w:shd w:fill="CF0A2C" w:val="clear"/>
            <w:vAlign w:val="center"/>
          </w:tcPr>
          <w:p>
            <w:pPr>
              <w:pStyle w:val="TableContents"/>
              <w:spacing w:before="0" w:after="283"/>
              <w:rPr>
                <w:sz w:val="4"/>
                <w:szCs w:val="4"/>
              </w:rPr>
            </w:pPr>
            <w:r>
              <w:rPr>
                <w:sz w:val="4"/>
                <w:szCs w:val="4"/>
              </w:rPr>
            </w:r>
          </w:p>
        </w:tc>
        <w:tc>
          <w:tcPr>
            <w:tcW w:w="1280" w:type="dxa"/>
            <w:gridSpan w:val="4"/>
            <w:tcBorders/>
            <w:shd w:fill="CF0A2C" w:val="clear"/>
            <w:vAlign w:val="center"/>
          </w:tcPr>
          <w:p>
            <w:pPr>
              <w:pStyle w:val="TableContents"/>
              <w:spacing w:before="0" w:after="283"/>
              <w:rPr>
                <w:sz w:val="4"/>
                <w:szCs w:val="4"/>
              </w:rPr>
            </w:pPr>
            <w:r>
              <w:rPr>
                <w:sz w:val="4"/>
                <w:szCs w:val="4"/>
              </w:rPr>
            </w:r>
          </w:p>
        </w:tc>
        <w:tc>
          <w:tcPr>
            <w:tcW w:w="1315" w:type="dxa"/>
            <w:gridSpan w:val="4"/>
            <w:tcBorders/>
            <w:shd w:fill="CF0A2C" w:val="clear"/>
            <w:vAlign w:val="center"/>
          </w:tcPr>
          <w:p>
            <w:pPr>
              <w:pStyle w:val="TableContents"/>
              <w:spacing w:before="0" w:after="283"/>
              <w:rPr>
                <w:sz w:val="4"/>
                <w:szCs w:val="4"/>
              </w:rPr>
            </w:pPr>
            <w:r>
              <w:rPr>
                <w:sz w:val="4"/>
                <w:szCs w:val="4"/>
              </w:rPr>
            </w:r>
          </w:p>
        </w:tc>
        <w:tc>
          <w:tcPr>
            <w:tcW w:w="1160" w:type="dxa"/>
            <w:gridSpan w:val="4"/>
            <w:tcBorders/>
            <w:shd w:fill="CF0A2C" w:val="clear"/>
            <w:vAlign w:val="center"/>
          </w:tcPr>
          <w:p>
            <w:pPr>
              <w:pStyle w:val="TableContents"/>
              <w:spacing w:before="0" w:after="283"/>
              <w:rPr>
                <w:sz w:val="4"/>
                <w:szCs w:val="4"/>
              </w:rPr>
            </w:pPr>
            <w:r>
              <w:rPr>
                <w:sz w:val="4"/>
                <w:szCs w:val="4"/>
              </w:rPr>
            </w:r>
          </w:p>
        </w:tc>
        <w:tc>
          <w:tcPr>
            <w:tcW w:w="120" w:type="dxa"/>
            <w:gridSpan w:val="2"/>
            <w:tcBorders/>
            <w:shd w:fill="CF0A2C" w:val="clear"/>
            <w:vAlign w:val="center"/>
          </w:tcPr>
          <w:p>
            <w:pPr>
              <w:pStyle w:val="TableContents"/>
              <w:spacing w:before="0" w:after="283"/>
              <w:rPr>
                <w:sz w:val="4"/>
                <w:szCs w:val="4"/>
              </w:rPr>
            </w:pPr>
            <w:r>
              <w:rPr>
                <w:sz w:val="4"/>
                <w:szCs w:val="4"/>
              </w:rPr>
            </w:r>
          </w:p>
        </w:tc>
      </w:tr>
      <w:tr>
        <w:trPr/>
        <w:tc>
          <w:tcPr>
            <w:tcW w:w="1400"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3123" w:type="dxa"/>
            <w:gridSpan w:val="6"/>
            <w:tcBorders>
              <w:bottom w:val="single" w:sz="2" w:space="0" w:color="FFFFFF"/>
            </w:tcBorders>
            <w:shd w:fill="CF0A2C" w:val="clear"/>
            <w:tcMar>
              <w:bottom w:w="28" w:type="dxa"/>
            </w:tcMar>
            <w:vAlign w:val="bottom"/>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Number of Securities Underlying</w:t>
              <w:br/>
              <w:t>Unexercised Options</w:t>
            </w:r>
          </w:p>
        </w:tc>
        <w:tc>
          <w:tcPr>
            <w:tcW w:w="740" w:type="dxa"/>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680" w:type="dxa"/>
            <w:gridSpan w:val="2"/>
            <w:vMerge w:val="restart"/>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Option</w:t>
              <w:br/>
              <w:t>Exercise</w:t>
              <w:br/>
              <w:t>Price</w:t>
              <w:br/>
              <w:t>($)</w:t>
            </w:r>
          </w:p>
          <w:p>
            <w:pPr>
              <w:pStyle w:val="TableContents"/>
              <w:spacing w:before="0" w:after="0"/>
              <w:jc w:val="left"/>
              <w:rPr/>
            </w:pPr>
            <w:r>
              <w:rPr/>
              <w:t> </w:t>
            </w:r>
          </w:p>
          <w:p>
            <w:pPr>
              <w:pStyle w:val="TableContents"/>
              <w:spacing w:before="0" w:after="20"/>
              <w:rPr/>
            </w:pPr>
            <w:r>
              <w:rPr/>
              <w:t> </w:t>
            </w:r>
          </w:p>
        </w:tc>
        <w:tc>
          <w:tcPr>
            <w:tcW w:w="6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830" w:type="dxa"/>
            <w:gridSpan w:val="2"/>
            <w:vMerge w:val="restart"/>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Option</w:t>
              <w:br/>
              <w:t>Expiration</w:t>
              <w:br/>
              <w:t>Date</w:t>
            </w:r>
          </w:p>
          <w:p>
            <w:pPr>
              <w:pStyle w:val="TableContents"/>
              <w:spacing w:before="0" w:after="0"/>
              <w:jc w:val="left"/>
              <w:rPr/>
            </w:pPr>
            <w:r>
              <w:rPr/>
              <w:t> </w:t>
            </w:r>
          </w:p>
          <w:p>
            <w:pPr>
              <w:pStyle w:val="TableContents"/>
              <w:spacing w:before="0" w:after="20"/>
              <w:rPr/>
            </w:pPr>
            <w:r>
              <w:rPr/>
              <w:t> </w:t>
            </w:r>
          </w:p>
        </w:tc>
        <w:tc>
          <w:tcPr>
            <w:tcW w:w="6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1145" w:type="dxa"/>
            <w:gridSpan w:val="2"/>
            <w:vMerge w:val="restart"/>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Number of</w:t>
              <w:br/>
              <w:t>Shares or</w:t>
              <w:br/>
              <w:t>Units of Stock</w:t>
              <w:br/>
              <w:t>That Have</w:t>
              <w:br/>
              <w:t>Not Vested</w:t>
              <w:br/>
              <w:t>(#)</w:t>
            </w:r>
          </w:p>
          <w:p>
            <w:pPr>
              <w:pStyle w:val="TableContents"/>
              <w:spacing w:before="0" w:after="0"/>
              <w:jc w:val="left"/>
              <w:rPr/>
            </w:pPr>
            <w:r>
              <w:rPr/>
              <w:t> </w:t>
            </w:r>
          </w:p>
          <w:p>
            <w:pPr>
              <w:pStyle w:val="TableContents"/>
              <w:spacing w:before="0" w:after="20"/>
              <w:rPr/>
            </w:pPr>
            <w:r>
              <w:rPr/>
              <w:t> </w:t>
            </w:r>
          </w:p>
        </w:tc>
        <w:tc>
          <w:tcPr>
            <w:tcW w:w="74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1160" w:type="dxa"/>
            <w:gridSpan w:val="2"/>
            <w:vMerge w:val="restart"/>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Market Value</w:t>
              <w:br/>
              <w:t>of Shares or</w:t>
              <w:br/>
              <w:t>Units of Stock</w:t>
              <w:br/>
              <w:t>That Have</w:t>
              <w:br/>
              <w:t>Not Vested</w:t>
              <w:br/>
              <w:t>($)(1)</w:t>
            </w:r>
          </w:p>
          <w:p>
            <w:pPr>
              <w:pStyle w:val="TableContents"/>
              <w:spacing w:before="0" w:after="0"/>
              <w:jc w:val="left"/>
              <w:rPr/>
            </w:pPr>
            <w:r>
              <w:rPr/>
              <w:t> </w:t>
            </w:r>
          </w:p>
          <w:p>
            <w:pPr>
              <w:pStyle w:val="TableContents"/>
              <w:spacing w:before="0" w:after="20"/>
              <w:rPr/>
            </w:pPr>
            <w:r>
              <w:rPr/>
              <w:t> </w:t>
            </w:r>
          </w:p>
        </w:tc>
        <w:tc>
          <w:tcPr>
            <w:tcW w:w="6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785" w:type="dxa"/>
            <w:gridSpan w:val="2"/>
            <w:vMerge w:val="restart"/>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Equity</w:t>
              <w:br/>
              <w:t>Incentive</w:t>
              <w:br/>
              <w:t>Plan</w:t>
              <w:br/>
              <w:t>Awards:</w:t>
              <w:br/>
              <w:t>Number</w:t>
              <w:br/>
              <w:t>of</w:t>
              <w:br/>
              <w:t>Unearned</w:t>
              <w:br/>
              <w:t>Shares,</w:t>
              <w:br/>
              <w:t>Units or</w:t>
              <w:br/>
              <w:t>Other</w:t>
              <w:br/>
              <w:t>Rights</w:t>
              <w:br/>
              <w:t>That</w:t>
              <w:br/>
              <w:t>Have Not</w:t>
              <w:br/>
              <w:t>Vested</w:t>
              <w:br/>
              <w:t>(#)</w:t>
            </w:r>
          </w:p>
          <w:p>
            <w:pPr>
              <w:pStyle w:val="TableContents"/>
              <w:spacing w:before="0" w:after="0"/>
              <w:jc w:val="left"/>
              <w:rPr/>
            </w:pPr>
            <w:r>
              <w:rPr/>
              <w:t> </w:t>
            </w:r>
          </w:p>
          <w:p>
            <w:pPr>
              <w:pStyle w:val="TableContents"/>
              <w:spacing w:before="0" w:after="20"/>
              <w:rPr/>
            </w:pPr>
            <w:r>
              <w:rPr/>
              <w:t> </w:t>
            </w:r>
          </w:p>
        </w:tc>
        <w:tc>
          <w:tcPr>
            <w:tcW w:w="47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1040" w:type="dxa"/>
            <w:gridSpan w:val="2"/>
            <w:vMerge w:val="restart"/>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Equity</w:t>
              <w:br/>
              <w:t>Incentive</w:t>
              <w:br/>
              <w:t>Plan</w:t>
              <w:br/>
              <w:t>Awards:</w:t>
              <w:br/>
              <w:t>Market</w:t>
              <w:br/>
              <w:t>or Payout</w:t>
              <w:br/>
              <w:t>Value of</w:t>
              <w:br/>
              <w:t>Unearned  </w:t>
              <w:br/>
              <w:t>Shares,</w:t>
              <w:br/>
              <w:t>Units or</w:t>
              <w:br/>
              <w:t>Other</w:t>
              <w:br/>
              <w:t>Rights</w:t>
              <w:br/>
              <w:t>That</w:t>
              <w:br/>
              <w:t>Have Not</w:t>
              <w:br/>
              <w:t>Vested</w:t>
              <w:br/>
              <w:t>($)(1)</w:t>
            </w:r>
          </w:p>
          <w:p>
            <w:pPr>
              <w:pStyle w:val="TableContents"/>
              <w:spacing w:before="0" w:after="0"/>
              <w:jc w:val="left"/>
              <w:rPr/>
            </w:pPr>
            <w:r>
              <w:rPr/>
              <w:t> </w:t>
            </w:r>
          </w:p>
          <w:p>
            <w:pPr>
              <w:pStyle w:val="TableContents"/>
              <w:spacing w:before="0" w:after="20"/>
              <w:rPr/>
            </w:pPr>
            <w:r>
              <w:rPr/>
              <w:t> </w:t>
            </w:r>
          </w:p>
        </w:tc>
        <w:tc>
          <w:tcPr>
            <w:tcW w:w="6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c>
          <w:tcPr>
            <w:tcW w:w="60" w:type="dxa"/>
            <w:vMerge w:val="restart"/>
            <w:tcBorders/>
            <w:shd w:fill="CF0A2C" w:val="clear"/>
            <w:vAlign w:val="bottom"/>
          </w:tcPr>
          <w:p>
            <w:pPr>
              <w:pStyle w:val="TableContents"/>
              <w:spacing w:before="0" w:after="283"/>
              <w:rPr/>
            </w:pPr>
            <w:r>
              <w:rPr/>
              <w:t> </w:t>
            </w:r>
          </w:p>
        </w:tc>
      </w:tr>
      <w:tr>
        <w:trPr/>
        <w:tc>
          <w:tcPr>
            <w:tcW w:w="1400"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p>
            <w:pPr>
              <w:pStyle w:val="TableContents"/>
              <w:spacing w:before="0" w:after="0"/>
              <w:rPr/>
            </w:pPr>
            <w:r>
              <w:rPr/>
              <w:t> </w:t>
            </w:r>
          </w:p>
          <w:p>
            <w:pPr>
              <w:pStyle w:val="TableContents"/>
              <w:spacing w:before="0" w:after="20"/>
              <w:rPr/>
            </w:pPr>
            <w:r>
              <w:rPr/>
              <w:t> </w:t>
            </w:r>
          </w:p>
        </w:tc>
        <w:tc>
          <w:tcPr>
            <w:tcW w:w="60" w:type="dxa"/>
            <w:tcBorders/>
            <w:shd w:fill="CF0A2C" w:val="clear"/>
            <w:vAlign w:val="bottom"/>
          </w:tcPr>
          <w:p>
            <w:pPr>
              <w:pStyle w:val="TableContents"/>
              <w:spacing w:before="0" w:after="283"/>
              <w:rPr/>
            </w:pPr>
            <w:r>
              <w:rPr/>
              <w:t> </w:t>
            </w:r>
          </w:p>
        </w:tc>
        <w:tc>
          <w:tcPr>
            <w:tcW w:w="1175" w:type="dxa"/>
            <w:gridSpan w:val="2"/>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Exercisable (#)</w:t>
            </w:r>
          </w:p>
          <w:p>
            <w:pPr>
              <w:pStyle w:val="TableContents"/>
              <w:spacing w:before="0" w:after="0"/>
              <w:jc w:val="left"/>
              <w:rPr/>
            </w:pPr>
            <w:r>
              <w:rPr/>
              <w:t> </w:t>
            </w:r>
          </w:p>
          <w:p>
            <w:pPr>
              <w:pStyle w:val="TableContents"/>
              <w:spacing w:before="0" w:after="20"/>
              <w:rPr/>
            </w:pPr>
            <w:r>
              <w:rPr/>
              <w:t> </w:t>
            </w:r>
          </w:p>
        </w:tc>
        <w:tc>
          <w:tcPr>
            <w:tcW w:w="481" w:type="dxa"/>
            <w:tcBorders/>
            <w:shd w:fill="CF0A2C" w:val="clear"/>
            <w:vAlign w:val="bottom"/>
          </w:tcPr>
          <w:p>
            <w:pPr>
              <w:pStyle w:val="TableContents"/>
              <w:spacing w:before="0" w:after="283"/>
              <w:rPr/>
            </w:pPr>
            <w:r>
              <w:rPr/>
              <w:t> </w:t>
            </w:r>
          </w:p>
        </w:tc>
        <w:tc>
          <w:tcPr>
            <w:tcW w:w="82" w:type="dxa"/>
            <w:tcBorders/>
            <w:shd w:fill="CF0A2C" w:val="clear"/>
            <w:vAlign w:val="bottom"/>
          </w:tcPr>
          <w:p>
            <w:pPr>
              <w:pStyle w:val="TableContents"/>
              <w:spacing w:before="0" w:after="283"/>
              <w:rPr/>
            </w:pPr>
            <w:r>
              <w:rPr/>
              <w:t> </w:t>
            </w:r>
          </w:p>
        </w:tc>
        <w:tc>
          <w:tcPr>
            <w:tcW w:w="1385" w:type="dxa"/>
            <w:gridSpan w:val="2"/>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Unexercisable (#)</w:t>
            </w:r>
          </w:p>
          <w:p>
            <w:pPr>
              <w:pStyle w:val="TableContents"/>
              <w:spacing w:before="0" w:after="0"/>
              <w:jc w:val="left"/>
              <w:rPr/>
            </w:pPr>
            <w:r>
              <w:rPr/>
              <w:t> </w:t>
            </w:r>
          </w:p>
          <w:p>
            <w:pPr>
              <w:pStyle w:val="TableContents"/>
              <w:spacing w:before="0" w:after="20"/>
              <w:rPr/>
            </w:pPr>
            <w:r>
              <w:rPr/>
              <w:t> </w:t>
            </w:r>
          </w:p>
        </w:tc>
        <w:tc>
          <w:tcPr>
            <w:tcW w:w="740" w:type="dxa"/>
            <w:tcBorders/>
            <w:shd w:fill="CF0A2C" w:val="clear"/>
            <w:vAlign w:val="bottom"/>
          </w:tcPr>
          <w:p>
            <w:pPr>
              <w:pStyle w:val="TableContents"/>
              <w:spacing w:before="0" w:after="283"/>
              <w:rPr/>
            </w:pPr>
            <w:r>
              <w:rPr/>
              <w:t> </w:t>
            </w:r>
          </w:p>
        </w:tc>
        <w:tc>
          <w:tcPr>
            <w:tcW w:w="60" w:type="dxa"/>
            <w:vMerge w:val="continue"/>
            <w:tcBorders/>
            <w:shd w:fill="CF0A2C" w:val="clear"/>
            <w:vAlign w:val="bottom"/>
          </w:tcPr>
          <w:p>
            <w:pPr>
              <w:pStyle w:val="Normal"/>
              <w:rPr/>
            </w:pPr>
            <w:r>
              <w:rPr/>
            </w:r>
          </w:p>
        </w:tc>
        <w:tc>
          <w:tcPr>
            <w:tcW w:w="680" w:type="dxa"/>
            <w:gridSpan w:val="2"/>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830" w:type="dxa"/>
            <w:gridSpan w:val="2"/>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1145" w:type="dxa"/>
            <w:gridSpan w:val="2"/>
            <w:vMerge w:val="continue"/>
            <w:tcBorders/>
            <w:shd w:fill="CF0A2C" w:val="clear"/>
            <w:vAlign w:val="bottom"/>
          </w:tcPr>
          <w:p>
            <w:pPr>
              <w:pStyle w:val="Normal"/>
              <w:rPr/>
            </w:pPr>
            <w:r>
              <w:rPr/>
            </w:r>
          </w:p>
        </w:tc>
        <w:tc>
          <w:tcPr>
            <w:tcW w:w="74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1160" w:type="dxa"/>
            <w:gridSpan w:val="2"/>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785" w:type="dxa"/>
            <w:gridSpan w:val="2"/>
            <w:vMerge w:val="continue"/>
            <w:tcBorders/>
            <w:shd w:fill="CF0A2C" w:val="clear"/>
            <w:vAlign w:val="bottom"/>
          </w:tcPr>
          <w:p>
            <w:pPr>
              <w:pStyle w:val="Normal"/>
              <w:rPr/>
            </w:pPr>
            <w:r>
              <w:rPr/>
            </w:r>
          </w:p>
        </w:tc>
        <w:tc>
          <w:tcPr>
            <w:tcW w:w="47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1040" w:type="dxa"/>
            <w:gridSpan w:val="2"/>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c>
          <w:tcPr>
            <w:tcW w:w="60" w:type="dxa"/>
            <w:vMerge w:val="continue"/>
            <w:tcBorders/>
            <w:shd w:fill="CF0A2C" w:val="clear"/>
            <w:vAlign w:val="bottom"/>
          </w:tcPr>
          <w:p>
            <w:pPr>
              <w:pStyle w:val="Normal"/>
              <w:rPr/>
            </w:pPr>
            <w:r>
              <w:rPr/>
            </w:r>
          </w:p>
        </w:tc>
      </w:tr>
      <w:tr>
        <w:trPr/>
        <w:tc>
          <w:tcPr>
            <w:tcW w:w="1400" w:type="dxa"/>
            <w:tcBorders/>
            <w:shd w:fill="E5E5E5" w:val="clear"/>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b/>
                <w:sz w:val="16"/>
              </w:rPr>
            </w:pPr>
            <w:r>
              <w:rPr>
                <w:rFonts w:ascii="arial" w:hAnsi="arial"/>
                <w:b/>
                <w:sz w:val="16"/>
              </w:rPr>
              <w:t>Stephen P. Joyce</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0"/>
              <w:rPr/>
            </w:pPr>
            <w:r>
              <w:rPr/>
              <w:t> </w:t>
            </w:r>
          </w:p>
          <w:p>
            <w:pPr>
              <w:pStyle w:val="TableContents"/>
              <w:spacing w:before="0" w:after="20"/>
              <w:rPr/>
            </w:pPr>
            <w:r>
              <w:rPr/>
              <w:t> </w:t>
            </w:r>
          </w:p>
        </w:tc>
        <w:tc>
          <w:tcPr>
            <w:tcW w:w="1081" w:type="dxa"/>
            <w:tcBorders/>
            <w:shd w:fill="E5E5E5"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481" w:type="dxa"/>
            <w:tcBorders/>
            <w:shd w:fill="E5E5E5" w:val="clear"/>
            <w:vAlign w:val="bottom"/>
          </w:tcPr>
          <w:p>
            <w:pPr>
              <w:pStyle w:val="TableContents"/>
              <w:spacing w:before="0" w:after="0"/>
              <w:rPr/>
            </w:pPr>
            <w:r>
              <w:rPr/>
              <w:t> </w:t>
            </w:r>
          </w:p>
          <w:p>
            <w:pPr>
              <w:pStyle w:val="TableContents"/>
              <w:spacing w:before="0" w:after="20"/>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0"/>
              <w:rPr/>
            </w:pPr>
            <w:r>
              <w:rPr/>
              <w:t> </w:t>
            </w:r>
          </w:p>
          <w:p>
            <w:pPr>
              <w:pStyle w:val="TableContents"/>
              <w:spacing w:before="0" w:after="20"/>
              <w:rPr/>
            </w:pPr>
            <w:r>
              <w:rPr/>
              <w:t> </w:t>
            </w:r>
          </w:p>
        </w:tc>
        <w:tc>
          <w:tcPr>
            <w:tcW w:w="1274" w:type="dxa"/>
            <w:tcBorders/>
            <w:shd w:fill="E5E5E5"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350,000</w:t>
            </w:r>
          </w:p>
        </w:tc>
        <w:tc>
          <w:tcPr>
            <w:tcW w:w="740" w:type="dxa"/>
            <w:tcBorders/>
            <w:shd w:fill="E5E5E5" w:val="clear"/>
            <w:vAlign w:val="bottom"/>
          </w:tcPr>
          <w:p>
            <w:pPr>
              <w:pStyle w:val="TableContents"/>
              <w:spacing w:before="0" w:after="0"/>
              <w:rPr/>
            </w:pPr>
            <w:r>
              <w:rPr/>
              <w:t> </w:t>
            </w:r>
          </w:p>
          <w:p>
            <w:pPr>
              <w:pStyle w:val="TableContents"/>
              <w:spacing w:before="0" w:after="20"/>
              <w:rPr>
                <w:rFonts w:ascii="arial" w:hAnsi="arial"/>
                <w:sz w:val="16"/>
              </w:rPr>
            </w:pPr>
            <w:r>
              <w:rPr>
                <w:rFonts w:ascii="arial" w:hAnsi="arial"/>
                <w:sz w:val="16"/>
              </w:rPr>
              <w:t>(2)</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0"/>
              <w:rPr/>
            </w:pPr>
            <w:r>
              <w:rPr/>
              <w:t> </w:t>
            </w:r>
          </w:p>
          <w:p>
            <w:pPr>
              <w:pStyle w:val="TableContents"/>
              <w:spacing w:before="0" w:after="20"/>
              <w:rPr/>
            </w:pPr>
            <w:r>
              <w:rPr/>
              <w:t> </w:t>
            </w:r>
          </w:p>
        </w:tc>
        <w:tc>
          <w:tcPr>
            <w:tcW w:w="615" w:type="dxa"/>
            <w:tcBorders/>
            <w:shd w:fill="E5E5E5"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40.58</w:t>
            </w:r>
          </w:p>
        </w:tc>
        <w:tc>
          <w:tcPr>
            <w:tcW w:w="60" w:type="dxa"/>
            <w:tcBorders/>
            <w:shd w:fill="E5E5E5" w:val="clear"/>
            <w:vAlign w:val="bottom"/>
          </w:tcPr>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20"/>
              <w:rPr/>
            </w:pPr>
            <w:r>
              <w:rPr/>
              <w:t> </w:t>
            </w:r>
          </w:p>
        </w:tc>
        <w:tc>
          <w:tcPr>
            <w:tcW w:w="770" w:type="dxa"/>
            <w:tcBorders/>
            <w:shd w:fill="E5E5E5"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9/12/2027</w:t>
            </w:r>
          </w:p>
        </w:tc>
        <w:tc>
          <w:tcPr>
            <w:tcW w:w="60" w:type="dxa"/>
            <w:tcBorders/>
            <w:shd w:fill="E5E5E5" w:val="clear"/>
            <w:vAlign w:val="bottom"/>
          </w:tcPr>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0"/>
              <w:rPr/>
            </w:pPr>
            <w:r>
              <w:rPr/>
              <w:t> </w:t>
            </w:r>
          </w:p>
          <w:p>
            <w:pPr>
              <w:pStyle w:val="TableContents"/>
              <w:spacing w:before="0" w:after="20"/>
              <w:rPr/>
            </w:pPr>
            <w:r>
              <w:rPr/>
              <w:t> </w:t>
            </w:r>
          </w:p>
        </w:tc>
        <w:tc>
          <w:tcPr>
            <w:tcW w:w="1066" w:type="dxa"/>
            <w:tcBorders/>
            <w:shd w:fill="E5E5E5"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86,451</w:t>
            </w:r>
          </w:p>
        </w:tc>
        <w:tc>
          <w:tcPr>
            <w:tcW w:w="740" w:type="dxa"/>
            <w:tcBorders/>
            <w:shd w:fill="E5E5E5" w:val="clear"/>
            <w:vAlign w:val="bottom"/>
          </w:tcPr>
          <w:p>
            <w:pPr>
              <w:pStyle w:val="TableContents"/>
              <w:spacing w:before="0" w:after="0"/>
              <w:rPr/>
            </w:pPr>
            <w:r>
              <w:rPr/>
              <w:t> </w:t>
            </w:r>
          </w:p>
          <w:p>
            <w:pPr>
              <w:pStyle w:val="TableContents"/>
              <w:spacing w:before="0" w:after="20"/>
              <w:rPr>
                <w:rFonts w:ascii="arial" w:hAnsi="arial"/>
                <w:sz w:val="16"/>
              </w:rPr>
            </w:pPr>
            <w:r>
              <w:rPr>
                <w:rFonts w:ascii="arial" w:hAnsi="arial"/>
                <w:sz w:val="16"/>
              </w:rPr>
              <w:t>(3)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20"/>
              <w:rPr/>
            </w:pPr>
            <w:r>
              <w:rPr/>
              <w:t> </w:t>
            </w:r>
          </w:p>
        </w:tc>
        <w:tc>
          <w:tcPr>
            <w:tcW w:w="1100" w:type="dxa"/>
            <w:tcBorders/>
            <w:shd w:fill="E5E5E5"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5,014,142</w:t>
            </w:r>
          </w:p>
        </w:tc>
        <w:tc>
          <w:tcPr>
            <w:tcW w:w="60" w:type="dxa"/>
            <w:tcBorders/>
            <w:shd w:fill="E5E5E5" w:val="clear"/>
            <w:vAlign w:val="bottom"/>
          </w:tcPr>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0"/>
              <w:rPr/>
            </w:pPr>
            <w:r>
              <w:rPr/>
              <w:t> </w:t>
            </w:r>
          </w:p>
          <w:p>
            <w:pPr>
              <w:pStyle w:val="TableContents"/>
              <w:spacing w:before="0" w:after="20"/>
              <w:rPr/>
            </w:pPr>
            <w:r>
              <w:rPr/>
              <w:t> </w:t>
            </w:r>
          </w:p>
        </w:tc>
        <w:tc>
          <w:tcPr>
            <w:tcW w:w="722" w:type="dxa"/>
            <w:tcBorders/>
            <w:shd w:fill="E5E5E5"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470" w:type="dxa"/>
            <w:tcBorders/>
            <w:shd w:fill="E5E5E5" w:val="clear"/>
            <w:vAlign w:val="bottom"/>
          </w:tcPr>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20"/>
              <w:rPr/>
            </w:pPr>
            <w:r>
              <w:rPr/>
              <w:t> </w:t>
            </w:r>
          </w:p>
        </w:tc>
        <w:tc>
          <w:tcPr>
            <w:tcW w:w="980" w:type="dxa"/>
            <w:tcBorders/>
            <w:shd w:fill="E5E5E5"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1081" w:type="dxa"/>
            <w:tcBorders/>
            <w:shd w:fill="E5E5E5" w:val="clear"/>
            <w:vAlign w:val="bottom"/>
          </w:tcPr>
          <w:p>
            <w:pPr>
              <w:pStyle w:val="TableContents"/>
              <w:spacing w:before="0" w:after="283"/>
              <w:rPr>
                <w:sz w:val="4"/>
                <w:szCs w:val="4"/>
              </w:rPr>
            </w:pPr>
            <w:r>
              <w:rPr>
                <w:sz w:val="4"/>
                <w:szCs w:val="4"/>
              </w:rPr>
            </w:r>
          </w:p>
        </w:tc>
        <w:tc>
          <w:tcPr>
            <w:tcW w:w="481" w:type="dxa"/>
            <w:tcBorders/>
            <w:shd w:fill="E5E5E5" w:val="clear"/>
            <w:vAlign w:val="bottom"/>
          </w:tcPr>
          <w:p>
            <w:pPr>
              <w:pStyle w:val="TableContents"/>
              <w:spacing w:before="0" w:after="283"/>
              <w:rPr>
                <w:sz w:val="4"/>
                <w:szCs w:val="4"/>
              </w:rPr>
            </w:pPr>
            <w:r>
              <w:rPr>
                <w:sz w:val="4"/>
                <w:szCs w:val="4"/>
              </w:rPr>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1274" w:type="dxa"/>
            <w:tcBorders/>
            <w:shd w:fill="E5E5E5" w:val="clear"/>
            <w:vAlign w:val="bottom"/>
          </w:tcPr>
          <w:p>
            <w:pPr>
              <w:pStyle w:val="TableContents"/>
              <w:spacing w:before="0" w:after="283"/>
              <w:rPr>
                <w:sz w:val="4"/>
                <w:szCs w:val="4"/>
              </w:rPr>
            </w:pPr>
            <w:r>
              <w:rPr>
                <w:sz w:val="4"/>
                <w:szCs w:val="4"/>
              </w:rPr>
            </w:r>
          </w:p>
        </w:tc>
        <w:tc>
          <w:tcPr>
            <w:tcW w:w="74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sz w:val="4"/>
                <w:szCs w:val="4"/>
              </w:rPr>
            </w:pPr>
            <w:r>
              <w:rPr>
                <w:sz w:val="4"/>
                <w:szCs w:val="4"/>
              </w:rPr>
            </w:r>
          </w:p>
        </w:tc>
        <w:tc>
          <w:tcPr>
            <w:tcW w:w="6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77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201,718</w:t>
            </w:r>
          </w:p>
        </w:tc>
        <w:tc>
          <w:tcPr>
            <w:tcW w:w="740" w:type="dxa"/>
            <w:tcBorders/>
            <w:shd w:fill="E5E5E5" w:val="clear"/>
            <w:vAlign w:val="bottom"/>
          </w:tcPr>
          <w:p>
            <w:pPr>
              <w:pStyle w:val="TableContents"/>
              <w:spacing w:before="0" w:after="283"/>
              <w:rPr/>
            </w:pPr>
            <w:r>
              <w:rPr/>
              <w:t>(4)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11,699,665</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pPr>
            <w:r>
              <w:rPr/>
              <w:t> </w:t>
            </w:r>
          </w:p>
          <w:p>
            <w:pPr>
              <w:pStyle w:val="TableContents"/>
              <w:spacing w:before="0" w:after="20"/>
              <w:rPr>
                <w:rFonts w:ascii="arial" w:hAnsi="arial"/>
                <w:b/>
                <w:sz w:val="16"/>
              </w:rPr>
            </w:pPr>
            <w:r>
              <w:rPr>
                <w:rFonts w:ascii="arial" w:hAnsi="arial"/>
                <w:b/>
                <w:sz w:val="16"/>
              </w:rPr>
              <w:t>Thomas H. Song</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0"/>
              <w:rPr/>
            </w:pPr>
            <w:r>
              <w:rPr/>
              <w:t> </w:t>
            </w:r>
          </w:p>
          <w:p>
            <w:pPr>
              <w:pStyle w:val="TableContents"/>
              <w:spacing w:before="0" w:after="20"/>
              <w:rPr/>
            </w:pPr>
            <w:r>
              <w:rPr/>
              <w:t> </w:t>
            </w:r>
          </w:p>
        </w:tc>
        <w:tc>
          <w:tcPr>
            <w:tcW w:w="1081" w:type="dxa"/>
            <w:tcBorders/>
            <w:shd w:fill="auto"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9,290</w:t>
            </w:r>
          </w:p>
        </w:tc>
        <w:tc>
          <w:tcPr>
            <w:tcW w:w="481" w:type="dxa"/>
            <w:tcBorders/>
            <w:shd w:fill="auto" w:val="clear"/>
            <w:vAlign w:val="bottom"/>
          </w:tcPr>
          <w:p>
            <w:pPr>
              <w:pStyle w:val="TableContents"/>
              <w:spacing w:before="0" w:after="0"/>
              <w:rPr/>
            </w:pPr>
            <w:r>
              <w:rPr/>
              <w:t> </w:t>
            </w:r>
          </w:p>
          <w:p>
            <w:pPr>
              <w:pStyle w:val="TableContents"/>
              <w:spacing w:before="0" w:after="20"/>
              <w:rPr>
                <w:rFonts w:ascii="arial" w:hAnsi="arial"/>
                <w:sz w:val="16"/>
              </w:rPr>
            </w:pPr>
            <w:r>
              <w:rPr>
                <w:rFonts w:ascii="arial" w:hAnsi="arial"/>
                <w:sz w:val="16"/>
              </w:rPr>
              <w:t>(5) </w:t>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0"/>
              <w:rPr/>
            </w:pPr>
            <w:r>
              <w:rPr/>
              <w:t> </w:t>
            </w:r>
          </w:p>
          <w:p>
            <w:pPr>
              <w:pStyle w:val="TableContents"/>
              <w:spacing w:before="0" w:after="20"/>
              <w:rPr/>
            </w:pPr>
            <w:r>
              <w:rPr/>
              <w:t> </w:t>
            </w:r>
          </w:p>
        </w:tc>
        <w:tc>
          <w:tcPr>
            <w:tcW w:w="1274" w:type="dxa"/>
            <w:tcBorders/>
            <w:shd w:fill="auto"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4,645</w:t>
            </w:r>
          </w:p>
        </w:tc>
        <w:tc>
          <w:tcPr>
            <w:tcW w:w="740" w:type="dxa"/>
            <w:tcBorders/>
            <w:shd w:fill="auto" w:val="clear"/>
            <w:vAlign w:val="bottom"/>
          </w:tcPr>
          <w:p>
            <w:pPr>
              <w:pStyle w:val="TableContents"/>
              <w:spacing w:before="0" w:after="0"/>
              <w:rPr/>
            </w:pPr>
            <w:r>
              <w:rPr/>
              <w:t> </w:t>
            </w:r>
          </w:p>
          <w:p>
            <w:pPr>
              <w:pStyle w:val="TableContents"/>
              <w:spacing w:before="0" w:after="20"/>
              <w:rPr>
                <w:rFonts w:ascii="arial" w:hAnsi="arial"/>
                <w:sz w:val="16"/>
              </w:rPr>
            </w:pPr>
            <w:r>
              <w:rPr>
                <w:rFonts w:ascii="arial" w:hAnsi="arial"/>
                <w:sz w:val="16"/>
              </w:rPr>
              <w:t>(6)(7)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0"/>
              <w:rPr/>
            </w:pPr>
            <w:r>
              <w:rPr/>
              <w:t> </w:t>
            </w:r>
          </w:p>
          <w:p>
            <w:pPr>
              <w:pStyle w:val="TableContents"/>
              <w:spacing w:before="0" w:after="20"/>
              <w:rPr/>
            </w:pPr>
            <w:r>
              <w:rPr/>
              <w:t> </w:t>
            </w:r>
          </w:p>
        </w:tc>
        <w:tc>
          <w:tcPr>
            <w:tcW w:w="615" w:type="dxa"/>
            <w:tcBorders/>
            <w:shd w:fill="auto"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76.04</w:t>
            </w:r>
          </w:p>
        </w:tc>
        <w:tc>
          <w:tcPr>
            <w:tcW w:w="60" w:type="dxa"/>
            <w:tcBorders/>
            <w:shd w:fill="auto" w:val="clear"/>
            <w:vAlign w:val="bottom"/>
          </w:tcPr>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0"/>
              <w:rPr/>
            </w:pPr>
            <w:r>
              <w:rPr/>
              <w:t> </w:t>
            </w:r>
          </w:p>
          <w:p>
            <w:pPr>
              <w:pStyle w:val="TableContents"/>
              <w:spacing w:before="0" w:after="20"/>
              <w:rPr/>
            </w:pPr>
            <w:r>
              <w:rPr/>
              <w:t> </w:t>
            </w:r>
          </w:p>
        </w:tc>
        <w:tc>
          <w:tcPr>
            <w:tcW w:w="770" w:type="dxa"/>
            <w:tcBorders/>
            <w:shd w:fill="auto"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6/15/2028</w:t>
            </w:r>
          </w:p>
        </w:tc>
        <w:tc>
          <w:tcPr>
            <w:tcW w:w="60" w:type="dxa"/>
            <w:tcBorders/>
            <w:shd w:fill="auto" w:val="clear"/>
            <w:vAlign w:val="bottom"/>
          </w:tcPr>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0"/>
              <w:rPr/>
            </w:pPr>
            <w:r>
              <w:rPr/>
              <w:t> </w:t>
            </w:r>
          </w:p>
          <w:p>
            <w:pPr>
              <w:pStyle w:val="TableContents"/>
              <w:spacing w:before="0" w:after="20"/>
              <w:rPr/>
            </w:pPr>
            <w:r>
              <w:rPr/>
              <w:t> </w:t>
            </w:r>
          </w:p>
        </w:tc>
        <w:tc>
          <w:tcPr>
            <w:tcW w:w="1066" w:type="dxa"/>
            <w:tcBorders/>
            <w:shd w:fill="auto"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2,604</w:t>
            </w:r>
          </w:p>
        </w:tc>
        <w:tc>
          <w:tcPr>
            <w:tcW w:w="740" w:type="dxa"/>
            <w:tcBorders/>
            <w:shd w:fill="auto" w:val="clear"/>
            <w:vAlign w:val="bottom"/>
          </w:tcPr>
          <w:p>
            <w:pPr>
              <w:pStyle w:val="TableContents"/>
              <w:spacing w:before="0" w:after="0"/>
              <w:rPr/>
            </w:pPr>
            <w:r>
              <w:rPr/>
              <w:t> </w:t>
            </w:r>
          </w:p>
          <w:p>
            <w:pPr>
              <w:pStyle w:val="TableContents"/>
              <w:spacing w:before="0" w:after="20"/>
              <w:rPr>
                <w:rFonts w:ascii="arial" w:hAnsi="arial"/>
                <w:sz w:val="16"/>
              </w:rPr>
            </w:pPr>
            <w:r>
              <w:rPr>
                <w:rFonts w:ascii="arial" w:hAnsi="arial"/>
                <w:sz w:val="16"/>
              </w:rPr>
              <w:t>(8)(9)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0"/>
              <w:rPr/>
            </w:pPr>
            <w:r>
              <w:rPr/>
              <w:t> </w:t>
            </w:r>
          </w:p>
          <w:p>
            <w:pPr>
              <w:pStyle w:val="TableContents"/>
              <w:spacing w:before="0" w:after="20"/>
              <w:rPr/>
            </w:pPr>
            <w:r>
              <w:rPr/>
              <w:t> </w:t>
            </w:r>
          </w:p>
        </w:tc>
        <w:tc>
          <w:tcPr>
            <w:tcW w:w="1100" w:type="dxa"/>
            <w:tcBorders/>
            <w:shd w:fill="auto"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151,032</w:t>
            </w:r>
          </w:p>
        </w:tc>
        <w:tc>
          <w:tcPr>
            <w:tcW w:w="60" w:type="dxa"/>
            <w:tcBorders/>
            <w:shd w:fill="auto" w:val="clear"/>
            <w:vAlign w:val="bottom"/>
          </w:tcPr>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0"/>
              <w:rPr/>
            </w:pPr>
            <w:r>
              <w:rPr/>
              <w:t> </w:t>
            </w:r>
          </w:p>
          <w:p>
            <w:pPr>
              <w:pStyle w:val="TableContents"/>
              <w:spacing w:before="0" w:after="20"/>
              <w:rPr/>
            </w:pPr>
            <w:r>
              <w:rPr/>
              <w:t> </w:t>
            </w:r>
          </w:p>
        </w:tc>
        <w:tc>
          <w:tcPr>
            <w:tcW w:w="722" w:type="dxa"/>
            <w:tcBorders/>
            <w:shd w:fill="auto"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470" w:type="dxa"/>
            <w:tcBorders/>
            <w:shd w:fill="auto" w:val="clear"/>
            <w:vAlign w:val="bottom"/>
          </w:tcPr>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0"/>
              <w:rPr/>
            </w:pPr>
            <w:r>
              <w:rPr/>
              <w:t> </w:t>
            </w:r>
          </w:p>
          <w:p>
            <w:pPr>
              <w:pStyle w:val="TableContents"/>
              <w:spacing w:before="0" w:after="20"/>
              <w:rPr/>
            </w:pPr>
            <w:r>
              <w:rPr/>
              <w:t> </w:t>
            </w:r>
          </w:p>
        </w:tc>
        <w:tc>
          <w:tcPr>
            <w:tcW w:w="980" w:type="dxa"/>
            <w:tcBorders/>
            <w:shd w:fill="auto" w:val="clear"/>
            <w:vAlign w:val="bottom"/>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60" w:type="dxa"/>
            <w:tcBorders/>
            <w:shd w:fill="auto" w:val="clear"/>
            <w:vAlign w:val="bottom"/>
          </w:tcPr>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3,618</w:t>
            </w:r>
          </w:p>
        </w:tc>
        <w:tc>
          <w:tcPr>
            <w:tcW w:w="481" w:type="dxa"/>
            <w:tcBorders/>
            <w:shd w:fill="auto" w:val="clear"/>
            <w:vAlign w:val="bottom"/>
          </w:tcPr>
          <w:p>
            <w:pPr>
              <w:pStyle w:val="TableContents"/>
              <w:spacing w:before="0" w:after="283"/>
              <w:rPr/>
            </w:pPr>
            <w:r>
              <w:rPr/>
              <w:t>(5) </w:t>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274" w:type="dxa"/>
            <w:tcBorders/>
            <w:shd w:fill="auto" w:val="clear"/>
            <w:vAlign w:val="bottom"/>
          </w:tcPr>
          <w:p>
            <w:pPr>
              <w:pStyle w:val="TableContents"/>
              <w:spacing w:before="0" w:after="283"/>
              <w:jc w:val="right"/>
              <w:rPr/>
            </w:pPr>
            <w:r>
              <w:rPr/>
              <w:t>7,235</w:t>
            </w:r>
          </w:p>
        </w:tc>
        <w:tc>
          <w:tcPr>
            <w:tcW w:w="740" w:type="dxa"/>
            <w:tcBorders/>
            <w:shd w:fill="auto" w:val="clear"/>
            <w:vAlign w:val="bottom"/>
          </w:tcPr>
          <w:p>
            <w:pPr>
              <w:pStyle w:val="TableContents"/>
              <w:spacing w:before="0" w:after="283"/>
              <w:rPr/>
            </w:pPr>
            <w:r>
              <w:rPr/>
              <w:t>(7)(10)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98.97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2/25/2029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5,261</w:t>
            </w:r>
          </w:p>
        </w:tc>
        <w:tc>
          <w:tcPr>
            <w:tcW w:w="740" w:type="dxa"/>
            <w:tcBorders/>
            <w:shd w:fill="auto" w:val="clear"/>
            <w:vAlign w:val="bottom"/>
          </w:tcPr>
          <w:p>
            <w:pPr>
              <w:pStyle w:val="TableContents"/>
              <w:spacing w:before="0" w:after="283"/>
              <w:rPr/>
            </w:pPr>
            <w:r>
              <w:rPr/>
              <w:t>(9)(11)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305,138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1081" w:type="dxa"/>
            <w:tcBorders/>
            <w:shd w:fill="auto" w:val="clear"/>
            <w:vAlign w:val="bottom"/>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274" w:type="dxa"/>
            <w:tcBorders/>
            <w:shd w:fill="auto" w:val="clear"/>
            <w:vAlign w:val="bottom"/>
          </w:tcPr>
          <w:p>
            <w:pPr>
              <w:pStyle w:val="TableContents"/>
              <w:spacing w:before="0" w:after="283"/>
              <w:jc w:val="right"/>
              <w:rPr/>
            </w:pPr>
            <w:r>
              <w:rPr/>
              <w:t>15,519</w:t>
            </w:r>
          </w:p>
        </w:tc>
        <w:tc>
          <w:tcPr>
            <w:tcW w:w="740" w:type="dxa"/>
            <w:tcBorders/>
            <w:shd w:fill="auto" w:val="clear"/>
            <w:vAlign w:val="bottom"/>
          </w:tcPr>
          <w:p>
            <w:pPr>
              <w:pStyle w:val="TableContents"/>
              <w:spacing w:before="0" w:after="283"/>
              <w:rPr/>
            </w:pPr>
            <w:r>
              <w:rPr/>
              <w:t>(7)(12)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87.17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2/26/2030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2,335</w:t>
            </w:r>
          </w:p>
        </w:tc>
        <w:tc>
          <w:tcPr>
            <w:tcW w:w="740" w:type="dxa"/>
            <w:tcBorders/>
            <w:shd w:fill="auto" w:val="clear"/>
            <w:vAlign w:val="bottom"/>
          </w:tcPr>
          <w:p>
            <w:pPr>
              <w:pStyle w:val="TableContents"/>
              <w:spacing w:before="0" w:after="283"/>
              <w:rPr/>
            </w:pPr>
            <w:r>
              <w:rPr/>
              <w:t>(9)(13)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135,430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1081" w:type="dxa"/>
            <w:tcBorders/>
            <w:shd w:fill="auto" w:val="clear"/>
            <w:vAlign w:val="bottom"/>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sz w:val="4"/>
                <w:szCs w:val="4"/>
              </w:rPr>
            </w:pPr>
            <w:r>
              <w:rPr>
                <w:sz w:val="4"/>
                <w:szCs w:val="4"/>
              </w:rPr>
            </w:r>
          </w:p>
        </w:tc>
        <w:tc>
          <w:tcPr>
            <w:tcW w:w="1274"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sz w:val="4"/>
                <w:szCs w:val="4"/>
              </w:rPr>
            </w:pPr>
            <w:r>
              <w:rPr>
                <w:sz w:val="4"/>
                <w:szCs w:val="4"/>
              </w:rPr>
            </w:r>
          </w:p>
        </w:tc>
        <w:tc>
          <w:tcPr>
            <w:tcW w:w="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3,029</w:t>
            </w:r>
          </w:p>
        </w:tc>
        <w:tc>
          <w:tcPr>
            <w:tcW w:w="740" w:type="dxa"/>
            <w:tcBorders/>
            <w:shd w:fill="auto" w:val="clear"/>
            <w:vAlign w:val="bottom"/>
          </w:tcPr>
          <w:p>
            <w:pPr>
              <w:pStyle w:val="TableContents"/>
              <w:spacing w:before="0" w:after="283"/>
              <w:rPr/>
            </w:pPr>
            <w:r>
              <w:rPr/>
              <w:t>(9)(14)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175,682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b/>
                <w:sz w:val="16"/>
              </w:rPr>
            </w:pPr>
            <w:r>
              <w:rPr>
                <w:rFonts w:ascii="arial" w:hAnsi="arial"/>
                <w:b/>
                <w:sz w:val="16"/>
              </w:rPr>
              <w:t>John C. Cywinski</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081"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58,875</w:t>
            </w:r>
          </w:p>
        </w:tc>
        <w:tc>
          <w:tcPr>
            <w:tcW w:w="481"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74"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74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15"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54.82</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77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3/15/2027</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066"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6,841</w:t>
            </w:r>
          </w:p>
        </w:tc>
        <w:tc>
          <w:tcPr>
            <w:tcW w:w="74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sz w:val="16"/>
              </w:rPr>
            </w:pPr>
            <w:r>
              <w:rPr>
                <w:rFonts w:ascii="arial" w:hAnsi="arial"/>
                <w:sz w:val="16"/>
              </w:rPr>
              <w:t>(15)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10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396,778</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722"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47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98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081" w:type="dxa"/>
            <w:tcBorders/>
            <w:shd w:fill="E5E5E5" w:val="clear"/>
            <w:vAlign w:val="bottom"/>
          </w:tcPr>
          <w:p>
            <w:pPr>
              <w:pStyle w:val="TableContents"/>
              <w:spacing w:before="0" w:after="283"/>
              <w:jc w:val="right"/>
              <w:rPr/>
            </w:pPr>
            <w:r>
              <w:rPr/>
              <w:t>15,888</w:t>
            </w:r>
          </w:p>
        </w:tc>
        <w:tc>
          <w:tcPr>
            <w:tcW w:w="481" w:type="dxa"/>
            <w:tcBorders/>
            <w:shd w:fill="E5E5E5" w:val="clear"/>
            <w:vAlign w:val="bottom"/>
          </w:tcPr>
          <w:p>
            <w:pPr>
              <w:pStyle w:val="TableContents"/>
              <w:spacing w:before="0" w:after="283"/>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274" w:type="dxa"/>
            <w:tcBorders/>
            <w:shd w:fill="E5E5E5" w:val="clear"/>
            <w:vAlign w:val="bottom"/>
          </w:tcPr>
          <w:p>
            <w:pPr>
              <w:pStyle w:val="TableContents"/>
              <w:spacing w:before="0" w:after="283"/>
              <w:jc w:val="right"/>
              <w:rPr/>
            </w:pPr>
            <w:r>
              <w:rPr/>
              <w:t>7,944</w:t>
            </w:r>
          </w:p>
        </w:tc>
        <w:tc>
          <w:tcPr>
            <w:tcW w:w="740" w:type="dxa"/>
            <w:tcBorders/>
            <w:shd w:fill="E5E5E5" w:val="clear"/>
            <w:vAlign w:val="bottom"/>
          </w:tcPr>
          <w:p>
            <w:pPr>
              <w:pStyle w:val="TableContents"/>
              <w:spacing w:before="0" w:after="283"/>
              <w:rPr/>
            </w:pPr>
            <w:r>
              <w:rPr/>
              <w:t>(16)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15" w:type="dxa"/>
            <w:tcBorders/>
            <w:shd w:fill="E5E5E5" w:val="clear"/>
            <w:vAlign w:val="bottom"/>
          </w:tcPr>
          <w:p>
            <w:pPr>
              <w:pStyle w:val="TableContents"/>
              <w:spacing w:before="0" w:after="283"/>
              <w:jc w:val="right"/>
              <w:rPr/>
            </w:pPr>
            <w:r>
              <w:rPr/>
              <w:t>68.80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0" w:type="dxa"/>
            <w:tcBorders/>
            <w:shd w:fill="E5E5E5" w:val="clear"/>
            <w:vAlign w:val="bottom"/>
          </w:tcPr>
          <w:p>
            <w:pPr>
              <w:pStyle w:val="TableContents"/>
              <w:spacing w:before="0" w:after="283"/>
              <w:jc w:val="right"/>
              <w:rPr/>
            </w:pPr>
            <w:r>
              <w:rPr/>
              <w:t>2/22/2028</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3,958</w:t>
            </w:r>
          </w:p>
        </w:tc>
        <w:tc>
          <w:tcPr>
            <w:tcW w:w="740" w:type="dxa"/>
            <w:tcBorders/>
            <w:shd w:fill="E5E5E5" w:val="clear"/>
            <w:vAlign w:val="bottom"/>
          </w:tcPr>
          <w:p>
            <w:pPr>
              <w:pStyle w:val="TableContents"/>
              <w:spacing w:before="0" w:after="283"/>
              <w:rPr/>
            </w:pPr>
            <w:r>
              <w:rPr/>
              <w:t>(17)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229,564</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081" w:type="dxa"/>
            <w:tcBorders/>
            <w:shd w:fill="E5E5E5" w:val="clear"/>
            <w:vAlign w:val="bottom"/>
          </w:tcPr>
          <w:p>
            <w:pPr>
              <w:pStyle w:val="TableContents"/>
              <w:spacing w:before="0" w:after="283"/>
              <w:jc w:val="right"/>
              <w:rPr/>
            </w:pPr>
            <w:r>
              <w:rPr/>
              <w:t>4,522</w:t>
            </w:r>
          </w:p>
        </w:tc>
        <w:tc>
          <w:tcPr>
            <w:tcW w:w="481" w:type="dxa"/>
            <w:tcBorders/>
            <w:shd w:fill="E5E5E5" w:val="clear"/>
            <w:vAlign w:val="bottom"/>
          </w:tcPr>
          <w:p>
            <w:pPr>
              <w:pStyle w:val="TableContents"/>
              <w:spacing w:before="0" w:after="283"/>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274" w:type="dxa"/>
            <w:tcBorders/>
            <w:shd w:fill="E5E5E5" w:val="clear"/>
            <w:vAlign w:val="bottom"/>
          </w:tcPr>
          <w:p>
            <w:pPr>
              <w:pStyle w:val="TableContents"/>
              <w:spacing w:before="0" w:after="283"/>
              <w:jc w:val="right"/>
              <w:rPr/>
            </w:pPr>
            <w:r>
              <w:rPr/>
              <w:t>9,044</w:t>
            </w:r>
          </w:p>
        </w:tc>
        <w:tc>
          <w:tcPr>
            <w:tcW w:w="740" w:type="dxa"/>
            <w:tcBorders/>
            <w:shd w:fill="E5E5E5" w:val="clear"/>
            <w:vAlign w:val="bottom"/>
          </w:tcPr>
          <w:p>
            <w:pPr>
              <w:pStyle w:val="TableContents"/>
              <w:spacing w:before="0" w:after="283"/>
              <w:rPr/>
            </w:pPr>
            <w:r>
              <w:rPr/>
              <w:t>(18)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15" w:type="dxa"/>
            <w:tcBorders/>
            <w:shd w:fill="E5E5E5" w:val="clear"/>
            <w:vAlign w:val="bottom"/>
          </w:tcPr>
          <w:p>
            <w:pPr>
              <w:pStyle w:val="TableContents"/>
              <w:spacing w:before="0" w:after="283"/>
              <w:jc w:val="right"/>
              <w:rPr/>
            </w:pPr>
            <w:r>
              <w:rPr/>
              <w:t>98.97</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0" w:type="dxa"/>
            <w:tcBorders/>
            <w:shd w:fill="E5E5E5" w:val="clear"/>
            <w:vAlign w:val="bottom"/>
          </w:tcPr>
          <w:p>
            <w:pPr>
              <w:pStyle w:val="TableContents"/>
              <w:spacing w:before="0" w:after="283"/>
              <w:jc w:val="right"/>
              <w:rPr/>
            </w:pPr>
            <w:r>
              <w:rPr/>
              <w:t>2/25/2029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2,918</w:t>
            </w:r>
          </w:p>
        </w:tc>
        <w:tc>
          <w:tcPr>
            <w:tcW w:w="740" w:type="dxa"/>
            <w:tcBorders/>
            <w:shd w:fill="E5E5E5" w:val="clear"/>
            <w:vAlign w:val="bottom"/>
          </w:tcPr>
          <w:p>
            <w:pPr>
              <w:pStyle w:val="TableContents"/>
              <w:spacing w:before="0" w:after="283"/>
              <w:rPr/>
            </w:pPr>
            <w:r>
              <w:rPr/>
              <w:t>(19)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169,244</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081" w:type="dxa"/>
            <w:tcBorders/>
            <w:shd w:fill="E5E5E5" w:val="clear"/>
            <w:vAlign w:val="bottom"/>
          </w:tcPr>
          <w:p>
            <w:pPr>
              <w:pStyle w:val="TableContents"/>
              <w:spacing w:before="0" w:after="283"/>
              <w:jc w:val="right"/>
              <w:rPr/>
            </w:pPr>
            <w:r>
              <w:rPr/>
              <w:t></w:t>
            </w:r>
          </w:p>
        </w:tc>
        <w:tc>
          <w:tcPr>
            <w:tcW w:w="481" w:type="dxa"/>
            <w:tcBorders/>
            <w:shd w:fill="E5E5E5" w:val="clear"/>
            <w:vAlign w:val="bottom"/>
          </w:tcPr>
          <w:p>
            <w:pPr>
              <w:pStyle w:val="TableContents"/>
              <w:spacing w:before="0" w:after="283"/>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274" w:type="dxa"/>
            <w:tcBorders/>
            <w:shd w:fill="E5E5E5" w:val="clear"/>
            <w:vAlign w:val="bottom"/>
          </w:tcPr>
          <w:p>
            <w:pPr>
              <w:pStyle w:val="TableContents"/>
              <w:spacing w:before="0" w:after="283"/>
              <w:jc w:val="right"/>
              <w:rPr/>
            </w:pPr>
            <w:r>
              <w:rPr/>
              <w:t>19,399</w:t>
            </w:r>
          </w:p>
        </w:tc>
        <w:tc>
          <w:tcPr>
            <w:tcW w:w="740" w:type="dxa"/>
            <w:tcBorders/>
            <w:shd w:fill="E5E5E5" w:val="clear"/>
            <w:vAlign w:val="bottom"/>
          </w:tcPr>
          <w:p>
            <w:pPr>
              <w:pStyle w:val="TableContents"/>
              <w:spacing w:before="0" w:after="283"/>
              <w:rPr/>
            </w:pPr>
            <w:r>
              <w:rPr/>
              <w:t>(20)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15" w:type="dxa"/>
            <w:tcBorders/>
            <w:shd w:fill="E5E5E5" w:val="clear"/>
            <w:vAlign w:val="bottom"/>
          </w:tcPr>
          <w:p>
            <w:pPr>
              <w:pStyle w:val="TableContents"/>
              <w:spacing w:before="0" w:after="283"/>
              <w:jc w:val="right"/>
              <w:rPr/>
            </w:pPr>
            <w:r>
              <w:rPr/>
              <w:t>87.17</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0" w:type="dxa"/>
            <w:tcBorders/>
            <w:shd w:fill="E5E5E5" w:val="clear"/>
            <w:vAlign w:val="bottom"/>
          </w:tcPr>
          <w:p>
            <w:pPr>
              <w:pStyle w:val="TableContents"/>
              <w:spacing w:before="0" w:after="283"/>
              <w:jc w:val="right"/>
              <w:rPr/>
            </w:pPr>
            <w:r>
              <w:rPr/>
              <w:t>2/26/2030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3,786</w:t>
            </w:r>
          </w:p>
        </w:tc>
        <w:tc>
          <w:tcPr>
            <w:tcW w:w="740" w:type="dxa"/>
            <w:tcBorders/>
            <w:shd w:fill="E5E5E5" w:val="clear"/>
            <w:vAlign w:val="bottom"/>
          </w:tcPr>
          <w:p>
            <w:pPr>
              <w:pStyle w:val="TableContents"/>
              <w:spacing w:before="0" w:after="283"/>
              <w:rPr/>
            </w:pPr>
            <w:r>
              <w:rPr/>
              <w:t>(21)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219,588</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sz w:val="4"/>
                <w:szCs w:val="4"/>
              </w:rPr>
            </w:pPr>
            <w:r>
              <w:rPr>
                <w:sz w:val="4"/>
                <w:szCs w:val="4"/>
              </w:rPr>
            </w:r>
          </w:p>
        </w:tc>
        <w:tc>
          <w:tcPr>
            <w:tcW w:w="1081" w:type="dxa"/>
            <w:tcBorders/>
            <w:shd w:fill="E5E5E5" w:val="clear"/>
            <w:vAlign w:val="bottom"/>
          </w:tcPr>
          <w:p>
            <w:pPr>
              <w:pStyle w:val="TableContents"/>
              <w:spacing w:before="0" w:after="283"/>
              <w:rPr>
                <w:sz w:val="4"/>
                <w:szCs w:val="4"/>
              </w:rPr>
            </w:pPr>
            <w:r>
              <w:rPr>
                <w:sz w:val="4"/>
                <w:szCs w:val="4"/>
              </w:rPr>
            </w:r>
          </w:p>
        </w:tc>
        <w:tc>
          <w:tcPr>
            <w:tcW w:w="481" w:type="dxa"/>
            <w:tcBorders/>
            <w:shd w:fill="E5E5E5" w:val="clear"/>
            <w:vAlign w:val="bottom"/>
          </w:tcPr>
          <w:p>
            <w:pPr>
              <w:pStyle w:val="TableContents"/>
              <w:spacing w:before="0" w:after="283"/>
              <w:rPr>
                <w:sz w:val="4"/>
                <w:szCs w:val="4"/>
              </w:rPr>
            </w:pPr>
            <w:r>
              <w:rPr>
                <w:sz w:val="4"/>
                <w:szCs w:val="4"/>
              </w:rPr>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sz w:val="4"/>
                <w:szCs w:val="4"/>
              </w:rPr>
            </w:pPr>
            <w:r>
              <w:rPr>
                <w:sz w:val="4"/>
                <w:szCs w:val="4"/>
              </w:rPr>
            </w:r>
          </w:p>
        </w:tc>
        <w:tc>
          <w:tcPr>
            <w:tcW w:w="1274" w:type="dxa"/>
            <w:tcBorders/>
            <w:shd w:fill="E5E5E5" w:val="clear"/>
            <w:vAlign w:val="bottom"/>
          </w:tcPr>
          <w:p>
            <w:pPr>
              <w:pStyle w:val="TableContents"/>
              <w:spacing w:before="0" w:after="283"/>
              <w:rPr>
                <w:sz w:val="4"/>
                <w:szCs w:val="4"/>
              </w:rPr>
            </w:pPr>
            <w:r>
              <w:rPr>
                <w:sz w:val="4"/>
                <w:szCs w:val="4"/>
              </w:rPr>
            </w:r>
          </w:p>
        </w:tc>
        <w:tc>
          <w:tcPr>
            <w:tcW w:w="74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sz w:val="4"/>
                <w:szCs w:val="4"/>
              </w:rPr>
            </w:pPr>
            <w:r>
              <w:rPr>
                <w:sz w:val="4"/>
                <w:szCs w:val="4"/>
              </w:rPr>
            </w:r>
          </w:p>
        </w:tc>
        <w:tc>
          <w:tcPr>
            <w:tcW w:w="61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c>
          <w:tcPr>
            <w:tcW w:w="77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12,350</w:t>
            </w:r>
          </w:p>
        </w:tc>
        <w:tc>
          <w:tcPr>
            <w:tcW w:w="740" w:type="dxa"/>
            <w:tcBorders/>
            <w:shd w:fill="E5E5E5" w:val="clear"/>
            <w:vAlign w:val="bottom"/>
          </w:tcPr>
          <w:p>
            <w:pPr>
              <w:pStyle w:val="TableContents"/>
              <w:spacing w:before="0" w:after="283"/>
              <w:rPr/>
            </w:pPr>
            <w:r>
              <w:rPr/>
              <w:t>(22)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716,297</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18,525</w:t>
            </w:r>
          </w:p>
        </w:tc>
        <w:tc>
          <w:tcPr>
            <w:tcW w:w="470" w:type="dxa"/>
            <w:tcBorders/>
            <w:shd w:fill="E5E5E5" w:val="clear"/>
            <w:vAlign w:val="bottom"/>
          </w:tcPr>
          <w:p>
            <w:pPr>
              <w:pStyle w:val="TableContents"/>
              <w:spacing w:before="0" w:after="283"/>
              <w:rPr/>
            </w:pPr>
            <w:r>
              <w:rPr/>
              <w:t>(23)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1,074,445</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b/>
                <w:sz w:val="16"/>
              </w:rPr>
            </w:pPr>
            <w:r>
              <w:rPr>
                <w:rFonts w:ascii="arial" w:hAnsi="arial"/>
                <w:b/>
                <w:sz w:val="16"/>
              </w:rPr>
              <w:t>Jay D. Johns</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081"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3,184</w:t>
            </w:r>
          </w:p>
        </w:tc>
        <w:tc>
          <w:tcPr>
            <w:tcW w:w="481"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74"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74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15"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113.72</w:t>
            </w:r>
          </w:p>
        </w:tc>
        <w:tc>
          <w:tcPr>
            <w:tcW w:w="6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77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2/24/2025</w:t>
            </w:r>
          </w:p>
        </w:tc>
        <w:tc>
          <w:tcPr>
            <w:tcW w:w="6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066"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1,200</w:t>
            </w:r>
          </w:p>
        </w:tc>
        <w:tc>
          <w:tcPr>
            <w:tcW w:w="74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sz w:val="16"/>
              </w:rPr>
            </w:pPr>
            <w:r>
              <w:rPr>
                <w:rFonts w:ascii="arial" w:hAnsi="arial"/>
                <w:sz w:val="16"/>
              </w:rPr>
              <w:t>(24)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10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69,600</w:t>
            </w:r>
          </w:p>
        </w:tc>
        <w:tc>
          <w:tcPr>
            <w:tcW w:w="6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722"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47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98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60" w:type="dxa"/>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7,528</w:t>
            </w:r>
          </w:p>
        </w:tc>
        <w:tc>
          <w:tcPr>
            <w:tcW w:w="48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274"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90.90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2/26/2026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1,084</w:t>
            </w:r>
          </w:p>
        </w:tc>
        <w:tc>
          <w:tcPr>
            <w:tcW w:w="740" w:type="dxa"/>
            <w:tcBorders/>
            <w:shd w:fill="auto" w:val="clear"/>
            <w:vAlign w:val="bottom"/>
          </w:tcPr>
          <w:p>
            <w:pPr>
              <w:pStyle w:val="TableContents"/>
              <w:spacing w:before="0" w:after="283"/>
              <w:rPr/>
            </w:pPr>
            <w:r>
              <w:rPr/>
              <w:t>(25)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62,872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48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274" w:type="dxa"/>
            <w:tcBorders/>
            <w:shd w:fill="auto" w:val="clear"/>
            <w:vAlign w:val="bottom"/>
          </w:tcPr>
          <w:p>
            <w:pPr>
              <w:pStyle w:val="TableContents"/>
              <w:spacing w:before="0" w:after="283"/>
              <w:jc w:val="right"/>
              <w:rPr/>
            </w:pPr>
            <w:r>
              <w:rPr/>
              <w:t>2,407</w:t>
            </w:r>
          </w:p>
        </w:tc>
        <w:tc>
          <w:tcPr>
            <w:tcW w:w="740" w:type="dxa"/>
            <w:tcBorders/>
            <w:shd w:fill="auto" w:val="clear"/>
            <w:vAlign w:val="bottom"/>
          </w:tcPr>
          <w:p>
            <w:pPr>
              <w:pStyle w:val="TableContents"/>
              <w:spacing w:before="0" w:after="283"/>
              <w:rPr/>
            </w:pPr>
            <w:r>
              <w:rPr/>
              <w:t>(26)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68.80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2/22/2028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10,556</w:t>
            </w:r>
          </w:p>
        </w:tc>
        <w:tc>
          <w:tcPr>
            <w:tcW w:w="740" w:type="dxa"/>
            <w:tcBorders/>
            <w:shd w:fill="auto" w:val="clear"/>
            <w:vAlign w:val="bottom"/>
          </w:tcPr>
          <w:p>
            <w:pPr>
              <w:pStyle w:val="TableContents"/>
              <w:spacing w:before="0" w:after="283"/>
              <w:rPr/>
            </w:pPr>
            <w:r>
              <w:rPr/>
              <w:t>(27)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612,248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1,680</w:t>
            </w:r>
          </w:p>
        </w:tc>
        <w:tc>
          <w:tcPr>
            <w:tcW w:w="48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274" w:type="dxa"/>
            <w:tcBorders/>
            <w:shd w:fill="auto" w:val="clear"/>
            <w:vAlign w:val="bottom"/>
          </w:tcPr>
          <w:p>
            <w:pPr>
              <w:pStyle w:val="TableContents"/>
              <w:spacing w:before="0" w:after="283"/>
              <w:jc w:val="right"/>
              <w:rPr/>
            </w:pPr>
            <w:r>
              <w:rPr/>
              <w:t>3,359</w:t>
            </w:r>
          </w:p>
        </w:tc>
        <w:tc>
          <w:tcPr>
            <w:tcW w:w="740" w:type="dxa"/>
            <w:tcBorders/>
            <w:shd w:fill="auto" w:val="clear"/>
            <w:vAlign w:val="bottom"/>
          </w:tcPr>
          <w:p>
            <w:pPr>
              <w:pStyle w:val="TableContents"/>
              <w:spacing w:before="0" w:after="283"/>
              <w:rPr/>
            </w:pPr>
            <w:r>
              <w:rPr/>
              <w:t>(28)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98.97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2/25/2029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2,840</w:t>
            </w:r>
          </w:p>
        </w:tc>
        <w:tc>
          <w:tcPr>
            <w:tcW w:w="740" w:type="dxa"/>
            <w:tcBorders/>
            <w:shd w:fill="auto" w:val="clear"/>
            <w:vAlign w:val="bottom"/>
          </w:tcPr>
          <w:p>
            <w:pPr>
              <w:pStyle w:val="TableContents"/>
              <w:spacing w:before="0" w:after="283"/>
              <w:rPr/>
            </w:pPr>
            <w:r>
              <w:rPr/>
              <w:t>(29)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164,720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48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274" w:type="dxa"/>
            <w:tcBorders/>
            <w:shd w:fill="auto" w:val="clear"/>
            <w:vAlign w:val="bottom"/>
          </w:tcPr>
          <w:p>
            <w:pPr>
              <w:pStyle w:val="TableContents"/>
              <w:spacing w:before="0" w:after="283"/>
              <w:jc w:val="right"/>
              <w:rPr/>
            </w:pPr>
            <w:r>
              <w:rPr/>
              <w:t>14,549</w:t>
            </w:r>
          </w:p>
        </w:tc>
        <w:tc>
          <w:tcPr>
            <w:tcW w:w="740" w:type="dxa"/>
            <w:tcBorders/>
            <w:shd w:fill="auto" w:val="clear"/>
            <w:vAlign w:val="bottom"/>
          </w:tcPr>
          <w:p>
            <w:pPr>
              <w:pStyle w:val="TableContents"/>
              <w:spacing w:before="0" w:after="283"/>
              <w:rPr/>
            </w:pPr>
            <w:r>
              <w:rPr/>
              <w:t>(30)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right"/>
              <w:rPr/>
            </w:pPr>
            <w:r>
              <w:rPr/>
              <w:t>87.17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2/26/2030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b/>
                <w:sz w:val="16"/>
              </w:rPr>
            </w:pPr>
            <w:r>
              <w:rPr>
                <w:rFonts w:ascii="arial" w:hAnsi="arial"/>
                <w:b/>
                <w:sz w:val="16"/>
              </w:rPr>
              <w:t>Bryan R. Adel</w:t>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081"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5,210</w:t>
            </w:r>
          </w:p>
        </w:tc>
        <w:tc>
          <w:tcPr>
            <w:tcW w:w="481"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74"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74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15"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113.72</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77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2/24/2025</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066"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2,639</w:t>
            </w:r>
          </w:p>
        </w:tc>
        <w:tc>
          <w:tcPr>
            <w:tcW w:w="74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sz w:val="16"/>
              </w:rPr>
            </w:pPr>
            <w:r>
              <w:rPr>
                <w:rFonts w:ascii="arial" w:hAnsi="arial"/>
                <w:sz w:val="16"/>
              </w:rPr>
              <w:t>(31)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10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153,062</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722"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47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98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w:t>
            </w:r>
          </w:p>
        </w:tc>
        <w:tc>
          <w:tcPr>
            <w:tcW w:w="60" w:type="dxa"/>
            <w:tcBorders/>
            <w:shd w:fill="E5E5E5"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081" w:type="dxa"/>
            <w:tcBorders/>
            <w:shd w:fill="E5E5E5" w:val="clear"/>
            <w:vAlign w:val="bottom"/>
          </w:tcPr>
          <w:p>
            <w:pPr>
              <w:pStyle w:val="TableContents"/>
              <w:spacing w:before="0" w:after="283"/>
              <w:jc w:val="right"/>
              <w:rPr/>
            </w:pPr>
            <w:r>
              <w:rPr/>
              <w:t>11,292</w:t>
            </w:r>
          </w:p>
        </w:tc>
        <w:tc>
          <w:tcPr>
            <w:tcW w:w="481" w:type="dxa"/>
            <w:tcBorders/>
            <w:shd w:fill="E5E5E5" w:val="clear"/>
            <w:vAlign w:val="bottom"/>
          </w:tcPr>
          <w:p>
            <w:pPr>
              <w:pStyle w:val="TableContents"/>
              <w:spacing w:before="0" w:after="283"/>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274" w:type="dxa"/>
            <w:tcBorders/>
            <w:shd w:fill="E5E5E5" w:val="clear"/>
            <w:vAlign w:val="bottom"/>
          </w:tcPr>
          <w:p>
            <w:pPr>
              <w:pStyle w:val="TableContents"/>
              <w:spacing w:before="0" w:after="283"/>
              <w:jc w:val="right"/>
              <w:rPr/>
            </w:pPr>
            <w:r>
              <w:rPr/>
              <w:t></w:t>
            </w:r>
          </w:p>
        </w:tc>
        <w:tc>
          <w:tcPr>
            <w:tcW w:w="74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15" w:type="dxa"/>
            <w:tcBorders/>
            <w:shd w:fill="E5E5E5" w:val="clear"/>
            <w:vAlign w:val="bottom"/>
          </w:tcPr>
          <w:p>
            <w:pPr>
              <w:pStyle w:val="TableContents"/>
              <w:spacing w:before="0" w:after="283"/>
              <w:jc w:val="right"/>
              <w:rPr/>
            </w:pPr>
            <w:r>
              <w:rPr/>
              <w:t>90.90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0" w:type="dxa"/>
            <w:tcBorders/>
            <w:shd w:fill="E5E5E5" w:val="clear"/>
            <w:vAlign w:val="bottom"/>
          </w:tcPr>
          <w:p>
            <w:pPr>
              <w:pStyle w:val="TableContents"/>
              <w:spacing w:before="0" w:after="283"/>
              <w:jc w:val="right"/>
              <w:rPr/>
            </w:pPr>
            <w:r>
              <w:rPr/>
              <w:t>2/26/2026</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2,001</w:t>
            </w:r>
          </w:p>
        </w:tc>
        <w:tc>
          <w:tcPr>
            <w:tcW w:w="740" w:type="dxa"/>
            <w:tcBorders/>
            <w:shd w:fill="E5E5E5" w:val="clear"/>
            <w:vAlign w:val="bottom"/>
          </w:tcPr>
          <w:p>
            <w:pPr>
              <w:pStyle w:val="TableContents"/>
              <w:spacing w:before="0" w:after="283"/>
              <w:rPr/>
            </w:pPr>
            <w:r>
              <w:rPr/>
              <w:t>(32)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116,058</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081" w:type="dxa"/>
            <w:tcBorders/>
            <w:shd w:fill="E5E5E5" w:val="clear"/>
            <w:vAlign w:val="bottom"/>
          </w:tcPr>
          <w:p>
            <w:pPr>
              <w:pStyle w:val="TableContents"/>
              <w:spacing w:before="0" w:after="283"/>
              <w:jc w:val="right"/>
              <w:rPr/>
            </w:pPr>
            <w:r>
              <w:rPr/>
              <w:t>11,805</w:t>
            </w:r>
          </w:p>
        </w:tc>
        <w:tc>
          <w:tcPr>
            <w:tcW w:w="481" w:type="dxa"/>
            <w:tcBorders/>
            <w:shd w:fill="E5E5E5" w:val="clear"/>
            <w:vAlign w:val="bottom"/>
          </w:tcPr>
          <w:p>
            <w:pPr>
              <w:pStyle w:val="TableContents"/>
              <w:spacing w:before="0" w:after="283"/>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274" w:type="dxa"/>
            <w:tcBorders/>
            <w:shd w:fill="E5E5E5" w:val="clear"/>
            <w:vAlign w:val="bottom"/>
          </w:tcPr>
          <w:p>
            <w:pPr>
              <w:pStyle w:val="TableContents"/>
              <w:spacing w:before="0" w:after="283"/>
              <w:jc w:val="right"/>
              <w:rPr/>
            </w:pPr>
            <w:r>
              <w:rPr/>
              <w:t></w:t>
            </w:r>
          </w:p>
        </w:tc>
        <w:tc>
          <w:tcPr>
            <w:tcW w:w="74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15" w:type="dxa"/>
            <w:tcBorders/>
            <w:shd w:fill="E5E5E5" w:val="clear"/>
            <w:vAlign w:val="bottom"/>
          </w:tcPr>
          <w:p>
            <w:pPr>
              <w:pStyle w:val="TableContents"/>
              <w:spacing w:before="0" w:after="283"/>
              <w:jc w:val="right"/>
              <w:rPr/>
            </w:pPr>
            <w:r>
              <w:rPr/>
              <w:t>53.49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0" w:type="dxa"/>
            <w:tcBorders/>
            <w:shd w:fill="E5E5E5" w:val="clear"/>
            <w:vAlign w:val="bottom"/>
          </w:tcPr>
          <w:p>
            <w:pPr>
              <w:pStyle w:val="TableContents"/>
              <w:spacing w:before="0" w:after="283"/>
              <w:jc w:val="right"/>
              <w:rPr/>
            </w:pPr>
            <w:r>
              <w:rPr/>
              <w:t>3/3/2027</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2,650</w:t>
            </w:r>
          </w:p>
        </w:tc>
        <w:tc>
          <w:tcPr>
            <w:tcW w:w="740" w:type="dxa"/>
            <w:tcBorders/>
            <w:shd w:fill="E5E5E5" w:val="clear"/>
            <w:vAlign w:val="bottom"/>
          </w:tcPr>
          <w:p>
            <w:pPr>
              <w:pStyle w:val="TableContents"/>
              <w:spacing w:before="0" w:after="283"/>
              <w:rPr/>
            </w:pPr>
            <w:r>
              <w:rPr/>
              <w:t>(33)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153,700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081" w:type="dxa"/>
            <w:tcBorders/>
            <w:shd w:fill="E5E5E5" w:val="clear"/>
            <w:vAlign w:val="bottom"/>
          </w:tcPr>
          <w:p>
            <w:pPr>
              <w:pStyle w:val="TableContents"/>
              <w:spacing w:before="0" w:after="283"/>
              <w:jc w:val="right"/>
              <w:rPr/>
            </w:pPr>
            <w:r>
              <w:rPr/>
              <w:t>10,592</w:t>
            </w:r>
          </w:p>
        </w:tc>
        <w:tc>
          <w:tcPr>
            <w:tcW w:w="481" w:type="dxa"/>
            <w:tcBorders/>
            <w:shd w:fill="E5E5E5" w:val="clear"/>
            <w:vAlign w:val="bottom"/>
          </w:tcPr>
          <w:p>
            <w:pPr>
              <w:pStyle w:val="TableContents"/>
              <w:spacing w:before="0" w:after="283"/>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274" w:type="dxa"/>
            <w:tcBorders/>
            <w:shd w:fill="E5E5E5" w:val="clear"/>
            <w:vAlign w:val="bottom"/>
          </w:tcPr>
          <w:p>
            <w:pPr>
              <w:pStyle w:val="TableContents"/>
              <w:spacing w:before="0" w:after="283"/>
              <w:jc w:val="right"/>
              <w:rPr/>
            </w:pPr>
            <w:r>
              <w:rPr/>
              <w:t>5,296</w:t>
            </w:r>
          </w:p>
        </w:tc>
        <w:tc>
          <w:tcPr>
            <w:tcW w:w="740" w:type="dxa"/>
            <w:tcBorders/>
            <w:shd w:fill="E5E5E5" w:val="clear"/>
            <w:vAlign w:val="bottom"/>
          </w:tcPr>
          <w:p>
            <w:pPr>
              <w:pStyle w:val="TableContents"/>
              <w:spacing w:before="0" w:after="283"/>
              <w:rPr/>
            </w:pPr>
            <w:r>
              <w:rPr/>
              <w:t>(34)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15" w:type="dxa"/>
            <w:tcBorders/>
            <w:shd w:fill="E5E5E5" w:val="clear"/>
            <w:vAlign w:val="bottom"/>
          </w:tcPr>
          <w:p>
            <w:pPr>
              <w:pStyle w:val="TableContents"/>
              <w:spacing w:before="0" w:after="283"/>
              <w:jc w:val="right"/>
              <w:rPr/>
            </w:pPr>
            <w:r>
              <w:rPr/>
              <w:t>68.80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0" w:type="dxa"/>
            <w:tcBorders/>
            <w:shd w:fill="E5E5E5" w:val="clear"/>
            <w:vAlign w:val="bottom"/>
          </w:tcPr>
          <w:p>
            <w:pPr>
              <w:pStyle w:val="TableContents"/>
              <w:spacing w:before="0" w:after="283"/>
              <w:jc w:val="right"/>
              <w:rPr/>
            </w:pPr>
            <w:r>
              <w:rPr/>
              <w:t>2/22/2028</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w:t>
            </w:r>
          </w:p>
        </w:tc>
        <w:tc>
          <w:tcPr>
            <w:tcW w:w="74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081" w:type="dxa"/>
            <w:tcBorders/>
            <w:shd w:fill="E5E5E5" w:val="clear"/>
            <w:vAlign w:val="bottom"/>
          </w:tcPr>
          <w:p>
            <w:pPr>
              <w:pStyle w:val="TableContents"/>
              <w:spacing w:before="0" w:after="283"/>
              <w:jc w:val="right"/>
              <w:rPr/>
            </w:pPr>
            <w:r>
              <w:rPr/>
              <w:t>3,101</w:t>
            </w:r>
          </w:p>
        </w:tc>
        <w:tc>
          <w:tcPr>
            <w:tcW w:w="481" w:type="dxa"/>
            <w:tcBorders/>
            <w:shd w:fill="E5E5E5" w:val="clear"/>
            <w:vAlign w:val="bottom"/>
          </w:tcPr>
          <w:p>
            <w:pPr>
              <w:pStyle w:val="TableContents"/>
              <w:spacing w:before="0" w:after="283"/>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274" w:type="dxa"/>
            <w:tcBorders/>
            <w:shd w:fill="E5E5E5" w:val="clear"/>
            <w:vAlign w:val="bottom"/>
          </w:tcPr>
          <w:p>
            <w:pPr>
              <w:pStyle w:val="TableContents"/>
              <w:spacing w:before="0" w:after="283"/>
              <w:jc w:val="right"/>
              <w:rPr/>
            </w:pPr>
            <w:r>
              <w:rPr/>
              <w:t>6,202</w:t>
            </w:r>
          </w:p>
        </w:tc>
        <w:tc>
          <w:tcPr>
            <w:tcW w:w="740" w:type="dxa"/>
            <w:tcBorders/>
            <w:shd w:fill="E5E5E5" w:val="clear"/>
            <w:vAlign w:val="bottom"/>
          </w:tcPr>
          <w:p>
            <w:pPr>
              <w:pStyle w:val="TableContents"/>
              <w:spacing w:before="0" w:after="283"/>
              <w:rPr/>
            </w:pPr>
            <w:r>
              <w:rPr/>
              <w:t>(35)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15" w:type="dxa"/>
            <w:tcBorders/>
            <w:shd w:fill="E5E5E5" w:val="clear"/>
            <w:vAlign w:val="bottom"/>
          </w:tcPr>
          <w:p>
            <w:pPr>
              <w:pStyle w:val="TableContents"/>
              <w:spacing w:before="0" w:after="283"/>
              <w:jc w:val="right"/>
              <w:rPr/>
            </w:pPr>
            <w:r>
              <w:rPr/>
              <w:t>98.97</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0" w:type="dxa"/>
            <w:tcBorders/>
            <w:shd w:fill="E5E5E5" w:val="clear"/>
            <w:vAlign w:val="bottom"/>
          </w:tcPr>
          <w:p>
            <w:pPr>
              <w:pStyle w:val="TableContents"/>
              <w:spacing w:before="0" w:after="283"/>
              <w:jc w:val="right"/>
              <w:rPr/>
            </w:pPr>
            <w:r>
              <w:rPr/>
              <w:t>2/25/2029</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w:t>
            </w:r>
          </w:p>
        </w:tc>
        <w:tc>
          <w:tcPr>
            <w:tcW w:w="74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r>
        <w:trPr/>
        <w:tc>
          <w:tcPr>
            <w:tcW w:w="1400" w:type="dxa"/>
            <w:tcBorders/>
            <w:shd w:fill="E5E5E5" w:val="clear"/>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94" w:type="dxa"/>
            <w:tcBorders/>
            <w:shd w:fill="E5E5E5" w:val="clear"/>
            <w:vAlign w:val="bottom"/>
          </w:tcPr>
          <w:p>
            <w:pPr>
              <w:pStyle w:val="TableContents"/>
              <w:spacing w:before="0" w:after="283"/>
              <w:rPr/>
            </w:pPr>
            <w:r>
              <w:rPr/>
              <w:t> </w:t>
            </w:r>
          </w:p>
        </w:tc>
        <w:tc>
          <w:tcPr>
            <w:tcW w:w="1081" w:type="dxa"/>
            <w:tcBorders/>
            <w:shd w:fill="E5E5E5" w:val="clear"/>
            <w:vAlign w:val="bottom"/>
          </w:tcPr>
          <w:p>
            <w:pPr>
              <w:pStyle w:val="TableContents"/>
              <w:spacing w:before="0" w:after="283"/>
              <w:jc w:val="right"/>
              <w:rPr/>
            </w:pPr>
            <w:r>
              <w:rPr/>
              <w:t></w:t>
            </w:r>
          </w:p>
        </w:tc>
        <w:tc>
          <w:tcPr>
            <w:tcW w:w="481" w:type="dxa"/>
            <w:tcBorders/>
            <w:shd w:fill="E5E5E5" w:val="clear"/>
            <w:vAlign w:val="bottom"/>
          </w:tcPr>
          <w:p>
            <w:pPr>
              <w:pStyle w:val="TableContents"/>
              <w:spacing w:before="0" w:after="283"/>
              <w:rPr/>
            </w:pPr>
            <w:r>
              <w:rPr/>
              <w:t> </w:t>
            </w:r>
          </w:p>
        </w:tc>
        <w:tc>
          <w:tcPr>
            <w:tcW w:w="82" w:type="dxa"/>
            <w:tcBorders/>
            <w:shd w:fill="E5E5E5" w:val="clear"/>
            <w:vAlign w:val="bottom"/>
          </w:tcPr>
          <w:p>
            <w:pPr>
              <w:pStyle w:val="TableContents"/>
              <w:spacing w:before="0" w:after="283"/>
              <w:rPr/>
            </w:pPr>
            <w:r>
              <w:rPr/>
              <w:t> </w:t>
            </w:r>
          </w:p>
        </w:tc>
        <w:tc>
          <w:tcPr>
            <w:tcW w:w="111" w:type="dxa"/>
            <w:tcBorders/>
            <w:shd w:fill="E5E5E5" w:val="clear"/>
            <w:vAlign w:val="bottom"/>
          </w:tcPr>
          <w:p>
            <w:pPr>
              <w:pStyle w:val="TableContents"/>
              <w:spacing w:before="0" w:after="283"/>
              <w:rPr/>
            </w:pPr>
            <w:r>
              <w:rPr/>
              <w:t> </w:t>
            </w:r>
          </w:p>
        </w:tc>
        <w:tc>
          <w:tcPr>
            <w:tcW w:w="1274" w:type="dxa"/>
            <w:tcBorders/>
            <w:shd w:fill="E5E5E5" w:val="clear"/>
            <w:vAlign w:val="bottom"/>
          </w:tcPr>
          <w:p>
            <w:pPr>
              <w:pStyle w:val="TableContents"/>
              <w:spacing w:before="0" w:after="283"/>
              <w:jc w:val="right"/>
              <w:rPr/>
            </w:pPr>
            <w:r>
              <w:rPr/>
              <w:t>13,579</w:t>
            </w:r>
          </w:p>
        </w:tc>
        <w:tc>
          <w:tcPr>
            <w:tcW w:w="740" w:type="dxa"/>
            <w:tcBorders/>
            <w:shd w:fill="E5E5E5" w:val="clear"/>
            <w:vAlign w:val="bottom"/>
          </w:tcPr>
          <w:p>
            <w:pPr>
              <w:pStyle w:val="TableContents"/>
              <w:spacing w:before="0" w:after="283"/>
              <w:rPr/>
            </w:pPr>
            <w:r>
              <w:rPr/>
              <w:t>(36) </w:t>
            </w:r>
          </w:p>
        </w:tc>
        <w:tc>
          <w:tcPr>
            <w:tcW w:w="60" w:type="dxa"/>
            <w:tcBorders/>
            <w:shd w:fill="E5E5E5" w:val="clear"/>
            <w:vAlign w:val="bottom"/>
          </w:tcPr>
          <w:p>
            <w:pPr>
              <w:pStyle w:val="TableContents"/>
              <w:spacing w:before="0" w:after="283"/>
              <w:rPr/>
            </w:pPr>
            <w:r>
              <w:rPr/>
              <w:t> </w:t>
            </w:r>
          </w:p>
        </w:tc>
        <w:tc>
          <w:tcPr>
            <w:tcW w:w="65" w:type="dxa"/>
            <w:tcBorders/>
            <w:shd w:fill="E5E5E5" w:val="clear"/>
            <w:vAlign w:val="bottom"/>
          </w:tcPr>
          <w:p>
            <w:pPr>
              <w:pStyle w:val="TableContents"/>
              <w:spacing w:before="0" w:after="283"/>
              <w:rPr/>
            </w:pPr>
            <w:r>
              <w:rPr/>
              <w:t> </w:t>
            </w:r>
          </w:p>
        </w:tc>
        <w:tc>
          <w:tcPr>
            <w:tcW w:w="615" w:type="dxa"/>
            <w:tcBorders/>
            <w:shd w:fill="E5E5E5" w:val="clear"/>
            <w:vAlign w:val="bottom"/>
          </w:tcPr>
          <w:p>
            <w:pPr>
              <w:pStyle w:val="TableContents"/>
              <w:spacing w:before="0" w:after="283"/>
              <w:jc w:val="right"/>
              <w:rPr/>
            </w:pPr>
            <w:r>
              <w:rPr/>
              <w:t>87.17</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70" w:type="dxa"/>
            <w:tcBorders/>
            <w:shd w:fill="E5E5E5" w:val="clear"/>
            <w:vAlign w:val="bottom"/>
          </w:tcPr>
          <w:p>
            <w:pPr>
              <w:pStyle w:val="TableContents"/>
              <w:spacing w:before="0" w:after="283"/>
              <w:jc w:val="right"/>
              <w:rPr/>
            </w:pPr>
            <w:r>
              <w:rPr/>
              <w:t>2/26/3030</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79" w:type="dxa"/>
            <w:tcBorders/>
            <w:shd w:fill="E5E5E5" w:val="clear"/>
            <w:vAlign w:val="bottom"/>
          </w:tcPr>
          <w:p>
            <w:pPr>
              <w:pStyle w:val="TableContents"/>
              <w:spacing w:before="0" w:after="283"/>
              <w:rPr/>
            </w:pPr>
            <w:r>
              <w:rPr/>
              <w:t> </w:t>
            </w:r>
          </w:p>
        </w:tc>
        <w:tc>
          <w:tcPr>
            <w:tcW w:w="1066" w:type="dxa"/>
            <w:tcBorders/>
            <w:shd w:fill="E5E5E5" w:val="clear"/>
            <w:vAlign w:val="bottom"/>
          </w:tcPr>
          <w:p>
            <w:pPr>
              <w:pStyle w:val="TableContents"/>
              <w:spacing w:before="0" w:after="283"/>
              <w:jc w:val="right"/>
              <w:rPr/>
            </w:pPr>
            <w:r>
              <w:rPr/>
              <w:t></w:t>
            </w:r>
          </w:p>
        </w:tc>
        <w:tc>
          <w:tcPr>
            <w:tcW w:w="74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10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3" w:type="dxa"/>
            <w:tcBorders/>
            <w:shd w:fill="E5E5E5" w:val="clear"/>
            <w:vAlign w:val="bottom"/>
          </w:tcPr>
          <w:p>
            <w:pPr>
              <w:pStyle w:val="TableContents"/>
              <w:spacing w:before="0" w:after="283"/>
              <w:rPr/>
            </w:pPr>
            <w:r>
              <w:rPr/>
              <w:t> </w:t>
            </w:r>
          </w:p>
        </w:tc>
        <w:tc>
          <w:tcPr>
            <w:tcW w:w="722" w:type="dxa"/>
            <w:tcBorders/>
            <w:shd w:fill="E5E5E5" w:val="clear"/>
            <w:vAlign w:val="bottom"/>
          </w:tcPr>
          <w:p>
            <w:pPr>
              <w:pStyle w:val="TableContents"/>
              <w:spacing w:before="0" w:after="283"/>
              <w:jc w:val="right"/>
              <w:rPr/>
            </w:pPr>
            <w:r>
              <w:rPr/>
              <w:t></w:t>
            </w:r>
          </w:p>
        </w:tc>
        <w:tc>
          <w:tcPr>
            <w:tcW w:w="47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980" w:type="dxa"/>
            <w:tcBorders/>
            <w:shd w:fill="E5E5E5" w:val="clear"/>
            <w:vAlign w:val="bottom"/>
          </w:tcPr>
          <w:p>
            <w:pPr>
              <w:pStyle w:val="TableContents"/>
              <w:spacing w:before="0" w:after="283"/>
              <w:jc w:val="right"/>
              <w:rPr/>
            </w:pPr>
            <w:r>
              <w:rPr/>
              <w:t></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Per share value of stock awards is $58.00 based on the closing price of the Common Stock on the NYSE on December 31,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on February 16, 2021. These options remain exercisable for one year following termination of employment on February 16,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These RSUs vested in full on February 16,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These RSUs vested in full on February 16,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All vested NQSOs remain exercisable for 90 days from date of termination (April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These NQSOs were scheduled to become exercisable on June 15,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Mr. Song is no longer entitled to unvested NQSOs due to his voluntary termination of employment on January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These RSAs were scheduled to vest in full on June 15,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(9)</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Mr. Song is no longer entitled to unvested RSAs due to his voluntary termination of employment on January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were scheduled to become exercisable as to one-half on February 25, 2021 and one-half on February 25,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(11)</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These RSAs were scheduled to vest as to one-half on each of June 15, 2021 and June 15, 2022.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4"/>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41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COMPENSATION TABLES</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were scheduled to become exercisable as to one-third on each of February 26, 2021, February 26, 2022, and February 26,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were scheduled to vest in full on February 25,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were scheduled to vest in full on February 26,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vested in full on March 15,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(16)</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on February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(17)</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vested in full on February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(18)</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as to one-half on February 25, 2021 and will become exercisable as to one-half on February 25,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(19)</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will vest in full on February 25,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(20)</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as to one-third on February 26, 2021 and will become exercisable as to one-third on each of February 26, 2022 and February 26,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(21)</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will vest in full on February 26,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(22)</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RSUs will vest on March 1,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(23)</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RSUs will vest on March 1, 2022 in an amount to be determined based upon the achievement of certain stock price performance targets.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(24)</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vested in full on February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(25)</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will vest in full on February 25,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(26)</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on February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(27)</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will vest in full on June 13,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(28)</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as to one-half on February 25, 2021 and will become exercisable as to one-half on February 25,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(29)</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will vest in full on February 26,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(30)</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as to one-third on February 26, 2021 and will become exercisable as to one-third on each of February 26, 2022 and February 22,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(31)</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vested in full on February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(32)</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will vest in full on February 25,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(33)</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RSAs will vest in full on February 26,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(34)</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on February 22,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(35)</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as to one-half on February 25, 2021 and will become exercisable as to one-half on February 25,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(36)</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These NQSOs became exercisable as to one-third on February 26, 2021 and will become exercisable as to one-third on each of February 26, 2022 and February 22, 2023. </w:t>
            </w:r>
          </w:p>
        </w:tc>
      </w:tr>
    </w:tbl>
    <w:p>
      <w:pPr>
        <w:pStyle w:val="TextBody"/>
        <w:spacing w:before="360" w:after="0"/>
        <w:jc w:val="left"/>
        <w:rPr>
          <w:rFonts w:ascii="arial" w:hAnsi="arial"/>
          <w:b/>
          <w:color w:val="CF0A2C"/>
          <w:sz w:val="28"/>
        </w:rPr>
      </w:pPr>
      <w:bookmarkStart w:id="32" w:name="toc116694_30"/>
      <w:bookmarkEnd w:id="32"/>
      <w:r>
        <w:rPr>
          <w:rFonts w:ascii="arial" w:hAnsi="arial"/>
          <w:b/>
          <w:color w:val="CF0A2C"/>
          <w:sz w:val="28"/>
        </w:rPr>
        <w:t xml:space="preserve">2020 Option Exercises and Stock Vested </w:t>
      </w:r>
    </w:p>
    <w:p>
      <w:pPr>
        <w:pStyle w:val="TextBody"/>
        <w:spacing w:before="120" w:after="0"/>
        <w:jc w:val="left"/>
        <w:rPr>
          <w:rFonts w:ascii="arial" w:hAnsi="arial"/>
          <w:sz w:val="20"/>
        </w:rPr>
      </w:pPr>
      <w:r>
        <w:rPr>
          <w:rFonts w:ascii="arial" w:hAnsi="arial"/>
          <w:sz w:val="20"/>
        </w:rPr>
        <w:t xml:space="preserve">The following table provides information on stock option exercises and vesting of stock awards by the NEOs during the fiscal year ended December 31,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82"/>
        <w:gridCol w:w="297"/>
        <w:gridCol w:w="126"/>
        <w:gridCol w:w="126"/>
        <w:gridCol w:w="1473"/>
        <w:gridCol w:w="49"/>
        <w:gridCol w:w="297"/>
        <w:gridCol w:w="60"/>
        <w:gridCol w:w="60"/>
        <w:gridCol w:w="811"/>
        <w:gridCol w:w="290"/>
        <w:gridCol w:w="245"/>
        <w:gridCol w:w="126"/>
        <w:gridCol w:w="126"/>
        <w:gridCol w:w="1473"/>
        <w:gridCol w:w="49"/>
        <w:gridCol w:w="297"/>
        <w:gridCol w:w="60"/>
        <w:gridCol w:w="60"/>
        <w:gridCol w:w="1331"/>
        <w:gridCol w:w="67"/>
      </w:tblGrid>
      <w:tr>
        <w:trPr/>
        <w:tc>
          <w:tcPr>
            <w:tcW w:w="278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782" w:type="dxa"/>
            <w:tcBorders/>
            <w:shd w:fill="CF0A2C" w:val="clear"/>
            <w:vAlign w:val="bottom"/>
          </w:tcPr>
          <w:p>
            <w:pPr>
              <w:pStyle w:val="TableContents"/>
              <w:spacing w:before="0" w:after="283"/>
              <w:rPr/>
            </w:pPr>
            <w:r>
              <w:rPr/>
              <w:t> </w:t>
            </w:r>
          </w:p>
        </w:tc>
        <w:tc>
          <w:tcPr>
            <w:tcW w:w="297" w:type="dxa"/>
            <w:tcBorders/>
            <w:shd w:fill="CF0A2C" w:val="clear"/>
            <w:vAlign w:val="bottom"/>
          </w:tcPr>
          <w:p>
            <w:pPr>
              <w:pStyle w:val="TableContents"/>
              <w:spacing w:before="0" w:after="283"/>
              <w:rPr/>
            </w:pPr>
            <w:r>
              <w:rPr/>
              <w:t>  </w:t>
            </w:r>
          </w:p>
        </w:tc>
        <w:tc>
          <w:tcPr>
            <w:tcW w:w="3292" w:type="dxa"/>
            <w:gridSpan w:val="9"/>
            <w:tcBorders>
              <w:bottom w:val="single" w:sz="2" w:space="0" w:color="FFFFFF"/>
            </w:tcBorders>
            <w:shd w:fill="CF0A2C" w:val="clear"/>
            <w:tcMar>
              <w:bottom w:w="28" w:type="dxa"/>
            </w:tcMar>
            <w:vAlign w:val="bottom"/>
          </w:tcPr>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Option Awards</w:t>
            </w:r>
          </w:p>
        </w:tc>
        <w:tc>
          <w:tcPr>
            <w:tcW w:w="245" w:type="dxa"/>
            <w:tcBorders/>
            <w:shd w:fill="CF0A2C" w:val="clear"/>
            <w:vAlign w:val="bottom"/>
          </w:tcPr>
          <w:p>
            <w:pPr>
              <w:pStyle w:val="TableContents"/>
              <w:spacing w:before="0" w:after="283"/>
              <w:rPr/>
            </w:pPr>
            <w:r>
              <w:rPr/>
              <w:t> </w:t>
            </w:r>
          </w:p>
        </w:tc>
        <w:tc>
          <w:tcPr>
            <w:tcW w:w="3589" w:type="dxa"/>
            <w:gridSpan w:val="9"/>
            <w:tcBorders>
              <w:bottom w:val="single" w:sz="2" w:space="0" w:color="FFFFFF"/>
            </w:tcBorders>
            <w:shd w:fill="CF0A2C" w:val="clear"/>
            <w:tcMar>
              <w:bottom w:w="28" w:type="dxa"/>
            </w:tcMar>
            <w:vAlign w:val="bottom"/>
          </w:tcPr>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Stock Awards</w:t>
            </w:r>
          </w:p>
        </w:tc>
      </w:tr>
      <w:tr>
        <w:trPr>
          <w:trHeight w:val="75" w:hRule="atLeast"/>
        </w:trPr>
        <w:tc>
          <w:tcPr>
            <w:tcW w:w="2782" w:type="dxa"/>
            <w:tcBorders/>
            <w:shd w:fill="CF0A2C" w:val="clear"/>
            <w:vAlign w:val="center"/>
          </w:tcPr>
          <w:p>
            <w:pPr>
              <w:pStyle w:val="TableContents"/>
              <w:spacing w:before="0" w:after="283"/>
              <w:rPr>
                <w:sz w:val="4"/>
                <w:szCs w:val="4"/>
              </w:rPr>
            </w:pPr>
            <w:r>
              <w:rPr>
                <w:sz w:val="4"/>
                <w:szCs w:val="4"/>
              </w:rPr>
            </w:r>
          </w:p>
        </w:tc>
        <w:tc>
          <w:tcPr>
            <w:tcW w:w="2071" w:type="dxa"/>
            <w:gridSpan w:val="5"/>
            <w:tcBorders/>
            <w:shd w:fill="CF0A2C" w:val="clear"/>
            <w:vAlign w:val="center"/>
          </w:tcPr>
          <w:p>
            <w:pPr>
              <w:pStyle w:val="TableContents"/>
              <w:spacing w:before="0" w:after="283"/>
              <w:rPr>
                <w:sz w:val="4"/>
                <w:szCs w:val="4"/>
              </w:rPr>
            </w:pPr>
            <w:r>
              <w:rPr>
                <w:sz w:val="4"/>
                <w:szCs w:val="4"/>
              </w:rPr>
            </w:r>
          </w:p>
        </w:tc>
        <w:tc>
          <w:tcPr>
            <w:tcW w:w="1518" w:type="dxa"/>
            <w:gridSpan w:val="5"/>
            <w:tcBorders/>
            <w:shd w:fill="CF0A2C" w:val="clear"/>
            <w:vAlign w:val="center"/>
          </w:tcPr>
          <w:p>
            <w:pPr>
              <w:pStyle w:val="TableContents"/>
              <w:spacing w:before="0" w:after="283"/>
              <w:rPr>
                <w:sz w:val="4"/>
                <w:szCs w:val="4"/>
              </w:rPr>
            </w:pPr>
            <w:r>
              <w:rPr>
                <w:sz w:val="4"/>
                <w:szCs w:val="4"/>
              </w:rPr>
            </w:r>
          </w:p>
        </w:tc>
        <w:tc>
          <w:tcPr>
            <w:tcW w:w="2019" w:type="dxa"/>
            <w:gridSpan w:val="5"/>
            <w:tcBorders/>
            <w:shd w:fill="CF0A2C" w:val="clear"/>
            <w:vAlign w:val="center"/>
          </w:tcPr>
          <w:p>
            <w:pPr>
              <w:pStyle w:val="TableContents"/>
              <w:spacing w:before="0" w:after="283"/>
              <w:rPr>
                <w:sz w:val="4"/>
                <w:szCs w:val="4"/>
              </w:rPr>
            </w:pPr>
            <w:r>
              <w:rPr>
                <w:sz w:val="4"/>
                <w:szCs w:val="4"/>
              </w:rPr>
            </w:r>
          </w:p>
        </w:tc>
        <w:tc>
          <w:tcPr>
            <w:tcW w:w="1815" w:type="dxa"/>
            <w:gridSpan w:val="5"/>
            <w:tcBorders/>
            <w:shd w:fill="CF0A2C" w:val="clear"/>
            <w:vAlign w:val="center"/>
          </w:tcPr>
          <w:p>
            <w:pPr>
              <w:pStyle w:val="TableContents"/>
              <w:spacing w:before="0" w:after="283"/>
              <w:rPr>
                <w:sz w:val="4"/>
                <w:szCs w:val="4"/>
              </w:rPr>
            </w:pPr>
            <w:r>
              <w:rPr>
                <w:sz w:val="4"/>
                <w:szCs w:val="4"/>
              </w:rPr>
            </w:r>
          </w:p>
        </w:tc>
      </w:tr>
      <w:tr>
        <w:trPr/>
        <w:tc>
          <w:tcPr>
            <w:tcW w:w="2782"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297" w:type="dxa"/>
            <w:tcBorders/>
            <w:shd w:fill="CF0A2C" w:val="clear"/>
            <w:vAlign w:val="bottom"/>
          </w:tcPr>
          <w:p>
            <w:pPr>
              <w:pStyle w:val="TableContents"/>
              <w:spacing w:before="0" w:after="283"/>
              <w:rPr/>
            </w:pPr>
            <w:r>
              <w:rPr/>
              <w:t>  </w:t>
            </w:r>
          </w:p>
        </w:tc>
        <w:tc>
          <w:tcPr>
            <w:tcW w:w="1774" w:type="dxa"/>
            <w:gridSpan w:val="4"/>
            <w:tcBorders/>
            <w:shd w:fill="CF0A2C" w:val="clear"/>
            <w:vAlign w:val="bottom"/>
          </w:tcPr>
          <w:p>
            <w:pPr>
              <w:pStyle w:val="TableContents"/>
              <w:spacing w:before="0" w:after="283"/>
              <w:jc w:val="center"/>
              <w:rPr>
                <w:b/>
                <w:color w:val="FFFFFF"/>
              </w:rPr>
            </w:pPr>
            <w:r>
              <w:rPr>
                <w:b/>
                <w:color w:val="FFFFFF"/>
              </w:rPr>
              <w:t>Number of</w:t>
              <w:br/>
              <w:t>Shares Acquired</w:t>
              <w:br/>
              <w:t>on Exercise</w:t>
              <w:br/>
              <w:t>(#)</w:t>
            </w:r>
          </w:p>
        </w:tc>
        <w:tc>
          <w:tcPr>
            <w:tcW w:w="297" w:type="dxa"/>
            <w:tcBorders/>
            <w:shd w:fill="CF0A2C" w:val="clear"/>
            <w:vAlign w:val="bottom"/>
          </w:tcPr>
          <w:p>
            <w:pPr>
              <w:pStyle w:val="TableContents"/>
              <w:spacing w:before="0" w:after="283"/>
              <w:rPr/>
            </w:pPr>
            <w:r>
              <w:rPr/>
              <w:t>  </w:t>
            </w:r>
          </w:p>
        </w:tc>
        <w:tc>
          <w:tcPr>
            <w:tcW w:w="1221" w:type="dxa"/>
            <w:gridSpan w:val="4"/>
            <w:tcBorders/>
            <w:shd w:fill="CF0A2C" w:val="clear"/>
            <w:vAlign w:val="bottom"/>
          </w:tcPr>
          <w:p>
            <w:pPr>
              <w:pStyle w:val="TableContents"/>
              <w:spacing w:before="0" w:after="283"/>
              <w:jc w:val="center"/>
              <w:rPr>
                <w:b/>
                <w:color w:val="FFFFFF"/>
              </w:rPr>
            </w:pPr>
            <w:r>
              <w:rPr>
                <w:b/>
                <w:color w:val="FFFFFF"/>
              </w:rPr>
              <w:t>Value</w:t>
              <w:br/>
              <w:t>Realized on</w:t>
              <w:br/>
              <w:t>Exercise</w:t>
              <w:br/>
              <w:t>($)(1)</w:t>
            </w:r>
          </w:p>
        </w:tc>
        <w:tc>
          <w:tcPr>
            <w:tcW w:w="245" w:type="dxa"/>
            <w:tcBorders/>
            <w:shd w:fill="CF0A2C" w:val="clear"/>
            <w:vAlign w:val="bottom"/>
          </w:tcPr>
          <w:p>
            <w:pPr>
              <w:pStyle w:val="TableContents"/>
              <w:spacing w:before="0" w:after="283"/>
              <w:rPr/>
            </w:pPr>
            <w:r>
              <w:rPr/>
              <w:t> </w:t>
            </w:r>
          </w:p>
        </w:tc>
        <w:tc>
          <w:tcPr>
            <w:tcW w:w="1774" w:type="dxa"/>
            <w:gridSpan w:val="4"/>
            <w:tcBorders/>
            <w:shd w:fill="CF0A2C" w:val="clear"/>
            <w:vAlign w:val="bottom"/>
          </w:tcPr>
          <w:p>
            <w:pPr>
              <w:pStyle w:val="TableContents"/>
              <w:spacing w:before="0" w:after="283"/>
              <w:jc w:val="center"/>
              <w:rPr>
                <w:b/>
                <w:color w:val="FFFFFF"/>
              </w:rPr>
            </w:pPr>
            <w:r>
              <w:rPr>
                <w:b/>
                <w:color w:val="FFFFFF"/>
              </w:rPr>
              <w:t>Number of</w:t>
              <w:br/>
              <w:t>Shares Acquired</w:t>
              <w:br/>
              <w:t>on Vesting</w:t>
              <w:br/>
              <w:t>(#)(2)</w:t>
            </w:r>
          </w:p>
        </w:tc>
        <w:tc>
          <w:tcPr>
            <w:tcW w:w="297" w:type="dxa"/>
            <w:tcBorders/>
            <w:shd w:fill="CF0A2C" w:val="clear"/>
            <w:vAlign w:val="bottom"/>
          </w:tcPr>
          <w:p>
            <w:pPr>
              <w:pStyle w:val="TableContents"/>
              <w:spacing w:before="0" w:after="283"/>
              <w:rPr/>
            </w:pPr>
            <w:r>
              <w:rPr/>
              <w:t>  </w:t>
            </w:r>
          </w:p>
        </w:tc>
        <w:tc>
          <w:tcPr>
            <w:tcW w:w="1518" w:type="dxa"/>
            <w:gridSpan w:val="4"/>
            <w:tcBorders/>
            <w:shd w:fill="CF0A2C" w:val="clear"/>
            <w:vAlign w:val="bottom"/>
          </w:tcPr>
          <w:p>
            <w:pPr>
              <w:pStyle w:val="TableContents"/>
              <w:spacing w:before="0" w:after="283"/>
              <w:jc w:val="center"/>
              <w:rPr>
                <w:b/>
                <w:color w:val="FFFFFF"/>
              </w:rPr>
            </w:pPr>
            <w:r>
              <w:rPr>
                <w:b/>
                <w:color w:val="FFFFFF"/>
              </w:rPr>
              <w:t>Value</w:t>
              <w:br/>
              <w:t>Realized on</w:t>
              <w:br/>
              <w:t>Vesting</w:t>
              <w:br/>
              <w:t>($)(3)</w:t>
            </w:r>
          </w:p>
        </w:tc>
      </w:tr>
      <w:tr>
        <w:trPr>
          <w:trHeight w:val="75" w:hRule="atLeast"/>
        </w:trPr>
        <w:tc>
          <w:tcPr>
            <w:tcW w:w="2782" w:type="dxa"/>
            <w:tcBorders/>
            <w:shd w:fill="E5E5E5" w:val="clear"/>
            <w:vAlign w:val="center"/>
          </w:tcPr>
          <w:p>
            <w:pPr>
              <w:pStyle w:val="TableContents"/>
              <w:spacing w:before="0" w:after="283"/>
              <w:rPr>
                <w:sz w:val="4"/>
                <w:szCs w:val="4"/>
              </w:rPr>
            </w:pPr>
            <w:r>
              <w:rPr>
                <w:sz w:val="4"/>
                <w:szCs w:val="4"/>
              </w:rPr>
            </w:r>
          </w:p>
        </w:tc>
        <w:tc>
          <w:tcPr>
            <w:tcW w:w="2071" w:type="dxa"/>
            <w:gridSpan w:val="5"/>
            <w:tcBorders/>
            <w:shd w:fill="E5E5E5" w:val="clear"/>
            <w:vAlign w:val="center"/>
          </w:tcPr>
          <w:p>
            <w:pPr>
              <w:pStyle w:val="TableContents"/>
              <w:spacing w:before="0" w:after="283"/>
              <w:rPr>
                <w:sz w:val="4"/>
                <w:szCs w:val="4"/>
              </w:rPr>
            </w:pPr>
            <w:r>
              <w:rPr>
                <w:sz w:val="4"/>
                <w:szCs w:val="4"/>
              </w:rPr>
            </w:r>
          </w:p>
        </w:tc>
        <w:tc>
          <w:tcPr>
            <w:tcW w:w="1518" w:type="dxa"/>
            <w:gridSpan w:val="5"/>
            <w:tcBorders/>
            <w:shd w:fill="E5E5E5" w:val="clear"/>
            <w:vAlign w:val="center"/>
          </w:tcPr>
          <w:p>
            <w:pPr>
              <w:pStyle w:val="TableContents"/>
              <w:spacing w:before="0" w:after="283"/>
              <w:rPr>
                <w:sz w:val="4"/>
                <w:szCs w:val="4"/>
              </w:rPr>
            </w:pPr>
            <w:r>
              <w:rPr>
                <w:sz w:val="4"/>
                <w:szCs w:val="4"/>
              </w:rPr>
            </w:r>
          </w:p>
        </w:tc>
        <w:tc>
          <w:tcPr>
            <w:tcW w:w="2019" w:type="dxa"/>
            <w:gridSpan w:val="5"/>
            <w:tcBorders/>
            <w:shd w:fill="E5E5E5" w:val="clear"/>
            <w:vAlign w:val="center"/>
          </w:tcPr>
          <w:p>
            <w:pPr>
              <w:pStyle w:val="TableContents"/>
              <w:spacing w:before="0" w:after="283"/>
              <w:rPr>
                <w:sz w:val="4"/>
                <w:szCs w:val="4"/>
              </w:rPr>
            </w:pPr>
            <w:r>
              <w:rPr>
                <w:sz w:val="4"/>
                <w:szCs w:val="4"/>
              </w:rPr>
            </w:r>
          </w:p>
        </w:tc>
        <w:tc>
          <w:tcPr>
            <w:tcW w:w="1815" w:type="dxa"/>
            <w:gridSpan w:val="5"/>
            <w:tcBorders/>
            <w:shd w:fill="E5E5E5" w:val="clear"/>
            <w:vAlign w:val="center"/>
          </w:tcPr>
          <w:p>
            <w:pPr>
              <w:pStyle w:val="TableContents"/>
              <w:spacing w:before="0" w:after="283"/>
              <w:rPr>
                <w:sz w:val="4"/>
                <w:szCs w:val="4"/>
              </w:rPr>
            </w:pPr>
            <w:r>
              <w:rPr>
                <w:sz w:val="4"/>
                <w:szCs w:val="4"/>
              </w:rPr>
            </w:r>
          </w:p>
        </w:tc>
      </w:tr>
      <w:tr>
        <w:trPr/>
        <w:tc>
          <w:tcPr>
            <w:tcW w:w="2782" w:type="dxa"/>
            <w:tcBorders/>
            <w:shd w:fill="E5E5E5" w:val="clear"/>
          </w:tcPr>
          <w:p>
            <w:pPr>
              <w:pStyle w:val="TableContents"/>
              <w:spacing w:before="0" w:after="0"/>
              <w:rPr>
                <w:rFonts w:ascii="arial" w:hAnsi="arial"/>
                <w:sz w:val="20"/>
              </w:rPr>
            </w:pPr>
            <w:r>
              <w:rPr>
                <w:rFonts w:ascii="arial" w:hAnsi="arial"/>
                <w:sz w:val="20"/>
              </w:rPr>
              <w:t>Stephen P. Joyce.</w:t>
            </w:r>
          </w:p>
        </w:tc>
        <w:tc>
          <w:tcPr>
            <w:tcW w:w="297"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473" w:type="dxa"/>
            <w:tcBorders/>
            <w:shd w:fill="E5E5E5" w:val="clear"/>
            <w:vAlign w:val="bottom"/>
          </w:tcPr>
          <w:p>
            <w:pPr>
              <w:pStyle w:val="TableContents"/>
              <w:spacing w:before="0" w:after="283"/>
              <w:jc w:val="right"/>
              <w:rPr/>
            </w:pPr>
            <w:r>
              <w:rPr/>
              <w:t></w:t>
            </w:r>
          </w:p>
        </w:tc>
        <w:tc>
          <w:tcPr>
            <w:tcW w:w="49" w:type="dxa"/>
            <w:tcBorders/>
            <w:shd w:fill="E5E5E5" w:val="clear"/>
            <w:vAlign w:val="bottom"/>
          </w:tcPr>
          <w:p>
            <w:pPr>
              <w:pStyle w:val="TableContents"/>
              <w:spacing w:before="0" w:after="283"/>
              <w:rPr>
                <w:sz w:val="4"/>
                <w:szCs w:val="4"/>
              </w:rPr>
            </w:pPr>
            <w:r>
              <w:rPr>
                <w:sz w:val="4"/>
                <w:szCs w:val="4"/>
              </w:rPr>
            </w:r>
          </w:p>
        </w:tc>
        <w:tc>
          <w:tcPr>
            <w:tcW w:w="29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11" w:type="dxa"/>
            <w:tcBorders/>
            <w:shd w:fill="E5E5E5" w:val="clear"/>
            <w:vAlign w:val="bottom"/>
          </w:tcPr>
          <w:p>
            <w:pPr>
              <w:pStyle w:val="TableContents"/>
              <w:spacing w:before="0" w:after="283"/>
              <w:jc w:val="right"/>
              <w:rPr/>
            </w:pPr>
            <w:r>
              <w:rPr/>
              <w:t></w:t>
            </w:r>
          </w:p>
        </w:tc>
        <w:tc>
          <w:tcPr>
            <w:tcW w:w="290" w:type="dxa"/>
            <w:tcBorders/>
            <w:shd w:fill="E5E5E5" w:val="clear"/>
            <w:vAlign w:val="bottom"/>
          </w:tcPr>
          <w:p>
            <w:pPr>
              <w:pStyle w:val="TableContents"/>
              <w:spacing w:before="0" w:after="283"/>
              <w:rPr>
                <w:sz w:val="4"/>
                <w:szCs w:val="4"/>
              </w:rPr>
            </w:pPr>
            <w:r>
              <w:rPr>
                <w:sz w:val="4"/>
                <w:szCs w:val="4"/>
              </w:rPr>
            </w:r>
          </w:p>
        </w:tc>
        <w:tc>
          <w:tcPr>
            <w:tcW w:w="245"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473" w:type="dxa"/>
            <w:tcBorders/>
            <w:shd w:fill="E5E5E5" w:val="clear"/>
            <w:vAlign w:val="bottom"/>
          </w:tcPr>
          <w:p>
            <w:pPr>
              <w:pStyle w:val="TableContents"/>
              <w:spacing w:before="0" w:after="283"/>
              <w:jc w:val="right"/>
              <w:rPr/>
            </w:pPr>
            <w:r>
              <w:rPr/>
              <w:t>2,270</w:t>
            </w:r>
          </w:p>
        </w:tc>
        <w:tc>
          <w:tcPr>
            <w:tcW w:w="49" w:type="dxa"/>
            <w:tcBorders/>
            <w:shd w:fill="E5E5E5" w:val="clear"/>
            <w:vAlign w:val="bottom"/>
          </w:tcPr>
          <w:p>
            <w:pPr>
              <w:pStyle w:val="TableContents"/>
              <w:spacing w:before="0" w:after="283"/>
              <w:rPr>
                <w:sz w:val="4"/>
                <w:szCs w:val="4"/>
              </w:rPr>
            </w:pPr>
            <w:r>
              <w:rPr>
                <w:sz w:val="4"/>
                <w:szCs w:val="4"/>
              </w:rPr>
            </w:r>
          </w:p>
        </w:tc>
        <w:tc>
          <w:tcPr>
            <w:tcW w:w="29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331" w:type="dxa"/>
            <w:tcBorders/>
            <w:shd w:fill="E5E5E5" w:val="clear"/>
            <w:vAlign w:val="bottom"/>
          </w:tcPr>
          <w:p>
            <w:pPr>
              <w:pStyle w:val="TableContents"/>
              <w:spacing w:before="0" w:after="283"/>
              <w:jc w:val="right"/>
              <w:rPr/>
            </w:pPr>
            <w:r>
              <w:rPr/>
              <w:t>190,044(4)    </w:t>
            </w:r>
          </w:p>
        </w:tc>
        <w:tc>
          <w:tcPr>
            <w:tcW w:w="67" w:type="dxa"/>
            <w:tcBorders/>
            <w:shd w:fill="E5E5E5" w:val="clear"/>
            <w:vAlign w:val="bottom"/>
          </w:tcPr>
          <w:p>
            <w:pPr>
              <w:pStyle w:val="TableContents"/>
              <w:spacing w:before="0" w:after="283"/>
              <w:rPr/>
            </w:pPr>
            <w:r>
              <w:rPr/>
              <w:t> </w:t>
            </w:r>
          </w:p>
        </w:tc>
      </w:tr>
      <w:tr>
        <w:trPr>
          <w:trHeight w:val="75" w:hRule="atLeast"/>
        </w:trPr>
        <w:tc>
          <w:tcPr>
            <w:tcW w:w="2782" w:type="dxa"/>
            <w:tcBorders/>
            <w:shd w:fill="auto" w:val="clear"/>
            <w:vAlign w:val="center"/>
          </w:tcPr>
          <w:p>
            <w:pPr>
              <w:pStyle w:val="TableContents"/>
              <w:spacing w:before="0" w:after="283"/>
              <w:rPr>
                <w:sz w:val="4"/>
                <w:szCs w:val="4"/>
              </w:rPr>
            </w:pPr>
            <w:r>
              <w:rPr>
                <w:sz w:val="4"/>
                <w:szCs w:val="4"/>
              </w:rPr>
            </w:r>
          </w:p>
        </w:tc>
        <w:tc>
          <w:tcPr>
            <w:tcW w:w="2071" w:type="dxa"/>
            <w:gridSpan w:val="5"/>
            <w:tcBorders/>
            <w:shd w:fill="auto" w:val="clear"/>
            <w:vAlign w:val="center"/>
          </w:tcPr>
          <w:p>
            <w:pPr>
              <w:pStyle w:val="TableContents"/>
              <w:spacing w:before="0" w:after="283"/>
              <w:rPr>
                <w:sz w:val="4"/>
                <w:szCs w:val="4"/>
              </w:rPr>
            </w:pPr>
            <w:r>
              <w:rPr>
                <w:sz w:val="4"/>
                <w:szCs w:val="4"/>
              </w:rPr>
            </w:r>
          </w:p>
        </w:tc>
        <w:tc>
          <w:tcPr>
            <w:tcW w:w="1518" w:type="dxa"/>
            <w:gridSpan w:val="5"/>
            <w:tcBorders/>
            <w:shd w:fill="auto" w:val="clear"/>
            <w:vAlign w:val="center"/>
          </w:tcPr>
          <w:p>
            <w:pPr>
              <w:pStyle w:val="TableContents"/>
              <w:spacing w:before="0" w:after="283"/>
              <w:rPr>
                <w:sz w:val="4"/>
                <w:szCs w:val="4"/>
              </w:rPr>
            </w:pPr>
            <w:r>
              <w:rPr>
                <w:sz w:val="4"/>
                <w:szCs w:val="4"/>
              </w:rPr>
            </w:r>
          </w:p>
        </w:tc>
        <w:tc>
          <w:tcPr>
            <w:tcW w:w="2019" w:type="dxa"/>
            <w:gridSpan w:val="5"/>
            <w:tcBorders/>
            <w:shd w:fill="auto" w:val="clear"/>
            <w:vAlign w:val="center"/>
          </w:tcPr>
          <w:p>
            <w:pPr>
              <w:pStyle w:val="TableContents"/>
              <w:spacing w:before="0" w:after="283"/>
              <w:rPr>
                <w:sz w:val="4"/>
                <w:szCs w:val="4"/>
              </w:rPr>
            </w:pPr>
            <w:r>
              <w:rPr>
                <w:sz w:val="4"/>
                <w:szCs w:val="4"/>
              </w:rPr>
            </w:r>
          </w:p>
        </w:tc>
        <w:tc>
          <w:tcPr>
            <w:tcW w:w="1815" w:type="dxa"/>
            <w:gridSpan w:val="5"/>
            <w:tcBorders/>
            <w:shd w:fill="auto" w:val="clear"/>
            <w:vAlign w:val="center"/>
          </w:tcPr>
          <w:p>
            <w:pPr>
              <w:pStyle w:val="TableContents"/>
              <w:spacing w:before="0" w:after="283"/>
              <w:rPr>
                <w:sz w:val="4"/>
                <w:szCs w:val="4"/>
              </w:rPr>
            </w:pPr>
            <w:r>
              <w:rPr>
                <w:sz w:val="4"/>
                <w:szCs w:val="4"/>
              </w:rPr>
            </w:r>
          </w:p>
        </w:tc>
      </w:tr>
      <w:tr>
        <w:trPr/>
        <w:tc>
          <w:tcPr>
            <w:tcW w:w="2782" w:type="dxa"/>
            <w:tcBorders/>
            <w:shd w:fill="auto" w:val="clear"/>
          </w:tcPr>
          <w:p>
            <w:pPr>
              <w:pStyle w:val="TableContents"/>
              <w:spacing w:before="0" w:after="0"/>
              <w:rPr>
                <w:rFonts w:ascii="arial" w:hAnsi="arial"/>
                <w:sz w:val="20"/>
              </w:rPr>
            </w:pPr>
            <w:r>
              <w:rPr>
                <w:rFonts w:ascii="arial" w:hAnsi="arial"/>
                <w:sz w:val="20"/>
              </w:rPr>
              <w:t>Thomas H. Song</w:t>
            </w:r>
          </w:p>
        </w:tc>
        <w:tc>
          <w:tcPr>
            <w:tcW w:w="29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73" w:type="dxa"/>
            <w:tcBorders/>
            <w:shd w:fill="auto" w:val="clear"/>
            <w:vAlign w:val="bottom"/>
          </w:tcPr>
          <w:p>
            <w:pPr>
              <w:pStyle w:val="TableContents"/>
              <w:spacing w:before="0" w:after="283"/>
              <w:jc w:val="right"/>
              <w:rPr/>
            </w:pPr>
            <w:r>
              <w:rPr/>
              <w:t></w:t>
            </w:r>
          </w:p>
        </w:tc>
        <w:tc>
          <w:tcPr>
            <w:tcW w:w="49"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w:t>
            </w:r>
          </w:p>
        </w:tc>
        <w:tc>
          <w:tcPr>
            <w:tcW w:w="29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73" w:type="dxa"/>
            <w:tcBorders/>
            <w:shd w:fill="auto" w:val="clear"/>
            <w:vAlign w:val="bottom"/>
          </w:tcPr>
          <w:p>
            <w:pPr>
              <w:pStyle w:val="TableContents"/>
              <w:spacing w:before="0" w:after="283"/>
              <w:jc w:val="right"/>
              <w:rPr/>
            </w:pPr>
            <w:r>
              <w:rPr/>
              <w:t>5,260</w:t>
            </w:r>
          </w:p>
        </w:tc>
        <w:tc>
          <w:tcPr>
            <w:tcW w:w="49"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1" w:type="dxa"/>
            <w:tcBorders/>
            <w:shd w:fill="auto" w:val="clear"/>
            <w:vAlign w:val="bottom"/>
          </w:tcPr>
          <w:p>
            <w:pPr>
              <w:pStyle w:val="TableContents"/>
              <w:spacing w:before="0" w:after="283"/>
              <w:jc w:val="right"/>
              <w:rPr/>
            </w:pPr>
            <w:r>
              <w:rPr/>
              <w:t>255,057(5)    </w:t>
            </w:r>
          </w:p>
        </w:tc>
        <w:tc>
          <w:tcPr>
            <w:tcW w:w="67" w:type="dxa"/>
            <w:tcBorders/>
            <w:shd w:fill="auto" w:val="clear"/>
            <w:vAlign w:val="bottom"/>
          </w:tcPr>
          <w:p>
            <w:pPr>
              <w:pStyle w:val="TableContents"/>
              <w:spacing w:before="0" w:after="283"/>
              <w:rPr/>
            </w:pPr>
            <w:r>
              <w:rPr/>
              <w:t> </w:t>
            </w:r>
          </w:p>
        </w:tc>
      </w:tr>
      <w:tr>
        <w:trPr>
          <w:trHeight w:val="75" w:hRule="atLeast"/>
        </w:trPr>
        <w:tc>
          <w:tcPr>
            <w:tcW w:w="2782" w:type="dxa"/>
            <w:tcBorders/>
            <w:shd w:fill="E5E5E5" w:val="clear"/>
            <w:vAlign w:val="center"/>
          </w:tcPr>
          <w:p>
            <w:pPr>
              <w:pStyle w:val="TableContents"/>
              <w:spacing w:before="0" w:after="283"/>
              <w:rPr>
                <w:sz w:val="4"/>
                <w:szCs w:val="4"/>
              </w:rPr>
            </w:pPr>
            <w:r>
              <w:rPr>
                <w:sz w:val="4"/>
                <w:szCs w:val="4"/>
              </w:rPr>
            </w:r>
          </w:p>
        </w:tc>
        <w:tc>
          <w:tcPr>
            <w:tcW w:w="2071" w:type="dxa"/>
            <w:gridSpan w:val="5"/>
            <w:tcBorders/>
            <w:shd w:fill="E5E5E5" w:val="clear"/>
            <w:vAlign w:val="center"/>
          </w:tcPr>
          <w:p>
            <w:pPr>
              <w:pStyle w:val="TableContents"/>
              <w:spacing w:before="0" w:after="283"/>
              <w:rPr>
                <w:sz w:val="4"/>
                <w:szCs w:val="4"/>
              </w:rPr>
            </w:pPr>
            <w:r>
              <w:rPr>
                <w:sz w:val="4"/>
                <w:szCs w:val="4"/>
              </w:rPr>
            </w:r>
          </w:p>
        </w:tc>
        <w:tc>
          <w:tcPr>
            <w:tcW w:w="1518" w:type="dxa"/>
            <w:gridSpan w:val="5"/>
            <w:tcBorders/>
            <w:shd w:fill="E5E5E5" w:val="clear"/>
            <w:vAlign w:val="center"/>
          </w:tcPr>
          <w:p>
            <w:pPr>
              <w:pStyle w:val="TableContents"/>
              <w:spacing w:before="0" w:after="283"/>
              <w:rPr>
                <w:sz w:val="4"/>
                <w:szCs w:val="4"/>
              </w:rPr>
            </w:pPr>
            <w:r>
              <w:rPr>
                <w:sz w:val="4"/>
                <w:szCs w:val="4"/>
              </w:rPr>
            </w:r>
          </w:p>
        </w:tc>
        <w:tc>
          <w:tcPr>
            <w:tcW w:w="2019" w:type="dxa"/>
            <w:gridSpan w:val="5"/>
            <w:tcBorders/>
            <w:shd w:fill="E5E5E5" w:val="clear"/>
            <w:vAlign w:val="center"/>
          </w:tcPr>
          <w:p>
            <w:pPr>
              <w:pStyle w:val="TableContents"/>
              <w:spacing w:before="0" w:after="283"/>
              <w:rPr>
                <w:sz w:val="4"/>
                <w:szCs w:val="4"/>
              </w:rPr>
            </w:pPr>
            <w:r>
              <w:rPr>
                <w:sz w:val="4"/>
                <w:szCs w:val="4"/>
              </w:rPr>
            </w:r>
          </w:p>
        </w:tc>
        <w:tc>
          <w:tcPr>
            <w:tcW w:w="1815" w:type="dxa"/>
            <w:gridSpan w:val="5"/>
            <w:tcBorders/>
            <w:shd w:fill="E5E5E5" w:val="clear"/>
            <w:vAlign w:val="center"/>
          </w:tcPr>
          <w:p>
            <w:pPr>
              <w:pStyle w:val="TableContents"/>
              <w:spacing w:before="0" w:after="283"/>
              <w:rPr>
                <w:sz w:val="4"/>
                <w:szCs w:val="4"/>
              </w:rPr>
            </w:pPr>
            <w:r>
              <w:rPr>
                <w:sz w:val="4"/>
                <w:szCs w:val="4"/>
              </w:rPr>
            </w:r>
          </w:p>
        </w:tc>
      </w:tr>
      <w:tr>
        <w:trPr/>
        <w:tc>
          <w:tcPr>
            <w:tcW w:w="2782" w:type="dxa"/>
            <w:tcBorders/>
            <w:shd w:fill="E5E5E5" w:val="clear"/>
          </w:tcPr>
          <w:p>
            <w:pPr>
              <w:pStyle w:val="TableContents"/>
              <w:spacing w:before="0" w:after="0"/>
              <w:rPr>
                <w:rFonts w:ascii="arial" w:hAnsi="arial"/>
                <w:sz w:val="20"/>
              </w:rPr>
            </w:pPr>
            <w:r>
              <w:rPr>
                <w:rFonts w:ascii="arial" w:hAnsi="arial"/>
                <w:sz w:val="20"/>
              </w:rPr>
              <w:t>John C. Cywinski</w:t>
            </w:r>
          </w:p>
        </w:tc>
        <w:tc>
          <w:tcPr>
            <w:tcW w:w="297"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473" w:type="dxa"/>
            <w:tcBorders/>
            <w:shd w:fill="E5E5E5" w:val="clear"/>
            <w:vAlign w:val="bottom"/>
          </w:tcPr>
          <w:p>
            <w:pPr>
              <w:pStyle w:val="TableContents"/>
              <w:spacing w:before="0" w:after="283"/>
              <w:jc w:val="right"/>
              <w:rPr/>
            </w:pPr>
            <w:r>
              <w:rPr/>
              <w:t></w:t>
            </w:r>
          </w:p>
        </w:tc>
        <w:tc>
          <w:tcPr>
            <w:tcW w:w="49" w:type="dxa"/>
            <w:tcBorders/>
            <w:shd w:fill="E5E5E5" w:val="clear"/>
            <w:vAlign w:val="bottom"/>
          </w:tcPr>
          <w:p>
            <w:pPr>
              <w:pStyle w:val="TableContents"/>
              <w:spacing w:before="0" w:after="283"/>
              <w:rPr>
                <w:sz w:val="4"/>
                <w:szCs w:val="4"/>
              </w:rPr>
            </w:pPr>
            <w:r>
              <w:rPr>
                <w:sz w:val="4"/>
                <w:szCs w:val="4"/>
              </w:rPr>
            </w:r>
          </w:p>
        </w:tc>
        <w:tc>
          <w:tcPr>
            <w:tcW w:w="29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11" w:type="dxa"/>
            <w:tcBorders/>
            <w:shd w:fill="E5E5E5" w:val="clear"/>
            <w:vAlign w:val="bottom"/>
          </w:tcPr>
          <w:p>
            <w:pPr>
              <w:pStyle w:val="TableContents"/>
              <w:spacing w:before="0" w:after="283"/>
              <w:jc w:val="right"/>
              <w:rPr/>
            </w:pPr>
            <w:r>
              <w:rPr/>
              <w:t></w:t>
            </w:r>
          </w:p>
        </w:tc>
        <w:tc>
          <w:tcPr>
            <w:tcW w:w="290" w:type="dxa"/>
            <w:tcBorders/>
            <w:shd w:fill="E5E5E5" w:val="clear"/>
            <w:vAlign w:val="bottom"/>
          </w:tcPr>
          <w:p>
            <w:pPr>
              <w:pStyle w:val="TableContents"/>
              <w:spacing w:before="0" w:after="283"/>
              <w:rPr>
                <w:sz w:val="4"/>
                <w:szCs w:val="4"/>
              </w:rPr>
            </w:pPr>
            <w:r>
              <w:rPr>
                <w:sz w:val="4"/>
                <w:szCs w:val="4"/>
              </w:rPr>
            </w:r>
          </w:p>
        </w:tc>
        <w:tc>
          <w:tcPr>
            <w:tcW w:w="245"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473" w:type="dxa"/>
            <w:tcBorders/>
            <w:shd w:fill="E5E5E5" w:val="clear"/>
            <w:vAlign w:val="bottom"/>
          </w:tcPr>
          <w:p>
            <w:pPr>
              <w:pStyle w:val="TableContents"/>
              <w:spacing w:before="0" w:after="283"/>
              <w:jc w:val="right"/>
              <w:rPr/>
            </w:pPr>
            <w:r>
              <w:rPr/>
              <w:t>11,657</w:t>
            </w:r>
          </w:p>
        </w:tc>
        <w:tc>
          <w:tcPr>
            <w:tcW w:w="49" w:type="dxa"/>
            <w:tcBorders/>
            <w:shd w:fill="E5E5E5" w:val="clear"/>
            <w:vAlign w:val="bottom"/>
          </w:tcPr>
          <w:p>
            <w:pPr>
              <w:pStyle w:val="TableContents"/>
              <w:spacing w:before="0" w:after="283"/>
              <w:rPr>
                <w:sz w:val="4"/>
                <w:szCs w:val="4"/>
              </w:rPr>
            </w:pPr>
            <w:r>
              <w:rPr>
                <w:sz w:val="4"/>
                <w:szCs w:val="4"/>
              </w:rPr>
            </w:r>
          </w:p>
        </w:tc>
        <w:tc>
          <w:tcPr>
            <w:tcW w:w="29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331" w:type="dxa"/>
            <w:tcBorders/>
            <w:shd w:fill="E5E5E5" w:val="clear"/>
            <w:vAlign w:val="bottom"/>
          </w:tcPr>
          <w:p>
            <w:pPr>
              <w:pStyle w:val="TableContents"/>
              <w:spacing w:before="0" w:after="283"/>
              <w:jc w:val="right"/>
              <w:rPr/>
            </w:pPr>
            <w:r>
              <w:rPr/>
              <w:t>497,521(6)    </w:t>
            </w:r>
          </w:p>
        </w:tc>
        <w:tc>
          <w:tcPr>
            <w:tcW w:w="67" w:type="dxa"/>
            <w:tcBorders/>
            <w:shd w:fill="E5E5E5" w:val="clear"/>
            <w:vAlign w:val="bottom"/>
          </w:tcPr>
          <w:p>
            <w:pPr>
              <w:pStyle w:val="TableContents"/>
              <w:spacing w:before="0" w:after="283"/>
              <w:rPr/>
            </w:pPr>
            <w:r>
              <w:rPr/>
              <w:t> </w:t>
            </w:r>
          </w:p>
        </w:tc>
      </w:tr>
      <w:tr>
        <w:trPr>
          <w:trHeight w:val="75" w:hRule="atLeast"/>
        </w:trPr>
        <w:tc>
          <w:tcPr>
            <w:tcW w:w="2782" w:type="dxa"/>
            <w:tcBorders/>
            <w:shd w:fill="auto" w:val="clear"/>
            <w:vAlign w:val="center"/>
          </w:tcPr>
          <w:p>
            <w:pPr>
              <w:pStyle w:val="TableContents"/>
              <w:spacing w:before="0" w:after="283"/>
              <w:rPr>
                <w:sz w:val="4"/>
                <w:szCs w:val="4"/>
              </w:rPr>
            </w:pPr>
            <w:r>
              <w:rPr>
                <w:sz w:val="4"/>
                <w:szCs w:val="4"/>
              </w:rPr>
            </w:r>
          </w:p>
        </w:tc>
        <w:tc>
          <w:tcPr>
            <w:tcW w:w="2071" w:type="dxa"/>
            <w:gridSpan w:val="5"/>
            <w:tcBorders/>
            <w:shd w:fill="auto" w:val="clear"/>
            <w:vAlign w:val="center"/>
          </w:tcPr>
          <w:p>
            <w:pPr>
              <w:pStyle w:val="TableContents"/>
              <w:spacing w:before="0" w:after="283"/>
              <w:rPr>
                <w:sz w:val="4"/>
                <w:szCs w:val="4"/>
              </w:rPr>
            </w:pPr>
            <w:r>
              <w:rPr>
                <w:sz w:val="4"/>
                <w:szCs w:val="4"/>
              </w:rPr>
            </w:r>
          </w:p>
        </w:tc>
        <w:tc>
          <w:tcPr>
            <w:tcW w:w="1518" w:type="dxa"/>
            <w:gridSpan w:val="5"/>
            <w:tcBorders/>
            <w:shd w:fill="auto" w:val="clear"/>
            <w:vAlign w:val="center"/>
          </w:tcPr>
          <w:p>
            <w:pPr>
              <w:pStyle w:val="TableContents"/>
              <w:spacing w:before="0" w:after="283"/>
              <w:rPr>
                <w:sz w:val="4"/>
                <w:szCs w:val="4"/>
              </w:rPr>
            </w:pPr>
            <w:r>
              <w:rPr>
                <w:sz w:val="4"/>
                <w:szCs w:val="4"/>
              </w:rPr>
            </w:r>
          </w:p>
        </w:tc>
        <w:tc>
          <w:tcPr>
            <w:tcW w:w="2019" w:type="dxa"/>
            <w:gridSpan w:val="5"/>
            <w:tcBorders/>
            <w:shd w:fill="auto" w:val="clear"/>
            <w:vAlign w:val="center"/>
          </w:tcPr>
          <w:p>
            <w:pPr>
              <w:pStyle w:val="TableContents"/>
              <w:spacing w:before="0" w:after="283"/>
              <w:rPr>
                <w:sz w:val="4"/>
                <w:szCs w:val="4"/>
              </w:rPr>
            </w:pPr>
            <w:r>
              <w:rPr>
                <w:sz w:val="4"/>
                <w:szCs w:val="4"/>
              </w:rPr>
            </w:r>
          </w:p>
        </w:tc>
        <w:tc>
          <w:tcPr>
            <w:tcW w:w="1815" w:type="dxa"/>
            <w:gridSpan w:val="5"/>
            <w:tcBorders/>
            <w:shd w:fill="auto" w:val="clear"/>
            <w:vAlign w:val="center"/>
          </w:tcPr>
          <w:p>
            <w:pPr>
              <w:pStyle w:val="TableContents"/>
              <w:spacing w:before="0" w:after="283"/>
              <w:rPr>
                <w:sz w:val="4"/>
                <w:szCs w:val="4"/>
              </w:rPr>
            </w:pPr>
            <w:r>
              <w:rPr>
                <w:sz w:val="4"/>
                <w:szCs w:val="4"/>
              </w:rPr>
            </w:r>
          </w:p>
        </w:tc>
      </w:tr>
      <w:tr>
        <w:trPr/>
        <w:tc>
          <w:tcPr>
            <w:tcW w:w="2782" w:type="dxa"/>
            <w:tcBorders/>
            <w:shd w:fill="auto" w:val="clear"/>
          </w:tcPr>
          <w:p>
            <w:pPr>
              <w:pStyle w:val="TableContents"/>
              <w:spacing w:before="0" w:after="0"/>
              <w:rPr>
                <w:rFonts w:ascii="arial" w:hAnsi="arial"/>
                <w:sz w:val="20"/>
              </w:rPr>
            </w:pPr>
            <w:r>
              <w:rPr>
                <w:rFonts w:ascii="arial" w:hAnsi="arial"/>
                <w:sz w:val="20"/>
              </w:rPr>
              <w:t>Jay D. Johns</w:t>
            </w:r>
          </w:p>
        </w:tc>
        <w:tc>
          <w:tcPr>
            <w:tcW w:w="29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73" w:type="dxa"/>
            <w:tcBorders/>
            <w:shd w:fill="auto" w:val="clear"/>
            <w:vAlign w:val="bottom"/>
          </w:tcPr>
          <w:p>
            <w:pPr>
              <w:pStyle w:val="TableContents"/>
              <w:spacing w:before="0" w:after="283"/>
              <w:jc w:val="right"/>
              <w:rPr/>
            </w:pPr>
            <w:r>
              <w:rPr/>
              <w:t>10,933</w:t>
            </w:r>
          </w:p>
        </w:tc>
        <w:tc>
          <w:tcPr>
            <w:tcW w:w="49"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305,108</w:t>
            </w:r>
          </w:p>
        </w:tc>
        <w:tc>
          <w:tcPr>
            <w:tcW w:w="290" w:type="dxa"/>
            <w:tcBorders/>
            <w:shd w:fill="auto" w:val="clear"/>
            <w:vAlign w:val="bottom"/>
          </w:tcPr>
          <w:p>
            <w:pPr>
              <w:pStyle w:val="TableContents"/>
              <w:spacing w:before="0" w:after="283"/>
              <w:rPr/>
            </w:pPr>
            <w:r>
              <w:rPr/>
              <w:t>(7)</w:t>
            </w:r>
          </w:p>
        </w:tc>
        <w:tc>
          <w:tcPr>
            <w:tcW w:w="24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73" w:type="dxa"/>
            <w:tcBorders/>
            <w:shd w:fill="auto" w:val="clear"/>
            <w:vAlign w:val="bottom"/>
          </w:tcPr>
          <w:p>
            <w:pPr>
              <w:pStyle w:val="TableContents"/>
              <w:spacing w:before="0" w:after="283"/>
              <w:jc w:val="right"/>
              <w:rPr/>
            </w:pPr>
            <w:r>
              <w:rPr/>
              <w:t>2,006</w:t>
            </w:r>
          </w:p>
        </w:tc>
        <w:tc>
          <w:tcPr>
            <w:tcW w:w="49"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1" w:type="dxa"/>
            <w:tcBorders/>
            <w:shd w:fill="auto" w:val="clear"/>
            <w:vAlign w:val="bottom"/>
          </w:tcPr>
          <w:p>
            <w:pPr>
              <w:pStyle w:val="TableContents"/>
              <w:spacing w:before="0" w:after="283"/>
              <w:jc w:val="right"/>
              <w:rPr/>
            </w:pPr>
            <w:r>
              <w:rPr/>
              <w:t>167,942(8)    </w:t>
            </w:r>
          </w:p>
        </w:tc>
        <w:tc>
          <w:tcPr>
            <w:tcW w:w="67"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782" w:type="dxa"/>
            <w:tcBorders/>
            <w:shd w:fill="E5E5E5" w:val="clear"/>
            <w:vAlign w:val="center"/>
          </w:tcPr>
          <w:p>
            <w:pPr>
              <w:pStyle w:val="TableContents"/>
              <w:spacing w:before="0" w:after="283"/>
              <w:rPr>
                <w:sz w:val="4"/>
                <w:szCs w:val="4"/>
              </w:rPr>
            </w:pPr>
            <w:r>
              <w:rPr>
                <w:sz w:val="4"/>
                <w:szCs w:val="4"/>
              </w:rPr>
            </w:r>
          </w:p>
        </w:tc>
        <w:tc>
          <w:tcPr>
            <w:tcW w:w="2071" w:type="dxa"/>
            <w:gridSpan w:val="5"/>
            <w:tcBorders/>
            <w:shd w:fill="E5E5E5" w:val="clear"/>
            <w:vAlign w:val="center"/>
          </w:tcPr>
          <w:p>
            <w:pPr>
              <w:pStyle w:val="TableContents"/>
              <w:spacing w:before="0" w:after="283"/>
              <w:rPr>
                <w:sz w:val="4"/>
                <w:szCs w:val="4"/>
              </w:rPr>
            </w:pPr>
            <w:r>
              <w:rPr>
                <w:sz w:val="4"/>
                <w:szCs w:val="4"/>
              </w:rPr>
            </w:r>
          </w:p>
        </w:tc>
        <w:tc>
          <w:tcPr>
            <w:tcW w:w="1518" w:type="dxa"/>
            <w:gridSpan w:val="5"/>
            <w:tcBorders/>
            <w:shd w:fill="E5E5E5" w:val="clear"/>
            <w:vAlign w:val="center"/>
          </w:tcPr>
          <w:p>
            <w:pPr>
              <w:pStyle w:val="TableContents"/>
              <w:spacing w:before="0" w:after="283"/>
              <w:rPr>
                <w:sz w:val="4"/>
                <w:szCs w:val="4"/>
              </w:rPr>
            </w:pPr>
            <w:r>
              <w:rPr>
                <w:sz w:val="4"/>
                <w:szCs w:val="4"/>
              </w:rPr>
            </w:r>
          </w:p>
        </w:tc>
        <w:tc>
          <w:tcPr>
            <w:tcW w:w="2019" w:type="dxa"/>
            <w:gridSpan w:val="5"/>
            <w:tcBorders/>
            <w:shd w:fill="E5E5E5" w:val="clear"/>
            <w:vAlign w:val="center"/>
          </w:tcPr>
          <w:p>
            <w:pPr>
              <w:pStyle w:val="TableContents"/>
              <w:spacing w:before="0" w:after="283"/>
              <w:rPr>
                <w:sz w:val="4"/>
                <w:szCs w:val="4"/>
              </w:rPr>
            </w:pPr>
            <w:r>
              <w:rPr>
                <w:sz w:val="4"/>
                <w:szCs w:val="4"/>
              </w:rPr>
            </w:r>
          </w:p>
        </w:tc>
        <w:tc>
          <w:tcPr>
            <w:tcW w:w="1815" w:type="dxa"/>
            <w:gridSpan w:val="5"/>
            <w:tcBorders/>
            <w:shd w:fill="E5E5E5" w:val="clear"/>
            <w:vAlign w:val="center"/>
          </w:tcPr>
          <w:p>
            <w:pPr>
              <w:pStyle w:val="TableContents"/>
              <w:spacing w:before="0" w:after="283"/>
              <w:rPr>
                <w:sz w:val="4"/>
                <w:szCs w:val="4"/>
              </w:rPr>
            </w:pPr>
            <w:r>
              <w:rPr>
                <w:sz w:val="4"/>
                <w:szCs w:val="4"/>
              </w:rPr>
            </w:r>
          </w:p>
        </w:tc>
      </w:tr>
      <w:tr>
        <w:trPr/>
        <w:tc>
          <w:tcPr>
            <w:tcW w:w="2782" w:type="dxa"/>
            <w:tcBorders/>
            <w:shd w:fill="E5E5E5" w:val="clear"/>
          </w:tcPr>
          <w:p>
            <w:pPr>
              <w:pStyle w:val="TableContents"/>
              <w:spacing w:before="0" w:after="0"/>
              <w:rPr>
                <w:rFonts w:ascii="arial" w:hAnsi="arial"/>
                <w:sz w:val="20"/>
              </w:rPr>
            </w:pPr>
            <w:r>
              <w:rPr>
                <w:rFonts w:ascii="arial" w:hAnsi="arial"/>
                <w:sz w:val="20"/>
              </w:rPr>
              <w:t>Bryan R. Adel</w:t>
            </w:r>
          </w:p>
        </w:tc>
        <w:tc>
          <w:tcPr>
            <w:tcW w:w="297"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473" w:type="dxa"/>
            <w:tcBorders/>
            <w:shd w:fill="E5E5E5" w:val="clear"/>
            <w:vAlign w:val="bottom"/>
          </w:tcPr>
          <w:p>
            <w:pPr>
              <w:pStyle w:val="TableContents"/>
              <w:spacing w:before="0" w:after="283"/>
              <w:jc w:val="right"/>
              <w:rPr/>
            </w:pPr>
            <w:r>
              <w:rPr/>
              <w:t>11,330</w:t>
            </w:r>
          </w:p>
        </w:tc>
        <w:tc>
          <w:tcPr>
            <w:tcW w:w="49" w:type="dxa"/>
            <w:tcBorders/>
            <w:shd w:fill="E5E5E5" w:val="clear"/>
            <w:vAlign w:val="bottom"/>
          </w:tcPr>
          <w:p>
            <w:pPr>
              <w:pStyle w:val="TableContents"/>
              <w:spacing w:before="0" w:after="283"/>
              <w:rPr>
                <w:sz w:val="4"/>
                <w:szCs w:val="4"/>
              </w:rPr>
            </w:pPr>
            <w:r>
              <w:rPr>
                <w:sz w:val="4"/>
                <w:szCs w:val="4"/>
              </w:rPr>
            </w:r>
          </w:p>
        </w:tc>
        <w:tc>
          <w:tcPr>
            <w:tcW w:w="29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811" w:type="dxa"/>
            <w:tcBorders/>
            <w:shd w:fill="E5E5E5" w:val="clear"/>
            <w:vAlign w:val="bottom"/>
          </w:tcPr>
          <w:p>
            <w:pPr>
              <w:pStyle w:val="TableContents"/>
              <w:spacing w:before="0" w:after="283"/>
              <w:jc w:val="right"/>
              <w:rPr/>
            </w:pPr>
            <w:r>
              <w:rPr/>
              <w:t>211,137</w:t>
            </w:r>
          </w:p>
        </w:tc>
        <w:tc>
          <w:tcPr>
            <w:tcW w:w="290" w:type="dxa"/>
            <w:tcBorders/>
            <w:shd w:fill="E5E5E5" w:val="clear"/>
            <w:vAlign w:val="bottom"/>
          </w:tcPr>
          <w:p>
            <w:pPr>
              <w:pStyle w:val="TableContents"/>
              <w:spacing w:before="0" w:after="283"/>
              <w:rPr/>
            </w:pPr>
            <w:r>
              <w:rPr/>
              <w:t>(9)</w:t>
            </w:r>
          </w:p>
        </w:tc>
        <w:tc>
          <w:tcPr>
            <w:tcW w:w="245"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26" w:type="dxa"/>
            <w:tcBorders/>
            <w:shd w:fill="E5E5E5" w:val="clear"/>
            <w:vAlign w:val="bottom"/>
          </w:tcPr>
          <w:p>
            <w:pPr>
              <w:pStyle w:val="TableContents"/>
              <w:spacing w:before="0" w:after="283"/>
              <w:rPr/>
            </w:pPr>
            <w:r>
              <w:rPr/>
              <w:t> </w:t>
            </w:r>
          </w:p>
        </w:tc>
        <w:tc>
          <w:tcPr>
            <w:tcW w:w="1473" w:type="dxa"/>
            <w:tcBorders/>
            <w:shd w:fill="E5E5E5" w:val="clear"/>
            <w:vAlign w:val="bottom"/>
          </w:tcPr>
          <w:p>
            <w:pPr>
              <w:pStyle w:val="TableContents"/>
              <w:spacing w:before="0" w:after="283"/>
              <w:jc w:val="right"/>
              <w:rPr/>
            </w:pPr>
            <w:r>
              <w:rPr/>
              <w:t>2,777</w:t>
            </w:r>
          </w:p>
        </w:tc>
        <w:tc>
          <w:tcPr>
            <w:tcW w:w="49" w:type="dxa"/>
            <w:tcBorders/>
            <w:shd w:fill="E5E5E5" w:val="clear"/>
            <w:vAlign w:val="bottom"/>
          </w:tcPr>
          <w:p>
            <w:pPr>
              <w:pStyle w:val="TableContents"/>
              <w:spacing w:before="0" w:after="283"/>
              <w:rPr>
                <w:sz w:val="4"/>
                <w:szCs w:val="4"/>
              </w:rPr>
            </w:pPr>
            <w:r>
              <w:rPr>
                <w:sz w:val="4"/>
                <w:szCs w:val="4"/>
              </w:rPr>
            </w:r>
          </w:p>
        </w:tc>
        <w:tc>
          <w:tcPr>
            <w:tcW w:w="297"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331" w:type="dxa"/>
            <w:tcBorders/>
            <w:shd w:fill="E5E5E5" w:val="clear"/>
            <w:vAlign w:val="bottom"/>
          </w:tcPr>
          <w:p>
            <w:pPr>
              <w:pStyle w:val="TableContents"/>
              <w:spacing w:before="0" w:after="283"/>
              <w:jc w:val="right"/>
              <w:rPr/>
            </w:pPr>
            <w:r>
              <w:rPr/>
              <w:t>232,490(10)  </w:t>
            </w:r>
          </w:p>
        </w:tc>
        <w:tc>
          <w:tcPr>
            <w:tcW w:w="67" w:type="dxa"/>
            <w:tcBorders/>
            <w:shd w:fill="E5E5E5"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42    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6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4" descr=""/>
                          <pic:cNvPicPr>
                            <a:picLocks noChangeAspect="1" noChangeArrowheads="1"/>
                          </pic:cNvPicPr>
                        </pic:nvPicPr>
                        <pic:blipFill>
                          <a:blip r:embed="rId55"/>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COMPENSATION TABLES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Represents the difference between the market value of the stock on the exercise date and the exercise price times the number of NQSOs exercised.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Represents the lapsing of restrictions on and the release of RSAs and RSUs granted to the NEO.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Represents the product of the number of shares vested and the closing price of the Corporations Common Stock on the NYSE on the vesting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Value realized is based on a closing price of $83.72 per share on the March 3, 2020 vesting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Value realized is based on a closing price of $48.49 per share on the June 14, 2020 vesting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Value realized is based on a closing price of $42.98 per share on the March 15, 2020 vesting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NQSO value realized on is based on the following: 8,526 options  sell price of $84.64 minus the exercise price of $53.49 on the exercise date of March 3, 2020; 2,407 options  sell price of $85.22 minus the exercise price of $68.80 on the exercise date of February 27,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arial" w:hAnsi="arial"/>
                <w:sz w:val="17"/>
              </w:rPr>
            </w:pPr>
            <w:r>
              <w:rPr>
                <w:rFonts w:ascii="arial" w:hAnsi="arial"/>
                <w:sz w:val="17"/>
              </w:rPr>
              <w:t xml:space="preserve">Value realized is based on a closing price of $83.72 per share on the March 3, 2020 vesting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left"/>
              <w:rPr>
                <w:rFonts w:ascii="arial" w:hAnsi="arial"/>
                <w:sz w:val="17"/>
              </w:rPr>
            </w:pPr>
            <w:r>
              <w:rPr>
                <w:rFonts w:ascii="arial" w:hAnsi="arial"/>
                <w:sz w:val="17"/>
              </w:rPr>
              <w:t xml:space="preserve">NQSO value realized on is based on the following: 4,723 options  sell price of $94.00 minus the exercise price of $72.28 on the exercise date of February 18, 2020; 6,607 options  sell price of $98.00 minus the exercise price of $81.57 on the exercise date of February 21,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arial" w:hAnsi="arial"/>
                <w:sz w:val="17"/>
              </w:rPr>
            </w:pPr>
            <w:r>
              <w:rPr>
                <w:rFonts w:ascii="arial" w:hAnsi="arial"/>
                <w:sz w:val="17"/>
              </w:rPr>
              <w:t xml:space="preserve">Value realized is based on a closing price of $83.72 per share on the March 3, 2020 vesting date. </w:t>
            </w:r>
          </w:p>
        </w:tc>
      </w:tr>
    </w:tbl>
    <w:p>
      <w:pPr>
        <w:pStyle w:val="TextBody"/>
        <w:spacing w:before="360" w:after="0"/>
        <w:jc w:val="left"/>
        <w:rPr>
          <w:rFonts w:ascii="arial" w:hAnsi="arial"/>
          <w:b/>
          <w:color w:val="CF0A2C"/>
          <w:sz w:val="28"/>
        </w:rPr>
      </w:pPr>
      <w:bookmarkStart w:id="33" w:name="toc116694_31"/>
      <w:bookmarkEnd w:id="33"/>
      <w:r>
        <w:rPr>
          <w:rFonts w:ascii="arial" w:hAnsi="arial"/>
          <w:b/>
          <w:color w:val="CF0A2C"/>
          <w:sz w:val="28"/>
        </w:rPr>
        <w:t xml:space="preserve">2020 Nonqualified Deferred Compensation </w:t>
      </w:r>
    </w:p>
    <w:p>
      <w:pPr>
        <w:pStyle w:val="TextBody"/>
        <w:spacing w:before="120" w:after="0"/>
        <w:jc w:val="left"/>
        <w:rPr>
          <w:rFonts w:ascii="arial" w:hAnsi="arial"/>
          <w:sz w:val="20"/>
        </w:rPr>
      </w:pPr>
      <w:r>
        <w:rPr>
          <w:rFonts w:ascii="arial" w:hAnsi="arial"/>
          <w:sz w:val="20"/>
        </w:rPr>
        <w:t xml:space="preserve">Pursuant to the Deferred Compensation Plan, certain highly compensated employees can elect to defer up to 80% of their base salary, 100% of annual cash incentive and 100% of long-term incentive plan distributions instead of receiving these amounts as payments taxable in the year of receipt. </w:t>
      </w:r>
    </w:p>
    <w:p>
      <w:pPr>
        <w:pStyle w:val="TextBody"/>
        <w:spacing w:before="120" w:after="0"/>
        <w:jc w:val="left"/>
        <w:rPr>
          <w:rFonts w:ascii="arial" w:hAnsi="arial"/>
          <w:sz w:val="20"/>
        </w:rPr>
      </w:pPr>
      <w:r>
        <w:rPr>
          <w:rFonts w:ascii="arial" w:hAnsi="arial"/>
          <w:sz w:val="20"/>
        </w:rPr>
        <w:t xml:space="preserve">Under the Deferred Compensation Plan, participants may designate select investment options approved by the Compensation Committee administering the Deferred Compensation Plan in which the deferred compensation payments are deemed to be invested. These investment options are not publicly traded and are only available through variable insurance products. Participants have no ownership interest in the investment options they select, as the investment options are used principally to measure gains or losses. Amounts are credited or debited to participants account balance in accordance with deferral elections made by the participant. There is no guaranteed investment return on any deferred payment amounts. </w:t>
      </w:r>
    </w:p>
    <w:p>
      <w:pPr>
        <w:pStyle w:val="TextBody"/>
        <w:spacing w:before="120" w:after="0"/>
        <w:jc w:val="left"/>
        <w:rPr>
          <w:rFonts w:ascii="arial" w:hAnsi="arial"/>
          <w:sz w:val="20"/>
        </w:rPr>
      </w:pPr>
      <w:r>
        <w:rPr>
          <w:rFonts w:ascii="arial" w:hAnsi="arial"/>
          <w:sz w:val="20"/>
        </w:rPr>
        <w:t xml:space="preserve">The unfunded, nonqualified plan structure of the Deferred Compensation Plan is required in order to preserve the beneficial tax deferral treatment for the participants. Amounts in a participants deferral account represent unsecured claims against the Corporations assets. Deferred amounts together with any credited investment returns are paid out to participants in accordance with their advance written election either in a lump sum or annual installment payments commencing on the applicable benefit distribution date selected by the participant. No NEOs participated in the Deferred Compensation Plan during 2020 or had account balances as of December 31, 2020. </w:t>
      </w:r>
    </w:p>
    <w:p>
      <w:pPr>
        <w:pStyle w:val="TextBody"/>
        <w:spacing w:before="360" w:after="0"/>
        <w:jc w:val="left"/>
        <w:rPr>
          <w:rFonts w:ascii="arial" w:hAnsi="arial"/>
          <w:b/>
          <w:color w:val="CF0A2C"/>
          <w:sz w:val="28"/>
        </w:rPr>
      </w:pPr>
      <w:bookmarkStart w:id="34" w:name="toc116694_32"/>
      <w:bookmarkEnd w:id="34"/>
      <w:r>
        <w:rPr>
          <w:rFonts w:ascii="arial" w:hAnsi="arial"/>
          <w:b/>
          <w:color w:val="CF0A2C"/>
          <w:sz w:val="28"/>
        </w:rPr>
        <w:t xml:space="preserve">Employment Agreements and Equity Awards </w:t>
      </w:r>
    </w:p>
    <w:p>
      <w:pPr>
        <w:pStyle w:val="TextBody"/>
        <w:spacing w:before="120" w:after="0"/>
        <w:jc w:val="left"/>
        <w:rPr>
          <w:rFonts w:ascii="arial" w:hAnsi="arial"/>
          <w:sz w:val="20"/>
        </w:rPr>
      </w:pPr>
      <w:r>
        <w:rPr>
          <w:rFonts w:ascii="arial" w:hAnsi="arial"/>
          <w:sz w:val="20"/>
        </w:rPr>
        <w:t xml:space="preserve">The employment agreements for Mr. Joyce, Mr. Song, and Mr. Cywinski and the employment offer letters and Amended and Restated Executive Severance and Change in Control Policy for Mr. Adel and Mr. Johns provide for severance benefits in the event of termination by the Corporation without cause, termination by the executive for good reason either prior to or following a change in control, termination upon a change in control only, termination due to death and termination due to disability. </w:t>
      </w:r>
    </w:p>
    <w:p>
      <w:pPr>
        <w:pStyle w:val="TextBody"/>
        <w:spacing w:before="120" w:after="0"/>
        <w:jc w:val="left"/>
        <w:rPr>
          <w:rFonts w:ascii="arial" w:hAnsi="arial"/>
          <w:sz w:val="20"/>
        </w:rPr>
      </w:pPr>
      <w:r>
        <w:rPr>
          <w:rFonts w:ascii="arial" w:hAnsi="arial"/>
          <w:sz w:val="20"/>
        </w:rPr>
        <w:t xml:space="preserve">The award agreements under our 2019 Stock Incentive Plan and 2016 Stock Incentive Plan provide for certain treatment of unvested equity awards upon a recipients termination of employment. Our RSA and RSU agreements generally provide that an executive shall no longer be entitled to the entire RSA or RSU award if the recipient does not remain continuously employed through the vesting period, except in the case of (i) disability or death, in which case the recipient shall fully vest in the RSAs or RSUs, or (ii) upon a change in control, in which case the recipient shall fully vest in the RSAs or RSUs subject to certain conditions including a qualifying termination. Our NQSO agreement generally provides that NQSOs may not be exercised after a recipient ceases to be employed or engaged by the Corporation except in the case of (i) death or disability, in which case, the recipient shall fully vest in the NQSOs and shall have 12 months from the date of termination to exercise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6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5" descr=""/>
                          <pic:cNvPicPr>
                            <a:picLocks noChangeAspect="1" noChangeArrowheads="1"/>
                          </pic:cNvPicPr>
                        </pic:nvPicPr>
                        <pic:blipFill>
                          <a:blip r:embed="rId56"/>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43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COMPENSATION TABLES</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such NQSOs; (ii) retirement, in which case, the recipient shall fully vest in the NQSOs and shall have five years from the date of retirement to exercise such NQSOs; and (iii) a qualifying termination upon a change in control, in which case, the recipient is eligible to receive, subject to certain conditions, the payment of a lump sum amount in cash equal to the product of the excess of the fair market value of the option over the option exercise price and the number of unexercised option shares. </w:t>
      </w:r>
    </w:p>
    <w:p>
      <w:pPr>
        <w:pStyle w:val="TextBody"/>
        <w:spacing w:before="360" w:after="0"/>
        <w:jc w:val="left"/>
        <w:rPr>
          <w:rFonts w:ascii="arial" w:hAnsi="arial"/>
          <w:b/>
          <w:color w:val="CF0A2C"/>
          <w:sz w:val="28"/>
        </w:rPr>
      </w:pPr>
      <w:r>
        <w:rPr>
          <w:rFonts w:ascii="arial" w:hAnsi="arial"/>
          <w:b/>
          <w:color w:val="CF0A2C"/>
          <w:sz w:val="28"/>
        </w:rPr>
        <w:t xml:space="preserve">Employment Agreement with Stephen P. Joyce </w:t>
      </w:r>
    </w:p>
    <w:p>
      <w:pPr>
        <w:pStyle w:val="TextBody"/>
        <w:spacing w:before="120" w:after="0"/>
        <w:jc w:val="left"/>
        <w:rPr>
          <w:rFonts w:ascii="arial" w:hAnsi="arial"/>
          <w:sz w:val="20"/>
        </w:rPr>
      </w:pPr>
      <w:r>
        <w:rPr>
          <w:rFonts w:ascii="arial" w:hAnsi="arial"/>
          <w:sz w:val="20"/>
        </w:rPr>
        <w:t xml:space="preserve">The employment agreement between the Corporation and Mr. Joyce provided that, in the event of termination by the Corporation without cause or by Mr. Joyce for good reason prior to a change in control, upon executing a release of claims in favor of the Corporation, Mr. Joyce would have been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any accrued base salary through the date of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two times the sum of his annual base salary, plus the greater of (i) the average of his actual bonus attributable to the prior three years or such shorter time as he has been employed and (ii) Mr. Joyces target bonus for the then current fiscal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the annual bonus payout for Mr. Joyce for the year of termination based on actual performance, prorated for the length of service during such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18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up to $10,000 in outplacement assistance;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full vesting of all time-based RSUs granted to Mr. Joyce under his employment agreement;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3"/>
        <w:gridCol w:w="204"/>
        <w:gridCol w:w="9390"/>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vesting of performance-based RSUs and performance-based options granted under his employment agreement as to the portion of such equity awards for which performance criteria have been satisfied as if Mr. Joyce remained employed through the end of the term of his employment agreement. </w:t>
            </w:r>
          </w:p>
        </w:tc>
      </w:tr>
    </w:tbl>
    <w:p>
      <w:pPr>
        <w:pStyle w:val="TextBody"/>
        <w:spacing w:before="120" w:after="0"/>
        <w:jc w:val="left"/>
        <w:rPr>
          <w:rFonts w:ascii="arial" w:hAnsi="arial"/>
          <w:sz w:val="20"/>
        </w:rPr>
      </w:pPr>
      <w:r>
        <w:rPr>
          <w:rFonts w:ascii="arial" w:hAnsi="arial"/>
          <w:sz w:val="20"/>
        </w:rPr>
        <w:t xml:space="preserve">The employment agreement with Mr. Joyce also provided that, in the event of termination by the Corporation without cause or by Mr. Joyce for good reason within 24 months following a change in control, upon executing a release of claims in favor of the Corporation, Mr. Joyce would have been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three times the sum of his base salary, plus the greater of (i) the average of his actual bonus attributable to the prior three years or such shorter time as he has been employed and (ii) Mr. Joyces target bonus for the then current fiscal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18 months;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full vesting of all time-based RSUs, performance- and time-based RSUs and performance- and time-based options granted to Mr. Joyce under his employment agreement. </w:t>
            </w:r>
          </w:p>
        </w:tc>
      </w:tr>
    </w:tbl>
    <w:p>
      <w:pPr>
        <w:pStyle w:val="TextBody"/>
        <w:spacing w:before="120" w:after="0"/>
        <w:jc w:val="left"/>
        <w:rPr>
          <w:rFonts w:ascii="arial" w:hAnsi="arial"/>
          <w:sz w:val="20"/>
        </w:rPr>
      </w:pPr>
      <w:r>
        <w:rPr>
          <w:rFonts w:ascii="arial" w:hAnsi="arial"/>
          <w:sz w:val="20"/>
        </w:rPr>
        <w:t xml:space="preserve">In connection with his resignation as Chief Executive Officer and as a director of the Corporation, Mr. Joyce entered into an Amendment to Employment Agreement with the Corporation. Pursuant to the terms of the Amendment to Employment Agreement, Mr. Joyce remained employed as a non-executive special advisor to the Corporation through February 16, 2021. Mr. Joyce continued to receive base salary, additional compensation, and benefits through February 1, 2021 and thereafter participated in the Corporations benefit plans through his termination date. </w:t>
      </w:r>
    </w:p>
    <w:p>
      <w:pPr>
        <w:pStyle w:val="TextBody"/>
        <w:spacing w:before="360" w:after="0"/>
        <w:jc w:val="left"/>
        <w:rPr>
          <w:rFonts w:ascii="arial" w:hAnsi="arial"/>
          <w:b/>
          <w:color w:val="CF0A2C"/>
          <w:sz w:val="28"/>
        </w:rPr>
      </w:pPr>
      <w:r>
        <w:rPr>
          <w:rFonts w:ascii="arial" w:hAnsi="arial"/>
          <w:b/>
          <w:color w:val="CF0A2C"/>
          <w:sz w:val="28"/>
        </w:rPr>
        <w:t xml:space="preserve">Employment Agreement with John W. Peyton </w:t>
      </w:r>
    </w:p>
    <w:p>
      <w:pPr>
        <w:pStyle w:val="TextBody"/>
        <w:spacing w:before="120" w:after="0"/>
        <w:jc w:val="left"/>
        <w:rPr>
          <w:rFonts w:ascii="arial" w:hAnsi="arial"/>
          <w:sz w:val="20"/>
        </w:rPr>
      </w:pPr>
      <w:r>
        <w:rPr>
          <w:rFonts w:ascii="arial" w:hAnsi="arial"/>
          <w:sz w:val="20"/>
        </w:rPr>
        <w:t xml:space="preserve">The employment agreement between the Corporation and Mr. Peyton provides that, in the event of termination by the Corporation without cause or by Mr. Peyton for good reason prior to a change in control, upon executing a release of claims in favor of the Corporation, Mr. Peyton would be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any accrued base salary through the date of termination and any bonus for the prior fiscal year not yet paid;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two times the sum of his annual base salary, plus the greater of (i) the average of his actual bonus attributable to the prior three years or such shorter time as he has been employed and (ii) Mr. Peytons target bonus for the then current fiscal year;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44    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6" descr=""/>
                          <pic:cNvPicPr>
                            <a:picLocks noChangeAspect="1" noChangeArrowheads="1"/>
                          </pic:cNvPicPr>
                        </pic:nvPicPr>
                        <pic:blipFill>
                          <a:blip r:embed="rId57"/>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COMPENSATION TABLES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204"/>
        <w:gridCol w:w="9385"/>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5" w:type="dxa"/>
            <w:tcBorders/>
            <w:shd w:fill="auto" w:val="clear"/>
          </w:tcPr>
          <w:p>
            <w:pPr>
              <w:pStyle w:val="TableContents"/>
              <w:spacing w:before="0" w:after="0"/>
              <w:jc w:val="left"/>
              <w:rPr>
                <w:rFonts w:ascii="arial" w:hAnsi="arial"/>
                <w:sz w:val="20"/>
              </w:rPr>
            </w:pPr>
            <w:r>
              <w:rPr>
                <w:rFonts w:ascii="arial" w:hAnsi="arial"/>
                <w:sz w:val="20"/>
              </w:rPr>
              <w:t xml:space="preserve">the annual bonus payout for Mr. Peyton for the year of termination based on actual performance, prorated for the length of service during such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18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full vesting of all make-good RSU and make-good options granted to Mr. Peyton under his employment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the right to exercise any vested stock options or SARs for up to 24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204"/>
        <w:gridCol w:w="9387"/>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arial" w:hAnsi="arial"/>
                <w:sz w:val="20"/>
              </w:rPr>
            </w:pPr>
            <w:r>
              <w:rPr>
                <w:rFonts w:ascii="arial" w:hAnsi="arial"/>
                <w:sz w:val="20"/>
              </w:rPr>
              <w:t xml:space="preserve">accelerated vesting of time-based equity awards that would have vested during the 24-month period following such termination;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3"/>
        <w:gridCol w:w="204"/>
        <w:gridCol w:w="9390"/>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vesting of performance-based equity awards based on the portion of the period elapsed prior to the date of termination plus up to 24 months, with each such award to be paid at the time such award would have been paid to Mr. Peyton had he remained employed with the Corporation, based on actual performance during such period. </w:t>
            </w:r>
          </w:p>
        </w:tc>
      </w:tr>
    </w:tbl>
    <w:p>
      <w:pPr>
        <w:pStyle w:val="TextBody"/>
        <w:spacing w:before="120" w:after="0"/>
        <w:jc w:val="left"/>
        <w:rPr>
          <w:rFonts w:ascii="arial" w:hAnsi="arial"/>
          <w:sz w:val="20"/>
        </w:rPr>
      </w:pPr>
      <w:r>
        <w:rPr>
          <w:rFonts w:ascii="arial" w:hAnsi="arial"/>
          <w:sz w:val="20"/>
        </w:rPr>
        <w:t xml:space="preserve">The employment agreement with Mr. Peyton also provides that, in the event of termination by the Corporation without cause or by Mr. Peyton for good reason within 24 months following a change in control, upon executing a release of claims in favor of the Corporation, Mr. Peyton will be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three times the sum of his base salary, plus the greater of (i) the average of his actual bonus attributable to the prior three years or such shorter time as he has been employed and (ii) Mr. Peytons target bonus for the then current fiscal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18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full vesting of all time-based equity awards, including Mr. Peytons make-good RSUs and make-good options;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vesting of all performance-based equity awards and long-term cash-based compensation subject to performance-vesting criteria based on the Corporations actual performance through the date of such change in control. </w:t>
            </w:r>
          </w:p>
        </w:tc>
      </w:tr>
    </w:tbl>
    <w:p>
      <w:pPr>
        <w:pStyle w:val="TextBody"/>
        <w:spacing w:before="360" w:after="0"/>
        <w:jc w:val="left"/>
        <w:rPr>
          <w:rFonts w:ascii="arial" w:hAnsi="arial"/>
          <w:b/>
          <w:color w:val="CF0A2C"/>
          <w:sz w:val="28"/>
        </w:rPr>
      </w:pPr>
      <w:r>
        <w:rPr>
          <w:rFonts w:ascii="arial" w:hAnsi="arial"/>
          <w:b/>
          <w:color w:val="CF0A2C"/>
          <w:sz w:val="28"/>
        </w:rPr>
        <w:t xml:space="preserve">Employment Agreement with Thomas H. Song </w:t>
      </w:r>
    </w:p>
    <w:p>
      <w:pPr>
        <w:pStyle w:val="TextBody"/>
        <w:spacing w:before="120" w:after="0"/>
        <w:jc w:val="left"/>
        <w:rPr>
          <w:rFonts w:ascii="arial" w:hAnsi="arial"/>
          <w:sz w:val="20"/>
        </w:rPr>
      </w:pPr>
      <w:r>
        <w:rPr>
          <w:rFonts w:ascii="arial" w:hAnsi="arial"/>
          <w:sz w:val="20"/>
        </w:rPr>
        <w:t xml:space="preserve">The employment agreement between the Corporation and Mr. Song provided that, in the event of termination by the Corporation without cause or by Mr. Song for good reason prior to a change in control, upon executing a release of claims in favor of the Corporation, Mr. Song would have been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any accrued base salary through the date of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the sum of his annual base salary, plus the average of his actual bonus attributable to the prior three years or such shorter time as he has been employed;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12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4"/>
        <w:gridCol w:w="9390"/>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with respect to equity awards granted to Mr. Song in connection with the commencement of Mr. Songs employment, full vesting of any unvested time- or service-based stock options, SARs, and other equity-based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with respect to all other annual equity awards granted to Mr. Song, full vesting of any unvested time- or service-based stock options, SARs, and other equity-based awards that would have vested during the 12-month period following the date of his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3"/>
        <w:gridCol w:w="204"/>
        <w:gridCol w:w="9390"/>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pro rata vesting of any unvested equity-based or long-term cash-based awards subject to performance-based vesting conditions, other than as set forth above, that would have vested at the end of the performance period, based on actual performance during such performance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right to exercise any vested stock options or SARs for up to 24 months;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up to $10,000 in outplacement assistance.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7" descr=""/>
                          <pic:cNvPicPr>
                            <a:picLocks noChangeAspect="1" noChangeArrowheads="1"/>
                          </pic:cNvPicPr>
                        </pic:nvPicPr>
                        <pic:blipFill>
                          <a:blip r:embed="rId58"/>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45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COMPENSATION TABLES</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employment agreement with Mr. Song also provided that, in the event of termination by the Corporation without cause or by Mr. Song for good reason within 3 months prior to or 24 months following a change in control, upon executing a release of claims in favor of the Corporation, Mr. Song would have been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two times the sum of his base salary, plus the average of his actual bonus attributable to the prior three years or such shorter time as he has been employed;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his prorated bonus for the year of termination based on actual performance through the date of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24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full vesting of any unvested stock options, SARs, and other equity-based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3"/>
        <w:gridCol w:w="204"/>
        <w:gridCol w:w="9390"/>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full vesting of any unvested equity-based or long-term cash-based awards subject to performance-based vesting conditions, based on actual performance;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right to exercise any vested stock options or SARs for up to 24 months. </w:t>
            </w:r>
          </w:p>
        </w:tc>
      </w:tr>
    </w:tbl>
    <w:p>
      <w:pPr>
        <w:pStyle w:val="TextBody"/>
        <w:spacing w:before="360" w:after="0"/>
        <w:jc w:val="left"/>
        <w:rPr>
          <w:rFonts w:ascii="arial" w:hAnsi="arial"/>
          <w:b/>
          <w:color w:val="CF0A2C"/>
          <w:sz w:val="28"/>
        </w:rPr>
      </w:pPr>
      <w:r>
        <w:rPr>
          <w:rFonts w:ascii="arial" w:hAnsi="arial"/>
          <w:b/>
          <w:color w:val="CF0A2C"/>
          <w:sz w:val="28"/>
        </w:rPr>
        <w:t xml:space="preserve">Employment Agreement with John C. Cywinski </w:t>
      </w:r>
    </w:p>
    <w:p>
      <w:pPr>
        <w:pStyle w:val="TextBody"/>
        <w:spacing w:before="120" w:after="0"/>
        <w:jc w:val="left"/>
        <w:rPr>
          <w:rFonts w:ascii="arial" w:hAnsi="arial"/>
          <w:sz w:val="20"/>
        </w:rPr>
      </w:pPr>
      <w:r>
        <w:rPr>
          <w:rFonts w:ascii="arial" w:hAnsi="arial"/>
          <w:sz w:val="20"/>
        </w:rPr>
        <w:t xml:space="preserve">The employment agreement between the Corporation and Mr. Cywinski provides that, in the event of termination by the Corporation without cause or by Mr. Cywinski for good reason prior to a change in control, upon executing a release of claims in favor of the Corporation, Mr. Cywinski will be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any accrued base salary through the date of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the sum of his annual base salary, plus the average of his actual bonus attributable to the prior three years or such shorter time as he has been employed;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12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full vesting of any unvested time- or service-based stock options, SARs, and other equity-based awards that would have vested during the 12-month period following the date of his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3"/>
        <w:gridCol w:w="204"/>
        <w:gridCol w:w="9390"/>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pro rata vesting of any unvested equity-based or long-term cash-based awards subject to performance-based vesting conditions that would have vested at the end of the performance period, based on actual performance during such performance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right to exercise any vested stock options or SARs for up to 24 months;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up to $10,000 in outplacement assistance. </w:t>
            </w:r>
          </w:p>
        </w:tc>
      </w:tr>
    </w:tbl>
    <w:p>
      <w:pPr>
        <w:pStyle w:val="TextBody"/>
        <w:spacing w:before="120" w:after="0"/>
        <w:jc w:val="left"/>
        <w:rPr>
          <w:rFonts w:ascii="arial" w:hAnsi="arial"/>
          <w:sz w:val="20"/>
        </w:rPr>
      </w:pPr>
      <w:r>
        <w:rPr>
          <w:rFonts w:ascii="arial" w:hAnsi="arial"/>
          <w:sz w:val="20"/>
        </w:rPr>
        <w:t xml:space="preserve">The employment agreement with Mr. Cywinski also provides that, in the event of termination by the Corporation without cause or by Mr. Cywinski for good reason within 24 months following a change in control, upon executing a release of claims in favor of the Corporation, Mr. Cywinski will be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204"/>
        <w:gridCol w:w="9389"/>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two times the sum of his base salary, plus the average of his actual bonus attributable to the prior three years or such shorter time as he has been employed;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3"/>
        <w:gridCol w:w="203"/>
        <w:gridCol w:w="9392"/>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 lump sum payment equal to his prorated bonus for the year of termination based on actual performance through the date of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8"/>
        <w:gridCol w:w="204"/>
        <w:gridCol w:w="9386"/>
      </w:tblGrid>
      <w:tr>
        <w:trPr/>
        <w:tc>
          <w:tcPr>
            <w:tcW w:w="4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24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204"/>
        <w:gridCol w:w="9389"/>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full vesting of any unvested stock options, SARs, and other equity-based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3"/>
        <w:gridCol w:w="204"/>
        <w:gridCol w:w="9390"/>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full vesting of any unvested equity-based or long-term cash-based awards subject to performance-based vesting conditions, based on actual performance;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right to exercise any vested stock options or SARs for up to 24 months.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46    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6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8" descr=""/>
                          <pic:cNvPicPr>
                            <a:picLocks noChangeAspect="1" noChangeArrowheads="1"/>
                          </pic:cNvPicPr>
                        </pic:nvPicPr>
                        <pic:blipFill>
                          <a:blip r:embed="rId59"/>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COMPENSATION TABLES   </w:t>
            </w:r>
          </w:p>
        </w:tc>
      </w:tr>
    </w:tbl>
    <w:p>
      <w:pPr>
        <w:pStyle w:val="TextBody"/>
        <w:spacing w:before="0" w:after="0"/>
        <w:jc w:val="left"/>
        <w:rPr/>
      </w:pPr>
      <w:r>
        <w:rPr/>
        <w:t> </w:t>
      </w:r>
    </w:p>
    <w:p>
      <w:pPr>
        <w:pStyle w:val="TextBody"/>
        <w:spacing w:before="0" w:after="0"/>
        <w:jc w:val="left"/>
        <w:rPr>
          <w:rFonts w:ascii="arial" w:hAnsi="arial"/>
          <w:b/>
          <w:color w:val="CF0A2C"/>
          <w:sz w:val="28"/>
        </w:rPr>
      </w:pPr>
      <w:r>
        <w:rPr>
          <w:rFonts w:ascii="arial" w:hAnsi="arial"/>
          <w:b/>
          <w:color w:val="CF0A2C"/>
          <w:sz w:val="28"/>
        </w:rPr>
        <w:t xml:space="preserve">Amended and Restated Executive Severance and Change in Control Policy </w:t>
      </w:r>
    </w:p>
    <w:p>
      <w:pPr>
        <w:pStyle w:val="TextBody"/>
        <w:spacing w:before="120" w:after="0"/>
        <w:jc w:val="left"/>
        <w:rPr>
          <w:rFonts w:ascii="arial" w:hAnsi="arial"/>
          <w:sz w:val="20"/>
        </w:rPr>
      </w:pPr>
      <w:r>
        <w:rPr>
          <w:rFonts w:ascii="arial" w:hAnsi="arial"/>
          <w:sz w:val="20"/>
        </w:rPr>
        <w:t xml:space="preserve">Pursuant to the terms of the employment offer letters for Mr. Adel and Mr. Johns and the Amended and Restated Executive Severance and Change in Control Policy, if the executives employment is involuntarily terminated by the Corporation without cause prior to a change in control, upon executing a release of claims in favor of the Corporation, the executive will be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 amount equal to 12 months base salary, plus pro rata bonus;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up to $5,000 in outplacement assistance. </w:t>
            </w:r>
          </w:p>
        </w:tc>
      </w:tr>
    </w:tbl>
    <w:p>
      <w:pPr>
        <w:pStyle w:val="TextBody"/>
        <w:spacing w:before="120" w:after="0"/>
        <w:jc w:val="left"/>
        <w:rPr>
          <w:rFonts w:ascii="arial" w:hAnsi="arial"/>
          <w:sz w:val="20"/>
        </w:rPr>
      </w:pPr>
      <w:r>
        <w:rPr>
          <w:rFonts w:ascii="arial" w:hAnsi="arial"/>
          <w:sz w:val="20"/>
        </w:rPr>
        <w:t xml:space="preserve">The Amended and Restated Executive Severance and Change in Control Policy also provides that in the event the executives employment is involuntarily terminated by the Corporation without cause within 24 months following a change in control or the executives employment is voluntarily terminated for good reason within 24 months following a change in control, upon executing a release of claims in favor of the Corporation, the executive will be entitled to the following benefits: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 amount equal to 24 months base salary, plus the greater of (i) the target bonus for the year in which the termination occurs and (ii) the average of the executives actual bonus attributable to the prior three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3"/>
        <w:gridCol w:w="204"/>
        <w:gridCol w:w="9390"/>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arial" w:hAnsi="arial"/>
                <w:sz w:val="20"/>
              </w:rPr>
            </w:pPr>
            <w:r>
              <w:rPr>
                <w:rFonts w:ascii="arial" w:hAnsi="arial"/>
                <w:sz w:val="20"/>
              </w:rPr>
              <w:t xml:space="preserve">full vesting of any unvested stock options, restricted stock, other unvested equity awards or grants, and unvested long-term cash-based awards subject to performance-based vesting conditions, based on actual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up to $5,000 in outplacement assistance;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204"/>
        <w:gridCol w:w="203"/>
        <w:gridCol w:w="9391"/>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continued insurance coverage for a maximum of 24 months. </w:t>
            </w:r>
          </w:p>
        </w:tc>
      </w:tr>
    </w:tbl>
    <w:p>
      <w:pPr>
        <w:pStyle w:val="TextBody"/>
        <w:spacing w:before="360" w:after="0"/>
        <w:jc w:val="left"/>
        <w:rPr>
          <w:rFonts w:ascii="arial" w:hAnsi="arial"/>
          <w:b/>
          <w:color w:val="CF0A2C"/>
          <w:sz w:val="28"/>
        </w:rPr>
      </w:pPr>
      <w:r>
        <w:rPr>
          <w:rFonts w:ascii="arial" w:hAnsi="arial"/>
          <w:b/>
          <w:color w:val="CF0A2C"/>
          <w:sz w:val="28"/>
        </w:rPr>
        <w:t xml:space="preserve">Section 280G of the Code </w:t>
      </w:r>
    </w:p>
    <w:p>
      <w:pPr>
        <w:pStyle w:val="TextBody"/>
        <w:spacing w:before="120" w:after="0"/>
        <w:jc w:val="left"/>
        <w:rPr>
          <w:rFonts w:ascii="arial" w:hAnsi="arial"/>
          <w:sz w:val="20"/>
        </w:rPr>
      </w:pPr>
      <w:r>
        <w:rPr>
          <w:rFonts w:ascii="arial" w:hAnsi="arial"/>
          <w:sz w:val="20"/>
        </w:rPr>
        <w:t xml:space="preserve">The employment agreements for Mr. Joyce, Mr. Peyton, Mr. Song, and Mr. Cywinski as well as the Amended and Restated Executive Severance and Change in Control Policy applicable to Mr. Adel and Mr. Johns provide that if any payment or benefit received by the executive would not be deductible by reason of Section 280G of the Code, then the payment or benefits will be reduced until no portion of such payment or benefits is not deductible by reason of Section 280G of the Code, provided, that no such reduction will be made unless the net after-tax benefit received by the executive after such reduction would exceed the net after-tax benefit received by the executive if no such reduction was made. </w:t>
      </w:r>
    </w:p>
    <w:p>
      <w:pPr>
        <w:pStyle w:val="TextBody"/>
        <w:spacing w:before="360" w:after="0"/>
        <w:jc w:val="left"/>
        <w:rPr>
          <w:rFonts w:ascii="arial" w:hAnsi="arial"/>
          <w:b/>
          <w:color w:val="CF0A2C"/>
          <w:sz w:val="28"/>
        </w:rPr>
      </w:pPr>
      <w:bookmarkStart w:id="35" w:name="toc116694_33"/>
      <w:bookmarkEnd w:id="35"/>
      <w:r>
        <w:rPr>
          <w:rFonts w:ascii="arial" w:hAnsi="arial"/>
          <w:b/>
          <w:color w:val="CF0A2C"/>
          <w:sz w:val="28"/>
        </w:rPr>
        <w:t xml:space="preserve">Potential Payments Upon Termination or Change in Control </w:t>
      </w:r>
    </w:p>
    <w:p>
      <w:pPr>
        <w:pStyle w:val="TextBody"/>
        <w:spacing w:before="120" w:after="0"/>
        <w:jc w:val="left"/>
        <w:rPr>
          <w:rFonts w:ascii="arial" w:hAnsi="arial"/>
          <w:sz w:val="20"/>
        </w:rPr>
      </w:pPr>
      <w:r>
        <w:rPr>
          <w:rFonts w:ascii="arial" w:hAnsi="arial"/>
          <w:sz w:val="20"/>
        </w:rPr>
        <w:t xml:space="preserve">The information below describes and estimates certain compensation that would become payable under existing plans and arrangements assuming the NEOs employment had terminated or a change in control had occurred on December 31, 2020, based on the Corporations closing stock price on December 31, 2020. These benefits are in addition to benefits available generally to salaried employees. </w:t>
      </w:r>
    </w:p>
    <w:p>
      <w:pPr>
        <w:pStyle w:val="TextBody"/>
        <w:spacing w:before="120" w:after="0"/>
        <w:jc w:val="left"/>
        <w:rPr>
          <w:rFonts w:ascii="arial" w:hAnsi="arial"/>
          <w:sz w:val="20"/>
        </w:rPr>
      </w:pPr>
      <w:r>
        <w:rPr>
          <w:rFonts w:ascii="arial" w:hAnsi="arial"/>
          <w:sz w:val="20"/>
        </w:rPr>
        <w:t xml:space="preserve">Due to the number of factors that affect the nature and amount of any benefits provided upon the events discussed below, any actual amounts paid or distributed may be different. Factors that could affect these amounts include the timing during the year of any such event and the Corporations stock price. In addition, the employment agreements for Mr. Joyce, Mr. Song, and Mr. Cywinski as well as the Amended and Restated Executive Severance and Change in Control Policy applicable to Mr. Adel and Mr. Johns provide that if the payments and benefits to a Named Executive Officer under his or her respective employment agreement or policy or another plan, arrangement or agreement would subject the Named Executive Officer to the excise tax imposed by Section 4999 of the Internal Revenue Code, then such payments will be reduced by the minimum amount necessary to avoid such excise tax, if such reduction would result in the Named Executive Officer receiving a higher net after-tax amount. The amounts reflected in this table do not reflect the application of any reduction in compensation or benefits pursuant to the terms of the applicable employment agreement or policy. </w:t>
      </w:r>
    </w:p>
    <w:p>
      <w:pPr>
        <w:pStyle w:val="TextBody"/>
        <w:spacing w:before="120" w:after="0"/>
        <w:jc w:val="left"/>
        <w:rPr>
          <w:rFonts w:ascii="arial" w:hAnsi="arial"/>
          <w:sz w:val="20"/>
        </w:rPr>
      </w:pPr>
      <w:r>
        <w:rPr>
          <w:rFonts w:ascii="arial" w:hAnsi="arial"/>
          <w:sz w:val="20"/>
        </w:rPr>
        <w:t xml:space="preserve">There can be no assurance that a termination or change in control would produce the same or similar results as those described if occurring on another date or at another price, or if any assumption used to prepare this information is not correct in fact. Please see Employment Agreements and Change in Control Provisions in the Compensation Discussion and Analysis section of this proxy statement for additional information.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9" descr=""/>
                          <pic:cNvPicPr>
                            <a:picLocks noChangeAspect="1" noChangeArrowheads="1"/>
                          </pic:cNvPicPr>
                        </pic:nvPicPr>
                        <pic:blipFill>
                          <a:blip r:embed="rId60"/>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47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COMPENSATION TABLES</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following table presents payments for involuntary termination by the Corporation for reasons other than cause or, in the case of Mr. Joyce, Mr. Song and Mr. Cywinski, voluntary termination by the participant for good reason prior to a change in control.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285"/>
        <w:gridCol w:w="181"/>
        <w:gridCol w:w="140"/>
        <w:gridCol w:w="1117"/>
        <w:gridCol w:w="60"/>
        <w:gridCol w:w="181"/>
        <w:gridCol w:w="140"/>
        <w:gridCol w:w="984"/>
        <w:gridCol w:w="60"/>
        <w:gridCol w:w="181"/>
        <w:gridCol w:w="140"/>
        <w:gridCol w:w="984"/>
        <w:gridCol w:w="60"/>
        <w:gridCol w:w="181"/>
        <w:gridCol w:w="140"/>
        <w:gridCol w:w="984"/>
        <w:gridCol w:w="60"/>
        <w:gridCol w:w="181"/>
        <w:gridCol w:w="140"/>
        <w:gridCol w:w="941"/>
        <w:gridCol w:w="65"/>
      </w:tblGrid>
      <w:tr>
        <w:trPr/>
        <w:tc>
          <w:tcPr>
            <w:tcW w:w="328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285" w:type="dxa"/>
            <w:tcBorders/>
            <w:shd w:fill="CF0A2C" w:val="clear"/>
            <w:vAlign w:val="center"/>
          </w:tcPr>
          <w:p>
            <w:pPr>
              <w:pStyle w:val="TableContents"/>
              <w:spacing w:before="0" w:after="283"/>
              <w:rPr>
                <w:sz w:val="4"/>
                <w:szCs w:val="4"/>
              </w:rPr>
            </w:pPr>
            <w:r>
              <w:rPr>
                <w:sz w:val="4"/>
                <w:szCs w:val="4"/>
              </w:rPr>
            </w:r>
          </w:p>
        </w:tc>
        <w:tc>
          <w:tcPr>
            <w:tcW w:w="1498" w:type="dxa"/>
            <w:gridSpan w:val="4"/>
            <w:tcBorders/>
            <w:shd w:fill="CF0A2C" w:val="clear"/>
            <w:vAlign w:val="center"/>
          </w:tcPr>
          <w:p>
            <w:pPr>
              <w:pStyle w:val="TableContents"/>
              <w:spacing w:before="0" w:after="283"/>
              <w:rPr>
                <w:sz w:val="4"/>
                <w:szCs w:val="4"/>
              </w:rPr>
            </w:pPr>
            <w:r>
              <w:rPr>
                <w:sz w:val="4"/>
                <w:szCs w:val="4"/>
              </w:rPr>
            </w:r>
          </w:p>
        </w:tc>
        <w:tc>
          <w:tcPr>
            <w:tcW w:w="1365" w:type="dxa"/>
            <w:gridSpan w:val="4"/>
            <w:tcBorders/>
            <w:shd w:fill="CF0A2C" w:val="clear"/>
            <w:vAlign w:val="center"/>
          </w:tcPr>
          <w:p>
            <w:pPr>
              <w:pStyle w:val="TableContents"/>
              <w:spacing w:before="0" w:after="283"/>
              <w:rPr>
                <w:sz w:val="4"/>
                <w:szCs w:val="4"/>
              </w:rPr>
            </w:pPr>
            <w:r>
              <w:rPr>
                <w:sz w:val="4"/>
                <w:szCs w:val="4"/>
              </w:rPr>
            </w:r>
          </w:p>
        </w:tc>
        <w:tc>
          <w:tcPr>
            <w:tcW w:w="1365" w:type="dxa"/>
            <w:gridSpan w:val="4"/>
            <w:tcBorders/>
            <w:shd w:fill="CF0A2C" w:val="clear"/>
            <w:vAlign w:val="center"/>
          </w:tcPr>
          <w:p>
            <w:pPr>
              <w:pStyle w:val="TableContents"/>
              <w:spacing w:before="0" w:after="283"/>
              <w:rPr>
                <w:sz w:val="4"/>
                <w:szCs w:val="4"/>
              </w:rPr>
            </w:pPr>
            <w:r>
              <w:rPr>
                <w:sz w:val="4"/>
                <w:szCs w:val="4"/>
              </w:rPr>
            </w:r>
          </w:p>
        </w:tc>
        <w:tc>
          <w:tcPr>
            <w:tcW w:w="1365" w:type="dxa"/>
            <w:gridSpan w:val="4"/>
            <w:tcBorders/>
            <w:shd w:fill="CF0A2C" w:val="clear"/>
            <w:vAlign w:val="center"/>
          </w:tcPr>
          <w:p>
            <w:pPr>
              <w:pStyle w:val="TableContents"/>
              <w:spacing w:before="0" w:after="283"/>
              <w:rPr>
                <w:sz w:val="4"/>
                <w:szCs w:val="4"/>
              </w:rPr>
            </w:pPr>
            <w:r>
              <w:rPr>
                <w:sz w:val="4"/>
                <w:szCs w:val="4"/>
              </w:rPr>
            </w:r>
          </w:p>
        </w:tc>
        <w:tc>
          <w:tcPr>
            <w:tcW w:w="1327" w:type="dxa"/>
            <w:gridSpan w:val="4"/>
            <w:tcBorders/>
            <w:shd w:fill="CF0A2C" w:val="clear"/>
            <w:vAlign w:val="center"/>
          </w:tcPr>
          <w:p>
            <w:pPr>
              <w:pStyle w:val="TableContents"/>
              <w:spacing w:before="0" w:after="283"/>
              <w:rPr>
                <w:sz w:val="4"/>
                <w:szCs w:val="4"/>
              </w:rPr>
            </w:pPr>
            <w:r>
              <w:rPr>
                <w:sz w:val="4"/>
                <w:szCs w:val="4"/>
              </w:rPr>
            </w:r>
          </w:p>
        </w:tc>
      </w:tr>
      <w:tr>
        <w:trPr/>
        <w:tc>
          <w:tcPr>
            <w:tcW w:w="3285"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Payments</w:t>
            </w:r>
          </w:p>
        </w:tc>
        <w:tc>
          <w:tcPr>
            <w:tcW w:w="181" w:type="dxa"/>
            <w:tcBorders/>
            <w:shd w:fill="CF0A2C" w:val="clear"/>
            <w:vAlign w:val="bottom"/>
          </w:tcPr>
          <w:p>
            <w:pPr>
              <w:pStyle w:val="TableContents"/>
              <w:spacing w:before="0" w:after="283"/>
              <w:rPr/>
            </w:pPr>
            <w:r>
              <w:rPr/>
              <w:t>  </w:t>
            </w:r>
          </w:p>
        </w:tc>
        <w:tc>
          <w:tcPr>
            <w:tcW w:w="1257" w:type="dxa"/>
            <w:gridSpan w:val="2"/>
            <w:tcBorders/>
            <w:shd w:fill="CF0A2C" w:val="clear"/>
            <w:vAlign w:val="bottom"/>
          </w:tcPr>
          <w:p>
            <w:pPr>
              <w:pStyle w:val="TableContents"/>
              <w:spacing w:before="0" w:after="283"/>
              <w:jc w:val="center"/>
              <w:rPr>
                <w:b/>
                <w:color w:val="FFFFFF"/>
              </w:rPr>
            </w:pPr>
            <w:r>
              <w:rPr>
                <w:b/>
                <w:color w:val="FFFFFF"/>
              </w:rPr>
              <w:t>Joyce</w:t>
            </w:r>
          </w:p>
        </w:tc>
        <w:tc>
          <w:tcPr>
            <w:tcW w:w="60" w:type="dxa"/>
            <w:tcBorders/>
            <w:shd w:fill="CF0A2C" w:val="clear"/>
            <w:vAlign w:val="bottom"/>
          </w:tcPr>
          <w:p>
            <w:pPr>
              <w:pStyle w:val="TableContents"/>
              <w:spacing w:before="0" w:after="283"/>
              <w:rPr/>
            </w:pPr>
            <w:r>
              <w:rPr/>
              <w:t> </w:t>
            </w:r>
          </w:p>
        </w:tc>
        <w:tc>
          <w:tcPr>
            <w:tcW w:w="181" w:type="dxa"/>
            <w:tcBorders/>
            <w:shd w:fill="CF0A2C" w:val="clear"/>
            <w:vAlign w:val="bottom"/>
          </w:tcPr>
          <w:p>
            <w:pPr>
              <w:pStyle w:val="TableContents"/>
              <w:spacing w:before="0" w:after="283"/>
              <w:rPr/>
            </w:pPr>
            <w:r>
              <w:rPr/>
              <w:t>  </w:t>
            </w:r>
          </w:p>
        </w:tc>
        <w:tc>
          <w:tcPr>
            <w:tcW w:w="1124" w:type="dxa"/>
            <w:gridSpan w:val="2"/>
            <w:tcBorders/>
            <w:shd w:fill="CF0A2C" w:val="clear"/>
            <w:vAlign w:val="bottom"/>
          </w:tcPr>
          <w:p>
            <w:pPr>
              <w:pStyle w:val="TableContents"/>
              <w:spacing w:before="0" w:after="283"/>
              <w:jc w:val="center"/>
              <w:rPr>
                <w:b/>
                <w:color w:val="FFFFFF"/>
              </w:rPr>
            </w:pPr>
            <w:r>
              <w:rPr>
                <w:b/>
                <w:color w:val="FFFFFF"/>
              </w:rPr>
              <w:t>Song</w:t>
            </w:r>
          </w:p>
        </w:tc>
        <w:tc>
          <w:tcPr>
            <w:tcW w:w="60" w:type="dxa"/>
            <w:tcBorders/>
            <w:shd w:fill="CF0A2C" w:val="clear"/>
            <w:vAlign w:val="bottom"/>
          </w:tcPr>
          <w:p>
            <w:pPr>
              <w:pStyle w:val="TableContents"/>
              <w:spacing w:before="0" w:after="283"/>
              <w:rPr/>
            </w:pPr>
            <w:r>
              <w:rPr/>
              <w:t> </w:t>
            </w:r>
          </w:p>
        </w:tc>
        <w:tc>
          <w:tcPr>
            <w:tcW w:w="181" w:type="dxa"/>
            <w:tcBorders/>
            <w:shd w:fill="CF0A2C" w:val="clear"/>
            <w:vAlign w:val="bottom"/>
          </w:tcPr>
          <w:p>
            <w:pPr>
              <w:pStyle w:val="TableContents"/>
              <w:spacing w:before="0" w:after="283"/>
              <w:rPr/>
            </w:pPr>
            <w:r>
              <w:rPr/>
              <w:t>  </w:t>
            </w:r>
          </w:p>
        </w:tc>
        <w:tc>
          <w:tcPr>
            <w:tcW w:w="1124" w:type="dxa"/>
            <w:gridSpan w:val="2"/>
            <w:tcBorders/>
            <w:shd w:fill="CF0A2C" w:val="clear"/>
            <w:vAlign w:val="bottom"/>
          </w:tcPr>
          <w:p>
            <w:pPr>
              <w:pStyle w:val="TableContents"/>
              <w:spacing w:before="0" w:after="283"/>
              <w:jc w:val="center"/>
              <w:rPr>
                <w:b/>
                <w:color w:val="FFFFFF"/>
              </w:rPr>
            </w:pPr>
            <w:r>
              <w:rPr>
                <w:b/>
                <w:color w:val="FFFFFF"/>
              </w:rPr>
              <w:t>Johns</w:t>
            </w:r>
          </w:p>
        </w:tc>
        <w:tc>
          <w:tcPr>
            <w:tcW w:w="60" w:type="dxa"/>
            <w:tcBorders/>
            <w:shd w:fill="CF0A2C" w:val="clear"/>
            <w:vAlign w:val="bottom"/>
          </w:tcPr>
          <w:p>
            <w:pPr>
              <w:pStyle w:val="TableContents"/>
              <w:spacing w:before="0" w:after="283"/>
              <w:rPr/>
            </w:pPr>
            <w:r>
              <w:rPr/>
              <w:t> </w:t>
            </w:r>
          </w:p>
        </w:tc>
        <w:tc>
          <w:tcPr>
            <w:tcW w:w="181" w:type="dxa"/>
            <w:tcBorders/>
            <w:shd w:fill="CF0A2C" w:val="clear"/>
            <w:vAlign w:val="bottom"/>
          </w:tcPr>
          <w:p>
            <w:pPr>
              <w:pStyle w:val="TableContents"/>
              <w:spacing w:before="0" w:after="283"/>
              <w:rPr/>
            </w:pPr>
            <w:r>
              <w:rPr/>
              <w:t>  </w:t>
            </w:r>
          </w:p>
        </w:tc>
        <w:tc>
          <w:tcPr>
            <w:tcW w:w="1124" w:type="dxa"/>
            <w:gridSpan w:val="2"/>
            <w:tcBorders/>
            <w:shd w:fill="CF0A2C" w:val="clear"/>
            <w:vAlign w:val="bottom"/>
          </w:tcPr>
          <w:p>
            <w:pPr>
              <w:pStyle w:val="TableContents"/>
              <w:spacing w:before="0" w:after="283"/>
              <w:jc w:val="center"/>
              <w:rPr>
                <w:b/>
                <w:color w:val="FFFFFF"/>
              </w:rPr>
            </w:pPr>
            <w:r>
              <w:rPr>
                <w:b/>
                <w:color w:val="FFFFFF"/>
              </w:rPr>
              <w:t>Cywinski</w:t>
            </w:r>
          </w:p>
        </w:tc>
        <w:tc>
          <w:tcPr>
            <w:tcW w:w="60" w:type="dxa"/>
            <w:tcBorders/>
            <w:shd w:fill="CF0A2C" w:val="clear"/>
            <w:vAlign w:val="bottom"/>
          </w:tcPr>
          <w:p>
            <w:pPr>
              <w:pStyle w:val="TableContents"/>
              <w:spacing w:before="0" w:after="283"/>
              <w:rPr/>
            </w:pPr>
            <w:r>
              <w:rPr/>
              <w:t> </w:t>
            </w:r>
          </w:p>
        </w:tc>
        <w:tc>
          <w:tcPr>
            <w:tcW w:w="181" w:type="dxa"/>
            <w:tcBorders/>
            <w:shd w:fill="CF0A2C" w:val="clear"/>
            <w:vAlign w:val="bottom"/>
          </w:tcPr>
          <w:p>
            <w:pPr>
              <w:pStyle w:val="TableContents"/>
              <w:spacing w:before="0" w:after="283"/>
              <w:rPr/>
            </w:pPr>
            <w:r>
              <w:rPr/>
              <w:t>  </w:t>
            </w:r>
          </w:p>
        </w:tc>
        <w:tc>
          <w:tcPr>
            <w:tcW w:w="1081" w:type="dxa"/>
            <w:gridSpan w:val="2"/>
            <w:tcBorders/>
            <w:shd w:fill="CF0A2C" w:val="clear"/>
            <w:vAlign w:val="bottom"/>
          </w:tcPr>
          <w:p>
            <w:pPr>
              <w:pStyle w:val="TableContents"/>
              <w:spacing w:before="0" w:after="283"/>
              <w:jc w:val="center"/>
              <w:rPr>
                <w:b/>
                <w:color w:val="FFFFFF"/>
              </w:rPr>
            </w:pPr>
            <w:r>
              <w:rPr>
                <w:b/>
                <w:color w:val="FFFFFF"/>
              </w:rPr>
              <w:t>Adel</w:t>
            </w:r>
          </w:p>
        </w:tc>
        <w:tc>
          <w:tcPr>
            <w:tcW w:w="65" w:type="dxa"/>
            <w:tcBorders/>
            <w:shd w:fill="CF0A2C" w:val="clear"/>
            <w:vAlign w:val="bottom"/>
          </w:tcPr>
          <w:p>
            <w:pPr>
              <w:pStyle w:val="TableContents"/>
              <w:spacing w:before="0" w:after="283"/>
              <w:rPr/>
            </w:pPr>
            <w:r>
              <w:rPr/>
              <w:t> </w:t>
            </w:r>
          </w:p>
        </w:tc>
      </w:tr>
      <w:tr>
        <w:trPr>
          <w:trHeight w:val="75" w:hRule="atLeast"/>
        </w:trPr>
        <w:tc>
          <w:tcPr>
            <w:tcW w:w="3285"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27" w:type="dxa"/>
            <w:gridSpan w:val="4"/>
            <w:tcBorders/>
            <w:shd w:fill="E5E5E5" w:val="clear"/>
            <w:vAlign w:val="center"/>
          </w:tcPr>
          <w:p>
            <w:pPr>
              <w:pStyle w:val="TableContents"/>
              <w:spacing w:before="0" w:after="283"/>
              <w:rPr>
                <w:sz w:val="4"/>
                <w:szCs w:val="4"/>
              </w:rPr>
            </w:pPr>
            <w:r>
              <w:rPr>
                <w:sz w:val="4"/>
                <w:szCs w:val="4"/>
              </w:rPr>
            </w:r>
          </w:p>
        </w:tc>
      </w:tr>
      <w:tr>
        <w:trPr/>
        <w:tc>
          <w:tcPr>
            <w:tcW w:w="3285" w:type="dxa"/>
            <w:tcBorders/>
            <w:shd w:fill="E5E5E5" w:val="clear"/>
          </w:tcPr>
          <w:p>
            <w:pPr>
              <w:pStyle w:val="TableContents"/>
              <w:spacing w:before="0" w:after="0"/>
              <w:rPr>
                <w:rFonts w:ascii="arial" w:hAnsi="arial"/>
                <w:sz w:val="20"/>
              </w:rPr>
            </w:pPr>
            <w:r>
              <w:rPr>
                <w:rFonts w:ascii="arial" w:hAnsi="arial"/>
                <w:sz w:val="20"/>
              </w:rPr>
              <w:t>Cash Severance</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7" w:type="dxa"/>
            <w:tcBorders/>
            <w:shd w:fill="E5E5E5" w:val="clear"/>
            <w:vAlign w:val="bottom"/>
          </w:tcPr>
          <w:p>
            <w:pPr>
              <w:pStyle w:val="TableContents"/>
              <w:spacing w:before="0" w:after="283"/>
              <w:jc w:val="right"/>
              <w:rPr/>
            </w:pPr>
            <w:r>
              <w:rPr/>
              <w:t>4,034,099</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892,593</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550,000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1,303,974</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41" w:type="dxa"/>
            <w:tcBorders/>
            <w:shd w:fill="E5E5E5" w:val="clear"/>
            <w:vAlign w:val="bottom"/>
          </w:tcPr>
          <w:p>
            <w:pPr>
              <w:pStyle w:val="TableContents"/>
              <w:spacing w:before="0" w:after="283"/>
              <w:jc w:val="right"/>
              <w:rPr/>
            </w:pPr>
            <w:r>
              <w:rPr/>
              <w:t>525,000  </w:t>
            </w:r>
          </w:p>
        </w:tc>
        <w:tc>
          <w:tcPr>
            <w:tcW w:w="65" w:type="dxa"/>
            <w:tcBorders/>
            <w:shd w:fill="E5E5E5" w:val="clear"/>
            <w:vAlign w:val="bottom"/>
          </w:tcPr>
          <w:p>
            <w:pPr>
              <w:pStyle w:val="TableContents"/>
              <w:spacing w:before="0" w:after="283"/>
              <w:rPr/>
            </w:pPr>
            <w:r>
              <w:rPr/>
              <w:t> </w:t>
            </w:r>
          </w:p>
        </w:tc>
      </w:tr>
      <w:tr>
        <w:trPr>
          <w:trHeight w:val="75" w:hRule="atLeast"/>
        </w:trPr>
        <w:tc>
          <w:tcPr>
            <w:tcW w:w="3285" w:type="dxa"/>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27" w:type="dxa"/>
            <w:gridSpan w:val="4"/>
            <w:tcBorders/>
            <w:shd w:fill="auto" w:val="clear"/>
            <w:vAlign w:val="center"/>
          </w:tcPr>
          <w:p>
            <w:pPr>
              <w:pStyle w:val="TableContents"/>
              <w:spacing w:before="0" w:after="283"/>
              <w:rPr>
                <w:sz w:val="4"/>
                <w:szCs w:val="4"/>
              </w:rPr>
            </w:pPr>
            <w:r>
              <w:rPr>
                <w:sz w:val="4"/>
                <w:szCs w:val="4"/>
              </w:rPr>
            </w:r>
          </w:p>
        </w:tc>
      </w:tr>
      <w:tr>
        <w:trPr/>
        <w:tc>
          <w:tcPr>
            <w:tcW w:w="3285" w:type="dxa"/>
            <w:tcBorders/>
            <w:shd w:fill="auto" w:val="clear"/>
          </w:tcPr>
          <w:p>
            <w:pPr>
              <w:pStyle w:val="TableContents"/>
              <w:spacing w:before="0" w:after="0"/>
              <w:rPr>
                <w:rFonts w:ascii="arial" w:hAnsi="arial"/>
                <w:sz w:val="20"/>
              </w:rPr>
            </w:pPr>
            <w:r>
              <w:rPr>
                <w:rFonts w:ascii="arial" w:hAnsi="arial"/>
                <w:sz w:val="20"/>
              </w:rPr>
              <w:t>Pro-Rata Bonus Payment</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500,000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206,250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1" w:type="dxa"/>
            <w:tcBorders/>
            <w:shd w:fill="auto" w:val="clear"/>
            <w:vAlign w:val="bottom"/>
          </w:tcPr>
          <w:p>
            <w:pPr>
              <w:pStyle w:val="TableContents"/>
              <w:spacing w:before="0" w:after="283"/>
              <w:jc w:val="right"/>
              <w:rPr/>
            </w:pPr>
            <w:r>
              <w:rPr/>
              <w:t>196,875  </w:t>
            </w:r>
          </w:p>
        </w:tc>
        <w:tc>
          <w:tcPr>
            <w:tcW w:w="65" w:type="dxa"/>
            <w:tcBorders/>
            <w:shd w:fill="auto" w:val="clear"/>
            <w:vAlign w:val="bottom"/>
          </w:tcPr>
          <w:p>
            <w:pPr>
              <w:pStyle w:val="TableContents"/>
              <w:spacing w:before="0" w:after="283"/>
              <w:rPr/>
            </w:pPr>
            <w:r>
              <w:rPr/>
              <w:t> </w:t>
            </w:r>
          </w:p>
        </w:tc>
      </w:tr>
      <w:tr>
        <w:trPr>
          <w:trHeight w:val="75" w:hRule="atLeast"/>
        </w:trPr>
        <w:tc>
          <w:tcPr>
            <w:tcW w:w="3285"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27" w:type="dxa"/>
            <w:gridSpan w:val="4"/>
            <w:tcBorders/>
            <w:shd w:fill="E5E5E5" w:val="clear"/>
            <w:vAlign w:val="center"/>
          </w:tcPr>
          <w:p>
            <w:pPr>
              <w:pStyle w:val="TableContents"/>
              <w:spacing w:before="0" w:after="283"/>
              <w:rPr>
                <w:sz w:val="4"/>
                <w:szCs w:val="4"/>
              </w:rPr>
            </w:pPr>
            <w:r>
              <w:rPr>
                <w:sz w:val="4"/>
                <w:szCs w:val="4"/>
              </w:rPr>
            </w:r>
          </w:p>
        </w:tc>
      </w:tr>
      <w:tr>
        <w:trPr/>
        <w:tc>
          <w:tcPr>
            <w:tcW w:w="3285" w:type="dxa"/>
            <w:tcBorders/>
            <w:shd w:fill="E5E5E5" w:val="clear"/>
          </w:tcPr>
          <w:p>
            <w:pPr>
              <w:pStyle w:val="TableContents"/>
              <w:spacing w:before="0" w:after="0"/>
              <w:rPr>
                <w:rFonts w:ascii="arial" w:hAnsi="arial"/>
                <w:sz w:val="20"/>
              </w:rPr>
            </w:pPr>
            <w:r>
              <w:rPr>
                <w:rFonts w:ascii="arial" w:hAnsi="arial"/>
                <w:sz w:val="20"/>
              </w:rPr>
              <w:t>Time-Vested NQSO Spread Value</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1117"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41" w:type="dxa"/>
            <w:tcBorders/>
            <w:shd w:fill="E5E5E5" w:val="clear"/>
            <w:vAlign w:val="bottom"/>
          </w:tcPr>
          <w:p>
            <w:pPr>
              <w:pStyle w:val="TableContents"/>
              <w:spacing w:before="0" w:after="283"/>
              <w:jc w:val="right"/>
              <w:rPr/>
            </w:pPr>
            <w:r>
              <w:rPr/>
              <w:t>0  </w:t>
            </w:r>
          </w:p>
        </w:tc>
        <w:tc>
          <w:tcPr>
            <w:tcW w:w="65" w:type="dxa"/>
            <w:tcBorders/>
            <w:shd w:fill="E5E5E5" w:val="clear"/>
            <w:vAlign w:val="bottom"/>
          </w:tcPr>
          <w:p>
            <w:pPr>
              <w:pStyle w:val="TableContents"/>
              <w:spacing w:before="0" w:after="283"/>
              <w:rPr/>
            </w:pPr>
            <w:r>
              <w:rPr/>
              <w:t> </w:t>
            </w:r>
          </w:p>
        </w:tc>
      </w:tr>
      <w:tr>
        <w:trPr>
          <w:trHeight w:val="75" w:hRule="atLeast"/>
        </w:trPr>
        <w:tc>
          <w:tcPr>
            <w:tcW w:w="3285" w:type="dxa"/>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27" w:type="dxa"/>
            <w:gridSpan w:val="4"/>
            <w:tcBorders/>
            <w:shd w:fill="auto" w:val="clear"/>
            <w:vAlign w:val="center"/>
          </w:tcPr>
          <w:p>
            <w:pPr>
              <w:pStyle w:val="TableContents"/>
              <w:spacing w:before="0" w:after="283"/>
              <w:rPr>
                <w:sz w:val="4"/>
                <w:szCs w:val="4"/>
              </w:rPr>
            </w:pPr>
            <w:r>
              <w:rPr>
                <w:sz w:val="4"/>
                <w:szCs w:val="4"/>
              </w:rPr>
            </w:r>
          </w:p>
        </w:tc>
      </w:tr>
      <w:tr>
        <w:trPr/>
        <w:tc>
          <w:tcPr>
            <w:tcW w:w="3285" w:type="dxa"/>
            <w:tcBorders/>
            <w:shd w:fill="auto" w:val="clear"/>
          </w:tcPr>
          <w:p>
            <w:pPr>
              <w:pStyle w:val="TableContents"/>
              <w:spacing w:before="0" w:after="0"/>
              <w:rPr>
                <w:rFonts w:ascii="arial" w:hAnsi="arial"/>
                <w:sz w:val="20"/>
              </w:rPr>
            </w:pPr>
            <w:r>
              <w:rPr>
                <w:rFonts w:ascii="arial" w:hAnsi="arial"/>
                <w:sz w:val="20"/>
              </w:rPr>
              <w:t>Time-Vested RSA and RSU Value</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5,014,142</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303,572</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612,248</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626,342</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1" w:type="dxa"/>
            <w:tcBorders/>
            <w:shd w:fill="auto" w:val="clear"/>
            <w:vAlign w:val="bottom"/>
          </w:tcPr>
          <w:p>
            <w:pPr>
              <w:pStyle w:val="TableContents"/>
              <w:spacing w:before="0" w:after="283"/>
              <w:jc w:val="right"/>
              <w:rPr/>
            </w:pPr>
            <w:r>
              <w:rPr/>
              <w:t>0  </w:t>
            </w:r>
          </w:p>
        </w:tc>
        <w:tc>
          <w:tcPr>
            <w:tcW w:w="65" w:type="dxa"/>
            <w:tcBorders/>
            <w:shd w:fill="auto" w:val="clear"/>
            <w:vAlign w:val="bottom"/>
          </w:tcPr>
          <w:p>
            <w:pPr>
              <w:pStyle w:val="TableContents"/>
              <w:spacing w:before="0" w:after="283"/>
              <w:rPr/>
            </w:pPr>
            <w:r>
              <w:rPr/>
              <w:t> </w:t>
            </w:r>
          </w:p>
        </w:tc>
      </w:tr>
      <w:tr>
        <w:trPr>
          <w:trHeight w:val="75" w:hRule="atLeast"/>
        </w:trPr>
        <w:tc>
          <w:tcPr>
            <w:tcW w:w="3285"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27" w:type="dxa"/>
            <w:gridSpan w:val="4"/>
            <w:tcBorders/>
            <w:shd w:fill="E5E5E5" w:val="clear"/>
            <w:vAlign w:val="center"/>
          </w:tcPr>
          <w:p>
            <w:pPr>
              <w:pStyle w:val="TableContents"/>
              <w:spacing w:before="0" w:after="283"/>
              <w:rPr>
                <w:sz w:val="4"/>
                <w:szCs w:val="4"/>
              </w:rPr>
            </w:pPr>
            <w:r>
              <w:rPr>
                <w:sz w:val="4"/>
                <w:szCs w:val="4"/>
              </w:rPr>
            </w:r>
          </w:p>
        </w:tc>
      </w:tr>
      <w:tr>
        <w:trPr/>
        <w:tc>
          <w:tcPr>
            <w:tcW w:w="3285" w:type="dxa"/>
            <w:tcBorders/>
            <w:shd w:fill="E5E5E5" w:val="clear"/>
          </w:tcPr>
          <w:p>
            <w:pPr>
              <w:pStyle w:val="TableContents"/>
              <w:spacing w:before="0" w:after="0"/>
              <w:rPr>
                <w:rFonts w:ascii="arial" w:hAnsi="arial"/>
                <w:sz w:val="20"/>
              </w:rPr>
            </w:pPr>
            <w:r>
              <w:rPr>
                <w:rFonts w:ascii="arial" w:hAnsi="arial"/>
                <w:sz w:val="20"/>
              </w:rPr>
              <w:t>Cash LTIP Value</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1117"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352,270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472,962</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41" w:type="dxa"/>
            <w:tcBorders/>
            <w:shd w:fill="E5E5E5" w:val="clear"/>
            <w:vAlign w:val="bottom"/>
          </w:tcPr>
          <w:p>
            <w:pPr>
              <w:pStyle w:val="TableContents"/>
              <w:spacing w:before="0" w:after="283"/>
              <w:jc w:val="right"/>
              <w:rPr/>
            </w:pPr>
            <w:r>
              <w:rPr/>
              <w:t>0  </w:t>
            </w:r>
          </w:p>
        </w:tc>
        <w:tc>
          <w:tcPr>
            <w:tcW w:w="65" w:type="dxa"/>
            <w:tcBorders/>
            <w:shd w:fill="E5E5E5" w:val="clear"/>
            <w:vAlign w:val="bottom"/>
          </w:tcPr>
          <w:p>
            <w:pPr>
              <w:pStyle w:val="TableContents"/>
              <w:spacing w:before="0" w:after="283"/>
              <w:rPr/>
            </w:pPr>
            <w:r>
              <w:rPr/>
              <w:t> </w:t>
            </w:r>
          </w:p>
        </w:tc>
      </w:tr>
      <w:tr>
        <w:trPr>
          <w:trHeight w:val="75" w:hRule="atLeast"/>
        </w:trPr>
        <w:tc>
          <w:tcPr>
            <w:tcW w:w="3285" w:type="dxa"/>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27" w:type="dxa"/>
            <w:gridSpan w:val="4"/>
            <w:tcBorders/>
            <w:shd w:fill="auto" w:val="clear"/>
            <w:vAlign w:val="center"/>
          </w:tcPr>
          <w:p>
            <w:pPr>
              <w:pStyle w:val="TableContents"/>
              <w:spacing w:before="0" w:after="283"/>
              <w:rPr>
                <w:sz w:val="4"/>
                <w:szCs w:val="4"/>
              </w:rPr>
            </w:pPr>
            <w:r>
              <w:rPr>
                <w:sz w:val="4"/>
                <w:szCs w:val="4"/>
              </w:rPr>
            </w:r>
          </w:p>
        </w:tc>
      </w:tr>
      <w:tr>
        <w:trPr/>
        <w:tc>
          <w:tcPr>
            <w:tcW w:w="3285" w:type="dxa"/>
            <w:tcBorders/>
            <w:shd w:fill="auto" w:val="clear"/>
          </w:tcPr>
          <w:p>
            <w:pPr>
              <w:pStyle w:val="TableContents"/>
              <w:spacing w:before="0" w:after="0"/>
              <w:rPr>
                <w:rFonts w:ascii="arial" w:hAnsi="arial"/>
                <w:sz w:val="20"/>
              </w:rPr>
            </w:pPr>
            <w:r>
              <w:rPr>
                <w:rFonts w:ascii="arial" w:hAnsi="arial"/>
                <w:sz w:val="20"/>
              </w:rPr>
              <w:t>Performance- and Time-Vested NQSO Spread Value</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6,097,000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1" w:type="dxa"/>
            <w:tcBorders/>
            <w:shd w:fill="auto" w:val="clear"/>
            <w:vAlign w:val="bottom"/>
          </w:tcPr>
          <w:p>
            <w:pPr>
              <w:pStyle w:val="TableContents"/>
              <w:spacing w:before="0" w:after="283"/>
              <w:jc w:val="right"/>
              <w:rPr/>
            </w:pPr>
            <w:r>
              <w:rPr/>
              <w:t>0  </w:t>
            </w:r>
          </w:p>
        </w:tc>
        <w:tc>
          <w:tcPr>
            <w:tcW w:w="65" w:type="dxa"/>
            <w:tcBorders/>
            <w:shd w:fill="auto" w:val="clear"/>
            <w:vAlign w:val="bottom"/>
          </w:tcPr>
          <w:p>
            <w:pPr>
              <w:pStyle w:val="TableContents"/>
              <w:spacing w:before="0" w:after="283"/>
              <w:rPr/>
            </w:pPr>
            <w:r>
              <w:rPr/>
              <w:t> </w:t>
            </w:r>
          </w:p>
        </w:tc>
      </w:tr>
      <w:tr>
        <w:trPr>
          <w:trHeight w:val="75" w:hRule="atLeast"/>
        </w:trPr>
        <w:tc>
          <w:tcPr>
            <w:tcW w:w="3285"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27" w:type="dxa"/>
            <w:gridSpan w:val="4"/>
            <w:tcBorders/>
            <w:shd w:fill="E5E5E5" w:val="clear"/>
            <w:vAlign w:val="center"/>
          </w:tcPr>
          <w:p>
            <w:pPr>
              <w:pStyle w:val="TableContents"/>
              <w:spacing w:before="0" w:after="283"/>
              <w:rPr>
                <w:sz w:val="4"/>
                <w:szCs w:val="4"/>
              </w:rPr>
            </w:pPr>
            <w:r>
              <w:rPr>
                <w:sz w:val="4"/>
                <w:szCs w:val="4"/>
              </w:rPr>
            </w:r>
          </w:p>
        </w:tc>
      </w:tr>
      <w:tr>
        <w:trPr/>
        <w:tc>
          <w:tcPr>
            <w:tcW w:w="3285" w:type="dxa"/>
            <w:tcBorders/>
            <w:shd w:fill="E5E5E5" w:val="clear"/>
          </w:tcPr>
          <w:p>
            <w:pPr>
              <w:pStyle w:val="TableContents"/>
              <w:spacing w:before="0" w:after="0"/>
              <w:rPr>
                <w:rFonts w:ascii="arial" w:hAnsi="arial"/>
                <w:sz w:val="20"/>
              </w:rPr>
            </w:pPr>
            <w:r>
              <w:rPr>
                <w:rFonts w:ascii="arial" w:hAnsi="arial"/>
                <w:sz w:val="20"/>
              </w:rPr>
              <w:t>Performance- and Time-Vested RSU Value</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7" w:type="dxa"/>
            <w:tcBorders/>
            <w:shd w:fill="E5E5E5" w:val="clear"/>
            <w:vAlign w:val="bottom"/>
          </w:tcPr>
          <w:p>
            <w:pPr>
              <w:pStyle w:val="TableContents"/>
              <w:spacing w:before="0" w:after="283"/>
              <w:jc w:val="right"/>
              <w:rPr/>
            </w:pPr>
            <w:r>
              <w:rPr/>
              <w:t>11,699,665</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716,297</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41" w:type="dxa"/>
            <w:tcBorders/>
            <w:shd w:fill="E5E5E5" w:val="clear"/>
            <w:vAlign w:val="bottom"/>
          </w:tcPr>
          <w:p>
            <w:pPr>
              <w:pStyle w:val="TableContents"/>
              <w:spacing w:before="0" w:after="283"/>
              <w:jc w:val="right"/>
              <w:rPr/>
            </w:pPr>
            <w:r>
              <w:rPr/>
              <w:t>0  </w:t>
            </w:r>
          </w:p>
        </w:tc>
        <w:tc>
          <w:tcPr>
            <w:tcW w:w="65" w:type="dxa"/>
            <w:tcBorders/>
            <w:shd w:fill="E5E5E5" w:val="clear"/>
            <w:vAlign w:val="bottom"/>
          </w:tcPr>
          <w:p>
            <w:pPr>
              <w:pStyle w:val="TableContents"/>
              <w:spacing w:before="0" w:after="283"/>
              <w:rPr/>
            </w:pPr>
            <w:r>
              <w:rPr/>
              <w:t> </w:t>
            </w:r>
          </w:p>
        </w:tc>
      </w:tr>
      <w:tr>
        <w:trPr>
          <w:trHeight w:val="75" w:hRule="atLeast"/>
        </w:trPr>
        <w:tc>
          <w:tcPr>
            <w:tcW w:w="3285" w:type="dxa"/>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27" w:type="dxa"/>
            <w:gridSpan w:val="4"/>
            <w:tcBorders/>
            <w:shd w:fill="auto" w:val="clear"/>
            <w:vAlign w:val="center"/>
          </w:tcPr>
          <w:p>
            <w:pPr>
              <w:pStyle w:val="TableContents"/>
              <w:spacing w:before="0" w:after="283"/>
              <w:rPr>
                <w:sz w:val="4"/>
                <w:szCs w:val="4"/>
              </w:rPr>
            </w:pPr>
            <w:r>
              <w:rPr>
                <w:sz w:val="4"/>
                <w:szCs w:val="4"/>
              </w:rPr>
            </w:r>
          </w:p>
        </w:tc>
      </w:tr>
      <w:tr>
        <w:trPr/>
        <w:tc>
          <w:tcPr>
            <w:tcW w:w="3285" w:type="dxa"/>
            <w:tcBorders/>
            <w:shd w:fill="auto" w:val="clear"/>
          </w:tcPr>
          <w:p>
            <w:pPr>
              <w:pStyle w:val="TableContents"/>
              <w:spacing w:before="0" w:after="0"/>
              <w:rPr>
                <w:rFonts w:ascii="arial" w:hAnsi="arial"/>
                <w:sz w:val="20"/>
              </w:rPr>
            </w:pPr>
            <w:r>
              <w:rPr>
                <w:rFonts w:ascii="arial" w:hAnsi="arial"/>
                <w:sz w:val="20"/>
              </w:rPr>
              <w:t>Welfare Benefit Value</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24,175</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15,842</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15,482</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1" w:type="dxa"/>
            <w:tcBorders/>
            <w:shd w:fill="auto" w:val="clear"/>
            <w:vAlign w:val="bottom"/>
          </w:tcPr>
          <w:p>
            <w:pPr>
              <w:pStyle w:val="TableContents"/>
              <w:spacing w:before="0" w:after="283"/>
              <w:jc w:val="right"/>
              <w:rPr/>
            </w:pPr>
            <w:r>
              <w:rPr/>
              <w:t>0  </w:t>
            </w:r>
          </w:p>
        </w:tc>
        <w:tc>
          <w:tcPr>
            <w:tcW w:w="65" w:type="dxa"/>
            <w:tcBorders/>
            <w:shd w:fill="auto" w:val="clear"/>
            <w:vAlign w:val="bottom"/>
          </w:tcPr>
          <w:p>
            <w:pPr>
              <w:pStyle w:val="TableContents"/>
              <w:spacing w:before="0" w:after="283"/>
              <w:rPr/>
            </w:pPr>
            <w:r>
              <w:rPr/>
              <w:t> </w:t>
            </w:r>
          </w:p>
        </w:tc>
      </w:tr>
      <w:tr>
        <w:trPr>
          <w:trHeight w:val="75" w:hRule="atLeast"/>
        </w:trPr>
        <w:tc>
          <w:tcPr>
            <w:tcW w:w="3285"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65" w:type="dxa"/>
            <w:gridSpan w:val="4"/>
            <w:tcBorders/>
            <w:shd w:fill="E5E5E5" w:val="clear"/>
            <w:vAlign w:val="center"/>
          </w:tcPr>
          <w:p>
            <w:pPr>
              <w:pStyle w:val="TableContents"/>
              <w:spacing w:before="0" w:after="283"/>
              <w:rPr>
                <w:sz w:val="4"/>
                <w:szCs w:val="4"/>
              </w:rPr>
            </w:pPr>
            <w:r>
              <w:rPr>
                <w:sz w:val="4"/>
                <w:szCs w:val="4"/>
              </w:rPr>
            </w:r>
          </w:p>
        </w:tc>
        <w:tc>
          <w:tcPr>
            <w:tcW w:w="1327" w:type="dxa"/>
            <w:gridSpan w:val="4"/>
            <w:tcBorders/>
            <w:shd w:fill="E5E5E5" w:val="clear"/>
            <w:vAlign w:val="center"/>
          </w:tcPr>
          <w:p>
            <w:pPr>
              <w:pStyle w:val="TableContents"/>
              <w:spacing w:before="0" w:after="283"/>
              <w:rPr>
                <w:sz w:val="4"/>
                <w:szCs w:val="4"/>
              </w:rPr>
            </w:pPr>
            <w:r>
              <w:rPr>
                <w:sz w:val="4"/>
                <w:szCs w:val="4"/>
              </w:rPr>
            </w:r>
          </w:p>
        </w:tc>
      </w:tr>
      <w:tr>
        <w:trPr/>
        <w:tc>
          <w:tcPr>
            <w:tcW w:w="3285" w:type="dxa"/>
            <w:tcBorders/>
            <w:shd w:fill="E5E5E5" w:val="clear"/>
          </w:tcPr>
          <w:p>
            <w:pPr>
              <w:pStyle w:val="TableContents"/>
              <w:spacing w:before="0" w:after="0"/>
              <w:rPr>
                <w:rFonts w:ascii="arial" w:hAnsi="arial"/>
                <w:sz w:val="20"/>
              </w:rPr>
            </w:pPr>
            <w:r>
              <w:rPr>
                <w:rFonts w:ascii="arial" w:hAnsi="arial"/>
                <w:sz w:val="20"/>
              </w:rPr>
              <w:t>Outplacement</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7" w:type="dxa"/>
            <w:tcBorders/>
            <w:shd w:fill="E5E5E5" w:val="clear"/>
            <w:vAlign w:val="bottom"/>
          </w:tcPr>
          <w:p>
            <w:pPr>
              <w:pStyle w:val="TableContents"/>
              <w:spacing w:before="0" w:after="283"/>
              <w:jc w:val="right"/>
              <w:rPr/>
            </w:pPr>
            <w:r>
              <w:rPr/>
              <w:t>10,000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10,000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5,000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10,000</w:t>
            </w:r>
          </w:p>
        </w:tc>
        <w:tc>
          <w:tcPr>
            <w:tcW w:w="60" w:type="dxa"/>
            <w:tcBorders/>
            <w:shd w:fill="E5E5E5" w:val="clear"/>
            <w:vAlign w:val="bottom"/>
          </w:tcPr>
          <w:p>
            <w:pPr>
              <w:pStyle w:val="TableContents"/>
              <w:spacing w:before="0" w:after="283"/>
              <w:rPr/>
            </w:pPr>
            <w:r>
              <w:rPr/>
              <w:t> </w:t>
            </w:r>
          </w:p>
        </w:tc>
        <w:tc>
          <w:tcPr>
            <w:tcW w:w="181"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41" w:type="dxa"/>
            <w:tcBorders/>
            <w:shd w:fill="E5E5E5" w:val="clear"/>
            <w:vAlign w:val="bottom"/>
          </w:tcPr>
          <w:p>
            <w:pPr>
              <w:pStyle w:val="TableContents"/>
              <w:spacing w:before="0" w:after="283"/>
              <w:jc w:val="right"/>
              <w:rPr/>
            </w:pPr>
            <w:r>
              <w:rPr/>
              <w:t>5,000  </w:t>
            </w:r>
          </w:p>
        </w:tc>
        <w:tc>
          <w:tcPr>
            <w:tcW w:w="65" w:type="dxa"/>
            <w:tcBorders/>
            <w:shd w:fill="E5E5E5" w:val="clear"/>
            <w:vAlign w:val="bottom"/>
          </w:tcPr>
          <w:p>
            <w:pPr>
              <w:pStyle w:val="TableContents"/>
              <w:spacing w:before="0" w:after="283"/>
              <w:rPr/>
            </w:pPr>
            <w:r>
              <w:rPr/>
              <w:t> </w:t>
            </w:r>
          </w:p>
        </w:tc>
      </w:tr>
      <w:tr>
        <w:trPr>
          <w:trHeight w:val="75" w:hRule="atLeast"/>
        </w:trPr>
        <w:tc>
          <w:tcPr>
            <w:tcW w:w="3285" w:type="dxa"/>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65" w:type="dxa"/>
            <w:gridSpan w:val="4"/>
            <w:tcBorders/>
            <w:shd w:fill="auto" w:val="clear"/>
            <w:vAlign w:val="center"/>
          </w:tcPr>
          <w:p>
            <w:pPr>
              <w:pStyle w:val="TableContents"/>
              <w:spacing w:before="0" w:after="283"/>
              <w:rPr>
                <w:sz w:val="4"/>
                <w:szCs w:val="4"/>
              </w:rPr>
            </w:pPr>
            <w:r>
              <w:rPr>
                <w:sz w:val="4"/>
                <w:szCs w:val="4"/>
              </w:rPr>
            </w:r>
          </w:p>
        </w:tc>
        <w:tc>
          <w:tcPr>
            <w:tcW w:w="1327" w:type="dxa"/>
            <w:gridSpan w:val="4"/>
            <w:tcBorders/>
            <w:shd w:fill="auto" w:val="clear"/>
            <w:vAlign w:val="center"/>
          </w:tcPr>
          <w:p>
            <w:pPr>
              <w:pStyle w:val="TableContents"/>
              <w:spacing w:before="0" w:after="283"/>
              <w:rPr>
                <w:sz w:val="4"/>
                <w:szCs w:val="4"/>
              </w:rPr>
            </w:pPr>
            <w:r>
              <w:rPr>
                <w:sz w:val="4"/>
                <w:szCs w:val="4"/>
              </w:rPr>
            </w:r>
          </w:p>
        </w:tc>
      </w:tr>
      <w:tr>
        <w:trPr/>
        <w:tc>
          <w:tcPr>
            <w:tcW w:w="3285" w:type="dxa"/>
            <w:tcBorders/>
            <w:shd w:fill="auto" w:val="clear"/>
          </w:tcPr>
          <w:p>
            <w:pPr>
              <w:pStyle w:val="TableContents"/>
              <w:spacing w:before="0" w:after="0"/>
              <w:rPr>
                <w:rFonts w:ascii="arial" w:hAnsi="arial"/>
                <w:b/>
                <w:sz w:val="20"/>
              </w:rPr>
            </w:pPr>
            <w:r>
              <w:rPr>
                <w:rFonts w:ascii="arial" w:hAnsi="arial"/>
                <w:b/>
                <w:sz w:val="20"/>
              </w:rPr>
              <w:t>Aggregate Payments</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117" w:type="dxa"/>
            <w:tcBorders/>
            <w:shd w:fill="auto" w:val="clear"/>
            <w:vAlign w:val="bottom"/>
          </w:tcPr>
          <w:p>
            <w:pPr>
              <w:pStyle w:val="TableContents"/>
              <w:spacing w:before="0" w:after="283"/>
              <w:jc w:val="right"/>
              <w:rPr>
                <w:b/>
              </w:rPr>
            </w:pPr>
            <w:r>
              <w:rPr>
                <w:b/>
              </w:rPr>
              <w:t>27,379,080</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984" w:type="dxa"/>
            <w:tcBorders/>
            <w:shd w:fill="auto" w:val="clear"/>
            <w:vAlign w:val="bottom"/>
          </w:tcPr>
          <w:p>
            <w:pPr>
              <w:pStyle w:val="TableContents"/>
              <w:spacing w:before="0" w:after="283"/>
              <w:jc w:val="right"/>
              <w:rPr>
                <w:b/>
              </w:rPr>
            </w:pPr>
            <w:r>
              <w:rPr>
                <w:b/>
              </w:rPr>
              <w:t>1,574,277</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984" w:type="dxa"/>
            <w:tcBorders/>
            <w:shd w:fill="auto" w:val="clear"/>
            <w:vAlign w:val="bottom"/>
          </w:tcPr>
          <w:p>
            <w:pPr>
              <w:pStyle w:val="TableContents"/>
              <w:spacing w:before="0" w:after="283"/>
              <w:jc w:val="right"/>
              <w:rPr>
                <w:b/>
              </w:rPr>
            </w:pPr>
            <w:r>
              <w:rPr>
                <w:b/>
              </w:rPr>
              <w:t>1,373,498</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984" w:type="dxa"/>
            <w:tcBorders/>
            <w:shd w:fill="auto" w:val="clear"/>
            <w:vAlign w:val="bottom"/>
          </w:tcPr>
          <w:p>
            <w:pPr>
              <w:pStyle w:val="TableContents"/>
              <w:spacing w:before="0" w:after="283"/>
              <w:jc w:val="right"/>
              <w:rPr>
                <w:b/>
              </w:rPr>
            </w:pPr>
            <w:r>
              <w:rPr>
                <w:b/>
              </w:rPr>
              <w:t>3,145,056</w:t>
            </w:r>
          </w:p>
        </w:tc>
        <w:tc>
          <w:tcPr>
            <w:tcW w:w="6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941" w:type="dxa"/>
            <w:tcBorders/>
            <w:shd w:fill="auto" w:val="clear"/>
            <w:vAlign w:val="bottom"/>
          </w:tcPr>
          <w:p>
            <w:pPr>
              <w:pStyle w:val="TableContents"/>
              <w:spacing w:before="0" w:after="283"/>
              <w:jc w:val="right"/>
              <w:rPr>
                <w:b/>
              </w:rPr>
            </w:pPr>
            <w:r>
              <w:rPr>
                <w:b/>
              </w:rPr>
              <w:t>726,875  </w:t>
            </w:r>
          </w:p>
        </w:tc>
        <w:tc>
          <w:tcPr>
            <w:tcW w:w="65" w:type="dxa"/>
            <w:tcBorders/>
            <w:shd w:fill="auto" w:val="clear"/>
            <w:vAlign w:val="bottom"/>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The following table presents payments for involuntary termination by the Corporation for reasons other than cause or, in the case of Mr. Joyce, Mr. Song and Mr. Cywinski, voluntary termination by the participant for good reason following a change in control (CIC).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59"/>
        <w:gridCol w:w="173"/>
        <w:gridCol w:w="140"/>
        <w:gridCol w:w="1113"/>
        <w:gridCol w:w="60"/>
        <w:gridCol w:w="173"/>
        <w:gridCol w:w="140"/>
        <w:gridCol w:w="982"/>
        <w:gridCol w:w="60"/>
        <w:gridCol w:w="173"/>
        <w:gridCol w:w="140"/>
        <w:gridCol w:w="982"/>
        <w:gridCol w:w="60"/>
        <w:gridCol w:w="173"/>
        <w:gridCol w:w="140"/>
        <w:gridCol w:w="981"/>
        <w:gridCol w:w="60"/>
        <w:gridCol w:w="173"/>
        <w:gridCol w:w="140"/>
        <w:gridCol w:w="1113"/>
        <w:gridCol w:w="70"/>
      </w:tblGrid>
      <w:tr>
        <w:trPr/>
        <w:tc>
          <w:tcPr>
            <w:tcW w:w="315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159" w:type="dxa"/>
            <w:tcBorders/>
            <w:shd w:fill="CF0A2C" w:val="clear"/>
            <w:vAlign w:val="center"/>
          </w:tcPr>
          <w:p>
            <w:pPr>
              <w:pStyle w:val="TableContents"/>
              <w:spacing w:before="0" w:after="283"/>
              <w:rPr>
                <w:sz w:val="4"/>
                <w:szCs w:val="4"/>
              </w:rPr>
            </w:pPr>
            <w:r>
              <w:rPr>
                <w:sz w:val="4"/>
                <w:szCs w:val="4"/>
              </w:rPr>
            </w:r>
          </w:p>
        </w:tc>
        <w:tc>
          <w:tcPr>
            <w:tcW w:w="1486" w:type="dxa"/>
            <w:gridSpan w:val="4"/>
            <w:tcBorders/>
            <w:shd w:fill="CF0A2C" w:val="clear"/>
            <w:vAlign w:val="center"/>
          </w:tcPr>
          <w:p>
            <w:pPr>
              <w:pStyle w:val="TableContents"/>
              <w:spacing w:before="0" w:after="283"/>
              <w:rPr>
                <w:sz w:val="4"/>
                <w:szCs w:val="4"/>
              </w:rPr>
            </w:pPr>
            <w:r>
              <w:rPr>
                <w:sz w:val="4"/>
                <w:szCs w:val="4"/>
              </w:rPr>
            </w:r>
          </w:p>
        </w:tc>
        <w:tc>
          <w:tcPr>
            <w:tcW w:w="1355" w:type="dxa"/>
            <w:gridSpan w:val="4"/>
            <w:tcBorders/>
            <w:shd w:fill="CF0A2C" w:val="clear"/>
            <w:vAlign w:val="center"/>
          </w:tcPr>
          <w:p>
            <w:pPr>
              <w:pStyle w:val="TableContents"/>
              <w:spacing w:before="0" w:after="283"/>
              <w:rPr>
                <w:sz w:val="4"/>
                <w:szCs w:val="4"/>
              </w:rPr>
            </w:pPr>
            <w:r>
              <w:rPr>
                <w:sz w:val="4"/>
                <w:szCs w:val="4"/>
              </w:rPr>
            </w:r>
          </w:p>
        </w:tc>
        <w:tc>
          <w:tcPr>
            <w:tcW w:w="1355" w:type="dxa"/>
            <w:gridSpan w:val="4"/>
            <w:tcBorders/>
            <w:shd w:fill="CF0A2C" w:val="clear"/>
            <w:vAlign w:val="center"/>
          </w:tcPr>
          <w:p>
            <w:pPr>
              <w:pStyle w:val="TableContents"/>
              <w:spacing w:before="0" w:after="283"/>
              <w:rPr>
                <w:sz w:val="4"/>
                <w:szCs w:val="4"/>
              </w:rPr>
            </w:pPr>
            <w:r>
              <w:rPr>
                <w:sz w:val="4"/>
                <w:szCs w:val="4"/>
              </w:rPr>
            </w:r>
          </w:p>
        </w:tc>
        <w:tc>
          <w:tcPr>
            <w:tcW w:w="1354" w:type="dxa"/>
            <w:gridSpan w:val="4"/>
            <w:tcBorders/>
            <w:shd w:fill="CF0A2C" w:val="clear"/>
            <w:vAlign w:val="center"/>
          </w:tcPr>
          <w:p>
            <w:pPr>
              <w:pStyle w:val="TableContents"/>
              <w:spacing w:before="0" w:after="283"/>
              <w:rPr>
                <w:sz w:val="4"/>
                <w:szCs w:val="4"/>
              </w:rPr>
            </w:pPr>
            <w:r>
              <w:rPr>
                <w:sz w:val="4"/>
                <w:szCs w:val="4"/>
              </w:rPr>
            </w:r>
          </w:p>
        </w:tc>
        <w:tc>
          <w:tcPr>
            <w:tcW w:w="1496" w:type="dxa"/>
            <w:gridSpan w:val="4"/>
            <w:tcBorders/>
            <w:shd w:fill="CF0A2C" w:val="clear"/>
            <w:vAlign w:val="center"/>
          </w:tcPr>
          <w:p>
            <w:pPr>
              <w:pStyle w:val="TableContents"/>
              <w:spacing w:before="0" w:after="283"/>
              <w:rPr>
                <w:sz w:val="4"/>
                <w:szCs w:val="4"/>
              </w:rPr>
            </w:pPr>
            <w:r>
              <w:rPr>
                <w:sz w:val="4"/>
                <w:szCs w:val="4"/>
              </w:rPr>
            </w:r>
          </w:p>
        </w:tc>
      </w:tr>
      <w:tr>
        <w:trPr/>
        <w:tc>
          <w:tcPr>
            <w:tcW w:w="3159"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Payments</w:t>
            </w:r>
          </w:p>
        </w:tc>
        <w:tc>
          <w:tcPr>
            <w:tcW w:w="173" w:type="dxa"/>
            <w:tcBorders/>
            <w:shd w:fill="CF0A2C" w:val="clear"/>
            <w:vAlign w:val="bottom"/>
          </w:tcPr>
          <w:p>
            <w:pPr>
              <w:pStyle w:val="TableContents"/>
              <w:spacing w:before="0" w:after="283"/>
              <w:rPr/>
            </w:pPr>
            <w:r>
              <w:rPr/>
              <w:t>  </w:t>
            </w:r>
          </w:p>
        </w:tc>
        <w:tc>
          <w:tcPr>
            <w:tcW w:w="1253" w:type="dxa"/>
            <w:gridSpan w:val="2"/>
            <w:tcBorders/>
            <w:shd w:fill="CF0A2C" w:val="clear"/>
            <w:vAlign w:val="bottom"/>
          </w:tcPr>
          <w:p>
            <w:pPr>
              <w:pStyle w:val="TableContents"/>
              <w:spacing w:before="0" w:after="283"/>
              <w:jc w:val="center"/>
              <w:rPr>
                <w:b/>
                <w:color w:val="FFFFFF"/>
              </w:rPr>
            </w:pPr>
            <w:r>
              <w:rPr>
                <w:b/>
                <w:color w:val="FFFFFF"/>
              </w:rPr>
              <w:t>Joyce</w:t>
            </w:r>
          </w:p>
        </w:tc>
        <w:tc>
          <w:tcPr>
            <w:tcW w:w="60" w:type="dxa"/>
            <w:tcBorders/>
            <w:shd w:fill="CF0A2C" w:val="clear"/>
            <w:vAlign w:val="bottom"/>
          </w:tcPr>
          <w:p>
            <w:pPr>
              <w:pStyle w:val="TableContents"/>
              <w:spacing w:before="0" w:after="283"/>
              <w:rPr/>
            </w:pPr>
            <w:r>
              <w:rPr/>
              <w:t> </w:t>
            </w:r>
          </w:p>
        </w:tc>
        <w:tc>
          <w:tcPr>
            <w:tcW w:w="173" w:type="dxa"/>
            <w:tcBorders/>
            <w:shd w:fill="CF0A2C" w:val="clear"/>
            <w:vAlign w:val="bottom"/>
          </w:tcPr>
          <w:p>
            <w:pPr>
              <w:pStyle w:val="TableContents"/>
              <w:spacing w:before="0" w:after="283"/>
              <w:rPr/>
            </w:pPr>
            <w:r>
              <w:rPr/>
              <w:t>  </w:t>
            </w:r>
          </w:p>
        </w:tc>
        <w:tc>
          <w:tcPr>
            <w:tcW w:w="1122" w:type="dxa"/>
            <w:gridSpan w:val="2"/>
            <w:tcBorders/>
            <w:shd w:fill="CF0A2C" w:val="clear"/>
            <w:vAlign w:val="bottom"/>
          </w:tcPr>
          <w:p>
            <w:pPr>
              <w:pStyle w:val="TableContents"/>
              <w:spacing w:before="0" w:after="283"/>
              <w:jc w:val="center"/>
              <w:rPr>
                <w:b/>
                <w:color w:val="FFFFFF"/>
              </w:rPr>
            </w:pPr>
            <w:r>
              <w:rPr>
                <w:b/>
                <w:color w:val="FFFFFF"/>
              </w:rPr>
              <w:t>Song</w:t>
            </w:r>
          </w:p>
        </w:tc>
        <w:tc>
          <w:tcPr>
            <w:tcW w:w="60" w:type="dxa"/>
            <w:tcBorders/>
            <w:shd w:fill="CF0A2C" w:val="clear"/>
            <w:vAlign w:val="bottom"/>
          </w:tcPr>
          <w:p>
            <w:pPr>
              <w:pStyle w:val="TableContents"/>
              <w:spacing w:before="0" w:after="283"/>
              <w:rPr/>
            </w:pPr>
            <w:r>
              <w:rPr/>
              <w:t> </w:t>
            </w:r>
          </w:p>
        </w:tc>
        <w:tc>
          <w:tcPr>
            <w:tcW w:w="173" w:type="dxa"/>
            <w:tcBorders/>
            <w:shd w:fill="CF0A2C" w:val="clear"/>
            <w:vAlign w:val="bottom"/>
          </w:tcPr>
          <w:p>
            <w:pPr>
              <w:pStyle w:val="TableContents"/>
              <w:spacing w:before="0" w:after="283"/>
              <w:rPr/>
            </w:pPr>
            <w:r>
              <w:rPr/>
              <w:t>  </w:t>
            </w:r>
          </w:p>
        </w:tc>
        <w:tc>
          <w:tcPr>
            <w:tcW w:w="1122" w:type="dxa"/>
            <w:gridSpan w:val="2"/>
            <w:tcBorders/>
            <w:shd w:fill="CF0A2C" w:val="clear"/>
            <w:vAlign w:val="bottom"/>
          </w:tcPr>
          <w:p>
            <w:pPr>
              <w:pStyle w:val="TableContents"/>
              <w:spacing w:before="0" w:after="283"/>
              <w:jc w:val="center"/>
              <w:rPr>
                <w:b/>
                <w:color w:val="FFFFFF"/>
              </w:rPr>
            </w:pPr>
            <w:r>
              <w:rPr>
                <w:b/>
                <w:color w:val="FFFFFF"/>
              </w:rPr>
              <w:t>Johns</w:t>
            </w:r>
          </w:p>
        </w:tc>
        <w:tc>
          <w:tcPr>
            <w:tcW w:w="60" w:type="dxa"/>
            <w:tcBorders/>
            <w:shd w:fill="CF0A2C" w:val="clear"/>
            <w:vAlign w:val="bottom"/>
          </w:tcPr>
          <w:p>
            <w:pPr>
              <w:pStyle w:val="TableContents"/>
              <w:spacing w:before="0" w:after="283"/>
              <w:rPr/>
            </w:pPr>
            <w:r>
              <w:rPr/>
              <w:t> </w:t>
            </w:r>
          </w:p>
        </w:tc>
        <w:tc>
          <w:tcPr>
            <w:tcW w:w="173" w:type="dxa"/>
            <w:tcBorders/>
            <w:shd w:fill="CF0A2C" w:val="clear"/>
            <w:vAlign w:val="bottom"/>
          </w:tcPr>
          <w:p>
            <w:pPr>
              <w:pStyle w:val="TableContents"/>
              <w:spacing w:before="0" w:after="283"/>
              <w:rPr/>
            </w:pPr>
            <w:r>
              <w:rPr/>
              <w:t>  </w:t>
            </w:r>
          </w:p>
        </w:tc>
        <w:tc>
          <w:tcPr>
            <w:tcW w:w="1121" w:type="dxa"/>
            <w:gridSpan w:val="2"/>
            <w:tcBorders/>
            <w:shd w:fill="CF0A2C" w:val="clear"/>
            <w:vAlign w:val="bottom"/>
          </w:tcPr>
          <w:p>
            <w:pPr>
              <w:pStyle w:val="TableContents"/>
              <w:spacing w:before="0" w:after="283"/>
              <w:jc w:val="center"/>
              <w:rPr>
                <w:b/>
                <w:color w:val="FFFFFF"/>
              </w:rPr>
            </w:pPr>
            <w:r>
              <w:rPr>
                <w:b/>
                <w:color w:val="FFFFFF"/>
              </w:rPr>
              <w:t>Cywinski</w:t>
            </w:r>
          </w:p>
        </w:tc>
        <w:tc>
          <w:tcPr>
            <w:tcW w:w="60" w:type="dxa"/>
            <w:tcBorders/>
            <w:shd w:fill="CF0A2C" w:val="clear"/>
            <w:vAlign w:val="bottom"/>
          </w:tcPr>
          <w:p>
            <w:pPr>
              <w:pStyle w:val="TableContents"/>
              <w:spacing w:before="0" w:after="283"/>
              <w:rPr/>
            </w:pPr>
            <w:r>
              <w:rPr/>
              <w:t> </w:t>
            </w:r>
          </w:p>
        </w:tc>
        <w:tc>
          <w:tcPr>
            <w:tcW w:w="173" w:type="dxa"/>
            <w:tcBorders/>
            <w:shd w:fill="CF0A2C" w:val="clear"/>
            <w:vAlign w:val="bottom"/>
          </w:tcPr>
          <w:p>
            <w:pPr>
              <w:pStyle w:val="TableContents"/>
              <w:spacing w:before="0" w:after="283"/>
              <w:rPr/>
            </w:pPr>
            <w:r>
              <w:rPr/>
              <w:t>  </w:t>
            </w:r>
          </w:p>
        </w:tc>
        <w:tc>
          <w:tcPr>
            <w:tcW w:w="1253" w:type="dxa"/>
            <w:gridSpan w:val="2"/>
            <w:tcBorders/>
            <w:shd w:fill="CF0A2C" w:val="clear"/>
            <w:vAlign w:val="bottom"/>
          </w:tcPr>
          <w:p>
            <w:pPr>
              <w:pStyle w:val="TableContents"/>
              <w:spacing w:before="0" w:after="283"/>
              <w:jc w:val="center"/>
              <w:rPr>
                <w:b/>
                <w:color w:val="FFFFFF"/>
              </w:rPr>
            </w:pPr>
            <w:r>
              <w:rPr>
                <w:b/>
                <w:color w:val="FFFFFF"/>
              </w:rPr>
              <w:t>Adel</w:t>
            </w:r>
          </w:p>
        </w:tc>
        <w:tc>
          <w:tcPr>
            <w:tcW w:w="70" w:type="dxa"/>
            <w:tcBorders/>
            <w:shd w:fill="CF0A2C" w:val="clear"/>
            <w:vAlign w:val="bottom"/>
          </w:tcPr>
          <w:p>
            <w:pPr>
              <w:pStyle w:val="TableContents"/>
              <w:spacing w:before="0" w:after="283"/>
              <w:rPr/>
            </w:pPr>
            <w:r>
              <w:rPr/>
              <w:t> </w:t>
            </w:r>
          </w:p>
        </w:tc>
      </w:tr>
      <w:tr>
        <w:trPr>
          <w:trHeight w:val="75" w:hRule="atLeast"/>
        </w:trPr>
        <w:tc>
          <w:tcPr>
            <w:tcW w:w="3159" w:type="dxa"/>
            <w:tcBorders/>
            <w:shd w:fill="E5E5E5" w:val="clear"/>
            <w:vAlign w:val="center"/>
          </w:tcPr>
          <w:p>
            <w:pPr>
              <w:pStyle w:val="TableContents"/>
              <w:spacing w:before="0" w:after="283"/>
              <w:rPr>
                <w:sz w:val="4"/>
                <w:szCs w:val="4"/>
              </w:rPr>
            </w:pPr>
            <w:r>
              <w:rPr>
                <w:sz w:val="4"/>
                <w:szCs w:val="4"/>
              </w:rPr>
            </w:r>
          </w:p>
        </w:tc>
        <w:tc>
          <w:tcPr>
            <w:tcW w:w="1486"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4" w:type="dxa"/>
            <w:gridSpan w:val="4"/>
            <w:tcBorders/>
            <w:shd w:fill="E5E5E5" w:val="clear"/>
            <w:vAlign w:val="center"/>
          </w:tcPr>
          <w:p>
            <w:pPr>
              <w:pStyle w:val="TableContents"/>
              <w:spacing w:before="0" w:after="283"/>
              <w:rPr>
                <w:sz w:val="4"/>
                <w:szCs w:val="4"/>
              </w:rPr>
            </w:pPr>
            <w:r>
              <w:rPr>
                <w:sz w:val="4"/>
                <w:szCs w:val="4"/>
              </w:rPr>
            </w:r>
          </w:p>
        </w:tc>
        <w:tc>
          <w:tcPr>
            <w:tcW w:w="1496" w:type="dxa"/>
            <w:gridSpan w:val="4"/>
            <w:tcBorders/>
            <w:shd w:fill="E5E5E5" w:val="clear"/>
            <w:vAlign w:val="center"/>
          </w:tcPr>
          <w:p>
            <w:pPr>
              <w:pStyle w:val="TableContents"/>
              <w:spacing w:before="0" w:after="283"/>
              <w:rPr>
                <w:sz w:val="4"/>
                <w:szCs w:val="4"/>
              </w:rPr>
            </w:pPr>
            <w:r>
              <w:rPr>
                <w:sz w:val="4"/>
                <w:szCs w:val="4"/>
              </w:rPr>
            </w:r>
          </w:p>
        </w:tc>
      </w:tr>
      <w:tr>
        <w:trPr/>
        <w:tc>
          <w:tcPr>
            <w:tcW w:w="3159" w:type="dxa"/>
            <w:tcBorders/>
            <w:shd w:fill="E5E5E5" w:val="clear"/>
          </w:tcPr>
          <w:p>
            <w:pPr>
              <w:pStyle w:val="TableContents"/>
              <w:spacing w:before="0" w:after="0"/>
              <w:rPr>
                <w:rFonts w:ascii="arial" w:hAnsi="arial"/>
                <w:sz w:val="20"/>
              </w:rPr>
            </w:pPr>
            <w:r>
              <w:rPr>
                <w:rFonts w:ascii="arial" w:hAnsi="arial"/>
                <w:sz w:val="20"/>
              </w:rPr>
              <w:t>Cash Severance</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6,051,148</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1,925,000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1,512,500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1" w:type="dxa"/>
            <w:tcBorders/>
            <w:shd w:fill="E5E5E5" w:val="clear"/>
            <w:vAlign w:val="bottom"/>
          </w:tcPr>
          <w:p>
            <w:pPr>
              <w:pStyle w:val="TableContents"/>
              <w:spacing w:before="0" w:after="283"/>
              <w:jc w:val="right"/>
              <w:rPr/>
            </w:pPr>
            <w:r>
              <w:rPr/>
              <w:t>2,607,949</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1,443,750  </w:t>
            </w:r>
          </w:p>
        </w:tc>
        <w:tc>
          <w:tcPr>
            <w:tcW w:w="70" w:type="dxa"/>
            <w:tcBorders/>
            <w:shd w:fill="E5E5E5" w:val="clear"/>
            <w:vAlign w:val="bottom"/>
          </w:tcPr>
          <w:p>
            <w:pPr>
              <w:pStyle w:val="TableContents"/>
              <w:spacing w:before="0" w:after="283"/>
              <w:rPr/>
            </w:pPr>
            <w:r>
              <w:rPr/>
              <w:t> </w:t>
            </w:r>
          </w:p>
        </w:tc>
      </w:tr>
      <w:tr>
        <w:trPr>
          <w:trHeight w:val="75" w:hRule="atLeast"/>
        </w:trPr>
        <w:tc>
          <w:tcPr>
            <w:tcW w:w="3159" w:type="dxa"/>
            <w:tcBorders/>
            <w:shd w:fill="auto" w:val="clear"/>
            <w:vAlign w:val="center"/>
          </w:tcPr>
          <w:p>
            <w:pPr>
              <w:pStyle w:val="TableContents"/>
              <w:spacing w:before="0" w:after="283"/>
              <w:rPr>
                <w:sz w:val="4"/>
                <w:szCs w:val="4"/>
              </w:rPr>
            </w:pPr>
            <w:r>
              <w:rPr>
                <w:sz w:val="4"/>
                <w:szCs w:val="4"/>
              </w:rPr>
            </w:r>
          </w:p>
        </w:tc>
        <w:tc>
          <w:tcPr>
            <w:tcW w:w="1486"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496" w:type="dxa"/>
            <w:gridSpan w:val="4"/>
            <w:tcBorders/>
            <w:shd w:fill="auto" w:val="clear"/>
            <w:vAlign w:val="center"/>
          </w:tcPr>
          <w:p>
            <w:pPr>
              <w:pStyle w:val="TableContents"/>
              <w:spacing w:before="0" w:after="283"/>
              <w:rPr>
                <w:sz w:val="4"/>
                <w:szCs w:val="4"/>
              </w:rPr>
            </w:pPr>
            <w:r>
              <w:rPr>
                <w:sz w:val="4"/>
                <w:szCs w:val="4"/>
              </w:rPr>
            </w:r>
          </w:p>
        </w:tc>
      </w:tr>
      <w:tr>
        <w:trPr/>
        <w:tc>
          <w:tcPr>
            <w:tcW w:w="3159" w:type="dxa"/>
            <w:tcBorders/>
            <w:shd w:fill="auto" w:val="clear"/>
          </w:tcPr>
          <w:p>
            <w:pPr>
              <w:pStyle w:val="TableContents"/>
              <w:spacing w:before="0" w:after="0"/>
              <w:rPr>
                <w:rFonts w:ascii="arial" w:hAnsi="arial"/>
                <w:sz w:val="20"/>
              </w:rPr>
            </w:pPr>
            <w:r>
              <w:rPr>
                <w:rFonts w:ascii="arial" w:hAnsi="arial"/>
                <w:sz w:val="20"/>
              </w:rPr>
              <w:t>Pro-Rata Bonus Payment</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206,250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206,250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1" w:type="dxa"/>
            <w:tcBorders/>
            <w:shd w:fill="auto" w:val="clear"/>
            <w:vAlign w:val="bottom"/>
          </w:tcPr>
          <w:p>
            <w:pPr>
              <w:pStyle w:val="TableContents"/>
              <w:spacing w:before="0" w:after="283"/>
              <w:jc w:val="right"/>
              <w:rPr/>
            </w:pPr>
            <w:r>
              <w:rPr/>
              <w:t>286,875</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196,875  </w:t>
            </w:r>
          </w:p>
        </w:tc>
        <w:tc>
          <w:tcPr>
            <w:tcW w:w="70" w:type="dxa"/>
            <w:tcBorders/>
            <w:shd w:fill="auto" w:val="clear"/>
            <w:vAlign w:val="bottom"/>
          </w:tcPr>
          <w:p>
            <w:pPr>
              <w:pStyle w:val="TableContents"/>
              <w:spacing w:before="0" w:after="283"/>
              <w:rPr/>
            </w:pPr>
            <w:r>
              <w:rPr/>
              <w:t> </w:t>
            </w:r>
          </w:p>
        </w:tc>
      </w:tr>
      <w:tr>
        <w:trPr>
          <w:trHeight w:val="75" w:hRule="atLeast"/>
        </w:trPr>
        <w:tc>
          <w:tcPr>
            <w:tcW w:w="3159" w:type="dxa"/>
            <w:tcBorders/>
            <w:shd w:fill="E5E5E5" w:val="clear"/>
            <w:vAlign w:val="center"/>
          </w:tcPr>
          <w:p>
            <w:pPr>
              <w:pStyle w:val="TableContents"/>
              <w:spacing w:before="0" w:after="283"/>
              <w:rPr>
                <w:sz w:val="4"/>
                <w:szCs w:val="4"/>
              </w:rPr>
            </w:pPr>
            <w:r>
              <w:rPr>
                <w:sz w:val="4"/>
                <w:szCs w:val="4"/>
              </w:rPr>
            </w:r>
          </w:p>
        </w:tc>
        <w:tc>
          <w:tcPr>
            <w:tcW w:w="1486"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4" w:type="dxa"/>
            <w:gridSpan w:val="4"/>
            <w:tcBorders/>
            <w:shd w:fill="E5E5E5" w:val="clear"/>
            <w:vAlign w:val="center"/>
          </w:tcPr>
          <w:p>
            <w:pPr>
              <w:pStyle w:val="TableContents"/>
              <w:spacing w:before="0" w:after="283"/>
              <w:rPr>
                <w:sz w:val="4"/>
                <w:szCs w:val="4"/>
              </w:rPr>
            </w:pPr>
            <w:r>
              <w:rPr>
                <w:sz w:val="4"/>
                <w:szCs w:val="4"/>
              </w:rPr>
            </w:r>
          </w:p>
        </w:tc>
        <w:tc>
          <w:tcPr>
            <w:tcW w:w="1496" w:type="dxa"/>
            <w:gridSpan w:val="4"/>
            <w:tcBorders/>
            <w:shd w:fill="E5E5E5" w:val="clear"/>
            <w:vAlign w:val="center"/>
          </w:tcPr>
          <w:p>
            <w:pPr>
              <w:pStyle w:val="TableContents"/>
              <w:spacing w:before="0" w:after="283"/>
              <w:rPr>
                <w:sz w:val="4"/>
                <w:szCs w:val="4"/>
              </w:rPr>
            </w:pPr>
            <w:r>
              <w:rPr>
                <w:sz w:val="4"/>
                <w:szCs w:val="4"/>
              </w:rPr>
            </w:r>
          </w:p>
        </w:tc>
      </w:tr>
      <w:tr>
        <w:trPr/>
        <w:tc>
          <w:tcPr>
            <w:tcW w:w="3159" w:type="dxa"/>
            <w:tcBorders/>
            <w:shd w:fill="E5E5E5" w:val="clear"/>
          </w:tcPr>
          <w:p>
            <w:pPr>
              <w:pStyle w:val="TableContents"/>
              <w:spacing w:before="0" w:after="0"/>
              <w:rPr>
                <w:rFonts w:ascii="arial" w:hAnsi="arial"/>
                <w:sz w:val="20"/>
              </w:rPr>
            </w:pPr>
            <w:r>
              <w:rPr>
                <w:rFonts w:ascii="arial" w:hAnsi="arial"/>
                <w:sz w:val="20"/>
              </w:rPr>
              <w:t>Time-Vested NQSO Spread Value due to CIC</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1"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0  </w:t>
            </w:r>
          </w:p>
        </w:tc>
        <w:tc>
          <w:tcPr>
            <w:tcW w:w="70" w:type="dxa"/>
            <w:tcBorders/>
            <w:shd w:fill="E5E5E5" w:val="clear"/>
            <w:vAlign w:val="bottom"/>
          </w:tcPr>
          <w:p>
            <w:pPr>
              <w:pStyle w:val="TableContents"/>
              <w:spacing w:before="0" w:after="283"/>
              <w:rPr/>
            </w:pPr>
            <w:r>
              <w:rPr/>
              <w:t> </w:t>
            </w:r>
          </w:p>
        </w:tc>
      </w:tr>
      <w:tr>
        <w:trPr>
          <w:trHeight w:val="75" w:hRule="atLeast"/>
        </w:trPr>
        <w:tc>
          <w:tcPr>
            <w:tcW w:w="3159" w:type="dxa"/>
            <w:tcBorders/>
            <w:shd w:fill="auto" w:val="clear"/>
            <w:vAlign w:val="center"/>
          </w:tcPr>
          <w:p>
            <w:pPr>
              <w:pStyle w:val="TableContents"/>
              <w:spacing w:before="0" w:after="283"/>
              <w:rPr>
                <w:sz w:val="4"/>
                <w:szCs w:val="4"/>
              </w:rPr>
            </w:pPr>
            <w:r>
              <w:rPr>
                <w:sz w:val="4"/>
                <w:szCs w:val="4"/>
              </w:rPr>
            </w:r>
          </w:p>
        </w:tc>
        <w:tc>
          <w:tcPr>
            <w:tcW w:w="1486"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496" w:type="dxa"/>
            <w:gridSpan w:val="4"/>
            <w:tcBorders/>
            <w:shd w:fill="auto" w:val="clear"/>
            <w:vAlign w:val="center"/>
          </w:tcPr>
          <w:p>
            <w:pPr>
              <w:pStyle w:val="TableContents"/>
              <w:spacing w:before="0" w:after="283"/>
              <w:rPr>
                <w:sz w:val="4"/>
                <w:szCs w:val="4"/>
              </w:rPr>
            </w:pPr>
            <w:r>
              <w:rPr>
                <w:sz w:val="4"/>
                <w:szCs w:val="4"/>
              </w:rPr>
            </w:r>
          </w:p>
        </w:tc>
      </w:tr>
      <w:tr>
        <w:trPr/>
        <w:tc>
          <w:tcPr>
            <w:tcW w:w="3159" w:type="dxa"/>
            <w:tcBorders/>
            <w:shd w:fill="auto" w:val="clear"/>
          </w:tcPr>
          <w:p>
            <w:pPr>
              <w:pStyle w:val="TableContents"/>
              <w:spacing w:before="0" w:after="0"/>
              <w:rPr>
                <w:rFonts w:ascii="arial" w:hAnsi="arial"/>
                <w:sz w:val="20"/>
              </w:rPr>
            </w:pPr>
            <w:r>
              <w:rPr>
                <w:rFonts w:ascii="arial" w:hAnsi="arial"/>
                <w:sz w:val="20"/>
              </w:rPr>
              <w:t>Time-Vested RSA and RSU Value due to CIC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5,014,142</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767,282</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909,440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1" w:type="dxa"/>
            <w:tcBorders/>
            <w:shd w:fill="auto" w:val="clear"/>
            <w:vAlign w:val="bottom"/>
          </w:tcPr>
          <w:p>
            <w:pPr>
              <w:pStyle w:val="TableContents"/>
              <w:spacing w:before="0" w:after="283"/>
              <w:jc w:val="right"/>
              <w:rPr/>
            </w:pPr>
            <w:r>
              <w:rPr/>
              <w:t>1,015,174</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422,820  </w:t>
            </w:r>
          </w:p>
        </w:tc>
        <w:tc>
          <w:tcPr>
            <w:tcW w:w="70" w:type="dxa"/>
            <w:tcBorders/>
            <w:shd w:fill="auto" w:val="clear"/>
            <w:vAlign w:val="bottom"/>
          </w:tcPr>
          <w:p>
            <w:pPr>
              <w:pStyle w:val="TableContents"/>
              <w:spacing w:before="0" w:after="283"/>
              <w:rPr/>
            </w:pPr>
            <w:r>
              <w:rPr/>
              <w:t> </w:t>
            </w:r>
          </w:p>
        </w:tc>
      </w:tr>
      <w:tr>
        <w:trPr>
          <w:trHeight w:val="75" w:hRule="atLeast"/>
        </w:trPr>
        <w:tc>
          <w:tcPr>
            <w:tcW w:w="3159" w:type="dxa"/>
            <w:tcBorders/>
            <w:shd w:fill="E5E5E5" w:val="clear"/>
            <w:vAlign w:val="center"/>
          </w:tcPr>
          <w:p>
            <w:pPr>
              <w:pStyle w:val="TableContents"/>
              <w:spacing w:before="0" w:after="283"/>
              <w:rPr>
                <w:sz w:val="4"/>
                <w:szCs w:val="4"/>
              </w:rPr>
            </w:pPr>
            <w:r>
              <w:rPr>
                <w:sz w:val="4"/>
                <w:szCs w:val="4"/>
              </w:rPr>
            </w:r>
          </w:p>
        </w:tc>
        <w:tc>
          <w:tcPr>
            <w:tcW w:w="1486"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4" w:type="dxa"/>
            <w:gridSpan w:val="4"/>
            <w:tcBorders/>
            <w:shd w:fill="E5E5E5" w:val="clear"/>
            <w:vAlign w:val="center"/>
          </w:tcPr>
          <w:p>
            <w:pPr>
              <w:pStyle w:val="TableContents"/>
              <w:spacing w:before="0" w:after="283"/>
              <w:rPr>
                <w:sz w:val="4"/>
                <w:szCs w:val="4"/>
              </w:rPr>
            </w:pPr>
            <w:r>
              <w:rPr>
                <w:sz w:val="4"/>
                <w:szCs w:val="4"/>
              </w:rPr>
            </w:r>
          </w:p>
        </w:tc>
        <w:tc>
          <w:tcPr>
            <w:tcW w:w="1496" w:type="dxa"/>
            <w:gridSpan w:val="4"/>
            <w:tcBorders/>
            <w:shd w:fill="E5E5E5" w:val="clear"/>
            <w:vAlign w:val="center"/>
          </w:tcPr>
          <w:p>
            <w:pPr>
              <w:pStyle w:val="TableContents"/>
              <w:spacing w:before="0" w:after="283"/>
              <w:rPr>
                <w:sz w:val="4"/>
                <w:szCs w:val="4"/>
              </w:rPr>
            </w:pPr>
            <w:r>
              <w:rPr>
                <w:sz w:val="4"/>
                <w:szCs w:val="4"/>
              </w:rPr>
            </w:r>
          </w:p>
        </w:tc>
      </w:tr>
      <w:tr>
        <w:trPr/>
        <w:tc>
          <w:tcPr>
            <w:tcW w:w="3159" w:type="dxa"/>
            <w:tcBorders/>
            <w:shd w:fill="E5E5E5" w:val="clear"/>
          </w:tcPr>
          <w:p>
            <w:pPr>
              <w:pStyle w:val="TableContents"/>
              <w:spacing w:before="0" w:after="0"/>
              <w:rPr>
                <w:rFonts w:ascii="arial" w:hAnsi="arial"/>
                <w:sz w:val="20"/>
              </w:rPr>
            </w:pPr>
            <w:r>
              <w:rPr>
                <w:rFonts w:ascii="arial" w:hAnsi="arial"/>
                <w:sz w:val="20"/>
              </w:rPr>
              <w:t>Cash LTIP Value due to CIC</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395,096</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170,803</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1" w:type="dxa"/>
            <w:tcBorders/>
            <w:shd w:fill="E5E5E5" w:val="clear"/>
            <w:vAlign w:val="bottom"/>
          </w:tcPr>
          <w:p>
            <w:pPr>
              <w:pStyle w:val="TableContents"/>
              <w:spacing w:before="0" w:after="283"/>
              <w:jc w:val="right"/>
              <w:rPr/>
            </w:pPr>
            <w:r>
              <w:rPr/>
              <w:t>527,035</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354,446  </w:t>
            </w:r>
          </w:p>
        </w:tc>
        <w:tc>
          <w:tcPr>
            <w:tcW w:w="70" w:type="dxa"/>
            <w:tcBorders/>
            <w:shd w:fill="E5E5E5" w:val="clear"/>
            <w:vAlign w:val="bottom"/>
          </w:tcPr>
          <w:p>
            <w:pPr>
              <w:pStyle w:val="TableContents"/>
              <w:spacing w:before="0" w:after="283"/>
              <w:rPr/>
            </w:pPr>
            <w:r>
              <w:rPr/>
              <w:t> </w:t>
            </w:r>
          </w:p>
        </w:tc>
      </w:tr>
      <w:tr>
        <w:trPr>
          <w:trHeight w:val="75" w:hRule="atLeast"/>
        </w:trPr>
        <w:tc>
          <w:tcPr>
            <w:tcW w:w="3159" w:type="dxa"/>
            <w:tcBorders/>
            <w:shd w:fill="auto" w:val="clear"/>
            <w:vAlign w:val="center"/>
          </w:tcPr>
          <w:p>
            <w:pPr>
              <w:pStyle w:val="TableContents"/>
              <w:spacing w:before="0" w:after="283"/>
              <w:rPr>
                <w:sz w:val="4"/>
                <w:szCs w:val="4"/>
              </w:rPr>
            </w:pPr>
            <w:r>
              <w:rPr>
                <w:sz w:val="4"/>
                <w:szCs w:val="4"/>
              </w:rPr>
            </w:r>
          </w:p>
        </w:tc>
        <w:tc>
          <w:tcPr>
            <w:tcW w:w="1486"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496" w:type="dxa"/>
            <w:gridSpan w:val="4"/>
            <w:tcBorders/>
            <w:shd w:fill="auto" w:val="clear"/>
            <w:vAlign w:val="center"/>
          </w:tcPr>
          <w:p>
            <w:pPr>
              <w:pStyle w:val="TableContents"/>
              <w:spacing w:before="0" w:after="283"/>
              <w:rPr>
                <w:sz w:val="4"/>
                <w:szCs w:val="4"/>
              </w:rPr>
            </w:pPr>
            <w:r>
              <w:rPr>
                <w:sz w:val="4"/>
                <w:szCs w:val="4"/>
              </w:rPr>
            </w:r>
          </w:p>
        </w:tc>
      </w:tr>
      <w:tr>
        <w:trPr/>
        <w:tc>
          <w:tcPr>
            <w:tcW w:w="3159" w:type="dxa"/>
            <w:tcBorders/>
            <w:shd w:fill="auto" w:val="clear"/>
          </w:tcPr>
          <w:p>
            <w:pPr>
              <w:pStyle w:val="TableContents"/>
              <w:spacing w:before="0" w:after="0"/>
              <w:rPr>
                <w:rFonts w:ascii="arial" w:hAnsi="arial"/>
                <w:sz w:val="20"/>
              </w:rPr>
            </w:pPr>
            <w:r>
              <w:rPr>
                <w:rFonts w:ascii="arial" w:hAnsi="arial"/>
                <w:sz w:val="20"/>
              </w:rPr>
              <w:t>Performance- and Time-Vested NQSO Spread value due to CIC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6,097,000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1"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0  </w:t>
            </w:r>
          </w:p>
        </w:tc>
        <w:tc>
          <w:tcPr>
            <w:tcW w:w="70" w:type="dxa"/>
            <w:tcBorders/>
            <w:shd w:fill="auto" w:val="clear"/>
            <w:vAlign w:val="bottom"/>
          </w:tcPr>
          <w:p>
            <w:pPr>
              <w:pStyle w:val="TableContents"/>
              <w:spacing w:before="0" w:after="283"/>
              <w:rPr/>
            </w:pPr>
            <w:r>
              <w:rPr/>
              <w:t> </w:t>
            </w:r>
          </w:p>
        </w:tc>
      </w:tr>
      <w:tr>
        <w:trPr>
          <w:trHeight w:val="75" w:hRule="atLeast"/>
        </w:trPr>
        <w:tc>
          <w:tcPr>
            <w:tcW w:w="3159" w:type="dxa"/>
            <w:tcBorders/>
            <w:shd w:fill="E5E5E5" w:val="clear"/>
            <w:vAlign w:val="center"/>
          </w:tcPr>
          <w:p>
            <w:pPr>
              <w:pStyle w:val="TableContents"/>
              <w:spacing w:before="0" w:after="283"/>
              <w:rPr>
                <w:sz w:val="4"/>
                <w:szCs w:val="4"/>
              </w:rPr>
            </w:pPr>
            <w:r>
              <w:rPr>
                <w:sz w:val="4"/>
                <w:szCs w:val="4"/>
              </w:rPr>
            </w:r>
          </w:p>
        </w:tc>
        <w:tc>
          <w:tcPr>
            <w:tcW w:w="1486"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4" w:type="dxa"/>
            <w:gridSpan w:val="4"/>
            <w:tcBorders/>
            <w:shd w:fill="E5E5E5" w:val="clear"/>
            <w:vAlign w:val="center"/>
          </w:tcPr>
          <w:p>
            <w:pPr>
              <w:pStyle w:val="TableContents"/>
              <w:spacing w:before="0" w:after="283"/>
              <w:rPr>
                <w:sz w:val="4"/>
                <w:szCs w:val="4"/>
              </w:rPr>
            </w:pPr>
            <w:r>
              <w:rPr>
                <w:sz w:val="4"/>
                <w:szCs w:val="4"/>
              </w:rPr>
            </w:r>
          </w:p>
        </w:tc>
        <w:tc>
          <w:tcPr>
            <w:tcW w:w="1496" w:type="dxa"/>
            <w:gridSpan w:val="4"/>
            <w:tcBorders/>
            <w:shd w:fill="E5E5E5" w:val="clear"/>
            <w:vAlign w:val="center"/>
          </w:tcPr>
          <w:p>
            <w:pPr>
              <w:pStyle w:val="TableContents"/>
              <w:spacing w:before="0" w:after="283"/>
              <w:rPr>
                <w:sz w:val="4"/>
                <w:szCs w:val="4"/>
              </w:rPr>
            </w:pPr>
            <w:r>
              <w:rPr>
                <w:sz w:val="4"/>
                <w:szCs w:val="4"/>
              </w:rPr>
            </w:r>
          </w:p>
        </w:tc>
      </w:tr>
      <w:tr>
        <w:trPr/>
        <w:tc>
          <w:tcPr>
            <w:tcW w:w="3159" w:type="dxa"/>
            <w:tcBorders/>
            <w:shd w:fill="E5E5E5" w:val="clear"/>
          </w:tcPr>
          <w:p>
            <w:pPr>
              <w:pStyle w:val="TableContents"/>
              <w:spacing w:before="0" w:after="0"/>
              <w:rPr>
                <w:rFonts w:ascii="arial" w:hAnsi="arial"/>
                <w:sz w:val="20"/>
              </w:rPr>
            </w:pPr>
            <w:r>
              <w:rPr>
                <w:rFonts w:ascii="arial" w:hAnsi="arial"/>
                <w:sz w:val="20"/>
              </w:rPr>
              <w:t>Performance-and Time-Vested RSU Value due to CIC</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11,699,665</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1" w:type="dxa"/>
            <w:tcBorders/>
            <w:shd w:fill="E5E5E5" w:val="clear"/>
            <w:vAlign w:val="bottom"/>
          </w:tcPr>
          <w:p>
            <w:pPr>
              <w:pStyle w:val="TableContents"/>
              <w:spacing w:before="0" w:after="283"/>
              <w:jc w:val="right"/>
              <w:rPr/>
            </w:pPr>
            <w:r>
              <w:rPr/>
              <w:t>1,790,742</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0  </w:t>
            </w:r>
          </w:p>
        </w:tc>
        <w:tc>
          <w:tcPr>
            <w:tcW w:w="70" w:type="dxa"/>
            <w:tcBorders/>
            <w:shd w:fill="E5E5E5" w:val="clear"/>
            <w:vAlign w:val="bottom"/>
          </w:tcPr>
          <w:p>
            <w:pPr>
              <w:pStyle w:val="TableContents"/>
              <w:spacing w:before="0" w:after="283"/>
              <w:rPr/>
            </w:pPr>
            <w:r>
              <w:rPr/>
              <w:t> </w:t>
            </w:r>
          </w:p>
        </w:tc>
      </w:tr>
      <w:tr>
        <w:trPr>
          <w:trHeight w:val="75" w:hRule="atLeast"/>
        </w:trPr>
        <w:tc>
          <w:tcPr>
            <w:tcW w:w="3159" w:type="dxa"/>
            <w:tcBorders/>
            <w:shd w:fill="auto" w:val="clear"/>
            <w:vAlign w:val="center"/>
          </w:tcPr>
          <w:p>
            <w:pPr>
              <w:pStyle w:val="TableContents"/>
              <w:spacing w:before="0" w:after="283"/>
              <w:rPr>
                <w:sz w:val="4"/>
                <w:szCs w:val="4"/>
              </w:rPr>
            </w:pPr>
            <w:r>
              <w:rPr>
                <w:sz w:val="4"/>
                <w:szCs w:val="4"/>
              </w:rPr>
            </w:r>
          </w:p>
        </w:tc>
        <w:tc>
          <w:tcPr>
            <w:tcW w:w="1486"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496" w:type="dxa"/>
            <w:gridSpan w:val="4"/>
            <w:tcBorders/>
            <w:shd w:fill="auto" w:val="clear"/>
            <w:vAlign w:val="center"/>
          </w:tcPr>
          <w:p>
            <w:pPr>
              <w:pStyle w:val="TableContents"/>
              <w:spacing w:before="0" w:after="283"/>
              <w:rPr>
                <w:sz w:val="4"/>
                <w:szCs w:val="4"/>
              </w:rPr>
            </w:pPr>
            <w:r>
              <w:rPr>
                <w:sz w:val="4"/>
                <w:szCs w:val="4"/>
              </w:rPr>
            </w:r>
          </w:p>
        </w:tc>
      </w:tr>
      <w:tr>
        <w:trPr/>
        <w:tc>
          <w:tcPr>
            <w:tcW w:w="3159" w:type="dxa"/>
            <w:tcBorders/>
            <w:shd w:fill="auto" w:val="clear"/>
          </w:tcPr>
          <w:p>
            <w:pPr>
              <w:pStyle w:val="TableContents"/>
              <w:spacing w:before="0" w:after="0"/>
              <w:rPr>
                <w:rFonts w:ascii="arial" w:hAnsi="arial"/>
                <w:sz w:val="20"/>
              </w:rPr>
            </w:pPr>
            <w:r>
              <w:rPr>
                <w:rFonts w:ascii="arial" w:hAnsi="arial"/>
                <w:sz w:val="20"/>
              </w:rPr>
              <w:t>Welfare Benefit Value</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24,175</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31,683</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22,334</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1" w:type="dxa"/>
            <w:tcBorders/>
            <w:shd w:fill="auto" w:val="clear"/>
            <w:vAlign w:val="bottom"/>
          </w:tcPr>
          <w:p>
            <w:pPr>
              <w:pStyle w:val="TableContents"/>
              <w:spacing w:before="0" w:after="283"/>
              <w:jc w:val="right"/>
              <w:rPr/>
            </w:pPr>
            <w:r>
              <w:rPr/>
              <w:t>30,963</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32,684  </w:t>
            </w:r>
          </w:p>
        </w:tc>
        <w:tc>
          <w:tcPr>
            <w:tcW w:w="70" w:type="dxa"/>
            <w:tcBorders/>
            <w:shd w:fill="auto" w:val="clear"/>
            <w:vAlign w:val="bottom"/>
          </w:tcPr>
          <w:p>
            <w:pPr>
              <w:pStyle w:val="TableContents"/>
              <w:spacing w:before="0" w:after="283"/>
              <w:rPr/>
            </w:pPr>
            <w:r>
              <w:rPr/>
              <w:t> </w:t>
            </w:r>
          </w:p>
        </w:tc>
      </w:tr>
      <w:tr>
        <w:trPr>
          <w:trHeight w:val="75" w:hRule="atLeast"/>
        </w:trPr>
        <w:tc>
          <w:tcPr>
            <w:tcW w:w="3159" w:type="dxa"/>
            <w:tcBorders/>
            <w:shd w:fill="E5E5E5" w:val="clear"/>
            <w:vAlign w:val="center"/>
          </w:tcPr>
          <w:p>
            <w:pPr>
              <w:pStyle w:val="TableContents"/>
              <w:spacing w:before="0" w:after="283"/>
              <w:rPr>
                <w:sz w:val="4"/>
                <w:szCs w:val="4"/>
              </w:rPr>
            </w:pPr>
            <w:r>
              <w:rPr>
                <w:sz w:val="4"/>
                <w:szCs w:val="4"/>
              </w:rPr>
            </w:r>
          </w:p>
        </w:tc>
        <w:tc>
          <w:tcPr>
            <w:tcW w:w="1486"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5" w:type="dxa"/>
            <w:gridSpan w:val="4"/>
            <w:tcBorders/>
            <w:shd w:fill="E5E5E5" w:val="clear"/>
            <w:vAlign w:val="center"/>
          </w:tcPr>
          <w:p>
            <w:pPr>
              <w:pStyle w:val="TableContents"/>
              <w:spacing w:before="0" w:after="283"/>
              <w:rPr>
                <w:sz w:val="4"/>
                <w:szCs w:val="4"/>
              </w:rPr>
            </w:pPr>
            <w:r>
              <w:rPr>
                <w:sz w:val="4"/>
                <w:szCs w:val="4"/>
              </w:rPr>
            </w:r>
          </w:p>
        </w:tc>
        <w:tc>
          <w:tcPr>
            <w:tcW w:w="1354" w:type="dxa"/>
            <w:gridSpan w:val="4"/>
            <w:tcBorders/>
            <w:shd w:fill="E5E5E5" w:val="clear"/>
            <w:vAlign w:val="center"/>
          </w:tcPr>
          <w:p>
            <w:pPr>
              <w:pStyle w:val="TableContents"/>
              <w:spacing w:before="0" w:after="283"/>
              <w:rPr>
                <w:sz w:val="4"/>
                <w:szCs w:val="4"/>
              </w:rPr>
            </w:pPr>
            <w:r>
              <w:rPr>
                <w:sz w:val="4"/>
                <w:szCs w:val="4"/>
              </w:rPr>
            </w:r>
          </w:p>
        </w:tc>
        <w:tc>
          <w:tcPr>
            <w:tcW w:w="1496" w:type="dxa"/>
            <w:gridSpan w:val="4"/>
            <w:tcBorders/>
            <w:shd w:fill="E5E5E5" w:val="clear"/>
            <w:vAlign w:val="center"/>
          </w:tcPr>
          <w:p>
            <w:pPr>
              <w:pStyle w:val="TableContents"/>
              <w:spacing w:before="0" w:after="283"/>
              <w:rPr>
                <w:sz w:val="4"/>
                <w:szCs w:val="4"/>
              </w:rPr>
            </w:pPr>
            <w:r>
              <w:rPr>
                <w:sz w:val="4"/>
                <w:szCs w:val="4"/>
              </w:rPr>
            </w:r>
          </w:p>
        </w:tc>
      </w:tr>
      <w:tr>
        <w:trPr/>
        <w:tc>
          <w:tcPr>
            <w:tcW w:w="3159" w:type="dxa"/>
            <w:tcBorders/>
            <w:shd w:fill="E5E5E5" w:val="clear"/>
          </w:tcPr>
          <w:p>
            <w:pPr>
              <w:pStyle w:val="TableContents"/>
              <w:spacing w:before="0" w:after="0"/>
              <w:rPr>
                <w:rFonts w:ascii="arial" w:hAnsi="arial"/>
                <w:sz w:val="20"/>
              </w:rPr>
            </w:pPr>
            <w:r>
              <w:rPr>
                <w:rFonts w:ascii="arial" w:hAnsi="arial"/>
                <w:sz w:val="20"/>
              </w:rPr>
              <w:t>Outplacement</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10,000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10,000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5,000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1" w:type="dxa"/>
            <w:tcBorders/>
            <w:shd w:fill="E5E5E5" w:val="clear"/>
            <w:vAlign w:val="bottom"/>
          </w:tcPr>
          <w:p>
            <w:pPr>
              <w:pStyle w:val="TableContents"/>
              <w:spacing w:before="0" w:after="283"/>
              <w:jc w:val="right"/>
              <w:rPr/>
            </w:pPr>
            <w:r>
              <w:rPr/>
              <w:t>10,000</w:t>
            </w:r>
          </w:p>
        </w:tc>
        <w:tc>
          <w:tcPr>
            <w:tcW w:w="60" w:type="dxa"/>
            <w:tcBorders/>
            <w:shd w:fill="E5E5E5" w:val="clear"/>
            <w:vAlign w:val="bottom"/>
          </w:tcPr>
          <w:p>
            <w:pPr>
              <w:pStyle w:val="TableContents"/>
              <w:spacing w:before="0" w:after="283"/>
              <w:rPr/>
            </w:pPr>
            <w:r>
              <w:rPr/>
              <w:t> </w:t>
            </w:r>
          </w:p>
        </w:tc>
        <w:tc>
          <w:tcPr>
            <w:tcW w:w="173"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3" w:type="dxa"/>
            <w:tcBorders/>
            <w:shd w:fill="E5E5E5" w:val="clear"/>
            <w:vAlign w:val="bottom"/>
          </w:tcPr>
          <w:p>
            <w:pPr>
              <w:pStyle w:val="TableContents"/>
              <w:spacing w:before="0" w:after="283"/>
              <w:jc w:val="right"/>
              <w:rPr/>
            </w:pPr>
            <w:r>
              <w:rPr/>
              <w:t>5,000  </w:t>
            </w:r>
          </w:p>
        </w:tc>
        <w:tc>
          <w:tcPr>
            <w:tcW w:w="70" w:type="dxa"/>
            <w:tcBorders/>
            <w:shd w:fill="E5E5E5" w:val="clear"/>
            <w:vAlign w:val="bottom"/>
          </w:tcPr>
          <w:p>
            <w:pPr>
              <w:pStyle w:val="TableContents"/>
              <w:spacing w:before="0" w:after="283"/>
              <w:rPr/>
            </w:pPr>
            <w:r>
              <w:rPr/>
              <w:t> </w:t>
            </w:r>
          </w:p>
        </w:tc>
      </w:tr>
      <w:tr>
        <w:trPr>
          <w:trHeight w:val="75" w:hRule="atLeast"/>
        </w:trPr>
        <w:tc>
          <w:tcPr>
            <w:tcW w:w="3159" w:type="dxa"/>
            <w:tcBorders/>
            <w:shd w:fill="auto" w:val="clear"/>
            <w:vAlign w:val="center"/>
          </w:tcPr>
          <w:p>
            <w:pPr>
              <w:pStyle w:val="TableContents"/>
              <w:spacing w:before="0" w:after="283"/>
              <w:rPr>
                <w:sz w:val="4"/>
                <w:szCs w:val="4"/>
              </w:rPr>
            </w:pPr>
            <w:r>
              <w:rPr>
                <w:sz w:val="4"/>
                <w:szCs w:val="4"/>
              </w:rPr>
            </w:r>
          </w:p>
        </w:tc>
        <w:tc>
          <w:tcPr>
            <w:tcW w:w="1486"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496" w:type="dxa"/>
            <w:gridSpan w:val="4"/>
            <w:tcBorders/>
            <w:shd w:fill="auto" w:val="clear"/>
            <w:vAlign w:val="center"/>
          </w:tcPr>
          <w:p>
            <w:pPr>
              <w:pStyle w:val="TableContents"/>
              <w:spacing w:before="0" w:after="283"/>
              <w:rPr>
                <w:sz w:val="4"/>
                <w:szCs w:val="4"/>
              </w:rPr>
            </w:pPr>
            <w:r>
              <w:rPr>
                <w:sz w:val="4"/>
                <w:szCs w:val="4"/>
              </w:rPr>
            </w:r>
          </w:p>
        </w:tc>
      </w:tr>
      <w:tr>
        <w:trPr/>
        <w:tc>
          <w:tcPr>
            <w:tcW w:w="3159" w:type="dxa"/>
            <w:tcBorders/>
            <w:shd w:fill="auto" w:val="clear"/>
          </w:tcPr>
          <w:p>
            <w:pPr>
              <w:pStyle w:val="TableContents"/>
              <w:spacing w:before="0" w:after="0"/>
              <w:rPr>
                <w:rFonts w:ascii="arial" w:hAnsi="arial"/>
                <w:b/>
                <w:sz w:val="20"/>
              </w:rPr>
            </w:pPr>
            <w:r>
              <w:rPr>
                <w:rFonts w:ascii="arial" w:hAnsi="arial"/>
                <w:b/>
                <w:sz w:val="20"/>
              </w:rPr>
              <w:t>Aggregate Payments</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113" w:type="dxa"/>
            <w:tcBorders/>
            <w:shd w:fill="auto" w:val="clear"/>
            <w:vAlign w:val="bottom"/>
          </w:tcPr>
          <w:p>
            <w:pPr>
              <w:pStyle w:val="TableContents"/>
              <w:spacing w:before="0" w:after="283"/>
              <w:jc w:val="right"/>
              <w:rPr>
                <w:b/>
              </w:rPr>
            </w:pPr>
            <w:r>
              <w:rPr>
                <w:b/>
              </w:rPr>
              <w:t>29,396,129</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982" w:type="dxa"/>
            <w:tcBorders/>
            <w:shd w:fill="auto" w:val="clear"/>
            <w:vAlign w:val="bottom"/>
          </w:tcPr>
          <w:p>
            <w:pPr>
              <w:pStyle w:val="TableContents"/>
              <w:spacing w:before="0" w:after="283"/>
              <w:jc w:val="right"/>
              <w:rPr>
                <w:b/>
              </w:rPr>
            </w:pPr>
            <w:r>
              <w:rPr>
                <w:b/>
              </w:rPr>
              <w:t>3,335,311</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982" w:type="dxa"/>
            <w:tcBorders/>
            <w:shd w:fill="auto" w:val="clear"/>
            <w:vAlign w:val="bottom"/>
          </w:tcPr>
          <w:p>
            <w:pPr>
              <w:pStyle w:val="TableContents"/>
              <w:spacing w:before="0" w:after="283"/>
              <w:jc w:val="right"/>
              <w:rPr>
                <w:b/>
              </w:rPr>
            </w:pPr>
            <w:r>
              <w:rPr>
                <w:b/>
              </w:rPr>
              <w:t>2,826,327</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981" w:type="dxa"/>
            <w:tcBorders/>
            <w:shd w:fill="auto" w:val="clear"/>
            <w:vAlign w:val="bottom"/>
          </w:tcPr>
          <w:p>
            <w:pPr>
              <w:pStyle w:val="TableContents"/>
              <w:spacing w:before="0" w:after="283"/>
              <w:jc w:val="right"/>
              <w:rPr>
                <w:b/>
              </w:rPr>
            </w:pPr>
            <w:r>
              <w:rPr>
                <w:b/>
              </w:rPr>
              <w:t>6,268,738</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113" w:type="dxa"/>
            <w:tcBorders/>
            <w:shd w:fill="auto" w:val="clear"/>
            <w:vAlign w:val="bottom"/>
          </w:tcPr>
          <w:p>
            <w:pPr>
              <w:pStyle w:val="TableContents"/>
              <w:spacing w:before="0" w:after="283"/>
              <w:jc w:val="right"/>
              <w:rPr>
                <w:b/>
              </w:rPr>
            </w:pPr>
            <w:r>
              <w:rPr>
                <w:b/>
              </w:rPr>
              <w:t>2,455,575  </w:t>
            </w:r>
          </w:p>
        </w:tc>
        <w:tc>
          <w:tcPr>
            <w:tcW w:w="70" w:type="dxa"/>
            <w:tcBorders/>
            <w:shd w:fill="auto" w:val="clear"/>
            <w:vAlign w:val="bottom"/>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The following table presents payments upon a change in control only and no termination of employment.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57"/>
        <w:gridCol w:w="237"/>
        <w:gridCol w:w="140"/>
        <w:gridCol w:w="864"/>
        <w:gridCol w:w="60"/>
        <w:gridCol w:w="237"/>
        <w:gridCol w:w="140"/>
        <w:gridCol w:w="864"/>
        <w:gridCol w:w="60"/>
        <w:gridCol w:w="237"/>
        <w:gridCol w:w="140"/>
        <w:gridCol w:w="864"/>
        <w:gridCol w:w="59"/>
        <w:gridCol w:w="237"/>
        <w:gridCol w:w="140"/>
        <w:gridCol w:w="864"/>
        <w:gridCol w:w="60"/>
        <w:gridCol w:w="237"/>
        <w:gridCol w:w="140"/>
        <w:gridCol w:w="1000"/>
        <w:gridCol w:w="68"/>
      </w:tblGrid>
      <w:tr>
        <w:trPr/>
        <w:tc>
          <w:tcPr>
            <w:tcW w:w="355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557" w:type="dxa"/>
            <w:tcBorders/>
            <w:shd w:fill="CF0A2C" w:val="clear"/>
            <w:vAlign w:val="center"/>
          </w:tcPr>
          <w:p>
            <w:pPr>
              <w:pStyle w:val="TableContents"/>
              <w:spacing w:before="0" w:after="283"/>
              <w:rPr>
                <w:sz w:val="4"/>
                <w:szCs w:val="4"/>
              </w:rPr>
            </w:pPr>
            <w:r>
              <w:rPr>
                <w:sz w:val="4"/>
                <w:szCs w:val="4"/>
              </w:rPr>
            </w:r>
          </w:p>
        </w:tc>
        <w:tc>
          <w:tcPr>
            <w:tcW w:w="1301" w:type="dxa"/>
            <w:gridSpan w:val="4"/>
            <w:tcBorders/>
            <w:shd w:fill="CF0A2C" w:val="clear"/>
            <w:vAlign w:val="center"/>
          </w:tcPr>
          <w:p>
            <w:pPr>
              <w:pStyle w:val="TableContents"/>
              <w:spacing w:before="0" w:after="283"/>
              <w:rPr>
                <w:sz w:val="4"/>
                <w:szCs w:val="4"/>
              </w:rPr>
            </w:pPr>
            <w:r>
              <w:rPr>
                <w:sz w:val="4"/>
                <w:szCs w:val="4"/>
              </w:rPr>
            </w:r>
          </w:p>
        </w:tc>
        <w:tc>
          <w:tcPr>
            <w:tcW w:w="1301" w:type="dxa"/>
            <w:gridSpan w:val="4"/>
            <w:tcBorders/>
            <w:shd w:fill="CF0A2C" w:val="clear"/>
            <w:vAlign w:val="center"/>
          </w:tcPr>
          <w:p>
            <w:pPr>
              <w:pStyle w:val="TableContents"/>
              <w:spacing w:before="0" w:after="283"/>
              <w:rPr>
                <w:sz w:val="4"/>
                <w:szCs w:val="4"/>
              </w:rPr>
            </w:pPr>
            <w:r>
              <w:rPr>
                <w:sz w:val="4"/>
                <w:szCs w:val="4"/>
              </w:rPr>
            </w:r>
          </w:p>
        </w:tc>
        <w:tc>
          <w:tcPr>
            <w:tcW w:w="1300" w:type="dxa"/>
            <w:gridSpan w:val="4"/>
            <w:tcBorders/>
            <w:shd w:fill="CF0A2C" w:val="clear"/>
            <w:vAlign w:val="center"/>
          </w:tcPr>
          <w:p>
            <w:pPr>
              <w:pStyle w:val="TableContents"/>
              <w:spacing w:before="0" w:after="283"/>
              <w:rPr>
                <w:sz w:val="4"/>
                <w:szCs w:val="4"/>
              </w:rPr>
            </w:pPr>
            <w:r>
              <w:rPr>
                <w:sz w:val="4"/>
                <w:szCs w:val="4"/>
              </w:rPr>
            </w:r>
          </w:p>
        </w:tc>
        <w:tc>
          <w:tcPr>
            <w:tcW w:w="1301" w:type="dxa"/>
            <w:gridSpan w:val="4"/>
            <w:tcBorders/>
            <w:shd w:fill="CF0A2C" w:val="clear"/>
            <w:vAlign w:val="center"/>
          </w:tcPr>
          <w:p>
            <w:pPr>
              <w:pStyle w:val="TableContents"/>
              <w:spacing w:before="0" w:after="283"/>
              <w:rPr>
                <w:sz w:val="4"/>
                <w:szCs w:val="4"/>
              </w:rPr>
            </w:pPr>
            <w:r>
              <w:rPr>
                <w:sz w:val="4"/>
                <w:szCs w:val="4"/>
              </w:rPr>
            </w:r>
          </w:p>
        </w:tc>
        <w:tc>
          <w:tcPr>
            <w:tcW w:w="1445" w:type="dxa"/>
            <w:gridSpan w:val="4"/>
            <w:tcBorders/>
            <w:shd w:fill="CF0A2C" w:val="clear"/>
            <w:vAlign w:val="center"/>
          </w:tcPr>
          <w:p>
            <w:pPr>
              <w:pStyle w:val="TableContents"/>
              <w:spacing w:before="0" w:after="283"/>
              <w:rPr>
                <w:sz w:val="4"/>
                <w:szCs w:val="4"/>
              </w:rPr>
            </w:pPr>
            <w:r>
              <w:rPr>
                <w:sz w:val="4"/>
                <w:szCs w:val="4"/>
              </w:rPr>
            </w:r>
          </w:p>
        </w:tc>
      </w:tr>
      <w:tr>
        <w:trPr/>
        <w:tc>
          <w:tcPr>
            <w:tcW w:w="3557"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Payments</w:t>
            </w:r>
          </w:p>
        </w:tc>
        <w:tc>
          <w:tcPr>
            <w:tcW w:w="237" w:type="dxa"/>
            <w:tcBorders/>
            <w:shd w:fill="CF0A2C" w:val="clear"/>
            <w:vAlign w:val="bottom"/>
          </w:tcPr>
          <w:p>
            <w:pPr>
              <w:pStyle w:val="TableContents"/>
              <w:spacing w:before="0" w:after="283"/>
              <w:rPr/>
            </w:pPr>
            <w:r>
              <w:rPr/>
              <w:t>  </w:t>
            </w:r>
          </w:p>
        </w:tc>
        <w:tc>
          <w:tcPr>
            <w:tcW w:w="1004" w:type="dxa"/>
            <w:gridSpan w:val="2"/>
            <w:tcBorders/>
            <w:shd w:fill="CF0A2C" w:val="clear"/>
            <w:vAlign w:val="bottom"/>
          </w:tcPr>
          <w:p>
            <w:pPr>
              <w:pStyle w:val="TableContents"/>
              <w:spacing w:before="0" w:after="283"/>
              <w:jc w:val="center"/>
              <w:rPr>
                <w:b/>
                <w:color w:val="FFFFFF"/>
              </w:rPr>
            </w:pPr>
            <w:r>
              <w:rPr>
                <w:b/>
                <w:color w:val="FFFFFF"/>
              </w:rPr>
              <w:t>Joyce</w:t>
            </w:r>
          </w:p>
        </w:tc>
        <w:tc>
          <w:tcPr>
            <w:tcW w:w="60" w:type="dxa"/>
            <w:tcBorders/>
            <w:shd w:fill="CF0A2C" w:val="clear"/>
            <w:vAlign w:val="bottom"/>
          </w:tcPr>
          <w:p>
            <w:pPr>
              <w:pStyle w:val="TableContents"/>
              <w:spacing w:before="0" w:after="283"/>
              <w:rPr/>
            </w:pPr>
            <w:r>
              <w:rPr/>
              <w:t> </w:t>
            </w:r>
          </w:p>
        </w:tc>
        <w:tc>
          <w:tcPr>
            <w:tcW w:w="237" w:type="dxa"/>
            <w:tcBorders/>
            <w:shd w:fill="CF0A2C" w:val="clear"/>
            <w:vAlign w:val="bottom"/>
          </w:tcPr>
          <w:p>
            <w:pPr>
              <w:pStyle w:val="TableContents"/>
              <w:spacing w:before="0" w:after="283"/>
              <w:rPr/>
            </w:pPr>
            <w:r>
              <w:rPr/>
              <w:t>  </w:t>
            </w:r>
          </w:p>
        </w:tc>
        <w:tc>
          <w:tcPr>
            <w:tcW w:w="1004" w:type="dxa"/>
            <w:gridSpan w:val="2"/>
            <w:tcBorders/>
            <w:shd w:fill="CF0A2C" w:val="clear"/>
            <w:vAlign w:val="bottom"/>
          </w:tcPr>
          <w:p>
            <w:pPr>
              <w:pStyle w:val="TableContents"/>
              <w:spacing w:before="0" w:after="283"/>
              <w:jc w:val="center"/>
              <w:rPr>
                <w:b/>
                <w:color w:val="FFFFFF"/>
              </w:rPr>
            </w:pPr>
            <w:r>
              <w:rPr>
                <w:b/>
                <w:color w:val="FFFFFF"/>
              </w:rPr>
              <w:t>Song</w:t>
            </w:r>
          </w:p>
        </w:tc>
        <w:tc>
          <w:tcPr>
            <w:tcW w:w="60" w:type="dxa"/>
            <w:tcBorders/>
            <w:shd w:fill="CF0A2C" w:val="clear"/>
            <w:vAlign w:val="bottom"/>
          </w:tcPr>
          <w:p>
            <w:pPr>
              <w:pStyle w:val="TableContents"/>
              <w:spacing w:before="0" w:after="283"/>
              <w:rPr/>
            </w:pPr>
            <w:r>
              <w:rPr/>
              <w:t> </w:t>
            </w:r>
          </w:p>
        </w:tc>
        <w:tc>
          <w:tcPr>
            <w:tcW w:w="237" w:type="dxa"/>
            <w:tcBorders/>
            <w:shd w:fill="CF0A2C" w:val="clear"/>
            <w:vAlign w:val="bottom"/>
          </w:tcPr>
          <w:p>
            <w:pPr>
              <w:pStyle w:val="TableContents"/>
              <w:spacing w:before="0" w:after="283"/>
              <w:rPr/>
            </w:pPr>
            <w:r>
              <w:rPr/>
              <w:t>  </w:t>
            </w:r>
          </w:p>
        </w:tc>
        <w:tc>
          <w:tcPr>
            <w:tcW w:w="1004" w:type="dxa"/>
            <w:gridSpan w:val="2"/>
            <w:tcBorders/>
            <w:shd w:fill="CF0A2C" w:val="clear"/>
            <w:vAlign w:val="bottom"/>
          </w:tcPr>
          <w:p>
            <w:pPr>
              <w:pStyle w:val="TableContents"/>
              <w:spacing w:before="0" w:after="283"/>
              <w:jc w:val="center"/>
              <w:rPr>
                <w:b/>
                <w:color w:val="FFFFFF"/>
              </w:rPr>
            </w:pPr>
            <w:r>
              <w:rPr>
                <w:b/>
                <w:color w:val="FFFFFF"/>
              </w:rPr>
              <w:t>Johns</w:t>
            </w:r>
          </w:p>
        </w:tc>
        <w:tc>
          <w:tcPr>
            <w:tcW w:w="59" w:type="dxa"/>
            <w:tcBorders/>
            <w:shd w:fill="CF0A2C" w:val="clear"/>
            <w:vAlign w:val="bottom"/>
          </w:tcPr>
          <w:p>
            <w:pPr>
              <w:pStyle w:val="TableContents"/>
              <w:spacing w:before="0" w:after="283"/>
              <w:rPr/>
            </w:pPr>
            <w:r>
              <w:rPr/>
              <w:t> </w:t>
            </w:r>
          </w:p>
        </w:tc>
        <w:tc>
          <w:tcPr>
            <w:tcW w:w="237" w:type="dxa"/>
            <w:tcBorders/>
            <w:shd w:fill="CF0A2C" w:val="clear"/>
            <w:vAlign w:val="bottom"/>
          </w:tcPr>
          <w:p>
            <w:pPr>
              <w:pStyle w:val="TableContents"/>
              <w:spacing w:before="0" w:after="283"/>
              <w:rPr/>
            </w:pPr>
            <w:r>
              <w:rPr/>
              <w:t>  </w:t>
            </w:r>
          </w:p>
        </w:tc>
        <w:tc>
          <w:tcPr>
            <w:tcW w:w="1004" w:type="dxa"/>
            <w:gridSpan w:val="2"/>
            <w:tcBorders/>
            <w:shd w:fill="CF0A2C" w:val="clear"/>
            <w:vAlign w:val="bottom"/>
          </w:tcPr>
          <w:p>
            <w:pPr>
              <w:pStyle w:val="TableContents"/>
              <w:spacing w:before="0" w:after="283"/>
              <w:jc w:val="center"/>
              <w:rPr>
                <w:b/>
                <w:color w:val="FFFFFF"/>
              </w:rPr>
            </w:pPr>
            <w:r>
              <w:rPr>
                <w:b/>
                <w:color w:val="FFFFFF"/>
              </w:rPr>
              <w:t>Cywinski</w:t>
            </w:r>
          </w:p>
        </w:tc>
        <w:tc>
          <w:tcPr>
            <w:tcW w:w="60" w:type="dxa"/>
            <w:tcBorders/>
            <w:shd w:fill="CF0A2C" w:val="clear"/>
            <w:vAlign w:val="bottom"/>
          </w:tcPr>
          <w:p>
            <w:pPr>
              <w:pStyle w:val="TableContents"/>
              <w:spacing w:before="0" w:after="283"/>
              <w:rPr/>
            </w:pPr>
            <w:r>
              <w:rPr/>
              <w:t> </w:t>
            </w:r>
          </w:p>
        </w:tc>
        <w:tc>
          <w:tcPr>
            <w:tcW w:w="237" w:type="dxa"/>
            <w:tcBorders/>
            <w:shd w:fill="CF0A2C" w:val="clear"/>
            <w:vAlign w:val="bottom"/>
          </w:tcPr>
          <w:p>
            <w:pPr>
              <w:pStyle w:val="TableContents"/>
              <w:spacing w:before="0" w:after="283"/>
              <w:rPr/>
            </w:pPr>
            <w:r>
              <w:rPr/>
              <w:t>  </w:t>
            </w:r>
          </w:p>
        </w:tc>
        <w:tc>
          <w:tcPr>
            <w:tcW w:w="1140" w:type="dxa"/>
            <w:gridSpan w:val="2"/>
            <w:tcBorders/>
            <w:shd w:fill="CF0A2C" w:val="clear"/>
            <w:vAlign w:val="bottom"/>
          </w:tcPr>
          <w:p>
            <w:pPr>
              <w:pStyle w:val="TableContents"/>
              <w:spacing w:before="0" w:after="283"/>
              <w:jc w:val="center"/>
              <w:rPr>
                <w:b/>
                <w:color w:val="FFFFFF"/>
              </w:rPr>
            </w:pPr>
            <w:r>
              <w:rPr>
                <w:b/>
                <w:color w:val="FFFFFF"/>
              </w:rPr>
              <w:t>Adel</w:t>
            </w:r>
          </w:p>
        </w:tc>
        <w:tc>
          <w:tcPr>
            <w:tcW w:w="68" w:type="dxa"/>
            <w:tcBorders/>
            <w:shd w:fill="CF0A2C" w:val="clear"/>
            <w:vAlign w:val="bottom"/>
          </w:tcPr>
          <w:p>
            <w:pPr>
              <w:pStyle w:val="TableContents"/>
              <w:spacing w:before="0" w:after="283"/>
              <w:rPr/>
            </w:pPr>
            <w:r>
              <w:rPr/>
              <w:t> </w:t>
            </w:r>
          </w:p>
        </w:tc>
      </w:tr>
      <w:tr>
        <w:trPr>
          <w:trHeight w:val="75" w:hRule="atLeast"/>
        </w:trPr>
        <w:tc>
          <w:tcPr>
            <w:tcW w:w="3557" w:type="dxa"/>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300" w:type="dxa"/>
            <w:gridSpan w:val="4"/>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445" w:type="dxa"/>
            <w:gridSpan w:val="4"/>
            <w:tcBorders/>
            <w:shd w:fill="E5E5E5" w:val="clear"/>
            <w:vAlign w:val="center"/>
          </w:tcPr>
          <w:p>
            <w:pPr>
              <w:pStyle w:val="TableContents"/>
              <w:spacing w:before="0" w:after="283"/>
              <w:rPr>
                <w:sz w:val="4"/>
                <w:szCs w:val="4"/>
              </w:rPr>
            </w:pPr>
            <w:r>
              <w:rPr>
                <w:sz w:val="4"/>
                <w:szCs w:val="4"/>
              </w:rPr>
            </w:r>
          </w:p>
        </w:tc>
      </w:tr>
      <w:tr>
        <w:trPr/>
        <w:tc>
          <w:tcPr>
            <w:tcW w:w="3557" w:type="dxa"/>
            <w:tcBorders/>
            <w:shd w:fill="E5E5E5" w:val="clear"/>
          </w:tcPr>
          <w:p>
            <w:pPr>
              <w:pStyle w:val="TableContents"/>
              <w:spacing w:before="0" w:after="0"/>
              <w:rPr>
                <w:rFonts w:ascii="arial" w:hAnsi="arial"/>
                <w:sz w:val="20"/>
              </w:rPr>
            </w:pPr>
            <w:r>
              <w:rPr>
                <w:rFonts w:ascii="arial" w:hAnsi="arial"/>
                <w:sz w:val="20"/>
              </w:rPr>
              <w:t>Time-Vested NQSO Spread Value due to CIC</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59"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000" w:type="dxa"/>
            <w:tcBorders/>
            <w:shd w:fill="E5E5E5" w:val="clear"/>
            <w:vAlign w:val="bottom"/>
          </w:tcPr>
          <w:p>
            <w:pPr>
              <w:pStyle w:val="TableContents"/>
              <w:spacing w:before="0" w:after="283"/>
              <w:jc w:val="right"/>
              <w:rPr/>
            </w:pPr>
            <w:r>
              <w:rPr/>
              <w:t>0  </w:t>
            </w:r>
          </w:p>
        </w:tc>
        <w:tc>
          <w:tcPr>
            <w:tcW w:w="68" w:type="dxa"/>
            <w:tcBorders/>
            <w:shd w:fill="E5E5E5" w:val="clear"/>
            <w:vAlign w:val="bottom"/>
          </w:tcPr>
          <w:p>
            <w:pPr>
              <w:pStyle w:val="TableContents"/>
              <w:spacing w:before="0" w:after="283"/>
              <w:rPr/>
            </w:pPr>
            <w:r>
              <w:rPr/>
              <w:t> </w:t>
            </w:r>
          </w:p>
        </w:tc>
      </w:tr>
      <w:tr>
        <w:trPr>
          <w:trHeight w:val="75" w:hRule="atLeast"/>
        </w:trPr>
        <w:tc>
          <w:tcPr>
            <w:tcW w:w="3557" w:type="dxa"/>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300"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445" w:type="dxa"/>
            <w:gridSpan w:val="4"/>
            <w:tcBorders/>
            <w:shd w:fill="auto" w:val="clear"/>
            <w:vAlign w:val="center"/>
          </w:tcPr>
          <w:p>
            <w:pPr>
              <w:pStyle w:val="TableContents"/>
              <w:spacing w:before="0" w:after="283"/>
              <w:rPr>
                <w:sz w:val="4"/>
                <w:szCs w:val="4"/>
              </w:rPr>
            </w:pPr>
            <w:r>
              <w:rPr>
                <w:sz w:val="4"/>
                <w:szCs w:val="4"/>
              </w:rPr>
            </w:r>
          </w:p>
        </w:tc>
      </w:tr>
      <w:tr>
        <w:trPr/>
        <w:tc>
          <w:tcPr>
            <w:tcW w:w="3557" w:type="dxa"/>
            <w:tcBorders/>
            <w:shd w:fill="auto" w:val="clear"/>
          </w:tcPr>
          <w:p>
            <w:pPr>
              <w:pStyle w:val="TableContents"/>
              <w:spacing w:before="0" w:after="0"/>
              <w:rPr>
                <w:rFonts w:ascii="arial" w:hAnsi="arial"/>
                <w:sz w:val="20"/>
              </w:rPr>
            </w:pPr>
            <w:r>
              <w:rPr>
                <w:rFonts w:ascii="arial" w:hAnsi="arial"/>
                <w:sz w:val="20"/>
              </w:rPr>
              <w:t>Time-Vested RSA and RSU Value due to CIC</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6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6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64" w:type="dxa"/>
            <w:tcBorders/>
            <w:shd w:fill="auto" w:val="clear"/>
            <w:vAlign w:val="bottom"/>
          </w:tcPr>
          <w:p>
            <w:pPr>
              <w:pStyle w:val="TableContents"/>
              <w:spacing w:before="0" w:after="283"/>
              <w:jc w:val="right"/>
              <w:rPr/>
            </w:pPr>
            <w:r>
              <w:rPr/>
              <w:t>0</w:t>
            </w:r>
          </w:p>
        </w:tc>
        <w:tc>
          <w:tcPr>
            <w:tcW w:w="5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6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0" w:type="dxa"/>
            <w:tcBorders/>
            <w:shd w:fill="auto" w:val="clear"/>
            <w:vAlign w:val="bottom"/>
          </w:tcPr>
          <w:p>
            <w:pPr>
              <w:pStyle w:val="TableContents"/>
              <w:spacing w:before="0" w:after="283"/>
              <w:jc w:val="right"/>
              <w:rPr/>
            </w:pPr>
            <w:r>
              <w:rPr/>
              <w:t>0  </w:t>
            </w:r>
          </w:p>
        </w:tc>
        <w:tc>
          <w:tcPr>
            <w:tcW w:w="68" w:type="dxa"/>
            <w:tcBorders/>
            <w:shd w:fill="auto" w:val="clear"/>
            <w:vAlign w:val="bottom"/>
          </w:tcPr>
          <w:p>
            <w:pPr>
              <w:pStyle w:val="TableContents"/>
              <w:spacing w:before="0" w:after="283"/>
              <w:rPr/>
            </w:pPr>
            <w:r>
              <w:rPr/>
              <w:t> </w:t>
            </w:r>
          </w:p>
        </w:tc>
      </w:tr>
      <w:tr>
        <w:trPr>
          <w:trHeight w:val="75" w:hRule="atLeast"/>
        </w:trPr>
        <w:tc>
          <w:tcPr>
            <w:tcW w:w="3557" w:type="dxa"/>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300" w:type="dxa"/>
            <w:gridSpan w:val="4"/>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445" w:type="dxa"/>
            <w:gridSpan w:val="4"/>
            <w:tcBorders/>
            <w:shd w:fill="E5E5E5" w:val="clear"/>
            <w:vAlign w:val="center"/>
          </w:tcPr>
          <w:p>
            <w:pPr>
              <w:pStyle w:val="TableContents"/>
              <w:spacing w:before="0" w:after="283"/>
              <w:rPr>
                <w:sz w:val="4"/>
                <w:szCs w:val="4"/>
              </w:rPr>
            </w:pPr>
            <w:r>
              <w:rPr>
                <w:sz w:val="4"/>
                <w:szCs w:val="4"/>
              </w:rPr>
            </w:r>
          </w:p>
        </w:tc>
      </w:tr>
      <w:tr>
        <w:trPr/>
        <w:tc>
          <w:tcPr>
            <w:tcW w:w="3557" w:type="dxa"/>
            <w:tcBorders/>
            <w:shd w:fill="E5E5E5" w:val="clear"/>
          </w:tcPr>
          <w:p>
            <w:pPr>
              <w:pStyle w:val="TableContents"/>
              <w:spacing w:before="0" w:after="0"/>
              <w:rPr>
                <w:rFonts w:ascii="arial" w:hAnsi="arial"/>
                <w:sz w:val="20"/>
              </w:rPr>
            </w:pPr>
            <w:r>
              <w:rPr>
                <w:rFonts w:ascii="arial" w:hAnsi="arial"/>
                <w:sz w:val="20"/>
              </w:rPr>
              <w:t>Cash LTIP Value due to CIC</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59"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000" w:type="dxa"/>
            <w:tcBorders/>
            <w:shd w:fill="E5E5E5" w:val="clear"/>
            <w:vAlign w:val="bottom"/>
          </w:tcPr>
          <w:p>
            <w:pPr>
              <w:pStyle w:val="TableContents"/>
              <w:spacing w:before="0" w:after="283"/>
              <w:jc w:val="right"/>
              <w:rPr/>
            </w:pPr>
            <w:r>
              <w:rPr/>
              <w:t>0  </w:t>
            </w:r>
          </w:p>
        </w:tc>
        <w:tc>
          <w:tcPr>
            <w:tcW w:w="68" w:type="dxa"/>
            <w:tcBorders/>
            <w:shd w:fill="E5E5E5" w:val="clear"/>
            <w:vAlign w:val="bottom"/>
          </w:tcPr>
          <w:p>
            <w:pPr>
              <w:pStyle w:val="TableContents"/>
              <w:spacing w:before="0" w:after="283"/>
              <w:rPr/>
            </w:pPr>
            <w:r>
              <w:rPr/>
              <w:t> </w:t>
            </w:r>
          </w:p>
        </w:tc>
      </w:tr>
      <w:tr>
        <w:trPr>
          <w:trHeight w:val="75" w:hRule="atLeast"/>
        </w:trPr>
        <w:tc>
          <w:tcPr>
            <w:tcW w:w="3557" w:type="dxa"/>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300"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445" w:type="dxa"/>
            <w:gridSpan w:val="4"/>
            <w:tcBorders/>
            <w:shd w:fill="auto" w:val="clear"/>
            <w:vAlign w:val="center"/>
          </w:tcPr>
          <w:p>
            <w:pPr>
              <w:pStyle w:val="TableContents"/>
              <w:spacing w:before="0" w:after="283"/>
              <w:rPr>
                <w:sz w:val="4"/>
                <w:szCs w:val="4"/>
              </w:rPr>
            </w:pPr>
            <w:r>
              <w:rPr>
                <w:sz w:val="4"/>
                <w:szCs w:val="4"/>
              </w:rPr>
            </w:r>
          </w:p>
        </w:tc>
      </w:tr>
      <w:tr>
        <w:trPr/>
        <w:tc>
          <w:tcPr>
            <w:tcW w:w="3557" w:type="dxa"/>
            <w:tcBorders/>
            <w:shd w:fill="auto" w:val="clear"/>
          </w:tcPr>
          <w:p>
            <w:pPr>
              <w:pStyle w:val="TableContents"/>
              <w:spacing w:before="0" w:after="0"/>
              <w:rPr>
                <w:rFonts w:ascii="arial" w:hAnsi="arial"/>
                <w:sz w:val="20"/>
              </w:rPr>
            </w:pPr>
            <w:r>
              <w:rPr>
                <w:rFonts w:ascii="arial" w:hAnsi="arial"/>
                <w:sz w:val="20"/>
              </w:rPr>
              <w:t>Performance-and Time-Vested NQSO Spread value due to CIC</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6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6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64" w:type="dxa"/>
            <w:tcBorders/>
            <w:shd w:fill="auto" w:val="clear"/>
            <w:vAlign w:val="bottom"/>
          </w:tcPr>
          <w:p>
            <w:pPr>
              <w:pStyle w:val="TableContents"/>
              <w:spacing w:before="0" w:after="283"/>
              <w:jc w:val="right"/>
              <w:rPr/>
            </w:pPr>
            <w:r>
              <w:rPr/>
              <w:t>0</w:t>
            </w:r>
          </w:p>
        </w:tc>
        <w:tc>
          <w:tcPr>
            <w:tcW w:w="5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64"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0" w:type="dxa"/>
            <w:tcBorders/>
            <w:shd w:fill="auto" w:val="clear"/>
            <w:vAlign w:val="bottom"/>
          </w:tcPr>
          <w:p>
            <w:pPr>
              <w:pStyle w:val="TableContents"/>
              <w:spacing w:before="0" w:after="283"/>
              <w:jc w:val="right"/>
              <w:rPr/>
            </w:pPr>
            <w:r>
              <w:rPr/>
              <w:t>0  </w:t>
            </w:r>
          </w:p>
        </w:tc>
        <w:tc>
          <w:tcPr>
            <w:tcW w:w="68" w:type="dxa"/>
            <w:tcBorders/>
            <w:shd w:fill="auto" w:val="clear"/>
            <w:vAlign w:val="bottom"/>
          </w:tcPr>
          <w:p>
            <w:pPr>
              <w:pStyle w:val="TableContents"/>
              <w:spacing w:before="0" w:after="283"/>
              <w:rPr/>
            </w:pPr>
            <w:r>
              <w:rPr/>
              <w:t> </w:t>
            </w:r>
          </w:p>
        </w:tc>
      </w:tr>
      <w:tr>
        <w:trPr>
          <w:trHeight w:val="75" w:hRule="atLeast"/>
        </w:trPr>
        <w:tc>
          <w:tcPr>
            <w:tcW w:w="3557" w:type="dxa"/>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300" w:type="dxa"/>
            <w:gridSpan w:val="4"/>
            <w:tcBorders/>
            <w:shd w:fill="E5E5E5" w:val="clear"/>
            <w:vAlign w:val="center"/>
          </w:tcPr>
          <w:p>
            <w:pPr>
              <w:pStyle w:val="TableContents"/>
              <w:spacing w:before="0" w:after="283"/>
              <w:rPr>
                <w:sz w:val="4"/>
                <w:szCs w:val="4"/>
              </w:rPr>
            </w:pPr>
            <w:r>
              <w:rPr>
                <w:sz w:val="4"/>
                <w:szCs w:val="4"/>
              </w:rPr>
            </w:r>
          </w:p>
        </w:tc>
        <w:tc>
          <w:tcPr>
            <w:tcW w:w="1301" w:type="dxa"/>
            <w:gridSpan w:val="4"/>
            <w:tcBorders/>
            <w:shd w:fill="E5E5E5" w:val="clear"/>
            <w:vAlign w:val="center"/>
          </w:tcPr>
          <w:p>
            <w:pPr>
              <w:pStyle w:val="TableContents"/>
              <w:spacing w:before="0" w:after="283"/>
              <w:rPr>
                <w:sz w:val="4"/>
                <w:szCs w:val="4"/>
              </w:rPr>
            </w:pPr>
            <w:r>
              <w:rPr>
                <w:sz w:val="4"/>
                <w:szCs w:val="4"/>
              </w:rPr>
            </w:r>
          </w:p>
        </w:tc>
        <w:tc>
          <w:tcPr>
            <w:tcW w:w="1445" w:type="dxa"/>
            <w:gridSpan w:val="4"/>
            <w:tcBorders/>
            <w:shd w:fill="E5E5E5" w:val="clear"/>
            <w:vAlign w:val="center"/>
          </w:tcPr>
          <w:p>
            <w:pPr>
              <w:pStyle w:val="TableContents"/>
              <w:spacing w:before="0" w:after="283"/>
              <w:rPr>
                <w:sz w:val="4"/>
                <w:szCs w:val="4"/>
              </w:rPr>
            </w:pPr>
            <w:r>
              <w:rPr>
                <w:sz w:val="4"/>
                <w:szCs w:val="4"/>
              </w:rPr>
            </w:r>
          </w:p>
        </w:tc>
      </w:tr>
      <w:tr>
        <w:trPr/>
        <w:tc>
          <w:tcPr>
            <w:tcW w:w="3557" w:type="dxa"/>
            <w:tcBorders/>
            <w:shd w:fill="E5E5E5" w:val="clear"/>
          </w:tcPr>
          <w:p>
            <w:pPr>
              <w:pStyle w:val="TableContents"/>
              <w:spacing w:before="0" w:after="0"/>
              <w:rPr>
                <w:rFonts w:ascii="arial" w:hAnsi="arial"/>
                <w:sz w:val="20"/>
              </w:rPr>
            </w:pPr>
            <w:r>
              <w:rPr>
                <w:rFonts w:ascii="arial" w:hAnsi="arial"/>
                <w:sz w:val="20"/>
              </w:rPr>
              <w:t>Performance- and Time-Vested RSU Value due to CIC</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59"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64"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237"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000" w:type="dxa"/>
            <w:tcBorders/>
            <w:shd w:fill="E5E5E5" w:val="clear"/>
            <w:vAlign w:val="bottom"/>
          </w:tcPr>
          <w:p>
            <w:pPr>
              <w:pStyle w:val="TableContents"/>
              <w:spacing w:before="0" w:after="283"/>
              <w:jc w:val="right"/>
              <w:rPr/>
            </w:pPr>
            <w:r>
              <w:rPr/>
              <w:t>0  </w:t>
            </w:r>
          </w:p>
        </w:tc>
        <w:tc>
          <w:tcPr>
            <w:tcW w:w="68" w:type="dxa"/>
            <w:tcBorders/>
            <w:shd w:fill="E5E5E5" w:val="clear"/>
            <w:vAlign w:val="bottom"/>
          </w:tcPr>
          <w:p>
            <w:pPr>
              <w:pStyle w:val="TableContents"/>
              <w:spacing w:before="0" w:after="283"/>
              <w:rPr/>
            </w:pPr>
            <w:r>
              <w:rPr/>
              <w:t> </w:t>
            </w:r>
          </w:p>
        </w:tc>
      </w:tr>
      <w:tr>
        <w:trPr>
          <w:trHeight w:val="75" w:hRule="atLeast"/>
        </w:trPr>
        <w:tc>
          <w:tcPr>
            <w:tcW w:w="3557" w:type="dxa"/>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300"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c>
          <w:tcPr>
            <w:tcW w:w="1445" w:type="dxa"/>
            <w:gridSpan w:val="4"/>
            <w:tcBorders/>
            <w:shd w:fill="auto" w:val="clear"/>
            <w:vAlign w:val="center"/>
          </w:tcPr>
          <w:p>
            <w:pPr>
              <w:pStyle w:val="TableContents"/>
              <w:spacing w:before="0" w:after="283"/>
              <w:rPr>
                <w:sz w:val="4"/>
                <w:szCs w:val="4"/>
              </w:rPr>
            </w:pPr>
            <w:r>
              <w:rPr>
                <w:sz w:val="4"/>
                <w:szCs w:val="4"/>
              </w:rPr>
            </w:r>
          </w:p>
        </w:tc>
      </w:tr>
      <w:tr>
        <w:trPr/>
        <w:tc>
          <w:tcPr>
            <w:tcW w:w="3557" w:type="dxa"/>
            <w:tcBorders/>
            <w:shd w:fill="auto" w:val="clear"/>
          </w:tcPr>
          <w:p>
            <w:pPr>
              <w:pStyle w:val="TableContents"/>
              <w:spacing w:before="0" w:after="0"/>
              <w:rPr>
                <w:rFonts w:ascii="arial" w:hAnsi="arial"/>
                <w:b/>
                <w:sz w:val="20"/>
              </w:rPr>
            </w:pPr>
            <w:r>
              <w:rPr>
                <w:rFonts w:ascii="arial" w:hAnsi="arial"/>
                <w:b/>
                <w:sz w:val="20"/>
              </w:rPr>
              <w:t>Aggregate Payments</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64" w:type="dxa"/>
            <w:tcBorders/>
            <w:shd w:fill="auto" w:val="clear"/>
            <w:vAlign w:val="bottom"/>
          </w:tcPr>
          <w:p>
            <w:pPr>
              <w:pStyle w:val="TableContents"/>
              <w:spacing w:before="0" w:after="283"/>
              <w:jc w:val="right"/>
              <w:rPr/>
            </w:pPr>
            <w:r>
              <w:rPr/>
              <w:t>            </w:t>
            </w:r>
            <w:r>
              <w:rPr>
                <w:b/>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64" w:type="dxa"/>
            <w:tcBorders/>
            <w:shd w:fill="auto" w:val="clear"/>
            <w:vAlign w:val="bottom"/>
          </w:tcPr>
          <w:p>
            <w:pPr>
              <w:pStyle w:val="TableContents"/>
              <w:spacing w:before="0" w:after="283"/>
              <w:jc w:val="right"/>
              <w:rPr/>
            </w:pPr>
            <w:r>
              <w:rPr/>
              <w:t>            </w:t>
            </w:r>
            <w:r>
              <w:rPr>
                <w:b/>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64" w:type="dxa"/>
            <w:tcBorders/>
            <w:shd w:fill="auto" w:val="clear"/>
            <w:vAlign w:val="bottom"/>
          </w:tcPr>
          <w:p>
            <w:pPr>
              <w:pStyle w:val="TableContents"/>
              <w:spacing w:before="0" w:after="283"/>
              <w:jc w:val="right"/>
              <w:rPr/>
            </w:pPr>
            <w:r>
              <w:rPr/>
              <w:t>            </w:t>
            </w:r>
            <w:r>
              <w:rPr>
                <w:b/>
              </w:rPr>
              <w:t>0</w:t>
            </w:r>
          </w:p>
        </w:tc>
        <w:tc>
          <w:tcPr>
            <w:tcW w:w="5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64" w:type="dxa"/>
            <w:tcBorders/>
            <w:shd w:fill="auto" w:val="clear"/>
            <w:vAlign w:val="bottom"/>
          </w:tcPr>
          <w:p>
            <w:pPr>
              <w:pStyle w:val="TableContents"/>
              <w:spacing w:before="0" w:after="283"/>
              <w:jc w:val="right"/>
              <w:rPr/>
            </w:pPr>
            <w:r>
              <w:rPr/>
              <w:t>            </w:t>
            </w:r>
            <w:r>
              <w:rPr>
                <w:b/>
              </w:rPr>
              <w:t>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000" w:type="dxa"/>
            <w:tcBorders/>
            <w:shd w:fill="auto" w:val="clear"/>
            <w:vAlign w:val="bottom"/>
          </w:tcPr>
          <w:p>
            <w:pPr>
              <w:pStyle w:val="TableContents"/>
              <w:spacing w:before="0" w:after="283"/>
              <w:jc w:val="right"/>
              <w:rPr/>
            </w:pPr>
            <w:r>
              <w:rPr/>
              <w:t>            </w:t>
            </w:r>
            <w:r>
              <w:rPr>
                <w:b/>
              </w:rPr>
              <w:t>0  </w:t>
            </w:r>
          </w:p>
        </w:tc>
        <w:tc>
          <w:tcPr>
            <w:tcW w:w="68"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48    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0" descr=""/>
                          <pic:cNvPicPr>
                            <a:picLocks noChangeAspect="1" noChangeArrowheads="1"/>
                          </pic:cNvPicPr>
                        </pic:nvPicPr>
                        <pic:blipFill>
                          <a:blip r:embed="rId61"/>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COMPENSATION TABLES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NEOs have contractual entitlements to double trigger treatment with respect to cash severance and the vesting of outstanding equity and cash LTIP awards. In the event of a change-in-control where the acquiring entity does not assume outstanding awards, the Compensation Committee may exercise discretion to provide for the accelerated vesting of outstanding equity and cash LTIP awards. </w:t>
      </w:r>
    </w:p>
    <w:p>
      <w:pPr>
        <w:pStyle w:val="TextBody"/>
        <w:spacing w:before="240" w:after="0"/>
        <w:jc w:val="left"/>
        <w:rPr>
          <w:rFonts w:ascii="arial" w:hAnsi="arial"/>
          <w:sz w:val="20"/>
        </w:rPr>
      </w:pPr>
      <w:r>
        <w:rPr>
          <w:rFonts w:ascii="arial" w:hAnsi="arial"/>
          <w:sz w:val="20"/>
        </w:rPr>
        <w:t xml:space="preserve">The following table presents payments upon termination of employment due to disability or death.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288"/>
        <w:gridCol w:w="182"/>
        <w:gridCol w:w="140"/>
        <w:gridCol w:w="1116"/>
        <w:gridCol w:w="60"/>
        <w:gridCol w:w="182"/>
        <w:gridCol w:w="140"/>
        <w:gridCol w:w="982"/>
        <w:gridCol w:w="60"/>
        <w:gridCol w:w="182"/>
        <w:gridCol w:w="140"/>
        <w:gridCol w:w="982"/>
        <w:gridCol w:w="60"/>
        <w:gridCol w:w="182"/>
        <w:gridCol w:w="140"/>
        <w:gridCol w:w="982"/>
        <w:gridCol w:w="59"/>
        <w:gridCol w:w="182"/>
        <w:gridCol w:w="140"/>
        <w:gridCol w:w="940"/>
        <w:gridCol w:w="66"/>
      </w:tblGrid>
      <w:tr>
        <w:trPr/>
        <w:tc>
          <w:tcPr>
            <w:tcW w:w="328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288" w:type="dxa"/>
            <w:tcBorders/>
            <w:shd w:fill="CF0A2C" w:val="clear"/>
            <w:vAlign w:val="center"/>
          </w:tcPr>
          <w:p>
            <w:pPr>
              <w:pStyle w:val="TableContents"/>
              <w:spacing w:before="0" w:after="283"/>
              <w:rPr>
                <w:sz w:val="4"/>
                <w:szCs w:val="4"/>
              </w:rPr>
            </w:pPr>
            <w:r>
              <w:rPr>
                <w:sz w:val="4"/>
                <w:szCs w:val="4"/>
              </w:rPr>
            </w:r>
          </w:p>
        </w:tc>
        <w:tc>
          <w:tcPr>
            <w:tcW w:w="1498" w:type="dxa"/>
            <w:gridSpan w:val="4"/>
            <w:tcBorders/>
            <w:shd w:fill="CF0A2C" w:val="clear"/>
            <w:vAlign w:val="center"/>
          </w:tcPr>
          <w:p>
            <w:pPr>
              <w:pStyle w:val="TableContents"/>
              <w:spacing w:before="0" w:after="283"/>
              <w:rPr>
                <w:sz w:val="4"/>
                <w:szCs w:val="4"/>
              </w:rPr>
            </w:pPr>
            <w:r>
              <w:rPr>
                <w:sz w:val="4"/>
                <w:szCs w:val="4"/>
              </w:rPr>
            </w:r>
          </w:p>
        </w:tc>
        <w:tc>
          <w:tcPr>
            <w:tcW w:w="1364" w:type="dxa"/>
            <w:gridSpan w:val="4"/>
            <w:tcBorders/>
            <w:shd w:fill="CF0A2C" w:val="clear"/>
            <w:vAlign w:val="center"/>
          </w:tcPr>
          <w:p>
            <w:pPr>
              <w:pStyle w:val="TableContents"/>
              <w:spacing w:before="0" w:after="283"/>
              <w:rPr>
                <w:sz w:val="4"/>
                <w:szCs w:val="4"/>
              </w:rPr>
            </w:pPr>
            <w:r>
              <w:rPr>
                <w:sz w:val="4"/>
                <w:szCs w:val="4"/>
              </w:rPr>
            </w:r>
          </w:p>
        </w:tc>
        <w:tc>
          <w:tcPr>
            <w:tcW w:w="1364" w:type="dxa"/>
            <w:gridSpan w:val="4"/>
            <w:tcBorders/>
            <w:shd w:fill="CF0A2C" w:val="clear"/>
            <w:vAlign w:val="center"/>
          </w:tcPr>
          <w:p>
            <w:pPr>
              <w:pStyle w:val="TableContents"/>
              <w:spacing w:before="0" w:after="283"/>
              <w:rPr>
                <w:sz w:val="4"/>
                <w:szCs w:val="4"/>
              </w:rPr>
            </w:pPr>
            <w:r>
              <w:rPr>
                <w:sz w:val="4"/>
                <w:szCs w:val="4"/>
              </w:rPr>
            </w:r>
          </w:p>
        </w:tc>
        <w:tc>
          <w:tcPr>
            <w:tcW w:w="1363" w:type="dxa"/>
            <w:gridSpan w:val="4"/>
            <w:tcBorders/>
            <w:shd w:fill="CF0A2C" w:val="clear"/>
            <w:vAlign w:val="center"/>
          </w:tcPr>
          <w:p>
            <w:pPr>
              <w:pStyle w:val="TableContents"/>
              <w:spacing w:before="0" w:after="283"/>
              <w:rPr>
                <w:sz w:val="4"/>
                <w:szCs w:val="4"/>
              </w:rPr>
            </w:pPr>
            <w:r>
              <w:rPr>
                <w:sz w:val="4"/>
                <w:szCs w:val="4"/>
              </w:rPr>
            </w:r>
          </w:p>
        </w:tc>
        <w:tc>
          <w:tcPr>
            <w:tcW w:w="1328" w:type="dxa"/>
            <w:gridSpan w:val="4"/>
            <w:tcBorders/>
            <w:shd w:fill="CF0A2C" w:val="clear"/>
            <w:vAlign w:val="center"/>
          </w:tcPr>
          <w:p>
            <w:pPr>
              <w:pStyle w:val="TableContents"/>
              <w:spacing w:before="0" w:after="283"/>
              <w:rPr>
                <w:sz w:val="4"/>
                <w:szCs w:val="4"/>
              </w:rPr>
            </w:pPr>
            <w:r>
              <w:rPr>
                <w:sz w:val="4"/>
                <w:szCs w:val="4"/>
              </w:rPr>
            </w:r>
          </w:p>
        </w:tc>
      </w:tr>
      <w:tr>
        <w:trPr/>
        <w:tc>
          <w:tcPr>
            <w:tcW w:w="3288"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Payments</w:t>
            </w:r>
          </w:p>
        </w:tc>
        <w:tc>
          <w:tcPr>
            <w:tcW w:w="182" w:type="dxa"/>
            <w:tcBorders/>
            <w:shd w:fill="CF0A2C" w:val="clear"/>
            <w:vAlign w:val="bottom"/>
          </w:tcPr>
          <w:p>
            <w:pPr>
              <w:pStyle w:val="TableContents"/>
              <w:spacing w:before="0" w:after="283"/>
              <w:rPr/>
            </w:pPr>
            <w:r>
              <w:rPr/>
              <w:t>  </w:t>
            </w:r>
          </w:p>
        </w:tc>
        <w:tc>
          <w:tcPr>
            <w:tcW w:w="1256" w:type="dxa"/>
            <w:gridSpan w:val="2"/>
            <w:tcBorders/>
            <w:shd w:fill="CF0A2C" w:val="clear"/>
            <w:vAlign w:val="bottom"/>
          </w:tcPr>
          <w:p>
            <w:pPr>
              <w:pStyle w:val="TableContents"/>
              <w:spacing w:before="0" w:after="283"/>
              <w:jc w:val="center"/>
              <w:rPr>
                <w:b/>
                <w:color w:val="FFFFFF"/>
              </w:rPr>
            </w:pPr>
            <w:r>
              <w:rPr>
                <w:b/>
                <w:color w:val="FFFFFF"/>
              </w:rPr>
              <w:t>Joyce</w:t>
            </w:r>
          </w:p>
        </w:tc>
        <w:tc>
          <w:tcPr>
            <w:tcW w:w="60" w:type="dxa"/>
            <w:tcBorders/>
            <w:shd w:fill="CF0A2C" w:val="clear"/>
            <w:vAlign w:val="bottom"/>
          </w:tcPr>
          <w:p>
            <w:pPr>
              <w:pStyle w:val="TableContents"/>
              <w:spacing w:before="0" w:after="283"/>
              <w:rPr/>
            </w:pPr>
            <w:r>
              <w:rPr/>
              <w:t> </w:t>
            </w:r>
          </w:p>
        </w:tc>
        <w:tc>
          <w:tcPr>
            <w:tcW w:w="182" w:type="dxa"/>
            <w:tcBorders/>
            <w:shd w:fill="CF0A2C" w:val="clear"/>
            <w:vAlign w:val="bottom"/>
          </w:tcPr>
          <w:p>
            <w:pPr>
              <w:pStyle w:val="TableContents"/>
              <w:spacing w:before="0" w:after="283"/>
              <w:rPr/>
            </w:pPr>
            <w:r>
              <w:rPr/>
              <w:t>  </w:t>
            </w:r>
          </w:p>
        </w:tc>
        <w:tc>
          <w:tcPr>
            <w:tcW w:w="1122" w:type="dxa"/>
            <w:gridSpan w:val="2"/>
            <w:tcBorders/>
            <w:shd w:fill="CF0A2C" w:val="clear"/>
            <w:vAlign w:val="bottom"/>
          </w:tcPr>
          <w:p>
            <w:pPr>
              <w:pStyle w:val="TableContents"/>
              <w:spacing w:before="0" w:after="283"/>
              <w:jc w:val="center"/>
              <w:rPr>
                <w:b/>
                <w:color w:val="FFFFFF"/>
              </w:rPr>
            </w:pPr>
            <w:r>
              <w:rPr>
                <w:b/>
                <w:color w:val="FFFFFF"/>
              </w:rPr>
              <w:t>Song</w:t>
            </w:r>
          </w:p>
        </w:tc>
        <w:tc>
          <w:tcPr>
            <w:tcW w:w="60" w:type="dxa"/>
            <w:tcBorders/>
            <w:shd w:fill="CF0A2C" w:val="clear"/>
            <w:vAlign w:val="bottom"/>
          </w:tcPr>
          <w:p>
            <w:pPr>
              <w:pStyle w:val="TableContents"/>
              <w:spacing w:before="0" w:after="283"/>
              <w:rPr/>
            </w:pPr>
            <w:r>
              <w:rPr/>
              <w:t> </w:t>
            </w:r>
          </w:p>
        </w:tc>
        <w:tc>
          <w:tcPr>
            <w:tcW w:w="182" w:type="dxa"/>
            <w:tcBorders/>
            <w:shd w:fill="CF0A2C" w:val="clear"/>
            <w:vAlign w:val="bottom"/>
          </w:tcPr>
          <w:p>
            <w:pPr>
              <w:pStyle w:val="TableContents"/>
              <w:spacing w:before="0" w:after="283"/>
              <w:rPr/>
            </w:pPr>
            <w:r>
              <w:rPr/>
              <w:t>  </w:t>
            </w:r>
          </w:p>
        </w:tc>
        <w:tc>
          <w:tcPr>
            <w:tcW w:w="1122" w:type="dxa"/>
            <w:gridSpan w:val="2"/>
            <w:tcBorders/>
            <w:shd w:fill="CF0A2C" w:val="clear"/>
            <w:vAlign w:val="bottom"/>
          </w:tcPr>
          <w:p>
            <w:pPr>
              <w:pStyle w:val="TableContents"/>
              <w:spacing w:before="0" w:after="283"/>
              <w:jc w:val="center"/>
              <w:rPr>
                <w:b/>
                <w:color w:val="FFFFFF"/>
              </w:rPr>
            </w:pPr>
            <w:r>
              <w:rPr>
                <w:b/>
                <w:color w:val="FFFFFF"/>
              </w:rPr>
              <w:t>Johns</w:t>
            </w:r>
          </w:p>
        </w:tc>
        <w:tc>
          <w:tcPr>
            <w:tcW w:w="60" w:type="dxa"/>
            <w:tcBorders/>
            <w:shd w:fill="CF0A2C" w:val="clear"/>
            <w:vAlign w:val="bottom"/>
          </w:tcPr>
          <w:p>
            <w:pPr>
              <w:pStyle w:val="TableContents"/>
              <w:spacing w:before="0" w:after="283"/>
              <w:rPr/>
            </w:pPr>
            <w:r>
              <w:rPr/>
              <w:t> </w:t>
            </w:r>
          </w:p>
        </w:tc>
        <w:tc>
          <w:tcPr>
            <w:tcW w:w="182" w:type="dxa"/>
            <w:tcBorders/>
            <w:shd w:fill="CF0A2C" w:val="clear"/>
            <w:vAlign w:val="bottom"/>
          </w:tcPr>
          <w:p>
            <w:pPr>
              <w:pStyle w:val="TableContents"/>
              <w:spacing w:before="0" w:after="283"/>
              <w:rPr/>
            </w:pPr>
            <w:r>
              <w:rPr/>
              <w:t>  </w:t>
            </w:r>
          </w:p>
        </w:tc>
        <w:tc>
          <w:tcPr>
            <w:tcW w:w="1122" w:type="dxa"/>
            <w:gridSpan w:val="2"/>
            <w:tcBorders/>
            <w:shd w:fill="CF0A2C" w:val="clear"/>
            <w:vAlign w:val="bottom"/>
          </w:tcPr>
          <w:p>
            <w:pPr>
              <w:pStyle w:val="TableContents"/>
              <w:spacing w:before="0" w:after="283"/>
              <w:jc w:val="center"/>
              <w:rPr>
                <w:b/>
                <w:color w:val="FFFFFF"/>
              </w:rPr>
            </w:pPr>
            <w:r>
              <w:rPr>
                <w:b/>
                <w:color w:val="FFFFFF"/>
              </w:rPr>
              <w:t>Cywinski</w:t>
            </w:r>
          </w:p>
        </w:tc>
        <w:tc>
          <w:tcPr>
            <w:tcW w:w="59" w:type="dxa"/>
            <w:tcBorders/>
            <w:shd w:fill="CF0A2C" w:val="clear"/>
            <w:vAlign w:val="bottom"/>
          </w:tcPr>
          <w:p>
            <w:pPr>
              <w:pStyle w:val="TableContents"/>
              <w:spacing w:before="0" w:after="283"/>
              <w:rPr/>
            </w:pPr>
            <w:r>
              <w:rPr/>
              <w:t> </w:t>
            </w:r>
          </w:p>
        </w:tc>
        <w:tc>
          <w:tcPr>
            <w:tcW w:w="182" w:type="dxa"/>
            <w:tcBorders/>
            <w:shd w:fill="CF0A2C" w:val="clear"/>
            <w:vAlign w:val="bottom"/>
          </w:tcPr>
          <w:p>
            <w:pPr>
              <w:pStyle w:val="TableContents"/>
              <w:spacing w:before="0" w:after="283"/>
              <w:rPr/>
            </w:pPr>
            <w:r>
              <w:rPr/>
              <w:t>  </w:t>
            </w:r>
          </w:p>
        </w:tc>
        <w:tc>
          <w:tcPr>
            <w:tcW w:w="1080" w:type="dxa"/>
            <w:gridSpan w:val="2"/>
            <w:tcBorders/>
            <w:shd w:fill="CF0A2C" w:val="clear"/>
            <w:vAlign w:val="bottom"/>
          </w:tcPr>
          <w:p>
            <w:pPr>
              <w:pStyle w:val="TableContents"/>
              <w:spacing w:before="0" w:after="283"/>
              <w:jc w:val="center"/>
              <w:rPr>
                <w:b/>
                <w:color w:val="FFFFFF"/>
              </w:rPr>
            </w:pPr>
            <w:r>
              <w:rPr>
                <w:b/>
                <w:color w:val="FFFFFF"/>
              </w:rPr>
              <w:t>Adel</w:t>
            </w:r>
          </w:p>
        </w:tc>
        <w:tc>
          <w:tcPr>
            <w:tcW w:w="66" w:type="dxa"/>
            <w:tcBorders/>
            <w:shd w:fill="CF0A2C" w:val="clear"/>
            <w:vAlign w:val="bottom"/>
          </w:tcPr>
          <w:p>
            <w:pPr>
              <w:pStyle w:val="TableContents"/>
              <w:spacing w:before="0" w:after="283"/>
              <w:rPr/>
            </w:pPr>
            <w:r>
              <w:rPr/>
              <w:t> </w:t>
            </w:r>
          </w:p>
        </w:tc>
      </w:tr>
      <w:tr>
        <w:trPr>
          <w:trHeight w:val="75" w:hRule="atLeast"/>
        </w:trPr>
        <w:tc>
          <w:tcPr>
            <w:tcW w:w="3288"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4" w:type="dxa"/>
            <w:gridSpan w:val="4"/>
            <w:tcBorders/>
            <w:shd w:fill="E5E5E5" w:val="clear"/>
            <w:vAlign w:val="center"/>
          </w:tcPr>
          <w:p>
            <w:pPr>
              <w:pStyle w:val="TableContents"/>
              <w:spacing w:before="0" w:after="283"/>
              <w:rPr>
                <w:sz w:val="4"/>
                <w:szCs w:val="4"/>
              </w:rPr>
            </w:pPr>
            <w:r>
              <w:rPr>
                <w:sz w:val="4"/>
                <w:szCs w:val="4"/>
              </w:rPr>
            </w:r>
          </w:p>
        </w:tc>
        <w:tc>
          <w:tcPr>
            <w:tcW w:w="1364" w:type="dxa"/>
            <w:gridSpan w:val="4"/>
            <w:tcBorders/>
            <w:shd w:fill="E5E5E5" w:val="clear"/>
            <w:vAlign w:val="center"/>
          </w:tcPr>
          <w:p>
            <w:pPr>
              <w:pStyle w:val="TableContents"/>
              <w:spacing w:before="0" w:after="283"/>
              <w:rPr>
                <w:sz w:val="4"/>
                <w:szCs w:val="4"/>
              </w:rPr>
            </w:pPr>
            <w:r>
              <w:rPr>
                <w:sz w:val="4"/>
                <w:szCs w:val="4"/>
              </w:rPr>
            </w:r>
          </w:p>
        </w:tc>
        <w:tc>
          <w:tcPr>
            <w:tcW w:w="1363" w:type="dxa"/>
            <w:gridSpan w:val="4"/>
            <w:tcBorders/>
            <w:shd w:fill="E5E5E5" w:val="clear"/>
            <w:vAlign w:val="center"/>
          </w:tcPr>
          <w:p>
            <w:pPr>
              <w:pStyle w:val="TableContents"/>
              <w:spacing w:before="0" w:after="283"/>
              <w:rPr>
                <w:sz w:val="4"/>
                <w:szCs w:val="4"/>
              </w:rPr>
            </w:pPr>
            <w:r>
              <w:rPr>
                <w:sz w:val="4"/>
                <w:szCs w:val="4"/>
              </w:rPr>
            </w:r>
          </w:p>
        </w:tc>
        <w:tc>
          <w:tcPr>
            <w:tcW w:w="1328" w:type="dxa"/>
            <w:gridSpan w:val="4"/>
            <w:tcBorders/>
            <w:shd w:fill="E5E5E5" w:val="clear"/>
            <w:vAlign w:val="center"/>
          </w:tcPr>
          <w:p>
            <w:pPr>
              <w:pStyle w:val="TableContents"/>
              <w:spacing w:before="0" w:after="283"/>
              <w:rPr>
                <w:sz w:val="4"/>
                <w:szCs w:val="4"/>
              </w:rPr>
            </w:pPr>
            <w:r>
              <w:rPr>
                <w:sz w:val="4"/>
                <w:szCs w:val="4"/>
              </w:rPr>
            </w:r>
          </w:p>
        </w:tc>
      </w:tr>
      <w:tr>
        <w:trPr/>
        <w:tc>
          <w:tcPr>
            <w:tcW w:w="3288" w:type="dxa"/>
            <w:tcBorders/>
            <w:shd w:fill="E5E5E5" w:val="clear"/>
          </w:tcPr>
          <w:p>
            <w:pPr>
              <w:pStyle w:val="TableContents"/>
              <w:spacing w:before="0" w:after="0"/>
              <w:rPr>
                <w:rFonts w:ascii="arial" w:hAnsi="arial"/>
                <w:sz w:val="20"/>
              </w:rPr>
            </w:pPr>
            <w:r>
              <w:rPr>
                <w:rFonts w:ascii="arial" w:hAnsi="arial"/>
                <w:sz w:val="20"/>
              </w:rPr>
              <w:t>Pro-Rata Bonus Payment</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6" w:type="dxa"/>
            <w:tcBorders/>
            <w:shd w:fill="E5E5E5" w:val="clear"/>
            <w:vAlign w:val="bottom"/>
          </w:tcPr>
          <w:p>
            <w:pPr>
              <w:pStyle w:val="TableContents"/>
              <w:spacing w:before="0" w:after="283"/>
              <w:jc w:val="right"/>
              <w:rPr/>
            </w:pPr>
            <w:r>
              <w:rPr/>
              <w:t>500,000</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206,250</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206,250</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286,875</w:t>
            </w:r>
          </w:p>
        </w:tc>
        <w:tc>
          <w:tcPr>
            <w:tcW w:w="59"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40" w:type="dxa"/>
            <w:tcBorders/>
            <w:shd w:fill="E5E5E5" w:val="clear"/>
            <w:vAlign w:val="bottom"/>
          </w:tcPr>
          <w:p>
            <w:pPr>
              <w:pStyle w:val="TableContents"/>
              <w:spacing w:before="0" w:after="283"/>
              <w:jc w:val="right"/>
              <w:rPr/>
            </w:pPr>
            <w:r>
              <w:rPr/>
              <w:t>196,875  </w:t>
            </w:r>
          </w:p>
        </w:tc>
        <w:tc>
          <w:tcPr>
            <w:tcW w:w="66" w:type="dxa"/>
            <w:tcBorders/>
            <w:shd w:fill="E5E5E5" w:val="clear"/>
            <w:vAlign w:val="bottom"/>
          </w:tcPr>
          <w:p>
            <w:pPr>
              <w:pStyle w:val="TableContents"/>
              <w:spacing w:before="0" w:after="283"/>
              <w:rPr/>
            </w:pPr>
            <w:r>
              <w:rPr/>
              <w:t> </w:t>
            </w:r>
          </w:p>
        </w:tc>
      </w:tr>
      <w:tr>
        <w:trPr>
          <w:trHeight w:val="75" w:hRule="atLeast"/>
        </w:trPr>
        <w:tc>
          <w:tcPr>
            <w:tcW w:w="3288" w:type="dxa"/>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c>
          <w:tcPr>
            <w:tcW w:w="1364" w:type="dxa"/>
            <w:gridSpan w:val="4"/>
            <w:tcBorders/>
            <w:shd w:fill="auto" w:val="clear"/>
            <w:vAlign w:val="center"/>
          </w:tcPr>
          <w:p>
            <w:pPr>
              <w:pStyle w:val="TableContents"/>
              <w:spacing w:before="0" w:after="283"/>
              <w:rPr>
                <w:sz w:val="4"/>
                <w:szCs w:val="4"/>
              </w:rPr>
            </w:pPr>
            <w:r>
              <w:rPr>
                <w:sz w:val="4"/>
                <w:szCs w:val="4"/>
              </w:rPr>
            </w:r>
          </w:p>
        </w:tc>
        <w:tc>
          <w:tcPr>
            <w:tcW w:w="1364" w:type="dxa"/>
            <w:gridSpan w:val="4"/>
            <w:tcBorders/>
            <w:shd w:fill="auto" w:val="clear"/>
            <w:vAlign w:val="center"/>
          </w:tcPr>
          <w:p>
            <w:pPr>
              <w:pStyle w:val="TableContents"/>
              <w:spacing w:before="0" w:after="283"/>
              <w:rPr>
                <w:sz w:val="4"/>
                <w:szCs w:val="4"/>
              </w:rPr>
            </w:pPr>
            <w:r>
              <w:rPr>
                <w:sz w:val="4"/>
                <w:szCs w:val="4"/>
              </w:rPr>
            </w:r>
          </w:p>
        </w:tc>
        <w:tc>
          <w:tcPr>
            <w:tcW w:w="1363" w:type="dxa"/>
            <w:gridSpan w:val="4"/>
            <w:tcBorders/>
            <w:shd w:fill="auto" w:val="clear"/>
            <w:vAlign w:val="center"/>
          </w:tcPr>
          <w:p>
            <w:pPr>
              <w:pStyle w:val="TableContents"/>
              <w:spacing w:before="0" w:after="283"/>
              <w:rPr>
                <w:sz w:val="4"/>
                <w:szCs w:val="4"/>
              </w:rPr>
            </w:pPr>
            <w:r>
              <w:rPr>
                <w:sz w:val="4"/>
                <w:szCs w:val="4"/>
              </w:rPr>
            </w:r>
          </w:p>
        </w:tc>
        <w:tc>
          <w:tcPr>
            <w:tcW w:w="1328" w:type="dxa"/>
            <w:gridSpan w:val="4"/>
            <w:tcBorders/>
            <w:shd w:fill="auto" w:val="clear"/>
            <w:vAlign w:val="center"/>
          </w:tcPr>
          <w:p>
            <w:pPr>
              <w:pStyle w:val="TableContents"/>
              <w:spacing w:before="0" w:after="283"/>
              <w:rPr>
                <w:sz w:val="4"/>
                <w:szCs w:val="4"/>
              </w:rPr>
            </w:pPr>
            <w:r>
              <w:rPr>
                <w:sz w:val="4"/>
                <w:szCs w:val="4"/>
              </w:rPr>
            </w:r>
          </w:p>
        </w:tc>
      </w:tr>
      <w:tr>
        <w:trPr/>
        <w:tc>
          <w:tcPr>
            <w:tcW w:w="3288" w:type="dxa"/>
            <w:tcBorders/>
            <w:shd w:fill="auto" w:val="clear"/>
          </w:tcPr>
          <w:p>
            <w:pPr>
              <w:pStyle w:val="TableContents"/>
              <w:spacing w:before="0" w:after="0"/>
              <w:rPr>
                <w:rFonts w:ascii="arial" w:hAnsi="arial"/>
                <w:sz w:val="20"/>
              </w:rPr>
            </w:pPr>
            <w:r>
              <w:rPr>
                <w:rFonts w:ascii="arial" w:hAnsi="arial"/>
                <w:sz w:val="20"/>
              </w:rPr>
              <w:t>Time-Vested NQSO Spread Value due to Death or Disability</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6"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0</w:t>
            </w:r>
          </w:p>
        </w:tc>
        <w:tc>
          <w:tcPr>
            <w:tcW w:w="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0" w:type="dxa"/>
            <w:tcBorders/>
            <w:shd w:fill="auto" w:val="clear"/>
            <w:vAlign w:val="bottom"/>
          </w:tcPr>
          <w:p>
            <w:pPr>
              <w:pStyle w:val="TableContents"/>
              <w:spacing w:before="0" w:after="283"/>
              <w:jc w:val="right"/>
              <w:rPr/>
            </w:pPr>
            <w:r>
              <w:rPr/>
              <w:t>0  </w:t>
            </w:r>
          </w:p>
        </w:tc>
        <w:tc>
          <w:tcPr>
            <w:tcW w:w="66" w:type="dxa"/>
            <w:tcBorders/>
            <w:shd w:fill="auto" w:val="clear"/>
            <w:vAlign w:val="bottom"/>
          </w:tcPr>
          <w:p>
            <w:pPr>
              <w:pStyle w:val="TableContents"/>
              <w:spacing w:before="0" w:after="283"/>
              <w:rPr/>
            </w:pPr>
            <w:r>
              <w:rPr/>
              <w:t> </w:t>
            </w:r>
          </w:p>
        </w:tc>
      </w:tr>
      <w:tr>
        <w:trPr>
          <w:trHeight w:val="75" w:hRule="atLeast"/>
        </w:trPr>
        <w:tc>
          <w:tcPr>
            <w:tcW w:w="3288"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4" w:type="dxa"/>
            <w:gridSpan w:val="4"/>
            <w:tcBorders/>
            <w:shd w:fill="E5E5E5" w:val="clear"/>
            <w:vAlign w:val="center"/>
          </w:tcPr>
          <w:p>
            <w:pPr>
              <w:pStyle w:val="TableContents"/>
              <w:spacing w:before="0" w:after="283"/>
              <w:rPr>
                <w:sz w:val="4"/>
                <w:szCs w:val="4"/>
              </w:rPr>
            </w:pPr>
            <w:r>
              <w:rPr>
                <w:sz w:val="4"/>
                <w:szCs w:val="4"/>
              </w:rPr>
            </w:r>
          </w:p>
        </w:tc>
        <w:tc>
          <w:tcPr>
            <w:tcW w:w="1364" w:type="dxa"/>
            <w:gridSpan w:val="4"/>
            <w:tcBorders/>
            <w:shd w:fill="E5E5E5" w:val="clear"/>
            <w:vAlign w:val="center"/>
          </w:tcPr>
          <w:p>
            <w:pPr>
              <w:pStyle w:val="TableContents"/>
              <w:spacing w:before="0" w:after="283"/>
              <w:rPr>
                <w:sz w:val="4"/>
                <w:szCs w:val="4"/>
              </w:rPr>
            </w:pPr>
            <w:r>
              <w:rPr>
                <w:sz w:val="4"/>
                <w:szCs w:val="4"/>
              </w:rPr>
            </w:r>
          </w:p>
        </w:tc>
        <w:tc>
          <w:tcPr>
            <w:tcW w:w="1363" w:type="dxa"/>
            <w:gridSpan w:val="4"/>
            <w:tcBorders/>
            <w:shd w:fill="E5E5E5" w:val="clear"/>
            <w:vAlign w:val="center"/>
          </w:tcPr>
          <w:p>
            <w:pPr>
              <w:pStyle w:val="TableContents"/>
              <w:spacing w:before="0" w:after="283"/>
              <w:rPr>
                <w:sz w:val="4"/>
                <w:szCs w:val="4"/>
              </w:rPr>
            </w:pPr>
            <w:r>
              <w:rPr>
                <w:sz w:val="4"/>
                <w:szCs w:val="4"/>
              </w:rPr>
            </w:r>
          </w:p>
        </w:tc>
        <w:tc>
          <w:tcPr>
            <w:tcW w:w="1328" w:type="dxa"/>
            <w:gridSpan w:val="4"/>
            <w:tcBorders/>
            <w:shd w:fill="E5E5E5" w:val="clear"/>
            <w:vAlign w:val="center"/>
          </w:tcPr>
          <w:p>
            <w:pPr>
              <w:pStyle w:val="TableContents"/>
              <w:spacing w:before="0" w:after="283"/>
              <w:rPr>
                <w:sz w:val="4"/>
                <w:szCs w:val="4"/>
              </w:rPr>
            </w:pPr>
            <w:r>
              <w:rPr>
                <w:sz w:val="4"/>
                <w:szCs w:val="4"/>
              </w:rPr>
            </w:r>
          </w:p>
        </w:tc>
      </w:tr>
      <w:tr>
        <w:trPr/>
        <w:tc>
          <w:tcPr>
            <w:tcW w:w="3288" w:type="dxa"/>
            <w:tcBorders/>
            <w:shd w:fill="E5E5E5" w:val="clear"/>
          </w:tcPr>
          <w:p>
            <w:pPr>
              <w:pStyle w:val="TableContents"/>
              <w:spacing w:before="0" w:after="0"/>
              <w:rPr>
                <w:rFonts w:ascii="arial" w:hAnsi="arial"/>
                <w:sz w:val="20"/>
              </w:rPr>
            </w:pPr>
            <w:r>
              <w:rPr>
                <w:rFonts w:ascii="arial" w:hAnsi="arial"/>
                <w:sz w:val="20"/>
              </w:rPr>
              <w:t>Time-Vested RSA and RSU Value due to Death or Disability</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6" w:type="dxa"/>
            <w:tcBorders/>
            <w:shd w:fill="E5E5E5" w:val="clear"/>
            <w:vAlign w:val="bottom"/>
          </w:tcPr>
          <w:p>
            <w:pPr>
              <w:pStyle w:val="TableContents"/>
              <w:spacing w:before="0" w:after="283"/>
              <w:jc w:val="right"/>
              <w:rPr/>
            </w:pPr>
            <w:r>
              <w:rPr/>
              <w:t>5,014,142</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767,282</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909,440</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1,015,174</w:t>
            </w:r>
          </w:p>
        </w:tc>
        <w:tc>
          <w:tcPr>
            <w:tcW w:w="59"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40" w:type="dxa"/>
            <w:tcBorders/>
            <w:shd w:fill="E5E5E5" w:val="clear"/>
            <w:vAlign w:val="bottom"/>
          </w:tcPr>
          <w:p>
            <w:pPr>
              <w:pStyle w:val="TableContents"/>
              <w:spacing w:before="0" w:after="283"/>
              <w:jc w:val="right"/>
              <w:rPr/>
            </w:pPr>
            <w:r>
              <w:rPr/>
              <w:t>422,820  </w:t>
            </w:r>
          </w:p>
        </w:tc>
        <w:tc>
          <w:tcPr>
            <w:tcW w:w="66" w:type="dxa"/>
            <w:tcBorders/>
            <w:shd w:fill="E5E5E5" w:val="clear"/>
            <w:vAlign w:val="bottom"/>
          </w:tcPr>
          <w:p>
            <w:pPr>
              <w:pStyle w:val="TableContents"/>
              <w:spacing w:before="0" w:after="283"/>
              <w:rPr/>
            </w:pPr>
            <w:r>
              <w:rPr/>
              <w:t> </w:t>
            </w:r>
          </w:p>
        </w:tc>
      </w:tr>
      <w:tr>
        <w:trPr>
          <w:trHeight w:val="75" w:hRule="atLeast"/>
        </w:trPr>
        <w:tc>
          <w:tcPr>
            <w:tcW w:w="3288" w:type="dxa"/>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c>
          <w:tcPr>
            <w:tcW w:w="1364" w:type="dxa"/>
            <w:gridSpan w:val="4"/>
            <w:tcBorders/>
            <w:shd w:fill="auto" w:val="clear"/>
            <w:vAlign w:val="center"/>
          </w:tcPr>
          <w:p>
            <w:pPr>
              <w:pStyle w:val="TableContents"/>
              <w:spacing w:before="0" w:after="283"/>
              <w:rPr>
                <w:sz w:val="4"/>
                <w:szCs w:val="4"/>
              </w:rPr>
            </w:pPr>
            <w:r>
              <w:rPr>
                <w:sz w:val="4"/>
                <w:szCs w:val="4"/>
              </w:rPr>
            </w:r>
          </w:p>
        </w:tc>
        <w:tc>
          <w:tcPr>
            <w:tcW w:w="1364" w:type="dxa"/>
            <w:gridSpan w:val="4"/>
            <w:tcBorders/>
            <w:shd w:fill="auto" w:val="clear"/>
            <w:vAlign w:val="center"/>
          </w:tcPr>
          <w:p>
            <w:pPr>
              <w:pStyle w:val="TableContents"/>
              <w:spacing w:before="0" w:after="283"/>
              <w:rPr>
                <w:sz w:val="4"/>
                <w:szCs w:val="4"/>
              </w:rPr>
            </w:pPr>
            <w:r>
              <w:rPr>
                <w:sz w:val="4"/>
                <w:szCs w:val="4"/>
              </w:rPr>
            </w:r>
          </w:p>
        </w:tc>
        <w:tc>
          <w:tcPr>
            <w:tcW w:w="1363" w:type="dxa"/>
            <w:gridSpan w:val="4"/>
            <w:tcBorders/>
            <w:shd w:fill="auto" w:val="clear"/>
            <w:vAlign w:val="center"/>
          </w:tcPr>
          <w:p>
            <w:pPr>
              <w:pStyle w:val="TableContents"/>
              <w:spacing w:before="0" w:after="283"/>
              <w:rPr>
                <w:sz w:val="4"/>
                <w:szCs w:val="4"/>
              </w:rPr>
            </w:pPr>
            <w:r>
              <w:rPr>
                <w:sz w:val="4"/>
                <w:szCs w:val="4"/>
              </w:rPr>
            </w:r>
          </w:p>
        </w:tc>
        <w:tc>
          <w:tcPr>
            <w:tcW w:w="1328" w:type="dxa"/>
            <w:gridSpan w:val="4"/>
            <w:tcBorders/>
            <w:shd w:fill="auto" w:val="clear"/>
            <w:vAlign w:val="center"/>
          </w:tcPr>
          <w:p>
            <w:pPr>
              <w:pStyle w:val="TableContents"/>
              <w:spacing w:before="0" w:after="283"/>
              <w:rPr>
                <w:sz w:val="4"/>
                <w:szCs w:val="4"/>
              </w:rPr>
            </w:pPr>
            <w:r>
              <w:rPr>
                <w:sz w:val="4"/>
                <w:szCs w:val="4"/>
              </w:rPr>
            </w:r>
          </w:p>
        </w:tc>
      </w:tr>
      <w:tr>
        <w:trPr/>
        <w:tc>
          <w:tcPr>
            <w:tcW w:w="3288" w:type="dxa"/>
            <w:tcBorders/>
            <w:shd w:fill="auto" w:val="clear"/>
          </w:tcPr>
          <w:p>
            <w:pPr>
              <w:pStyle w:val="TableContents"/>
              <w:spacing w:before="0" w:after="0"/>
              <w:rPr>
                <w:rFonts w:ascii="arial" w:hAnsi="arial"/>
                <w:sz w:val="20"/>
              </w:rPr>
            </w:pPr>
            <w:r>
              <w:rPr>
                <w:rFonts w:ascii="arial" w:hAnsi="arial"/>
                <w:sz w:val="20"/>
              </w:rPr>
              <w:t>Cash LTIP Value due to Death or Disability</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6"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351,837</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150,719</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472,962</w:t>
            </w:r>
          </w:p>
        </w:tc>
        <w:tc>
          <w:tcPr>
            <w:tcW w:w="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0" w:type="dxa"/>
            <w:tcBorders/>
            <w:shd w:fill="auto" w:val="clear"/>
            <w:vAlign w:val="bottom"/>
          </w:tcPr>
          <w:p>
            <w:pPr>
              <w:pStyle w:val="TableContents"/>
              <w:spacing w:before="0" w:after="283"/>
              <w:jc w:val="right"/>
              <w:rPr/>
            </w:pPr>
            <w:r>
              <w:rPr/>
              <w:t>317,368  </w:t>
            </w:r>
          </w:p>
        </w:tc>
        <w:tc>
          <w:tcPr>
            <w:tcW w:w="66" w:type="dxa"/>
            <w:tcBorders/>
            <w:shd w:fill="auto" w:val="clear"/>
            <w:vAlign w:val="bottom"/>
          </w:tcPr>
          <w:p>
            <w:pPr>
              <w:pStyle w:val="TableContents"/>
              <w:spacing w:before="0" w:after="283"/>
              <w:rPr/>
            </w:pPr>
            <w:r>
              <w:rPr/>
              <w:t> </w:t>
            </w:r>
          </w:p>
        </w:tc>
      </w:tr>
      <w:tr>
        <w:trPr>
          <w:trHeight w:val="75" w:hRule="atLeast"/>
        </w:trPr>
        <w:tc>
          <w:tcPr>
            <w:tcW w:w="3288"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4" w:type="dxa"/>
            <w:gridSpan w:val="4"/>
            <w:tcBorders/>
            <w:shd w:fill="E5E5E5" w:val="clear"/>
            <w:vAlign w:val="center"/>
          </w:tcPr>
          <w:p>
            <w:pPr>
              <w:pStyle w:val="TableContents"/>
              <w:spacing w:before="0" w:after="283"/>
              <w:rPr>
                <w:sz w:val="4"/>
                <w:szCs w:val="4"/>
              </w:rPr>
            </w:pPr>
            <w:r>
              <w:rPr>
                <w:sz w:val="4"/>
                <w:szCs w:val="4"/>
              </w:rPr>
            </w:r>
          </w:p>
        </w:tc>
        <w:tc>
          <w:tcPr>
            <w:tcW w:w="1364" w:type="dxa"/>
            <w:gridSpan w:val="4"/>
            <w:tcBorders/>
            <w:shd w:fill="E5E5E5" w:val="clear"/>
            <w:vAlign w:val="center"/>
          </w:tcPr>
          <w:p>
            <w:pPr>
              <w:pStyle w:val="TableContents"/>
              <w:spacing w:before="0" w:after="283"/>
              <w:rPr>
                <w:sz w:val="4"/>
                <w:szCs w:val="4"/>
              </w:rPr>
            </w:pPr>
            <w:r>
              <w:rPr>
                <w:sz w:val="4"/>
                <w:szCs w:val="4"/>
              </w:rPr>
            </w:r>
          </w:p>
        </w:tc>
        <w:tc>
          <w:tcPr>
            <w:tcW w:w="1363" w:type="dxa"/>
            <w:gridSpan w:val="4"/>
            <w:tcBorders/>
            <w:shd w:fill="E5E5E5" w:val="clear"/>
            <w:vAlign w:val="center"/>
          </w:tcPr>
          <w:p>
            <w:pPr>
              <w:pStyle w:val="TableContents"/>
              <w:spacing w:before="0" w:after="283"/>
              <w:rPr>
                <w:sz w:val="4"/>
                <w:szCs w:val="4"/>
              </w:rPr>
            </w:pPr>
            <w:r>
              <w:rPr>
                <w:sz w:val="4"/>
                <w:szCs w:val="4"/>
              </w:rPr>
            </w:r>
          </w:p>
        </w:tc>
        <w:tc>
          <w:tcPr>
            <w:tcW w:w="1328" w:type="dxa"/>
            <w:gridSpan w:val="4"/>
            <w:tcBorders/>
            <w:shd w:fill="E5E5E5" w:val="clear"/>
            <w:vAlign w:val="center"/>
          </w:tcPr>
          <w:p>
            <w:pPr>
              <w:pStyle w:val="TableContents"/>
              <w:spacing w:before="0" w:after="283"/>
              <w:rPr>
                <w:sz w:val="4"/>
                <w:szCs w:val="4"/>
              </w:rPr>
            </w:pPr>
            <w:r>
              <w:rPr>
                <w:sz w:val="4"/>
                <w:szCs w:val="4"/>
              </w:rPr>
            </w:r>
          </w:p>
        </w:tc>
      </w:tr>
      <w:tr>
        <w:trPr/>
        <w:tc>
          <w:tcPr>
            <w:tcW w:w="3288" w:type="dxa"/>
            <w:tcBorders/>
            <w:shd w:fill="E5E5E5" w:val="clear"/>
          </w:tcPr>
          <w:p>
            <w:pPr>
              <w:pStyle w:val="TableContents"/>
              <w:spacing w:before="0" w:after="0"/>
              <w:rPr>
                <w:rFonts w:ascii="arial" w:hAnsi="arial"/>
                <w:sz w:val="20"/>
              </w:rPr>
            </w:pPr>
            <w:r>
              <w:rPr>
                <w:rFonts w:ascii="arial" w:hAnsi="arial"/>
                <w:sz w:val="20"/>
              </w:rPr>
              <w:t>Performance- and Time-Vested NQSO Spread value due to Death or Disability</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1116" w:type="dxa"/>
            <w:tcBorders/>
            <w:shd w:fill="E5E5E5" w:val="clear"/>
            <w:vAlign w:val="bottom"/>
          </w:tcPr>
          <w:p>
            <w:pPr>
              <w:pStyle w:val="TableContents"/>
              <w:spacing w:before="0" w:after="283"/>
              <w:jc w:val="right"/>
              <w:rPr/>
            </w:pPr>
            <w:r>
              <w:rPr/>
              <w:t>6,097,000</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0</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2" w:type="dxa"/>
            <w:tcBorders/>
            <w:shd w:fill="E5E5E5" w:val="clear"/>
            <w:vAlign w:val="bottom"/>
          </w:tcPr>
          <w:p>
            <w:pPr>
              <w:pStyle w:val="TableContents"/>
              <w:spacing w:before="0" w:after="283"/>
              <w:jc w:val="right"/>
              <w:rPr/>
            </w:pPr>
            <w:r>
              <w:rPr/>
              <w:t>0</w:t>
            </w:r>
          </w:p>
        </w:tc>
        <w:tc>
          <w:tcPr>
            <w:tcW w:w="59"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40" w:type="dxa"/>
            <w:tcBorders/>
            <w:shd w:fill="E5E5E5" w:val="clear"/>
            <w:vAlign w:val="bottom"/>
          </w:tcPr>
          <w:p>
            <w:pPr>
              <w:pStyle w:val="TableContents"/>
              <w:spacing w:before="0" w:after="283"/>
              <w:jc w:val="right"/>
              <w:rPr/>
            </w:pPr>
            <w:r>
              <w:rPr/>
              <w:t>0  </w:t>
            </w:r>
          </w:p>
        </w:tc>
        <w:tc>
          <w:tcPr>
            <w:tcW w:w="66" w:type="dxa"/>
            <w:tcBorders/>
            <w:shd w:fill="E5E5E5" w:val="clear"/>
            <w:vAlign w:val="bottom"/>
          </w:tcPr>
          <w:p>
            <w:pPr>
              <w:pStyle w:val="TableContents"/>
              <w:spacing w:before="0" w:after="283"/>
              <w:rPr/>
            </w:pPr>
            <w:r>
              <w:rPr/>
              <w:t> </w:t>
            </w:r>
          </w:p>
        </w:tc>
      </w:tr>
      <w:tr>
        <w:trPr>
          <w:trHeight w:val="75" w:hRule="atLeast"/>
        </w:trPr>
        <w:tc>
          <w:tcPr>
            <w:tcW w:w="3288" w:type="dxa"/>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c>
          <w:tcPr>
            <w:tcW w:w="1364" w:type="dxa"/>
            <w:gridSpan w:val="4"/>
            <w:tcBorders/>
            <w:shd w:fill="auto" w:val="clear"/>
            <w:vAlign w:val="center"/>
          </w:tcPr>
          <w:p>
            <w:pPr>
              <w:pStyle w:val="TableContents"/>
              <w:spacing w:before="0" w:after="283"/>
              <w:rPr>
                <w:sz w:val="4"/>
                <w:szCs w:val="4"/>
              </w:rPr>
            </w:pPr>
            <w:r>
              <w:rPr>
                <w:sz w:val="4"/>
                <w:szCs w:val="4"/>
              </w:rPr>
            </w:r>
          </w:p>
        </w:tc>
        <w:tc>
          <w:tcPr>
            <w:tcW w:w="1364" w:type="dxa"/>
            <w:gridSpan w:val="4"/>
            <w:tcBorders/>
            <w:shd w:fill="auto" w:val="clear"/>
            <w:vAlign w:val="center"/>
          </w:tcPr>
          <w:p>
            <w:pPr>
              <w:pStyle w:val="TableContents"/>
              <w:spacing w:before="0" w:after="283"/>
              <w:rPr>
                <w:sz w:val="4"/>
                <w:szCs w:val="4"/>
              </w:rPr>
            </w:pPr>
            <w:r>
              <w:rPr>
                <w:sz w:val="4"/>
                <w:szCs w:val="4"/>
              </w:rPr>
            </w:r>
          </w:p>
        </w:tc>
        <w:tc>
          <w:tcPr>
            <w:tcW w:w="1363" w:type="dxa"/>
            <w:gridSpan w:val="4"/>
            <w:tcBorders/>
            <w:shd w:fill="auto" w:val="clear"/>
            <w:vAlign w:val="center"/>
          </w:tcPr>
          <w:p>
            <w:pPr>
              <w:pStyle w:val="TableContents"/>
              <w:spacing w:before="0" w:after="283"/>
              <w:rPr>
                <w:sz w:val="4"/>
                <w:szCs w:val="4"/>
              </w:rPr>
            </w:pPr>
            <w:r>
              <w:rPr>
                <w:sz w:val="4"/>
                <w:szCs w:val="4"/>
              </w:rPr>
            </w:r>
          </w:p>
        </w:tc>
        <w:tc>
          <w:tcPr>
            <w:tcW w:w="1328" w:type="dxa"/>
            <w:gridSpan w:val="4"/>
            <w:tcBorders/>
            <w:shd w:fill="auto" w:val="clear"/>
            <w:vAlign w:val="center"/>
          </w:tcPr>
          <w:p>
            <w:pPr>
              <w:pStyle w:val="TableContents"/>
              <w:spacing w:before="0" w:after="283"/>
              <w:rPr>
                <w:sz w:val="4"/>
                <w:szCs w:val="4"/>
              </w:rPr>
            </w:pPr>
            <w:r>
              <w:rPr>
                <w:sz w:val="4"/>
                <w:szCs w:val="4"/>
              </w:rPr>
            </w:r>
          </w:p>
        </w:tc>
      </w:tr>
      <w:tr>
        <w:trPr/>
        <w:tc>
          <w:tcPr>
            <w:tcW w:w="3288" w:type="dxa"/>
            <w:tcBorders/>
            <w:shd w:fill="auto" w:val="clear"/>
          </w:tcPr>
          <w:p>
            <w:pPr>
              <w:pStyle w:val="TableContents"/>
              <w:spacing w:before="0" w:after="0"/>
              <w:rPr>
                <w:rFonts w:ascii="arial" w:hAnsi="arial"/>
                <w:sz w:val="20"/>
              </w:rPr>
            </w:pPr>
            <w:r>
              <w:rPr>
                <w:rFonts w:ascii="arial" w:hAnsi="arial"/>
                <w:sz w:val="20"/>
              </w:rPr>
              <w:t>Performance- and Time-Vested RSU Value due to Death or Disability</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6" w:type="dxa"/>
            <w:tcBorders/>
            <w:shd w:fill="auto" w:val="clear"/>
            <w:vAlign w:val="bottom"/>
          </w:tcPr>
          <w:p>
            <w:pPr>
              <w:pStyle w:val="TableContents"/>
              <w:spacing w:before="0" w:after="283"/>
              <w:jc w:val="right"/>
              <w:rPr/>
            </w:pPr>
            <w:r>
              <w:rPr/>
              <w:t>11,699,665</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716,297</w:t>
            </w:r>
          </w:p>
        </w:tc>
        <w:tc>
          <w:tcPr>
            <w:tcW w:w="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0" w:type="dxa"/>
            <w:tcBorders/>
            <w:shd w:fill="auto" w:val="clear"/>
            <w:vAlign w:val="bottom"/>
          </w:tcPr>
          <w:p>
            <w:pPr>
              <w:pStyle w:val="TableContents"/>
              <w:spacing w:before="0" w:after="283"/>
              <w:jc w:val="right"/>
              <w:rPr/>
            </w:pPr>
            <w:r>
              <w:rPr/>
              <w:t>0  </w:t>
            </w:r>
          </w:p>
        </w:tc>
        <w:tc>
          <w:tcPr>
            <w:tcW w:w="66" w:type="dxa"/>
            <w:tcBorders/>
            <w:shd w:fill="auto" w:val="clear"/>
            <w:vAlign w:val="bottom"/>
          </w:tcPr>
          <w:p>
            <w:pPr>
              <w:pStyle w:val="TableContents"/>
              <w:spacing w:before="0" w:after="283"/>
              <w:rPr/>
            </w:pPr>
            <w:r>
              <w:rPr/>
              <w:t> </w:t>
            </w:r>
          </w:p>
        </w:tc>
      </w:tr>
      <w:tr>
        <w:trPr>
          <w:trHeight w:val="75" w:hRule="atLeast"/>
        </w:trPr>
        <w:tc>
          <w:tcPr>
            <w:tcW w:w="3288" w:type="dxa"/>
            <w:tcBorders/>
            <w:shd w:fill="E5E5E5" w:val="clear"/>
            <w:vAlign w:val="center"/>
          </w:tcPr>
          <w:p>
            <w:pPr>
              <w:pStyle w:val="TableContents"/>
              <w:spacing w:before="0" w:after="283"/>
              <w:rPr>
                <w:sz w:val="4"/>
                <w:szCs w:val="4"/>
              </w:rPr>
            </w:pPr>
            <w:r>
              <w:rPr>
                <w:sz w:val="4"/>
                <w:szCs w:val="4"/>
              </w:rPr>
            </w:r>
          </w:p>
        </w:tc>
        <w:tc>
          <w:tcPr>
            <w:tcW w:w="1498" w:type="dxa"/>
            <w:gridSpan w:val="4"/>
            <w:tcBorders/>
            <w:shd w:fill="E5E5E5" w:val="clear"/>
            <w:vAlign w:val="center"/>
          </w:tcPr>
          <w:p>
            <w:pPr>
              <w:pStyle w:val="TableContents"/>
              <w:spacing w:before="0" w:after="283"/>
              <w:rPr>
                <w:sz w:val="4"/>
                <w:szCs w:val="4"/>
              </w:rPr>
            </w:pPr>
            <w:r>
              <w:rPr>
                <w:sz w:val="4"/>
                <w:szCs w:val="4"/>
              </w:rPr>
            </w:r>
          </w:p>
        </w:tc>
        <w:tc>
          <w:tcPr>
            <w:tcW w:w="1364" w:type="dxa"/>
            <w:gridSpan w:val="4"/>
            <w:tcBorders/>
            <w:shd w:fill="E5E5E5" w:val="clear"/>
            <w:vAlign w:val="center"/>
          </w:tcPr>
          <w:p>
            <w:pPr>
              <w:pStyle w:val="TableContents"/>
              <w:spacing w:before="0" w:after="283"/>
              <w:rPr>
                <w:sz w:val="4"/>
                <w:szCs w:val="4"/>
              </w:rPr>
            </w:pPr>
            <w:r>
              <w:rPr>
                <w:sz w:val="4"/>
                <w:szCs w:val="4"/>
              </w:rPr>
            </w:r>
          </w:p>
        </w:tc>
        <w:tc>
          <w:tcPr>
            <w:tcW w:w="1364" w:type="dxa"/>
            <w:gridSpan w:val="4"/>
            <w:tcBorders/>
            <w:shd w:fill="E5E5E5" w:val="clear"/>
            <w:vAlign w:val="center"/>
          </w:tcPr>
          <w:p>
            <w:pPr>
              <w:pStyle w:val="TableContents"/>
              <w:spacing w:before="0" w:after="283"/>
              <w:rPr>
                <w:sz w:val="4"/>
                <w:szCs w:val="4"/>
              </w:rPr>
            </w:pPr>
            <w:r>
              <w:rPr>
                <w:sz w:val="4"/>
                <w:szCs w:val="4"/>
              </w:rPr>
            </w:r>
          </w:p>
        </w:tc>
        <w:tc>
          <w:tcPr>
            <w:tcW w:w="1363" w:type="dxa"/>
            <w:gridSpan w:val="4"/>
            <w:tcBorders/>
            <w:shd w:fill="E5E5E5" w:val="clear"/>
            <w:vAlign w:val="center"/>
          </w:tcPr>
          <w:p>
            <w:pPr>
              <w:pStyle w:val="TableContents"/>
              <w:spacing w:before="0" w:after="283"/>
              <w:rPr>
                <w:sz w:val="4"/>
                <w:szCs w:val="4"/>
              </w:rPr>
            </w:pPr>
            <w:r>
              <w:rPr>
                <w:sz w:val="4"/>
                <w:szCs w:val="4"/>
              </w:rPr>
            </w:r>
          </w:p>
        </w:tc>
        <w:tc>
          <w:tcPr>
            <w:tcW w:w="1328" w:type="dxa"/>
            <w:gridSpan w:val="4"/>
            <w:tcBorders/>
            <w:shd w:fill="E5E5E5" w:val="clear"/>
            <w:vAlign w:val="center"/>
          </w:tcPr>
          <w:p>
            <w:pPr>
              <w:pStyle w:val="TableContents"/>
              <w:spacing w:before="0" w:after="283"/>
              <w:rPr>
                <w:sz w:val="4"/>
                <w:szCs w:val="4"/>
              </w:rPr>
            </w:pPr>
            <w:r>
              <w:rPr>
                <w:sz w:val="4"/>
                <w:szCs w:val="4"/>
              </w:rPr>
            </w:r>
          </w:p>
        </w:tc>
      </w:tr>
      <w:tr>
        <w:trPr/>
        <w:tc>
          <w:tcPr>
            <w:tcW w:w="3288" w:type="dxa"/>
            <w:tcBorders/>
            <w:shd w:fill="E5E5E5" w:val="clear"/>
          </w:tcPr>
          <w:p>
            <w:pPr>
              <w:pStyle w:val="TableContents"/>
              <w:spacing w:before="0" w:after="0"/>
              <w:rPr>
                <w:rFonts w:ascii="arial" w:hAnsi="arial"/>
                <w:b/>
                <w:sz w:val="20"/>
              </w:rPr>
            </w:pPr>
            <w:r>
              <w:rPr>
                <w:rFonts w:ascii="arial" w:hAnsi="arial"/>
                <w:b/>
                <w:sz w:val="20"/>
              </w:rPr>
              <w:t>Aggregate Payments</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1116" w:type="dxa"/>
            <w:tcBorders/>
            <w:shd w:fill="E5E5E5" w:val="clear"/>
            <w:vAlign w:val="bottom"/>
          </w:tcPr>
          <w:p>
            <w:pPr>
              <w:pStyle w:val="TableContents"/>
              <w:spacing w:before="0" w:after="283"/>
              <w:jc w:val="right"/>
              <w:rPr>
                <w:b/>
              </w:rPr>
            </w:pPr>
            <w:r>
              <w:rPr>
                <w:b/>
              </w:rPr>
              <w:t>23,310,806</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982" w:type="dxa"/>
            <w:tcBorders/>
            <w:shd w:fill="E5E5E5" w:val="clear"/>
            <w:vAlign w:val="bottom"/>
          </w:tcPr>
          <w:p>
            <w:pPr>
              <w:pStyle w:val="TableContents"/>
              <w:spacing w:before="0" w:after="283"/>
              <w:jc w:val="right"/>
              <w:rPr>
                <w:b/>
              </w:rPr>
            </w:pPr>
            <w:r>
              <w:rPr>
                <w:b/>
              </w:rPr>
              <w:t>1,325,369</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982" w:type="dxa"/>
            <w:tcBorders/>
            <w:shd w:fill="E5E5E5" w:val="clear"/>
            <w:vAlign w:val="bottom"/>
          </w:tcPr>
          <w:p>
            <w:pPr>
              <w:pStyle w:val="TableContents"/>
              <w:spacing w:before="0" w:after="283"/>
              <w:jc w:val="right"/>
              <w:rPr>
                <w:b/>
              </w:rPr>
            </w:pPr>
            <w:r>
              <w:rPr>
                <w:b/>
              </w:rPr>
              <w:t>1,266,409</w:t>
            </w:r>
          </w:p>
        </w:tc>
        <w:tc>
          <w:tcPr>
            <w:tcW w:w="60"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982" w:type="dxa"/>
            <w:tcBorders/>
            <w:shd w:fill="E5E5E5" w:val="clear"/>
            <w:vAlign w:val="bottom"/>
          </w:tcPr>
          <w:p>
            <w:pPr>
              <w:pStyle w:val="TableContents"/>
              <w:spacing w:before="0" w:after="283"/>
              <w:jc w:val="right"/>
              <w:rPr>
                <w:b/>
              </w:rPr>
            </w:pPr>
            <w:r>
              <w:rPr>
                <w:b/>
              </w:rPr>
              <w:t>2,491,307</w:t>
            </w:r>
          </w:p>
        </w:tc>
        <w:tc>
          <w:tcPr>
            <w:tcW w:w="59" w:type="dxa"/>
            <w:tcBorders/>
            <w:shd w:fill="E5E5E5" w:val="clear"/>
            <w:vAlign w:val="bottom"/>
          </w:tcPr>
          <w:p>
            <w:pPr>
              <w:pStyle w:val="TableContents"/>
              <w:spacing w:before="0" w:after="283"/>
              <w:rPr/>
            </w:pPr>
            <w:r>
              <w:rPr/>
              <w:t> </w:t>
            </w:r>
          </w:p>
        </w:tc>
        <w:tc>
          <w:tcPr>
            <w:tcW w:w="18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940" w:type="dxa"/>
            <w:tcBorders/>
            <w:shd w:fill="E5E5E5" w:val="clear"/>
            <w:vAlign w:val="bottom"/>
          </w:tcPr>
          <w:p>
            <w:pPr>
              <w:pStyle w:val="TableContents"/>
              <w:spacing w:before="0" w:after="283"/>
              <w:jc w:val="right"/>
              <w:rPr>
                <w:b/>
              </w:rPr>
            </w:pPr>
            <w:r>
              <w:rPr>
                <w:b/>
              </w:rPr>
              <w:t>937,063  </w:t>
            </w:r>
          </w:p>
        </w:tc>
        <w:tc>
          <w:tcPr>
            <w:tcW w:w="66" w:type="dxa"/>
            <w:tcBorders/>
            <w:shd w:fill="E5E5E5" w:val="clear"/>
            <w:vAlign w:val="bottom"/>
          </w:tcPr>
          <w:p>
            <w:pPr>
              <w:pStyle w:val="TableContents"/>
              <w:spacing w:before="0" w:after="283"/>
              <w:rPr/>
            </w:pPr>
            <w:r>
              <w:rPr/>
              <w:t> </w:t>
            </w:r>
          </w:p>
        </w:tc>
      </w:tr>
    </w:tbl>
    <w:p>
      <w:pPr>
        <w:pStyle w:val="TextBody"/>
        <w:spacing w:before="360" w:after="0"/>
        <w:jc w:val="left"/>
        <w:rPr>
          <w:rFonts w:ascii="arial" w:hAnsi="arial"/>
          <w:b/>
          <w:color w:val="CF0A2C"/>
          <w:sz w:val="28"/>
        </w:rPr>
      </w:pPr>
      <w:bookmarkStart w:id="36" w:name="toc116694_34"/>
      <w:bookmarkEnd w:id="36"/>
      <w:r>
        <w:rPr>
          <w:rFonts w:ascii="arial" w:hAnsi="arial"/>
          <w:b/>
          <w:color w:val="CF0A2C"/>
          <w:sz w:val="28"/>
        </w:rPr>
        <w:t xml:space="preserve">CEO Pay Ratio </w:t>
      </w:r>
    </w:p>
    <w:p>
      <w:pPr>
        <w:pStyle w:val="TextBody"/>
        <w:spacing w:before="120" w:after="0"/>
        <w:jc w:val="left"/>
        <w:rPr>
          <w:rFonts w:ascii="arial" w:hAnsi="arial"/>
          <w:sz w:val="20"/>
        </w:rPr>
      </w:pPr>
      <w:r>
        <w:rPr>
          <w:rFonts w:ascii="arial" w:hAnsi="arial"/>
          <w:sz w:val="20"/>
        </w:rPr>
        <w:t xml:space="preserve">As required by Section 953(b) of the Dodd-Frank Wall Street Reform and Consumer Protection Act, we are providing the following disclosure about the relationship of the annual total compensation of our employees to the annual total compensation of Stephen P. Joyce, our CEO. Consistent with the Compensation Committees approach to our executive compensation program, we set compensation using a market-based approach. Accordingly, we strive to create a competitive global compensation program in terms of both the position and the geographic location in which the employee is located. As a result, our compensation program varies amongst each local market in order to allow us to provide a competitive compensation package. </w:t>
      </w:r>
    </w:p>
    <w:p>
      <w:pPr>
        <w:pStyle w:val="TextBody"/>
        <w:spacing w:before="240" w:after="0"/>
        <w:jc w:val="left"/>
        <w:rPr>
          <w:rFonts w:ascii="arial" w:hAnsi="arial"/>
          <w:b/>
          <w:sz w:val="20"/>
        </w:rPr>
      </w:pPr>
      <w:r>
        <w:rPr>
          <w:rFonts w:ascii="arial" w:hAnsi="arial"/>
          <w:b/>
          <w:sz w:val="20"/>
        </w:rPr>
        <w:t xml:space="preserve">Ratio </w:t>
      </w:r>
    </w:p>
    <w:p>
      <w:pPr>
        <w:pStyle w:val="TextBody"/>
        <w:spacing w:before="120" w:after="0"/>
        <w:jc w:val="left"/>
        <w:rPr>
          <w:rFonts w:ascii="arial" w:hAnsi="arial"/>
          <w:sz w:val="20"/>
        </w:rPr>
      </w:pPr>
      <w:r>
        <w:rPr>
          <w:rFonts w:ascii="arial" w:hAnsi="arial"/>
          <w:sz w:val="20"/>
        </w:rPr>
        <w:t xml:space="preserve">For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102"/>
        <w:gridCol w:w="9491"/>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0"/>
              <w:jc w:val="left"/>
              <w:rPr>
                <w:rFonts w:ascii="arial" w:hAnsi="arial"/>
                <w:sz w:val="20"/>
              </w:rPr>
            </w:pPr>
            <w:r>
              <w:rPr>
                <w:rFonts w:ascii="arial" w:hAnsi="arial"/>
                <w:sz w:val="20"/>
              </w:rPr>
              <w:t xml:space="preserve">The median of the annual total compensation of all of our employees, other than Mr. Joyce, was $13,573.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103"/>
        <w:gridCol w:w="9486"/>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6" w:type="dxa"/>
            <w:tcBorders/>
            <w:shd w:fill="auto" w:val="clear"/>
          </w:tcPr>
          <w:p>
            <w:pPr>
              <w:pStyle w:val="TableContents"/>
              <w:spacing w:before="0" w:after="0"/>
              <w:jc w:val="left"/>
              <w:rPr>
                <w:rFonts w:ascii="arial" w:hAnsi="arial"/>
                <w:sz w:val="20"/>
              </w:rPr>
            </w:pPr>
            <w:r>
              <w:rPr>
                <w:rFonts w:ascii="arial" w:hAnsi="arial"/>
                <w:sz w:val="20"/>
              </w:rPr>
              <w:t xml:space="preserve">Mr. Joyces annual total compensation was $1,827,960. The total used for purposes of the CEO pay ratio differs from the amount reported in the Total column of the 2020 Summary Compensation Table due to the inclusion of the company-paid portion of health insurance premiums, which are excluded for Summary Compensation Table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102"/>
        <w:gridCol w:w="9491"/>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0"/>
              <w:jc w:val="left"/>
              <w:rPr>
                <w:rFonts w:ascii="arial" w:hAnsi="arial"/>
                <w:sz w:val="20"/>
              </w:rPr>
            </w:pPr>
            <w:r>
              <w:rPr>
                <w:rFonts w:ascii="arial" w:hAnsi="arial"/>
                <w:sz w:val="20"/>
              </w:rPr>
              <w:t xml:space="preserve">Based on this information, the ratio of the annual total compensation of Mr. Joyce to the median of the annual total compensation of all employees is estimated to be </w:t>
            </w:r>
            <w:r>
              <w:rPr>
                <w:rFonts w:ascii="arial" w:hAnsi="arial"/>
                <w:b/>
                <w:sz w:val="20"/>
              </w:rPr>
              <w:t>135 to 1</w:t>
            </w:r>
            <w:r>
              <w:rPr>
                <w:rFonts w:ascii="arial" w:hAnsi="arial"/>
                <w:sz w:val="20"/>
              </w:rPr>
              <w:t xml:space="preserve">. </w:t>
            </w:r>
          </w:p>
        </w:tc>
      </w:tr>
    </w:tbl>
    <w:p>
      <w:pPr>
        <w:pStyle w:val="TextBody"/>
        <w:spacing w:before="240" w:after="0"/>
        <w:jc w:val="left"/>
        <w:rPr>
          <w:rFonts w:ascii="arial" w:hAnsi="arial"/>
          <w:b/>
          <w:sz w:val="20"/>
        </w:rPr>
      </w:pPr>
      <w:r>
        <w:rPr>
          <w:rFonts w:ascii="arial" w:hAnsi="arial"/>
          <w:b/>
          <w:sz w:val="20"/>
        </w:rPr>
        <w:t xml:space="preserve">Identification of Median Employee </w:t>
      </w:r>
    </w:p>
    <w:p>
      <w:pPr>
        <w:pStyle w:val="TextBody"/>
        <w:spacing w:before="120" w:after="0"/>
        <w:jc w:val="left"/>
        <w:rPr>
          <w:rFonts w:ascii="arial" w:hAnsi="arial"/>
          <w:sz w:val="20"/>
        </w:rPr>
      </w:pPr>
      <w:r>
        <w:rPr>
          <w:rFonts w:ascii="arial" w:hAnsi="arial"/>
          <w:sz w:val="20"/>
        </w:rPr>
        <w:t xml:space="preserve">As of the December 31, 2020 median employee identification date, we had 3,447 employees, with 3,432 employees based in the United States and 15 employees located outside of the United States. The pay ratio disclosure rules provide an exemption for companies to exclude non-U.S. employees from the median employee calculation if non-U.S. employees in a particular jurisdiction account for five percent or less of the Corporations total number of employees. The Corporation applied this </w:t>
      </w:r>
      <w:r>
        <w:rPr>
          <w:rFonts w:ascii="arial" w:hAnsi="arial"/>
          <w:i/>
          <w:sz w:val="20"/>
        </w:rPr>
        <w:t>de minimis</w:t>
      </w:r>
      <w:r>
        <w:rPr>
          <w:rFonts w:ascii="arial" w:hAnsi="arial"/>
          <w:sz w:val="20"/>
        </w:rPr>
        <w:t xml:space="preserve"> exemption when identifying the median employee by excluding the 15 employees located outside of the United States. In determining the median employee, 3,432 employees in the United States and no employees located outside of the United States were used for the pay ratio calculation.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1" descr=""/>
                          <pic:cNvPicPr>
                            <a:picLocks noChangeAspect="1" noChangeArrowheads="1"/>
                          </pic:cNvPicPr>
                        </pic:nvPicPr>
                        <pic:blipFill>
                          <a:blip r:embed="rId62"/>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49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COMPENSATION TABLES</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For purposes of identifying the 2020 median employee from our employee population base, we considered the annual total sum of base salary, wages, overtime, tips, and target bonus, as applicable, compiled from our human resources records. We selected these compensation measures as they represent the principal forms of compensation delivered to all of our employees and this information is readily available. In addition, we measured compensation for purposes of determining the median employee using the 12-month period ending December 31, 2020 and annualized the compensation of any employee who was employed by us for less than the entire year. </w:t>
      </w:r>
    </w:p>
    <w:p>
      <w:pPr>
        <w:pStyle w:val="TextBody"/>
        <w:spacing w:before="120" w:after="0"/>
        <w:jc w:val="left"/>
        <w:rPr>
          <w:rFonts w:ascii="arial" w:hAnsi="arial"/>
          <w:sz w:val="20"/>
        </w:rPr>
      </w:pPr>
      <w:r>
        <w:rPr>
          <w:rFonts w:ascii="arial" w:hAnsi="arial"/>
          <w:sz w:val="20"/>
        </w:rPr>
        <w:t xml:space="preserve">Using this methodology, we determined that our median employee was a part-time, hourly employee located in Leland, North Carolina. In determining the annual total compensation of the median employee, such employees compensation was calculated in accordance with Item 402(c)(2)(x) of Regulation S-K, as required pursuant to the SEC executive compensation disclosure rules except that we elected to include the company-paid portion of health insurance premiums, which are normally excluded from the calculation of total compensation for purposes of the Summary Compensation Table. </w:t>
      </w:r>
    </w:p>
    <w:p>
      <w:pPr>
        <w:pStyle w:val="TextBody"/>
        <w:spacing w:before="360" w:after="0"/>
        <w:jc w:val="left"/>
        <w:rPr>
          <w:rFonts w:ascii="arial" w:hAnsi="arial"/>
          <w:b/>
          <w:color w:val="CF0A2C"/>
          <w:sz w:val="28"/>
        </w:rPr>
      </w:pPr>
      <w:bookmarkStart w:id="37" w:name="toc116694_36"/>
      <w:bookmarkEnd w:id="37"/>
      <w:r>
        <w:rPr>
          <w:rFonts w:ascii="arial" w:hAnsi="arial"/>
          <w:b/>
          <w:color w:val="CF0A2C"/>
          <w:sz w:val="28"/>
        </w:rPr>
        <w:t xml:space="preserve">Equity Compensation Plan Information </w:t>
      </w:r>
    </w:p>
    <w:p>
      <w:pPr>
        <w:pStyle w:val="TextBody"/>
        <w:spacing w:before="120" w:after="0"/>
        <w:jc w:val="left"/>
        <w:rPr>
          <w:rFonts w:ascii="arial" w:hAnsi="arial"/>
          <w:sz w:val="20"/>
        </w:rPr>
      </w:pPr>
      <w:r>
        <w:rPr>
          <w:rFonts w:ascii="arial" w:hAnsi="arial"/>
          <w:sz w:val="20"/>
        </w:rPr>
        <w:t xml:space="preserve">The following table provides information as of December 31, 2020 about Common Stock that may be issued under the 2019 Stock Incentive Plan.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47"/>
        <w:gridCol w:w="467"/>
        <w:gridCol w:w="67"/>
        <w:gridCol w:w="67"/>
        <w:gridCol w:w="1114"/>
        <w:gridCol w:w="28"/>
        <w:gridCol w:w="467"/>
        <w:gridCol w:w="150"/>
        <w:gridCol w:w="150"/>
        <w:gridCol w:w="1412"/>
        <w:gridCol w:w="59"/>
        <w:gridCol w:w="467"/>
        <w:gridCol w:w="106"/>
        <w:gridCol w:w="106"/>
        <w:gridCol w:w="1748"/>
        <w:gridCol w:w="50"/>
      </w:tblGrid>
      <w:tr>
        <w:trPr/>
        <w:tc>
          <w:tcPr>
            <w:tcW w:w="374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3747" w:type="dxa"/>
            <w:tcBorders/>
            <w:shd w:fill="CF0A2C" w:val="clear"/>
            <w:vAlign w:val="center"/>
          </w:tcPr>
          <w:p>
            <w:pPr>
              <w:pStyle w:val="TableContents"/>
              <w:spacing w:before="0" w:after="283"/>
              <w:rPr>
                <w:sz w:val="4"/>
                <w:szCs w:val="4"/>
              </w:rPr>
            </w:pPr>
            <w:r>
              <w:rPr>
                <w:sz w:val="4"/>
                <w:szCs w:val="4"/>
              </w:rPr>
            </w:r>
          </w:p>
        </w:tc>
        <w:tc>
          <w:tcPr>
            <w:tcW w:w="1743" w:type="dxa"/>
            <w:gridSpan w:val="5"/>
            <w:tcBorders/>
            <w:shd w:fill="CF0A2C" w:val="clear"/>
            <w:vAlign w:val="center"/>
          </w:tcPr>
          <w:p>
            <w:pPr>
              <w:pStyle w:val="TableContents"/>
              <w:spacing w:before="0" w:after="283"/>
              <w:rPr>
                <w:sz w:val="4"/>
                <w:szCs w:val="4"/>
              </w:rPr>
            </w:pPr>
            <w:r>
              <w:rPr>
                <w:sz w:val="4"/>
                <w:szCs w:val="4"/>
              </w:rPr>
            </w:r>
          </w:p>
        </w:tc>
        <w:tc>
          <w:tcPr>
            <w:tcW w:w="2238" w:type="dxa"/>
            <w:gridSpan w:val="5"/>
            <w:tcBorders/>
            <w:shd w:fill="CF0A2C" w:val="clear"/>
            <w:vAlign w:val="center"/>
          </w:tcPr>
          <w:p>
            <w:pPr>
              <w:pStyle w:val="TableContents"/>
              <w:spacing w:before="0" w:after="283"/>
              <w:rPr>
                <w:sz w:val="4"/>
                <w:szCs w:val="4"/>
              </w:rPr>
            </w:pPr>
            <w:r>
              <w:rPr>
                <w:sz w:val="4"/>
                <w:szCs w:val="4"/>
              </w:rPr>
            </w:r>
          </w:p>
        </w:tc>
        <w:tc>
          <w:tcPr>
            <w:tcW w:w="2477" w:type="dxa"/>
            <w:gridSpan w:val="5"/>
            <w:tcBorders/>
            <w:shd w:fill="CF0A2C" w:val="clear"/>
            <w:vAlign w:val="center"/>
          </w:tcPr>
          <w:p>
            <w:pPr>
              <w:pStyle w:val="TableContents"/>
              <w:spacing w:before="0" w:after="283"/>
              <w:rPr>
                <w:sz w:val="4"/>
                <w:szCs w:val="4"/>
              </w:rPr>
            </w:pPr>
            <w:r>
              <w:rPr>
                <w:sz w:val="4"/>
                <w:szCs w:val="4"/>
              </w:rPr>
            </w:r>
          </w:p>
        </w:tc>
      </w:tr>
      <w:tr>
        <w:trPr/>
        <w:tc>
          <w:tcPr>
            <w:tcW w:w="3747" w:type="dxa"/>
            <w:tcBorders/>
            <w:shd w:fill="CF0A2C" w:val="clear"/>
            <w:vAlign w:val="bottom"/>
          </w:tcPr>
          <w:p>
            <w:pPr>
              <w:pStyle w:val="TableContents"/>
              <w:spacing w:before="0" w:after="283"/>
              <w:rPr/>
            </w:pPr>
            <w:r>
              <w:rPr/>
              <w:t> </w:t>
            </w:r>
          </w:p>
        </w:tc>
        <w:tc>
          <w:tcPr>
            <w:tcW w:w="467" w:type="dxa"/>
            <w:tcBorders/>
            <w:shd w:fill="CF0A2C" w:val="clear"/>
            <w:vAlign w:val="bottom"/>
          </w:tcPr>
          <w:p>
            <w:pPr>
              <w:pStyle w:val="TableContents"/>
              <w:spacing w:before="0" w:after="283"/>
              <w:rPr/>
            </w:pPr>
            <w:r>
              <w:rPr/>
              <w:t>  </w:t>
            </w:r>
          </w:p>
        </w:tc>
        <w:tc>
          <w:tcPr>
            <w:tcW w:w="1276" w:type="dxa"/>
            <w:gridSpan w:val="4"/>
            <w:tcBorders>
              <w:bottom w:val="single" w:sz="2" w:space="0" w:color="FFFFFF"/>
            </w:tcBorders>
            <w:shd w:fill="CF0A2C" w:val="clear"/>
            <w:tcMar>
              <w:bottom w:w="28" w:type="dxa"/>
            </w:tcMar>
            <w:vAlign w:val="bottom"/>
          </w:tcPr>
          <w:p>
            <w:pPr>
              <w:pStyle w:val="TableContents"/>
              <w:spacing w:before="0" w:after="283"/>
              <w:jc w:val="center"/>
              <w:rPr>
                <w:b/>
                <w:color w:val="FFFFFF"/>
              </w:rPr>
            </w:pPr>
            <w:r>
              <w:rPr>
                <w:b/>
                <w:color w:val="FFFFFF"/>
              </w:rPr>
              <w:t>(a)</w:t>
            </w:r>
          </w:p>
        </w:tc>
        <w:tc>
          <w:tcPr>
            <w:tcW w:w="467" w:type="dxa"/>
            <w:tcBorders/>
            <w:shd w:fill="CF0A2C" w:val="clear"/>
            <w:vAlign w:val="bottom"/>
          </w:tcPr>
          <w:p>
            <w:pPr>
              <w:pStyle w:val="TableContents"/>
              <w:spacing w:before="0" w:after="283"/>
              <w:rPr/>
            </w:pPr>
            <w:r>
              <w:rPr/>
              <w:t>  </w:t>
            </w:r>
          </w:p>
        </w:tc>
        <w:tc>
          <w:tcPr>
            <w:tcW w:w="1771" w:type="dxa"/>
            <w:gridSpan w:val="4"/>
            <w:tcBorders>
              <w:bottom w:val="single" w:sz="2" w:space="0" w:color="FFFFFF"/>
            </w:tcBorders>
            <w:shd w:fill="CF0A2C" w:val="clear"/>
            <w:tcMar>
              <w:bottom w:w="28" w:type="dxa"/>
            </w:tcMar>
            <w:vAlign w:val="bottom"/>
          </w:tcPr>
          <w:p>
            <w:pPr>
              <w:pStyle w:val="TableContents"/>
              <w:spacing w:before="0" w:after="283"/>
              <w:jc w:val="center"/>
              <w:rPr>
                <w:b/>
                <w:color w:val="FFFFFF"/>
              </w:rPr>
            </w:pPr>
            <w:r>
              <w:rPr>
                <w:b/>
                <w:color w:val="FFFFFF"/>
              </w:rPr>
              <w:t>(b)</w:t>
            </w:r>
          </w:p>
        </w:tc>
        <w:tc>
          <w:tcPr>
            <w:tcW w:w="467" w:type="dxa"/>
            <w:tcBorders/>
            <w:shd w:fill="CF0A2C" w:val="clear"/>
            <w:vAlign w:val="bottom"/>
          </w:tcPr>
          <w:p>
            <w:pPr>
              <w:pStyle w:val="TableContents"/>
              <w:spacing w:before="0" w:after="283"/>
              <w:rPr/>
            </w:pPr>
            <w:r>
              <w:rPr/>
              <w:t>  </w:t>
            </w:r>
          </w:p>
        </w:tc>
        <w:tc>
          <w:tcPr>
            <w:tcW w:w="2010" w:type="dxa"/>
            <w:gridSpan w:val="4"/>
            <w:tcBorders>
              <w:bottom w:val="single" w:sz="2" w:space="0" w:color="FFFFFF"/>
            </w:tcBorders>
            <w:shd w:fill="CF0A2C" w:val="clear"/>
            <w:tcMar>
              <w:bottom w:w="28" w:type="dxa"/>
            </w:tcMar>
            <w:vAlign w:val="bottom"/>
          </w:tcPr>
          <w:p>
            <w:pPr>
              <w:pStyle w:val="TableContents"/>
              <w:spacing w:before="0" w:after="283"/>
              <w:jc w:val="center"/>
              <w:rPr>
                <w:b/>
                <w:color w:val="FFFFFF"/>
              </w:rPr>
            </w:pPr>
            <w:r>
              <w:rPr>
                <w:b/>
                <w:color w:val="FFFFFF"/>
              </w:rPr>
              <w:t>(c)</w:t>
            </w:r>
          </w:p>
        </w:tc>
      </w:tr>
      <w:tr>
        <w:trPr>
          <w:trHeight w:val="75" w:hRule="atLeast"/>
        </w:trPr>
        <w:tc>
          <w:tcPr>
            <w:tcW w:w="3747" w:type="dxa"/>
            <w:tcBorders/>
            <w:shd w:fill="CF0A2C" w:val="clear"/>
            <w:vAlign w:val="center"/>
          </w:tcPr>
          <w:p>
            <w:pPr>
              <w:pStyle w:val="TableContents"/>
              <w:spacing w:before="0" w:after="283"/>
              <w:rPr>
                <w:sz w:val="4"/>
                <w:szCs w:val="4"/>
              </w:rPr>
            </w:pPr>
            <w:r>
              <w:rPr>
                <w:sz w:val="4"/>
                <w:szCs w:val="4"/>
              </w:rPr>
            </w:r>
          </w:p>
        </w:tc>
        <w:tc>
          <w:tcPr>
            <w:tcW w:w="1743" w:type="dxa"/>
            <w:gridSpan w:val="5"/>
            <w:tcBorders/>
            <w:shd w:fill="CF0A2C" w:val="clear"/>
            <w:vAlign w:val="center"/>
          </w:tcPr>
          <w:p>
            <w:pPr>
              <w:pStyle w:val="TableContents"/>
              <w:spacing w:before="0" w:after="283"/>
              <w:rPr>
                <w:sz w:val="4"/>
                <w:szCs w:val="4"/>
              </w:rPr>
            </w:pPr>
            <w:r>
              <w:rPr>
                <w:sz w:val="4"/>
                <w:szCs w:val="4"/>
              </w:rPr>
            </w:r>
          </w:p>
        </w:tc>
        <w:tc>
          <w:tcPr>
            <w:tcW w:w="2238" w:type="dxa"/>
            <w:gridSpan w:val="5"/>
            <w:tcBorders/>
            <w:shd w:fill="CF0A2C" w:val="clear"/>
            <w:vAlign w:val="center"/>
          </w:tcPr>
          <w:p>
            <w:pPr>
              <w:pStyle w:val="TableContents"/>
              <w:spacing w:before="0" w:after="283"/>
              <w:rPr>
                <w:sz w:val="4"/>
                <w:szCs w:val="4"/>
              </w:rPr>
            </w:pPr>
            <w:r>
              <w:rPr>
                <w:sz w:val="4"/>
                <w:szCs w:val="4"/>
              </w:rPr>
            </w:r>
          </w:p>
        </w:tc>
        <w:tc>
          <w:tcPr>
            <w:tcW w:w="2477" w:type="dxa"/>
            <w:gridSpan w:val="5"/>
            <w:tcBorders/>
            <w:shd w:fill="CF0A2C" w:val="clear"/>
            <w:vAlign w:val="center"/>
          </w:tcPr>
          <w:p>
            <w:pPr>
              <w:pStyle w:val="TableContents"/>
              <w:spacing w:before="0" w:after="283"/>
              <w:rPr>
                <w:sz w:val="4"/>
                <w:szCs w:val="4"/>
              </w:rPr>
            </w:pPr>
            <w:r>
              <w:rPr>
                <w:sz w:val="4"/>
                <w:szCs w:val="4"/>
              </w:rPr>
            </w:r>
          </w:p>
        </w:tc>
      </w:tr>
      <w:tr>
        <w:trPr/>
        <w:tc>
          <w:tcPr>
            <w:tcW w:w="3747"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Plan Category</w:t>
            </w:r>
          </w:p>
        </w:tc>
        <w:tc>
          <w:tcPr>
            <w:tcW w:w="467" w:type="dxa"/>
            <w:tcBorders/>
            <w:shd w:fill="CF0A2C" w:val="clear"/>
            <w:vAlign w:val="bottom"/>
          </w:tcPr>
          <w:p>
            <w:pPr>
              <w:pStyle w:val="TableContents"/>
              <w:spacing w:before="0" w:after="283"/>
              <w:rPr/>
            </w:pPr>
            <w:r>
              <w:rPr/>
              <w:t>  </w:t>
            </w:r>
          </w:p>
        </w:tc>
        <w:tc>
          <w:tcPr>
            <w:tcW w:w="1276" w:type="dxa"/>
            <w:gridSpan w:val="4"/>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Number of</w:t>
            </w:r>
          </w:p>
          <w:p>
            <w:pPr>
              <w:pStyle w:val="TableContents"/>
              <w:spacing w:before="0" w:after="0"/>
              <w:jc w:val="center"/>
              <w:rPr>
                <w:rFonts w:ascii="arial" w:hAnsi="arial"/>
                <w:b/>
                <w:color w:val="FFFFFF"/>
                <w:sz w:val="16"/>
              </w:rPr>
            </w:pPr>
            <w:r>
              <w:rPr>
                <w:rFonts w:ascii="arial" w:hAnsi="arial"/>
                <w:b/>
                <w:color w:val="FFFFFF"/>
                <w:sz w:val="16"/>
              </w:rPr>
              <w:t>Securities to</w:t>
            </w:r>
          </w:p>
          <w:p>
            <w:pPr>
              <w:pStyle w:val="TableContents"/>
              <w:spacing w:before="0" w:after="0"/>
              <w:jc w:val="center"/>
              <w:rPr>
                <w:rFonts w:ascii="arial" w:hAnsi="arial"/>
                <w:b/>
                <w:color w:val="FFFFFF"/>
                <w:sz w:val="16"/>
              </w:rPr>
            </w:pPr>
            <w:r>
              <w:rPr>
                <w:rFonts w:ascii="arial" w:hAnsi="arial"/>
                <w:b/>
                <w:color w:val="FFFFFF"/>
                <w:sz w:val="16"/>
              </w:rPr>
              <w:t>be Issued Upon</w:t>
            </w:r>
          </w:p>
          <w:p>
            <w:pPr>
              <w:pStyle w:val="TableContents"/>
              <w:spacing w:before="0" w:after="0"/>
              <w:jc w:val="center"/>
              <w:rPr>
                <w:rFonts w:ascii="arial" w:hAnsi="arial"/>
                <w:b/>
                <w:color w:val="FFFFFF"/>
                <w:sz w:val="16"/>
              </w:rPr>
            </w:pPr>
            <w:r>
              <w:rPr>
                <w:rFonts w:ascii="arial" w:hAnsi="arial"/>
                <w:b/>
                <w:color w:val="FFFFFF"/>
                <w:sz w:val="16"/>
              </w:rPr>
              <w:t>Exercise</w:t>
            </w:r>
          </w:p>
          <w:p>
            <w:pPr>
              <w:pStyle w:val="TableContents"/>
              <w:spacing w:before="0" w:after="0"/>
              <w:jc w:val="center"/>
              <w:rPr>
                <w:rFonts w:ascii="arial" w:hAnsi="arial"/>
                <w:b/>
                <w:color w:val="FFFFFF"/>
                <w:sz w:val="16"/>
              </w:rPr>
            </w:pPr>
            <w:r>
              <w:rPr>
                <w:rFonts w:ascii="arial" w:hAnsi="arial"/>
                <w:b/>
                <w:color w:val="FFFFFF"/>
                <w:sz w:val="16"/>
              </w:rPr>
              <w:t>of Options,</w:t>
            </w:r>
          </w:p>
          <w:p>
            <w:pPr>
              <w:pStyle w:val="TableContents"/>
              <w:spacing w:before="0" w:after="0"/>
              <w:jc w:val="center"/>
              <w:rPr>
                <w:rFonts w:ascii="arial" w:hAnsi="arial"/>
                <w:b/>
                <w:color w:val="FFFFFF"/>
                <w:sz w:val="16"/>
              </w:rPr>
            </w:pPr>
            <w:r>
              <w:rPr>
                <w:rFonts w:ascii="arial" w:hAnsi="arial"/>
                <w:b/>
                <w:color w:val="FFFFFF"/>
                <w:sz w:val="16"/>
              </w:rPr>
              <w:t>Warrants</w:t>
            </w:r>
          </w:p>
          <w:p>
            <w:pPr>
              <w:pStyle w:val="TableContents"/>
              <w:spacing w:before="0" w:after="20"/>
              <w:jc w:val="center"/>
              <w:rPr>
                <w:rFonts w:ascii="arial" w:hAnsi="arial"/>
                <w:b/>
                <w:color w:val="FFFFFF"/>
                <w:sz w:val="16"/>
              </w:rPr>
            </w:pPr>
            <w:r>
              <w:rPr>
                <w:rFonts w:ascii="arial" w:hAnsi="arial"/>
                <w:b/>
                <w:color w:val="FFFFFF"/>
                <w:sz w:val="16"/>
              </w:rPr>
              <w:t>and Rights (#)</w:t>
            </w:r>
          </w:p>
        </w:tc>
        <w:tc>
          <w:tcPr>
            <w:tcW w:w="467" w:type="dxa"/>
            <w:tcBorders/>
            <w:shd w:fill="CF0A2C" w:val="clear"/>
            <w:vAlign w:val="bottom"/>
          </w:tcPr>
          <w:p>
            <w:pPr>
              <w:pStyle w:val="TableContents"/>
              <w:spacing w:before="0" w:after="283"/>
              <w:rPr/>
            </w:pPr>
            <w:r>
              <w:rPr/>
              <w:t>  </w:t>
            </w:r>
          </w:p>
        </w:tc>
        <w:tc>
          <w:tcPr>
            <w:tcW w:w="1771" w:type="dxa"/>
            <w:gridSpan w:val="4"/>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Weighted- Average</w:t>
            </w:r>
          </w:p>
          <w:p>
            <w:pPr>
              <w:pStyle w:val="TableContents"/>
              <w:spacing w:before="0" w:after="0"/>
              <w:jc w:val="center"/>
              <w:rPr>
                <w:rFonts w:ascii="arial" w:hAnsi="arial"/>
                <w:b/>
                <w:color w:val="FFFFFF"/>
                <w:sz w:val="16"/>
              </w:rPr>
            </w:pPr>
            <w:r>
              <w:rPr>
                <w:rFonts w:ascii="arial" w:hAnsi="arial"/>
                <w:b/>
                <w:color w:val="FFFFFF"/>
                <w:sz w:val="16"/>
              </w:rPr>
              <w:t>Exercise Price of</w:t>
            </w:r>
          </w:p>
          <w:p>
            <w:pPr>
              <w:pStyle w:val="TableContents"/>
              <w:spacing w:before="0" w:after="0"/>
              <w:jc w:val="center"/>
              <w:rPr>
                <w:rFonts w:ascii="arial" w:hAnsi="arial"/>
                <w:b/>
                <w:color w:val="FFFFFF"/>
                <w:sz w:val="16"/>
              </w:rPr>
            </w:pPr>
            <w:r>
              <w:rPr>
                <w:rFonts w:ascii="arial" w:hAnsi="arial"/>
                <w:b/>
                <w:color w:val="FFFFFF"/>
                <w:sz w:val="16"/>
              </w:rPr>
              <w:t>Outstanding Options,</w:t>
            </w:r>
          </w:p>
          <w:p>
            <w:pPr>
              <w:pStyle w:val="TableContents"/>
              <w:spacing w:before="0" w:after="0"/>
              <w:jc w:val="center"/>
              <w:rPr>
                <w:rFonts w:ascii="arial" w:hAnsi="arial"/>
                <w:b/>
                <w:color w:val="FFFFFF"/>
                <w:sz w:val="16"/>
              </w:rPr>
            </w:pPr>
            <w:r>
              <w:rPr>
                <w:rFonts w:ascii="arial" w:hAnsi="arial"/>
                <w:b/>
                <w:color w:val="FFFFFF"/>
                <w:sz w:val="16"/>
              </w:rPr>
              <w:t>Warrants and</w:t>
            </w:r>
          </w:p>
          <w:p>
            <w:pPr>
              <w:pStyle w:val="TableContents"/>
              <w:spacing w:before="0" w:after="20"/>
              <w:jc w:val="center"/>
              <w:rPr>
                <w:rFonts w:ascii="arial" w:hAnsi="arial"/>
                <w:b/>
                <w:color w:val="FFFFFF"/>
                <w:sz w:val="16"/>
              </w:rPr>
            </w:pPr>
            <w:r>
              <w:rPr>
                <w:rFonts w:ascii="arial" w:hAnsi="arial"/>
                <w:b/>
                <w:color w:val="FFFFFF"/>
                <w:sz w:val="16"/>
              </w:rPr>
              <w:t>Rights ($) /Share</w:t>
            </w:r>
          </w:p>
        </w:tc>
        <w:tc>
          <w:tcPr>
            <w:tcW w:w="467" w:type="dxa"/>
            <w:tcBorders/>
            <w:shd w:fill="CF0A2C" w:val="clear"/>
            <w:vAlign w:val="bottom"/>
          </w:tcPr>
          <w:p>
            <w:pPr>
              <w:pStyle w:val="TableContents"/>
              <w:spacing w:before="0" w:after="283"/>
              <w:rPr/>
            </w:pPr>
            <w:r>
              <w:rPr/>
              <w:t>  </w:t>
            </w:r>
          </w:p>
        </w:tc>
        <w:tc>
          <w:tcPr>
            <w:tcW w:w="2010" w:type="dxa"/>
            <w:gridSpan w:val="4"/>
            <w:tcBorders/>
            <w:shd w:fill="CF0A2C" w:val="clear"/>
            <w:vAlign w:val="bottom"/>
          </w:tcPr>
          <w:p>
            <w:pPr>
              <w:pStyle w:val="TableContents"/>
              <w:spacing w:before="0" w:after="0"/>
              <w:jc w:val="center"/>
              <w:rPr>
                <w:rFonts w:ascii="arial" w:hAnsi="arial"/>
                <w:b/>
                <w:color w:val="FFFFFF"/>
                <w:sz w:val="16"/>
              </w:rPr>
            </w:pPr>
            <w:r>
              <w:rPr>
                <w:rFonts w:ascii="arial" w:hAnsi="arial"/>
                <w:b/>
                <w:color w:val="FFFFFF"/>
                <w:sz w:val="16"/>
              </w:rPr>
              <w:t>Number of Securities  </w:t>
            </w:r>
          </w:p>
          <w:p>
            <w:pPr>
              <w:pStyle w:val="TableContents"/>
              <w:spacing w:before="0" w:after="0"/>
              <w:jc w:val="center"/>
              <w:rPr>
                <w:rFonts w:ascii="arial" w:hAnsi="arial"/>
                <w:b/>
                <w:color w:val="FFFFFF"/>
                <w:sz w:val="16"/>
              </w:rPr>
            </w:pPr>
            <w:r>
              <w:rPr>
                <w:rFonts w:ascii="arial" w:hAnsi="arial"/>
                <w:b/>
                <w:color w:val="FFFFFF"/>
                <w:sz w:val="16"/>
              </w:rPr>
              <w:t>Remaining Available for  </w:t>
            </w:r>
          </w:p>
          <w:p>
            <w:pPr>
              <w:pStyle w:val="TableContents"/>
              <w:spacing w:before="0" w:after="0"/>
              <w:jc w:val="center"/>
              <w:rPr>
                <w:rFonts w:ascii="arial" w:hAnsi="arial"/>
                <w:b/>
                <w:color w:val="FFFFFF"/>
                <w:sz w:val="16"/>
              </w:rPr>
            </w:pPr>
            <w:r>
              <w:rPr>
                <w:rFonts w:ascii="arial" w:hAnsi="arial"/>
                <w:b/>
                <w:color w:val="FFFFFF"/>
                <w:sz w:val="16"/>
              </w:rPr>
              <w:t>Future Issuance under</w:t>
            </w:r>
          </w:p>
          <w:p>
            <w:pPr>
              <w:pStyle w:val="TableContents"/>
              <w:spacing w:before="0" w:after="0"/>
              <w:jc w:val="center"/>
              <w:rPr>
                <w:rFonts w:ascii="arial" w:hAnsi="arial"/>
                <w:b/>
                <w:color w:val="FFFFFF"/>
                <w:sz w:val="16"/>
              </w:rPr>
            </w:pPr>
            <w:r>
              <w:rPr>
                <w:rFonts w:ascii="arial" w:hAnsi="arial"/>
                <w:b/>
                <w:color w:val="FFFFFF"/>
                <w:sz w:val="16"/>
              </w:rPr>
              <w:t>Equity  </w:t>
            </w:r>
          </w:p>
          <w:p>
            <w:pPr>
              <w:pStyle w:val="TableContents"/>
              <w:spacing w:before="0" w:after="0"/>
              <w:jc w:val="center"/>
              <w:rPr>
                <w:rFonts w:ascii="arial" w:hAnsi="arial"/>
                <w:b/>
                <w:color w:val="FFFFFF"/>
                <w:sz w:val="16"/>
              </w:rPr>
            </w:pPr>
            <w:r>
              <w:rPr>
                <w:rFonts w:ascii="arial" w:hAnsi="arial"/>
                <w:b/>
                <w:color w:val="FFFFFF"/>
                <w:sz w:val="16"/>
              </w:rPr>
              <w:t>Compensation Plans  </w:t>
            </w:r>
          </w:p>
          <w:p>
            <w:pPr>
              <w:pStyle w:val="TableContents"/>
              <w:spacing w:before="0" w:after="0"/>
              <w:jc w:val="center"/>
              <w:rPr>
                <w:rFonts w:ascii="arial" w:hAnsi="arial"/>
                <w:b/>
                <w:color w:val="FFFFFF"/>
                <w:sz w:val="16"/>
              </w:rPr>
            </w:pPr>
            <w:r>
              <w:rPr>
                <w:rFonts w:ascii="arial" w:hAnsi="arial"/>
                <w:b/>
                <w:color w:val="FFFFFF"/>
                <w:sz w:val="16"/>
              </w:rPr>
              <w:t>(Excluding Securities  </w:t>
            </w:r>
          </w:p>
          <w:p>
            <w:pPr>
              <w:pStyle w:val="TableContents"/>
              <w:spacing w:before="0" w:after="0"/>
              <w:jc w:val="center"/>
              <w:rPr>
                <w:rFonts w:ascii="arial" w:hAnsi="arial"/>
                <w:b/>
                <w:color w:val="FFFFFF"/>
                <w:sz w:val="16"/>
              </w:rPr>
            </w:pPr>
            <w:r>
              <w:rPr>
                <w:rFonts w:ascii="arial" w:hAnsi="arial"/>
                <w:b/>
                <w:color w:val="FFFFFF"/>
                <w:sz w:val="16"/>
              </w:rPr>
              <w:t>Reflected in Column  </w:t>
            </w:r>
          </w:p>
          <w:p>
            <w:pPr>
              <w:pStyle w:val="TableContents"/>
              <w:spacing w:before="0" w:after="20"/>
              <w:jc w:val="center"/>
              <w:rPr>
                <w:rFonts w:ascii="arial" w:hAnsi="arial"/>
                <w:b/>
                <w:color w:val="FFFFFF"/>
                <w:sz w:val="16"/>
              </w:rPr>
            </w:pPr>
            <w:r>
              <w:rPr>
                <w:rFonts w:ascii="arial" w:hAnsi="arial"/>
                <w:b/>
                <w:color w:val="FFFFFF"/>
                <w:sz w:val="16"/>
              </w:rPr>
              <w:t>(a)) (#)  </w:t>
            </w:r>
          </w:p>
        </w:tc>
      </w:tr>
      <w:tr>
        <w:trPr>
          <w:trHeight w:val="75" w:hRule="atLeast"/>
        </w:trPr>
        <w:tc>
          <w:tcPr>
            <w:tcW w:w="3747" w:type="dxa"/>
            <w:tcBorders/>
            <w:shd w:fill="E5E5E5" w:val="clear"/>
            <w:vAlign w:val="center"/>
          </w:tcPr>
          <w:p>
            <w:pPr>
              <w:pStyle w:val="TableContents"/>
              <w:spacing w:before="0" w:after="283"/>
              <w:rPr>
                <w:sz w:val="4"/>
                <w:szCs w:val="4"/>
              </w:rPr>
            </w:pPr>
            <w:r>
              <w:rPr>
                <w:sz w:val="4"/>
                <w:szCs w:val="4"/>
              </w:rPr>
            </w:r>
          </w:p>
        </w:tc>
        <w:tc>
          <w:tcPr>
            <w:tcW w:w="1743" w:type="dxa"/>
            <w:gridSpan w:val="5"/>
            <w:tcBorders/>
            <w:shd w:fill="E5E5E5" w:val="clear"/>
            <w:vAlign w:val="center"/>
          </w:tcPr>
          <w:p>
            <w:pPr>
              <w:pStyle w:val="TableContents"/>
              <w:spacing w:before="0" w:after="283"/>
              <w:rPr>
                <w:sz w:val="4"/>
                <w:szCs w:val="4"/>
              </w:rPr>
            </w:pPr>
            <w:r>
              <w:rPr>
                <w:sz w:val="4"/>
                <w:szCs w:val="4"/>
              </w:rPr>
            </w:r>
          </w:p>
        </w:tc>
        <w:tc>
          <w:tcPr>
            <w:tcW w:w="2238" w:type="dxa"/>
            <w:gridSpan w:val="5"/>
            <w:tcBorders/>
            <w:shd w:fill="E5E5E5" w:val="clear"/>
            <w:vAlign w:val="center"/>
          </w:tcPr>
          <w:p>
            <w:pPr>
              <w:pStyle w:val="TableContents"/>
              <w:spacing w:before="0" w:after="283"/>
              <w:rPr>
                <w:sz w:val="4"/>
                <w:szCs w:val="4"/>
              </w:rPr>
            </w:pPr>
            <w:r>
              <w:rPr>
                <w:sz w:val="4"/>
                <w:szCs w:val="4"/>
              </w:rPr>
            </w:r>
          </w:p>
        </w:tc>
        <w:tc>
          <w:tcPr>
            <w:tcW w:w="2477" w:type="dxa"/>
            <w:gridSpan w:val="5"/>
            <w:tcBorders/>
            <w:shd w:fill="E5E5E5" w:val="clear"/>
            <w:vAlign w:val="center"/>
          </w:tcPr>
          <w:p>
            <w:pPr>
              <w:pStyle w:val="TableContents"/>
              <w:spacing w:before="0" w:after="283"/>
              <w:rPr>
                <w:sz w:val="4"/>
                <w:szCs w:val="4"/>
              </w:rPr>
            </w:pPr>
            <w:r>
              <w:rPr>
                <w:sz w:val="4"/>
                <w:szCs w:val="4"/>
              </w:rPr>
            </w:r>
          </w:p>
        </w:tc>
      </w:tr>
      <w:tr>
        <w:trPr/>
        <w:tc>
          <w:tcPr>
            <w:tcW w:w="3747" w:type="dxa"/>
            <w:tcBorders/>
            <w:shd w:fill="E5E5E5" w:val="clear"/>
          </w:tcPr>
          <w:p>
            <w:pPr>
              <w:pStyle w:val="TableContents"/>
              <w:spacing w:before="0" w:after="0"/>
              <w:rPr>
                <w:rFonts w:ascii="arial" w:hAnsi="arial"/>
                <w:sz w:val="20"/>
              </w:rPr>
            </w:pPr>
            <w:r>
              <w:rPr>
                <w:rFonts w:ascii="arial" w:hAnsi="arial"/>
                <w:sz w:val="20"/>
              </w:rPr>
              <w:t>Equity Compensation Plans approved by security holders</w:t>
            </w:r>
          </w:p>
        </w:tc>
        <w:tc>
          <w:tcPr>
            <w:tcW w:w="467" w:type="dxa"/>
            <w:tcBorders/>
            <w:shd w:fill="E5E5E5" w:val="clear"/>
            <w:vAlign w:val="bottom"/>
          </w:tcPr>
          <w:p>
            <w:pPr>
              <w:pStyle w:val="TableContents"/>
              <w:spacing w:before="0" w:after="283"/>
              <w:rPr/>
            </w:pPr>
            <w:r>
              <w:rPr/>
              <w:t>  </w:t>
            </w:r>
          </w:p>
        </w:tc>
        <w:tc>
          <w:tcPr>
            <w:tcW w:w="67" w:type="dxa"/>
            <w:tcBorders/>
            <w:shd w:fill="E5E5E5" w:val="clear"/>
            <w:vAlign w:val="bottom"/>
          </w:tcPr>
          <w:p>
            <w:pPr>
              <w:pStyle w:val="TableContents"/>
              <w:spacing w:before="0" w:after="283"/>
              <w:rPr/>
            </w:pPr>
            <w:r>
              <w:rPr/>
              <w:t> </w:t>
            </w:r>
          </w:p>
        </w:tc>
        <w:tc>
          <w:tcPr>
            <w:tcW w:w="67" w:type="dxa"/>
            <w:tcBorders/>
            <w:shd w:fill="E5E5E5" w:val="clear"/>
            <w:vAlign w:val="bottom"/>
          </w:tcPr>
          <w:p>
            <w:pPr>
              <w:pStyle w:val="TableContents"/>
              <w:spacing w:before="0" w:after="283"/>
              <w:rPr/>
            </w:pPr>
            <w:r>
              <w:rPr/>
              <w:t> </w:t>
            </w:r>
          </w:p>
        </w:tc>
        <w:tc>
          <w:tcPr>
            <w:tcW w:w="1114" w:type="dxa"/>
            <w:tcBorders/>
            <w:shd w:fill="E5E5E5" w:val="clear"/>
            <w:vAlign w:val="bottom"/>
          </w:tcPr>
          <w:p>
            <w:pPr>
              <w:pStyle w:val="TableContents"/>
              <w:spacing w:before="0" w:after="283"/>
              <w:jc w:val="right"/>
              <w:rPr/>
            </w:pPr>
            <w:r>
              <w:rPr/>
              <w:t>1,014,670</w:t>
            </w:r>
          </w:p>
        </w:tc>
        <w:tc>
          <w:tcPr>
            <w:tcW w:w="28" w:type="dxa"/>
            <w:tcBorders/>
            <w:shd w:fill="E5E5E5" w:val="clear"/>
            <w:vAlign w:val="bottom"/>
          </w:tcPr>
          <w:p>
            <w:pPr>
              <w:pStyle w:val="TableContents"/>
              <w:spacing w:before="0" w:after="283"/>
              <w:rPr>
                <w:sz w:val="4"/>
                <w:szCs w:val="4"/>
              </w:rPr>
            </w:pPr>
            <w:r>
              <w:rPr>
                <w:sz w:val="4"/>
                <w:szCs w:val="4"/>
              </w:rPr>
            </w:r>
          </w:p>
        </w:tc>
        <w:tc>
          <w:tcPr>
            <w:tcW w:w="467" w:type="dxa"/>
            <w:tcBorders/>
            <w:shd w:fill="E5E5E5" w:val="clear"/>
            <w:vAlign w:val="bottom"/>
          </w:tcPr>
          <w:p>
            <w:pPr>
              <w:pStyle w:val="TableContents"/>
              <w:spacing w:before="0" w:after="283"/>
              <w:rPr/>
            </w:pPr>
            <w:r>
              <w:rPr/>
              <w:t>  </w:t>
            </w:r>
          </w:p>
        </w:tc>
        <w:tc>
          <w:tcPr>
            <w:tcW w:w="150" w:type="dxa"/>
            <w:tcBorders/>
            <w:shd w:fill="E5E5E5" w:val="clear"/>
            <w:vAlign w:val="bottom"/>
          </w:tcPr>
          <w:p>
            <w:pPr>
              <w:pStyle w:val="TableContents"/>
              <w:spacing w:before="0" w:after="283"/>
              <w:rPr/>
            </w:pPr>
            <w:r>
              <w:rPr/>
              <w:t> </w:t>
            </w:r>
          </w:p>
        </w:tc>
        <w:tc>
          <w:tcPr>
            <w:tcW w:w="150" w:type="dxa"/>
            <w:tcBorders/>
            <w:shd w:fill="E5E5E5" w:val="clear"/>
            <w:vAlign w:val="bottom"/>
          </w:tcPr>
          <w:p>
            <w:pPr>
              <w:pStyle w:val="TableContents"/>
              <w:spacing w:before="0" w:after="283"/>
              <w:rPr/>
            </w:pPr>
            <w:r>
              <w:rPr/>
              <w:t> </w:t>
            </w:r>
          </w:p>
        </w:tc>
        <w:tc>
          <w:tcPr>
            <w:tcW w:w="1412" w:type="dxa"/>
            <w:tcBorders/>
            <w:shd w:fill="E5E5E5" w:val="clear"/>
            <w:vAlign w:val="bottom"/>
          </w:tcPr>
          <w:p>
            <w:pPr>
              <w:pStyle w:val="TableContents"/>
              <w:spacing w:before="0" w:after="283"/>
              <w:jc w:val="right"/>
              <w:rPr/>
            </w:pPr>
            <w:r>
              <w:rPr/>
              <w:t>64.16</w:t>
            </w:r>
          </w:p>
        </w:tc>
        <w:tc>
          <w:tcPr>
            <w:tcW w:w="59" w:type="dxa"/>
            <w:tcBorders/>
            <w:shd w:fill="E5E5E5" w:val="clear"/>
            <w:vAlign w:val="bottom"/>
          </w:tcPr>
          <w:p>
            <w:pPr>
              <w:pStyle w:val="TableContents"/>
              <w:spacing w:before="0" w:after="283"/>
              <w:rPr>
                <w:sz w:val="4"/>
                <w:szCs w:val="4"/>
              </w:rPr>
            </w:pPr>
            <w:r>
              <w:rPr>
                <w:sz w:val="4"/>
                <w:szCs w:val="4"/>
              </w:rPr>
            </w:r>
          </w:p>
        </w:tc>
        <w:tc>
          <w:tcPr>
            <w:tcW w:w="467" w:type="dxa"/>
            <w:tcBorders/>
            <w:shd w:fill="E5E5E5" w:val="clear"/>
            <w:vAlign w:val="bottom"/>
          </w:tcPr>
          <w:p>
            <w:pPr>
              <w:pStyle w:val="TableContents"/>
              <w:spacing w:before="0" w:after="283"/>
              <w:rPr/>
            </w:pPr>
            <w:r>
              <w:rPr/>
              <w:t>  </w:t>
            </w:r>
          </w:p>
        </w:tc>
        <w:tc>
          <w:tcPr>
            <w:tcW w:w="106" w:type="dxa"/>
            <w:tcBorders/>
            <w:shd w:fill="E5E5E5" w:val="clear"/>
            <w:vAlign w:val="bottom"/>
          </w:tcPr>
          <w:p>
            <w:pPr>
              <w:pStyle w:val="TableContents"/>
              <w:spacing w:before="0" w:after="283"/>
              <w:rPr/>
            </w:pPr>
            <w:r>
              <w:rPr/>
              <w:t> </w:t>
            </w:r>
          </w:p>
        </w:tc>
        <w:tc>
          <w:tcPr>
            <w:tcW w:w="106" w:type="dxa"/>
            <w:tcBorders/>
            <w:shd w:fill="E5E5E5" w:val="clear"/>
            <w:vAlign w:val="bottom"/>
          </w:tcPr>
          <w:p>
            <w:pPr>
              <w:pStyle w:val="TableContents"/>
              <w:spacing w:before="0" w:after="283"/>
              <w:rPr/>
            </w:pPr>
            <w:r>
              <w:rPr/>
              <w:t> </w:t>
            </w:r>
          </w:p>
        </w:tc>
        <w:tc>
          <w:tcPr>
            <w:tcW w:w="1748" w:type="dxa"/>
            <w:tcBorders/>
            <w:shd w:fill="E5E5E5" w:val="clear"/>
            <w:vAlign w:val="bottom"/>
          </w:tcPr>
          <w:p>
            <w:pPr>
              <w:pStyle w:val="TableContents"/>
              <w:spacing w:before="0" w:after="283"/>
              <w:jc w:val="right"/>
              <w:rPr/>
            </w:pPr>
            <w:r>
              <w:rPr/>
              <w:t>1,707,882</w:t>
            </w:r>
          </w:p>
        </w:tc>
        <w:tc>
          <w:tcPr>
            <w:tcW w:w="5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3747" w:type="dxa"/>
            <w:tcBorders/>
            <w:shd w:fill="auto" w:val="clear"/>
            <w:vAlign w:val="center"/>
          </w:tcPr>
          <w:p>
            <w:pPr>
              <w:pStyle w:val="TableContents"/>
              <w:spacing w:before="0" w:after="283"/>
              <w:rPr>
                <w:sz w:val="4"/>
                <w:szCs w:val="4"/>
              </w:rPr>
            </w:pPr>
            <w:r>
              <w:rPr>
                <w:sz w:val="4"/>
                <w:szCs w:val="4"/>
              </w:rPr>
            </w:r>
          </w:p>
        </w:tc>
        <w:tc>
          <w:tcPr>
            <w:tcW w:w="1743" w:type="dxa"/>
            <w:gridSpan w:val="5"/>
            <w:tcBorders/>
            <w:shd w:fill="auto" w:val="clear"/>
            <w:vAlign w:val="center"/>
          </w:tcPr>
          <w:p>
            <w:pPr>
              <w:pStyle w:val="TableContents"/>
              <w:spacing w:before="0" w:after="283"/>
              <w:rPr>
                <w:sz w:val="4"/>
                <w:szCs w:val="4"/>
              </w:rPr>
            </w:pPr>
            <w:r>
              <w:rPr>
                <w:sz w:val="4"/>
                <w:szCs w:val="4"/>
              </w:rPr>
            </w:r>
          </w:p>
        </w:tc>
        <w:tc>
          <w:tcPr>
            <w:tcW w:w="2238" w:type="dxa"/>
            <w:gridSpan w:val="5"/>
            <w:tcBorders/>
            <w:shd w:fill="auto" w:val="clear"/>
            <w:vAlign w:val="center"/>
          </w:tcPr>
          <w:p>
            <w:pPr>
              <w:pStyle w:val="TableContents"/>
              <w:spacing w:before="0" w:after="283"/>
              <w:rPr>
                <w:sz w:val="4"/>
                <w:szCs w:val="4"/>
              </w:rPr>
            </w:pPr>
            <w:r>
              <w:rPr>
                <w:sz w:val="4"/>
                <w:szCs w:val="4"/>
              </w:rPr>
            </w:r>
          </w:p>
        </w:tc>
        <w:tc>
          <w:tcPr>
            <w:tcW w:w="2477" w:type="dxa"/>
            <w:gridSpan w:val="5"/>
            <w:tcBorders/>
            <w:shd w:fill="auto" w:val="clear"/>
            <w:vAlign w:val="center"/>
          </w:tcPr>
          <w:p>
            <w:pPr>
              <w:pStyle w:val="TableContents"/>
              <w:spacing w:before="0" w:after="283"/>
              <w:rPr>
                <w:sz w:val="4"/>
                <w:szCs w:val="4"/>
              </w:rPr>
            </w:pPr>
            <w:r>
              <w:rPr>
                <w:sz w:val="4"/>
                <w:szCs w:val="4"/>
              </w:rPr>
            </w:r>
          </w:p>
        </w:tc>
      </w:tr>
      <w:tr>
        <w:trPr/>
        <w:tc>
          <w:tcPr>
            <w:tcW w:w="3747" w:type="dxa"/>
            <w:tcBorders/>
            <w:shd w:fill="auto" w:val="clear"/>
          </w:tcPr>
          <w:p>
            <w:pPr>
              <w:pStyle w:val="TableContents"/>
              <w:spacing w:before="0" w:after="0"/>
              <w:rPr>
                <w:rFonts w:ascii="arial" w:hAnsi="arial"/>
                <w:sz w:val="20"/>
              </w:rPr>
            </w:pPr>
            <w:r>
              <w:rPr>
                <w:rFonts w:ascii="arial" w:hAnsi="arial"/>
                <w:sz w:val="20"/>
              </w:rPr>
              <w:t>Equity Compensation Plans not approved by security holders</w:t>
            </w:r>
          </w:p>
        </w:tc>
        <w:tc>
          <w:tcPr>
            <w:tcW w:w="4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jc w:val="right"/>
              <w:rPr/>
            </w:pPr>
            <w:r>
              <w:rPr/>
              <w:t></w:t>
            </w:r>
          </w:p>
        </w:tc>
        <w:tc>
          <w:tcPr>
            <w:tcW w:w="28"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412" w:type="dxa"/>
            <w:tcBorders/>
            <w:shd w:fill="auto" w:val="clear"/>
            <w:vAlign w:val="bottom"/>
          </w:tcPr>
          <w:p>
            <w:pPr>
              <w:pStyle w:val="TableContents"/>
              <w:spacing w:before="0" w:after="283"/>
              <w:jc w:val="right"/>
              <w:rPr/>
            </w:pPr>
            <w:r>
              <w:rPr/>
              <w:t></w:t>
            </w:r>
          </w:p>
        </w:tc>
        <w:tc>
          <w:tcPr>
            <w:tcW w:w="59"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748" w:type="dxa"/>
            <w:tcBorders/>
            <w:shd w:fill="auto" w:val="clear"/>
            <w:vAlign w:val="bottom"/>
          </w:tcPr>
          <w:p>
            <w:pPr>
              <w:pStyle w:val="TableContents"/>
              <w:spacing w:before="0" w:after="283"/>
              <w:jc w:val="right"/>
              <w:rPr/>
            </w:pPr>
            <w:r>
              <w:rPr/>
              <w:t></w:t>
            </w:r>
          </w:p>
        </w:tc>
        <w:tc>
          <w:tcPr>
            <w:tcW w:w="50"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3747" w:type="dxa"/>
            <w:tcBorders/>
            <w:shd w:fill="E5E5E5" w:val="clear"/>
            <w:vAlign w:val="center"/>
          </w:tcPr>
          <w:p>
            <w:pPr>
              <w:pStyle w:val="TableContents"/>
              <w:spacing w:before="0" w:after="283"/>
              <w:rPr>
                <w:sz w:val="4"/>
                <w:szCs w:val="4"/>
              </w:rPr>
            </w:pPr>
            <w:r>
              <w:rPr>
                <w:sz w:val="4"/>
                <w:szCs w:val="4"/>
              </w:rPr>
            </w:r>
          </w:p>
        </w:tc>
        <w:tc>
          <w:tcPr>
            <w:tcW w:w="1743" w:type="dxa"/>
            <w:gridSpan w:val="5"/>
            <w:tcBorders/>
            <w:shd w:fill="E5E5E5" w:val="clear"/>
            <w:vAlign w:val="center"/>
          </w:tcPr>
          <w:p>
            <w:pPr>
              <w:pStyle w:val="TableContents"/>
              <w:spacing w:before="0" w:after="283"/>
              <w:rPr>
                <w:sz w:val="4"/>
                <w:szCs w:val="4"/>
              </w:rPr>
            </w:pPr>
            <w:r>
              <w:rPr>
                <w:sz w:val="4"/>
                <w:szCs w:val="4"/>
              </w:rPr>
            </w:r>
          </w:p>
        </w:tc>
        <w:tc>
          <w:tcPr>
            <w:tcW w:w="2238" w:type="dxa"/>
            <w:gridSpan w:val="5"/>
            <w:tcBorders/>
            <w:shd w:fill="E5E5E5" w:val="clear"/>
            <w:vAlign w:val="center"/>
          </w:tcPr>
          <w:p>
            <w:pPr>
              <w:pStyle w:val="TableContents"/>
              <w:spacing w:before="0" w:after="283"/>
              <w:rPr>
                <w:sz w:val="4"/>
                <w:szCs w:val="4"/>
              </w:rPr>
            </w:pPr>
            <w:r>
              <w:rPr>
                <w:sz w:val="4"/>
                <w:szCs w:val="4"/>
              </w:rPr>
            </w:r>
          </w:p>
        </w:tc>
        <w:tc>
          <w:tcPr>
            <w:tcW w:w="2477" w:type="dxa"/>
            <w:gridSpan w:val="5"/>
            <w:tcBorders/>
            <w:shd w:fill="E5E5E5" w:val="clear"/>
            <w:vAlign w:val="center"/>
          </w:tcPr>
          <w:p>
            <w:pPr>
              <w:pStyle w:val="TableContents"/>
              <w:spacing w:before="0" w:after="283"/>
              <w:rPr>
                <w:sz w:val="4"/>
                <w:szCs w:val="4"/>
              </w:rPr>
            </w:pPr>
            <w:r>
              <w:rPr>
                <w:sz w:val="4"/>
                <w:szCs w:val="4"/>
              </w:rPr>
            </w:r>
          </w:p>
        </w:tc>
      </w:tr>
      <w:tr>
        <w:trPr/>
        <w:tc>
          <w:tcPr>
            <w:tcW w:w="3747" w:type="dxa"/>
            <w:tcBorders/>
            <w:shd w:fill="E5E5E5" w:val="clear"/>
          </w:tcPr>
          <w:p>
            <w:pPr>
              <w:pStyle w:val="TableContents"/>
              <w:spacing w:before="0" w:after="0"/>
              <w:rPr>
                <w:rFonts w:ascii="arial" w:hAnsi="arial"/>
                <w:sz w:val="20"/>
              </w:rPr>
            </w:pPr>
            <w:r>
              <w:rPr>
                <w:rFonts w:ascii="arial" w:hAnsi="arial"/>
                <w:sz w:val="20"/>
              </w:rPr>
              <w:t>Total</w:t>
            </w:r>
          </w:p>
        </w:tc>
        <w:tc>
          <w:tcPr>
            <w:tcW w:w="467" w:type="dxa"/>
            <w:tcBorders/>
            <w:shd w:fill="E5E5E5" w:val="clear"/>
            <w:vAlign w:val="bottom"/>
          </w:tcPr>
          <w:p>
            <w:pPr>
              <w:pStyle w:val="TableContents"/>
              <w:spacing w:before="0" w:after="283"/>
              <w:rPr/>
            </w:pPr>
            <w:r>
              <w:rPr/>
              <w:t>  </w:t>
            </w:r>
          </w:p>
        </w:tc>
        <w:tc>
          <w:tcPr>
            <w:tcW w:w="67" w:type="dxa"/>
            <w:tcBorders/>
            <w:shd w:fill="E5E5E5" w:val="clear"/>
            <w:vAlign w:val="bottom"/>
          </w:tcPr>
          <w:p>
            <w:pPr>
              <w:pStyle w:val="TableContents"/>
              <w:spacing w:before="0" w:after="283"/>
              <w:rPr/>
            </w:pPr>
            <w:r>
              <w:rPr/>
              <w:t> </w:t>
            </w:r>
          </w:p>
        </w:tc>
        <w:tc>
          <w:tcPr>
            <w:tcW w:w="67" w:type="dxa"/>
            <w:tcBorders/>
            <w:shd w:fill="E5E5E5" w:val="clear"/>
            <w:vAlign w:val="bottom"/>
          </w:tcPr>
          <w:p>
            <w:pPr>
              <w:pStyle w:val="TableContents"/>
              <w:spacing w:before="0" w:after="283"/>
              <w:rPr/>
            </w:pPr>
            <w:r>
              <w:rPr/>
              <w:t> </w:t>
            </w:r>
          </w:p>
        </w:tc>
        <w:tc>
          <w:tcPr>
            <w:tcW w:w="1114" w:type="dxa"/>
            <w:tcBorders/>
            <w:shd w:fill="E5E5E5" w:val="clear"/>
            <w:vAlign w:val="bottom"/>
          </w:tcPr>
          <w:p>
            <w:pPr>
              <w:pStyle w:val="TableContents"/>
              <w:spacing w:before="0" w:after="283"/>
              <w:jc w:val="right"/>
              <w:rPr/>
            </w:pPr>
            <w:r>
              <w:rPr/>
              <w:t>1,014,670</w:t>
            </w:r>
          </w:p>
        </w:tc>
        <w:tc>
          <w:tcPr>
            <w:tcW w:w="28" w:type="dxa"/>
            <w:tcBorders/>
            <w:shd w:fill="E5E5E5" w:val="clear"/>
            <w:vAlign w:val="bottom"/>
          </w:tcPr>
          <w:p>
            <w:pPr>
              <w:pStyle w:val="TableContents"/>
              <w:spacing w:before="0" w:after="283"/>
              <w:rPr>
                <w:sz w:val="4"/>
                <w:szCs w:val="4"/>
              </w:rPr>
            </w:pPr>
            <w:r>
              <w:rPr>
                <w:sz w:val="4"/>
                <w:szCs w:val="4"/>
              </w:rPr>
            </w:r>
          </w:p>
        </w:tc>
        <w:tc>
          <w:tcPr>
            <w:tcW w:w="467" w:type="dxa"/>
            <w:tcBorders/>
            <w:shd w:fill="E5E5E5" w:val="clear"/>
            <w:vAlign w:val="bottom"/>
          </w:tcPr>
          <w:p>
            <w:pPr>
              <w:pStyle w:val="TableContents"/>
              <w:spacing w:before="0" w:after="283"/>
              <w:rPr/>
            </w:pPr>
            <w:r>
              <w:rPr/>
              <w:t>  </w:t>
            </w:r>
          </w:p>
        </w:tc>
        <w:tc>
          <w:tcPr>
            <w:tcW w:w="150" w:type="dxa"/>
            <w:tcBorders/>
            <w:shd w:fill="E5E5E5" w:val="clear"/>
            <w:vAlign w:val="bottom"/>
          </w:tcPr>
          <w:p>
            <w:pPr>
              <w:pStyle w:val="TableContents"/>
              <w:spacing w:before="0" w:after="283"/>
              <w:rPr/>
            </w:pPr>
            <w:r>
              <w:rPr/>
              <w:t> </w:t>
            </w:r>
          </w:p>
        </w:tc>
        <w:tc>
          <w:tcPr>
            <w:tcW w:w="150" w:type="dxa"/>
            <w:tcBorders/>
            <w:shd w:fill="E5E5E5" w:val="clear"/>
            <w:vAlign w:val="bottom"/>
          </w:tcPr>
          <w:p>
            <w:pPr>
              <w:pStyle w:val="TableContents"/>
              <w:spacing w:before="0" w:after="283"/>
              <w:rPr/>
            </w:pPr>
            <w:r>
              <w:rPr/>
              <w:t> </w:t>
            </w:r>
          </w:p>
        </w:tc>
        <w:tc>
          <w:tcPr>
            <w:tcW w:w="1412" w:type="dxa"/>
            <w:tcBorders/>
            <w:shd w:fill="E5E5E5" w:val="clear"/>
            <w:vAlign w:val="bottom"/>
          </w:tcPr>
          <w:p>
            <w:pPr>
              <w:pStyle w:val="TableContents"/>
              <w:spacing w:before="0" w:after="283"/>
              <w:jc w:val="right"/>
              <w:rPr/>
            </w:pPr>
            <w:r>
              <w:rPr/>
              <w:t>64.16</w:t>
            </w:r>
          </w:p>
        </w:tc>
        <w:tc>
          <w:tcPr>
            <w:tcW w:w="59" w:type="dxa"/>
            <w:tcBorders/>
            <w:shd w:fill="E5E5E5" w:val="clear"/>
            <w:vAlign w:val="bottom"/>
          </w:tcPr>
          <w:p>
            <w:pPr>
              <w:pStyle w:val="TableContents"/>
              <w:spacing w:before="0" w:after="283"/>
              <w:rPr>
                <w:sz w:val="4"/>
                <w:szCs w:val="4"/>
              </w:rPr>
            </w:pPr>
            <w:r>
              <w:rPr>
                <w:sz w:val="4"/>
                <w:szCs w:val="4"/>
              </w:rPr>
            </w:r>
          </w:p>
        </w:tc>
        <w:tc>
          <w:tcPr>
            <w:tcW w:w="467" w:type="dxa"/>
            <w:tcBorders/>
            <w:shd w:fill="E5E5E5" w:val="clear"/>
            <w:vAlign w:val="bottom"/>
          </w:tcPr>
          <w:p>
            <w:pPr>
              <w:pStyle w:val="TableContents"/>
              <w:spacing w:before="0" w:after="283"/>
              <w:rPr/>
            </w:pPr>
            <w:r>
              <w:rPr/>
              <w:t>  </w:t>
            </w:r>
          </w:p>
        </w:tc>
        <w:tc>
          <w:tcPr>
            <w:tcW w:w="106" w:type="dxa"/>
            <w:tcBorders/>
            <w:shd w:fill="E5E5E5" w:val="clear"/>
            <w:vAlign w:val="bottom"/>
          </w:tcPr>
          <w:p>
            <w:pPr>
              <w:pStyle w:val="TableContents"/>
              <w:spacing w:before="0" w:after="283"/>
              <w:rPr/>
            </w:pPr>
            <w:r>
              <w:rPr/>
              <w:t> </w:t>
            </w:r>
          </w:p>
        </w:tc>
        <w:tc>
          <w:tcPr>
            <w:tcW w:w="106" w:type="dxa"/>
            <w:tcBorders/>
            <w:shd w:fill="E5E5E5" w:val="clear"/>
            <w:vAlign w:val="bottom"/>
          </w:tcPr>
          <w:p>
            <w:pPr>
              <w:pStyle w:val="TableContents"/>
              <w:spacing w:before="0" w:after="283"/>
              <w:rPr/>
            </w:pPr>
            <w:r>
              <w:rPr/>
              <w:t> </w:t>
            </w:r>
          </w:p>
        </w:tc>
        <w:tc>
          <w:tcPr>
            <w:tcW w:w="1748" w:type="dxa"/>
            <w:tcBorders/>
            <w:shd w:fill="E5E5E5" w:val="clear"/>
            <w:vAlign w:val="bottom"/>
          </w:tcPr>
          <w:p>
            <w:pPr>
              <w:pStyle w:val="TableContents"/>
              <w:spacing w:before="0" w:after="283"/>
              <w:jc w:val="right"/>
              <w:rPr/>
            </w:pPr>
            <w:r>
              <w:rPr/>
              <w:t>1,707,882</w:t>
            </w:r>
          </w:p>
        </w:tc>
        <w:tc>
          <w:tcPr>
            <w:tcW w:w="50"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50    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2" descr=""/>
                          <pic:cNvPicPr>
                            <a:picLocks noChangeAspect="1" noChangeArrowheads="1"/>
                          </pic:cNvPicPr>
                        </pic:nvPicPr>
                        <pic:blipFill>
                          <a:blip r:embed="rId63"/>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COMPENSATION COMMITTEE INTERLOCKS AND INSIDER PARTICIPATION   </w:t>
            </w:r>
          </w:p>
        </w:tc>
      </w:tr>
    </w:tbl>
    <w:p>
      <w:pPr>
        <w:pStyle w:val="TextBody"/>
        <w:spacing w:before="0" w:after="0"/>
        <w:jc w:val="left"/>
        <w:rPr/>
      </w:pPr>
      <w:r>
        <w:rPr/>
        <w:t> </w:t>
      </w:r>
    </w:p>
    <w:p>
      <w:pPr>
        <w:pStyle w:val="TextBody"/>
        <w:spacing w:before="0" w:after="0"/>
        <w:jc w:val="left"/>
        <w:rPr>
          <w:rFonts w:ascii="arial" w:hAnsi="arial"/>
          <w:b/>
          <w:sz w:val="42"/>
        </w:rPr>
      </w:pPr>
      <w:bookmarkStart w:id="38" w:name="toc116694_37"/>
      <w:bookmarkEnd w:id="38"/>
      <w:r>
        <w:rPr>
          <w:rFonts w:ascii="arial" w:hAnsi="arial"/>
          <w:b/>
          <w:sz w:val="42"/>
        </w:rPr>
        <w:t xml:space="preserve">COMPENSATION COMMITTEE INTERLOCKS AND INSIDER PARTICIPATION </w:t>
      </w:r>
    </w:p>
    <w:p>
      <w:pPr>
        <w:pStyle w:val="TextBody"/>
        <w:spacing w:before="360" w:after="0"/>
        <w:jc w:val="left"/>
        <w:rPr>
          <w:rFonts w:ascii="arial" w:hAnsi="arial"/>
          <w:sz w:val="20"/>
        </w:rPr>
      </w:pPr>
      <w:r>
        <w:rPr>
          <w:rFonts w:ascii="arial" w:hAnsi="arial"/>
          <w:sz w:val="20"/>
        </w:rPr>
        <w:t xml:space="preserve">The following members of the Board of Directors served on the Compensation Committee during 2020: Daniel J. Brestle (Chairman), Howard M. Berk, and Caroline W. Nahas. None of the Corporations executive officers or directors served on the board of directors of any entities whose directors or officers served on the Compensation Committee of the Board of Directors. No current or past executive officers or employees of the Corporation serve on the Compensation Committee and no Compensation Committee member had a relationship during 2020 that would require disclosure pursuant to Item 404 of Regulation S-K.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3" descr=""/>
                          <pic:cNvPicPr>
                            <a:picLocks noChangeAspect="1" noChangeArrowheads="1"/>
                          </pic:cNvPicPr>
                        </pic:nvPicPr>
                        <pic:blipFill>
                          <a:blip r:embed="rId64"/>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51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EXECUTIVE OFFICERS OF THE CORPORATION</w:t>
            </w:r>
          </w:p>
        </w:tc>
      </w:tr>
    </w:tbl>
    <w:p>
      <w:pPr>
        <w:pStyle w:val="TextBody"/>
        <w:spacing w:before="0" w:after="0"/>
        <w:jc w:val="left"/>
        <w:rPr/>
      </w:pPr>
      <w:r>
        <w:rPr/>
        <w:t> </w:t>
      </w:r>
    </w:p>
    <w:p>
      <w:pPr>
        <w:pStyle w:val="TextBody"/>
        <w:spacing w:before="0" w:after="0"/>
        <w:jc w:val="left"/>
        <w:rPr>
          <w:rFonts w:ascii="arial" w:hAnsi="arial"/>
          <w:b/>
          <w:sz w:val="42"/>
        </w:rPr>
      </w:pPr>
      <w:bookmarkStart w:id="39" w:name="toc116694_38"/>
      <w:bookmarkEnd w:id="39"/>
      <w:r>
        <w:rPr>
          <w:rFonts w:ascii="arial" w:hAnsi="arial"/>
          <w:b/>
          <w:sz w:val="42"/>
        </w:rPr>
        <w:t xml:space="preserve">EXECUTIVE OFFICERS OF THE CORPORATION </w:t>
      </w:r>
    </w:p>
    <w:p>
      <w:pPr>
        <w:pStyle w:val="TextBody"/>
        <w:spacing w:before="360" w:after="0"/>
        <w:jc w:val="left"/>
        <w:rPr>
          <w:rFonts w:ascii="arial" w:hAnsi="arial"/>
          <w:sz w:val="20"/>
        </w:rPr>
      </w:pPr>
      <w:r>
        <w:rPr>
          <w:rFonts w:ascii="arial" w:hAnsi="arial"/>
          <w:b/>
          <w:sz w:val="20"/>
        </w:rPr>
        <w:t xml:space="preserve">General. </w:t>
      </w:r>
      <w:r>
        <w:rPr>
          <w:rFonts w:ascii="arial" w:hAnsi="arial"/>
          <w:sz w:val="20"/>
        </w:rPr>
        <w:t xml:space="preserve">The following table sets forth certain information with respect to each person who is currently an executive officer of the Corporation: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61"/>
        <w:gridCol w:w="120"/>
        <w:gridCol w:w="566"/>
        <w:gridCol w:w="216"/>
        <w:gridCol w:w="6442"/>
      </w:tblGrid>
      <w:tr>
        <w:trPr/>
        <w:tc>
          <w:tcPr>
            <w:tcW w:w="28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6442"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861" w:type="dxa"/>
            <w:tcBorders/>
            <w:shd w:fill="CF0A2C" w:val="clear"/>
            <w:vAlign w:val="center"/>
          </w:tcPr>
          <w:p>
            <w:pPr>
              <w:pStyle w:val="TableContents"/>
              <w:spacing w:before="0" w:after="283"/>
              <w:rPr>
                <w:sz w:val="4"/>
                <w:szCs w:val="4"/>
              </w:rPr>
            </w:pPr>
            <w:r>
              <w:rPr>
                <w:sz w:val="4"/>
                <w:szCs w:val="4"/>
              </w:rPr>
            </w:r>
          </w:p>
        </w:tc>
        <w:tc>
          <w:tcPr>
            <w:tcW w:w="686" w:type="dxa"/>
            <w:gridSpan w:val="2"/>
            <w:tcBorders/>
            <w:shd w:fill="CF0A2C" w:val="clear"/>
            <w:vAlign w:val="center"/>
          </w:tcPr>
          <w:p>
            <w:pPr>
              <w:pStyle w:val="TableContents"/>
              <w:spacing w:before="0" w:after="283"/>
              <w:rPr>
                <w:sz w:val="4"/>
                <w:szCs w:val="4"/>
              </w:rPr>
            </w:pPr>
            <w:r>
              <w:rPr>
                <w:sz w:val="4"/>
                <w:szCs w:val="4"/>
              </w:rPr>
            </w:r>
          </w:p>
        </w:tc>
        <w:tc>
          <w:tcPr>
            <w:tcW w:w="6658" w:type="dxa"/>
            <w:gridSpan w:val="2"/>
            <w:tcBorders/>
            <w:shd w:fill="CF0A2C" w:val="clear"/>
            <w:vAlign w:val="center"/>
          </w:tcPr>
          <w:p>
            <w:pPr>
              <w:pStyle w:val="TableContents"/>
              <w:spacing w:before="0" w:after="283"/>
              <w:rPr>
                <w:sz w:val="4"/>
                <w:szCs w:val="4"/>
              </w:rPr>
            </w:pPr>
            <w:r>
              <w:rPr>
                <w:sz w:val="4"/>
                <w:szCs w:val="4"/>
              </w:rPr>
            </w:r>
          </w:p>
        </w:tc>
      </w:tr>
      <w:tr>
        <w:trPr/>
        <w:tc>
          <w:tcPr>
            <w:tcW w:w="2861"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Name</w:t>
            </w:r>
          </w:p>
        </w:tc>
        <w:tc>
          <w:tcPr>
            <w:tcW w:w="120" w:type="dxa"/>
            <w:tcBorders/>
            <w:shd w:fill="CF0A2C" w:val="clear"/>
            <w:vAlign w:val="bottom"/>
          </w:tcPr>
          <w:p>
            <w:pPr>
              <w:pStyle w:val="TableContents"/>
              <w:spacing w:before="0" w:after="283"/>
              <w:rPr/>
            </w:pPr>
            <w:r>
              <w:rPr/>
              <w:t>  </w:t>
            </w:r>
          </w:p>
        </w:tc>
        <w:tc>
          <w:tcPr>
            <w:tcW w:w="566" w:type="dxa"/>
            <w:tcBorders/>
            <w:shd w:fill="CF0A2C" w:val="clear"/>
            <w:vAlign w:val="bottom"/>
          </w:tcPr>
          <w:p>
            <w:pPr>
              <w:pStyle w:val="TableContents"/>
              <w:spacing w:before="0" w:after="283"/>
              <w:jc w:val="center"/>
              <w:rPr>
                <w:b/>
                <w:color w:val="FFFFFF"/>
              </w:rPr>
            </w:pPr>
            <w:r>
              <w:rPr>
                <w:b/>
                <w:color w:val="FFFFFF"/>
              </w:rPr>
              <w:t>Age</w:t>
            </w:r>
          </w:p>
        </w:tc>
        <w:tc>
          <w:tcPr>
            <w:tcW w:w="216" w:type="dxa"/>
            <w:tcBorders/>
            <w:shd w:fill="CF0A2C" w:val="clear"/>
            <w:vAlign w:val="bottom"/>
          </w:tcPr>
          <w:p>
            <w:pPr>
              <w:pStyle w:val="TableContents"/>
              <w:spacing w:before="0" w:after="283"/>
              <w:rPr/>
            </w:pPr>
            <w:r>
              <w:rPr/>
              <w:t>  </w:t>
            </w:r>
          </w:p>
        </w:tc>
        <w:tc>
          <w:tcPr>
            <w:tcW w:w="6442" w:type="dxa"/>
            <w:tcBorders/>
            <w:shd w:fill="CF0A2C" w:val="clear"/>
            <w:vAlign w:val="bottom"/>
          </w:tcPr>
          <w:p>
            <w:pPr>
              <w:pStyle w:val="TableContents"/>
              <w:spacing w:before="0" w:after="283"/>
              <w:jc w:val="center"/>
              <w:rPr>
                <w:b/>
                <w:color w:val="FFFFFF"/>
              </w:rPr>
            </w:pPr>
            <w:r>
              <w:rPr>
                <w:b/>
                <w:color w:val="FFFFFF"/>
              </w:rPr>
              <w:t>Position and Offices with the Corporation</w:t>
            </w:r>
          </w:p>
        </w:tc>
      </w:tr>
      <w:tr>
        <w:trPr>
          <w:trHeight w:val="75" w:hRule="atLeast"/>
        </w:trPr>
        <w:tc>
          <w:tcPr>
            <w:tcW w:w="2861" w:type="dxa"/>
            <w:tcBorders/>
            <w:shd w:fill="E5E5E5" w:val="clear"/>
            <w:vAlign w:val="center"/>
          </w:tcPr>
          <w:p>
            <w:pPr>
              <w:pStyle w:val="TableContents"/>
              <w:spacing w:before="0" w:after="283"/>
              <w:rPr>
                <w:sz w:val="4"/>
                <w:szCs w:val="4"/>
              </w:rPr>
            </w:pPr>
            <w:r>
              <w:rPr>
                <w:sz w:val="4"/>
                <w:szCs w:val="4"/>
              </w:rPr>
            </w:r>
          </w:p>
        </w:tc>
        <w:tc>
          <w:tcPr>
            <w:tcW w:w="686" w:type="dxa"/>
            <w:gridSpan w:val="2"/>
            <w:tcBorders/>
            <w:shd w:fill="E5E5E5" w:val="clear"/>
            <w:vAlign w:val="center"/>
          </w:tcPr>
          <w:p>
            <w:pPr>
              <w:pStyle w:val="TableContents"/>
              <w:spacing w:before="0" w:after="283"/>
              <w:rPr>
                <w:sz w:val="4"/>
                <w:szCs w:val="4"/>
              </w:rPr>
            </w:pPr>
            <w:r>
              <w:rPr>
                <w:sz w:val="4"/>
                <w:szCs w:val="4"/>
              </w:rPr>
            </w:r>
          </w:p>
        </w:tc>
        <w:tc>
          <w:tcPr>
            <w:tcW w:w="6658" w:type="dxa"/>
            <w:gridSpan w:val="2"/>
            <w:tcBorders/>
            <w:shd w:fill="E5E5E5" w:val="clear"/>
            <w:vAlign w:val="center"/>
          </w:tcPr>
          <w:p>
            <w:pPr>
              <w:pStyle w:val="TableContents"/>
              <w:spacing w:before="0" w:after="283"/>
              <w:rPr>
                <w:sz w:val="4"/>
                <w:szCs w:val="4"/>
              </w:rPr>
            </w:pPr>
            <w:r>
              <w:rPr>
                <w:sz w:val="4"/>
                <w:szCs w:val="4"/>
              </w:rPr>
            </w:r>
          </w:p>
        </w:tc>
      </w:tr>
      <w:tr>
        <w:trPr/>
        <w:tc>
          <w:tcPr>
            <w:tcW w:w="2861" w:type="dxa"/>
            <w:tcBorders/>
            <w:shd w:fill="E5E5E5" w:val="clear"/>
          </w:tcPr>
          <w:p>
            <w:pPr>
              <w:pStyle w:val="TableContents"/>
              <w:spacing w:before="0" w:after="0"/>
              <w:rPr>
                <w:rFonts w:ascii="arial" w:hAnsi="arial"/>
                <w:sz w:val="20"/>
              </w:rPr>
            </w:pPr>
            <w:r>
              <w:rPr>
                <w:rFonts w:ascii="arial" w:hAnsi="arial"/>
                <w:sz w:val="20"/>
              </w:rPr>
              <w:t>John W. Peyton</w:t>
            </w:r>
          </w:p>
        </w:tc>
        <w:tc>
          <w:tcPr>
            <w:tcW w:w="120" w:type="dxa"/>
            <w:tcBorders/>
            <w:shd w:fill="E5E5E5" w:val="clear"/>
            <w:vAlign w:val="bottom"/>
          </w:tcPr>
          <w:p>
            <w:pPr>
              <w:pStyle w:val="TableContents"/>
              <w:spacing w:before="0" w:after="283"/>
              <w:rPr/>
            </w:pPr>
            <w:r>
              <w:rPr/>
              <w:t>  </w:t>
            </w:r>
          </w:p>
        </w:tc>
        <w:tc>
          <w:tcPr>
            <w:tcW w:w="566" w:type="dxa"/>
            <w:tcBorders/>
            <w:shd w:fill="E5E5E5" w:val="clear"/>
            <w:vAlign w:val="bottom"/>
          </w:tcPr>
          <w:p>
            <w:pPr>
              <w:pStyle w:val="TableContents"/>
              <w:spacing w:before="0" w:after="283"/>
              <w:jc w:val="center"/>
              <w:rPr/>
            </w:pPr>
            <w:r>
              <w:rPr/>
              <w:t>54</w:t>
            </w:r>
          </w:p>
        </w:tc>
        <w:tc>
          <w:tcPr>
            <w:tcW w:w="216" w:type="dxa"/>
            <w:tcBorders/>
            <w:shd w:fill="E5E5E5" w:val="clear"/>
            <w:vAlign w:val="bottom"/>
          </w:tcPr>
          <w:p>
            <w:pPr>
              <w:pStyle w:val="TableContents"/>
              <w:spacing w:before="0" w:after="283"/>
              <w:rPr/>
            </w:pPr>
            <w:r>
              <w:rPr/>
              <w:t>  </w:t>
            </w:r>
          </w:p>
        </w:tc>
        <w:tc>
          <w:tcPr>
            <w:tcW w:w="6442" w:type="dxa"/>
            <w:tcBorders/>
            <w:shd w:fill="E5E5E5" w:val="clear"/>
            <w:vAlign w:val="bottom"/>
          </w:tcPr>
          <w:p>
            <w:pPr>
              <w:pStyle w:val="TableContents"/>
              <w:spacing w:before="0" w:after="283"/>
              <w:rPr/>
            </w:pPr>
            <w:r>
              <w:rPr/>
              <w:t>Chief Executive Officer</w:t>
            </w:r>
          </w:p>
        </w:tc>
      </w:tr>
      <w:tr>
        <w:trPr>
          <w:trHeight w:val="75" w:hRule="atLeast"/>
        </w:trPr>
        <w:tc>
          <w:tcPr>
            <w:tcW w:w="2861" w:type="dxa"/>
            <w:tcBorders/>
            <w:shd w:fill="auto" w:val="clear"/>
            <w:vAlign w:val="center"/>
          </w:tcPr>
          <w:p>
            <w:pPr>
              <w:pStyle w:val="TableContents"/>
              <w:spacing w:before="0" w:after="283"/>
              <w:rPr>
                <w:sz w:val="4"/>
                <w:szCs w:val="4"/>
              </w:rPr>
            </w:pPr>
            <w:r>
              <w:rPr>
                <w:sz w:val="4"/>
                <w:szCs w:val="4"/>
              </w:rPr>
            </w:r>
          </w:p>
        </w:tc>
        <w:tc>
          <w:tcPr>
            <w:tcW w:w="686" w:type="dxa"/>
            <w:gridSpan w:val="2"/>
            <w:tcBorders/>
            <w:shd w:fill="auto" w:val="clear"/>
            <w:vAlign w:val="center"/>
          </w:tcPr>
          <w:p>
            <w:pPr>
              <w:pStyle w:val="TableContents"/>
              <w:spacing w:before="0" w:after="283"/>
              <w:rPr>
                <w:sz w:val="4"/>
                <w:szCs w:val="4"/>
              </w:rPr>
            </w:pPr>
            <w:r>
              <w:rPr>
                <w:sz w:val="4"/>
                <w:szCs w:val="4"/>
              </w:rPr>
            </w:r>
          </w:p>
        </w:tc>
        <w:tc>
          <w:tcPr>
            <w:tcW w:w="6658" w:type="dxa"/>
            <w:gridSpan w:val="2"/>
            <w:tcBorders/>
            <w:shd w:fill="auto" w:val="clear"/>
            <w:vAlign w:val="center"/>
          </w:tcPr>
          <w:p>
            <w:pPr>
              <w:pStyle w:val="TableContents"/>
              <w:spacing w:before="0" w:after="283"/>
              <w:rPr>
                <w:sz w:val="4"/>
                <w:szCs w:val="4"/>
              </w:rPr>
            </w:pPr>
            <w:r>
              <w:rPr>
                <w:sz w:val="4"/>
                <w:szCs w:val="4"/>
              </w:rPr>
            </w:r>
          </w:p>
        </w:tc>
      </w:tr>
      <w:tr>
        <w:trPr/>
        <w:tc>
          <w:tcPr>
            <w:tcW w:w="2861" w:type="dxa"/>
            <w:tcBorders/>
            <w:shd w:fill="auto" w:val="clear"/>
          </w:tcPr>
          <w:p>
            <w:pPr>
              <w:pStyle w:val="TableContents"/>
              <w:spacing w:before="0" w:after="0"/>
              <w:rPr>
                <w:rFonts w:ascii="arial" w:hAnsi="arial"/>
                <w:sz w:val="20"/>
              </w:rPr>
            </w:pPr>
            <w:r>
              <w:rPr>
                <w:rFonts w:ascii="arial" w:hAnsi="arial"/>
                <w:sz w:val="20"/>
              </w:rPr>
              <w:t>Allison Hall</w:t>
            </w:r>
          </w:p>
        </w:tc>
        <w:tc>
          <w:tcPr>
            <w:tcW w:w="120"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jc w:val="center"/>
              <w:rPr/>
            </w:pPr>
            <w:r>
              <w:rPr/>
              <w:t>56</w:t>
            </w:r>
          </w:p>
        </w:tc>
        <w:tc>
          <w:tcPr>
            <w:tcW w:w="216" w:type="dxa"/>
            <w:tcBorders/>
            <w:shd w:fill="auto" w:val="clear"/>
            <w:vAlign w:val="bottom"/>
          </w:tcPr>
          <w:p>
            <w:pPr>
              <w:pStyle w:val="TableContents"/>
              <w:spacing w:before="0" w:after="283"/>
              <w:rPr/>
            </w:pPr>
            <w:r>
              <w:rPr/>
              <w:t>  </w:t>
            </w:r>
          </w:p>
        </w:tc>
        <w:tc>
          <w:tcPr>
            <w:tcW w:w="6442" w:type="dxa"/>
            <w:tcBorders/>
            <w:shd w:fill="auto" w:val="clear"/>
            <w:vAlign w:val="bottom"/>
          </w:tcPr>
          <w:p>
            <w:pPr>
              <w:pStyle w:val="TableContents"/>
              <w:spacing w:before="0" w:after="283"/>
              <w:rPr/>
            </w:pPr>
            <w:r>
              <w:rPr/>
              <w:t>Interim Chief Financial Officer</w:t>
            </w:r>
          </w:p>
        </w:tc>
      </w:tr>
      <w:tr>
        <w:trPr>
          <w:trHeight w:val="75" w:hRule="atLeast"/>
        </w:trPr>
        <w:tc>
          <w:tcPr>
            <w:tcW w:w="2861" w:type="dxa"/>
            <w:tcBorders/>
            <w:shd w:fill="E5E5E5" w:val="clear"/>
            <w:vAlign w:val="center"/>
          </w:tcPr>
          <w:p>
            <w:pPr>
              <w:pStyle w:val="TableContents"/>
              <w:spacing w:before="0" w:after="283"/>
              <w:rPr>
                <w:sz w:val="4"/>
                <w:szCs w:val="4"/>
              </w:rPr>
            </w:pPr>
            <w:r>
              <w:rPr>
                <w:sz w:val="4"/>
                <w:szCs w:val="4"/>
              </w:rPr>
            </w:r>
          </w:p>
        </w:tc>
        <w:tc>
          <w:tcPr>
            <w:tcW w:w="686" w:type="dxa"/>
            <w:gridSpan w:val="2"/>
            <w:tcBorders/>
            <w:shd w:fill="E5E5E5" w:val="clear"/>
            <w:vAlign w:val="center"/>
          </w:tcPr>
          <w:p>
            <w:pPr>
              <w:pStyle w:val="TableContents"/>
              <w:spacing w:before="0" w:after="283"/>
              <w:rPr>
                <w:sz w:val="4"/>
                <w:szCs w:val="4"/>
              </w:rPr>
            </w:pPr>
            <w:r>
              <w:rPr>
                <w:sz w:val="4"/>
                <w:szCs w:val="4"/>
              </w:rPr>
            </w:r>
          </w:p>
        </w:tc>
        <w:tc>
          <w:tcPr>
            <w:tcW w:w="6658" w:type="dxa"/>
            <w:gridSpan w:val="2"/>
            <w:tcBorders/>
            <w:shd w:fill="E5E5E5" w:val="clear"/>
            <w:vAlign w:val="center"/>
          </w:tcPr>
          <w:p>
            <w:pPr>
              <w:pStyle w:val="TableContents"/>
              <w:spacing w:before="0" w:after="283"/>
              <w:rPr>
                <w:sz w:val="4"/>
                <w:szCs w:val="4"/>
              </w:rPr>
            </w:pPr>
            <w:r>
              <w:rPr>
                <w:sz w:val="4"/>
                <w:szCs w:val="4"/>
              </w:rPr>
            </w:r>
          </w:p>
        </w:tc>
      </w:tr>
      <w:tr>
        <w:trPr/>
        <w:tc>
          <w:tcPr>
            <w:tcW w:w="2861" w:type="dxa"/>
            <w:tcBorders/>
            <w:shd w:fill="E5E5E5" w:val="clear"/>
          </w:tcPr>
          <w:p>
            <w:pPr>
              <w:pStyle w:val="TableContents"/>
              <w:spacing w:before="0" w:after="0"/>
              <w:rPr>
                <w:rFonts w:ascii="arial" w:hAnsi="arial"/>
                <w:sz w:val="20"/>
              </w:rPr>
            </w:pPr>
            <w:r>
              <w:rPr>
                <w:rFonts w:ascii="arial" w:hAnsi="arial"/>
                <w:sz w:val="20"/>
              </w:rPr>
              <w:t>John C. Cywinski</w:t>
            </w:r>
          </w:p>
        </w:tc>
        <w:tc>
          <w:tcPr>
            <w:tcW w:w="120" w:type="dxa"/>
            <w:tcBorders/>
            <w:shd w:fill="E5E5E5" w:val="clear"/>
            <w:vAlign w:val="bottom"/>
          </w:tcPr>
          <w:p>
            <w:pPr>
              <w:pStyle w:val="TableContents"/>
              <w:spacing w:before="0" w:after="283"/>
              <w:rPr/>
            </w:pPr>
            <w:r>
              <w:rPr/>
              <w:t>  </w:t>
            </w:r>
          </w:p>
        </w:tc>
        <w:tc>
          <w:tcPr>
            <w:tcW w:w="566" w:type="dxa"/>
            <w:tcBorders/>
            <w:shd w:fill="E5E5E5" w:val="clear"/>
            <w:vAlign w:val="bottom"/>
          </w:tcPr>
          <w:p>
            <w:pPr>
              <w:pStyle w:val="TableContents"/>
              <w:spacing w:before="0" w:after="283"/>
              <w:jc w:val="center"/>
              <w:rPr/>
            </w:pPr>
            <w:r>
              <w:rPr/>
              <w:t>58</w:t>
            </w:r>
          </w:p>
        </w:tc>
        <w:tc>
          <w:tcPr>
            <w:tcW w:w="216" w:type="dxa"/>
            <w:tcBorders/>
            <w:shd w:fill="E5E5E5" w:val="clear"/>
            <w:vAlign w:val="bottom"/>
          </w:tcPr>
          <w:p>
            <w:pPr>
              <w:pStyle w:val="TableContents"/>
              <w:spacing w:before="0" w:after="283"/>
              <w:rPr/>
            </w:pPr>
            <w:r>
              <w:rPr/>
              <w:t>  </w:t>
            </w:r>
          </w:p>
        </w:tc>
        <w:tc>
          <w:tcPr>
            <w:tcW w:w="6442" w:type="dxa"/>
            <w:tcBorders/>
            <w:shd w:fill="E5E5E5" w:val="clear"/>
            <w:vAlign w:val="bottom"/>
          </w:tcPr>
          <w:p>
            <w:pPr>
              <w:pStyle w:val="TableContents"/>
              <w:spacing w:before="0" w:after="283"/>
              <w:rPr/>
            </w:pPr>
            <w:r>
              <w:rPr/>
              <w:t>President, Applebees</w:t>
            </w:r>
          </w:p>
        </w:tc>
      </w:tr>
      <w:tr>
        <w:trPr>
          <w:trHeight w:val="75" w:hRule="atLeast"/>
        </w:trPr>
        <w:tc>
          <w:tcPr>
            <w:tcW w:w="2861" w:type="dxa"/>
            <w:tcBorders/>
            <w:shd w:fill="auto" w:val="clear"/>
            <w:vAlign w:val="center"/>
          </w:tcPr>
          <w:p>
            <w:pPr>
              <w:pStyle w:val="TableContents"/>
              <w:spacing w:before="0" w:after="283"/>
              <w:rPr>
                <w:sz w:val="4"/>
                <w:szCs w:val="4"/>
              </w:rPr>
            </w:pPr>
            <w:r>
              <w:rPr>
                <w:sz w:val="4"/>
                <w:szCs w:val="4"/>
              </w:rPr>
            </w:r>
          </w:p>
        </w:tc>
        <w:tc>
          <w:tcPr>
            <w:tcW w:w="686" w:type="dxa"/>
            <w:gridSpan w:val="2"/>
            <w:tcBorders/>
            <w:shd w:fill="auto" w:val="clear"/>
            <w:vAlign w:val="center"/>
          </w:tcPr>
          <w:p>
            <w:pPr>
              <w:pStyle w:val="TableContents"/>
              <w:spacing w:before="0" w:after="283"/>
              <w:rPr>
                <w:sz w:val="4"/>
                <w:szCs w:val="4"/>
              </w:rPr>
            </w:pPr>
            <w:r>
              <w:rPr>
                <w:sz w:val="4"/>
                <w:szCs w:val="4"/>
              </w:rPr>
            </w:r>
          </w:p>
        </w:tc>
        <w:tc>
          <w:tcPr>
            <w:tcW w:w="6658" w:type="dxa"/>
            <w:gridSpan w:val="2"/>
            <w:tcBorders/>
            <w:shd w:fill="auto" w:val="clear"/>
            <w:vAlign w:val="center"/>
          </w:tcPr>
          <w:p>
            <w:pPr>
              <w:pStyle w:val="TableContents"/>
              <w:spacing w:before="0" w:after="283"/>
              <w:rPr>
                <w:sz w:val="4"/>
                <w:szCs w:val="4"/>
              </w:rPr>
            </w:pPr>
            <w:r>
              <w:rPr>
                <w:sz w:val="4"/>
                <w:szCs w:val="4"/>
              </w:rPr>
            </w:r>
          </w:p>
        </w:tc>
      </w:tr>
      <w:tr>
        <w:trPr/>
        <w:tc>
          <w:tcPr>
            <w:tcW w:w="2861" w:type="dxa"/>
            <w:tcBorders/>
            <w:shd w:fill="auto" w:val="clear"/>
          </w:tcPr>
          <w:p>
            <w:pPr>
              <w:pStyle w:val="TableContents"/>
              <w:spacing w:before="0" w:after="0"/>
              <w:rPr>
                <w:rFonts w:ascii="arial" w:hAnsi="arial"/>
                <w:sz w:val="20"/>
              </w:rPr>
            </w:pPr>
            <w:r>
              <w:rPr>
                <w:rFonts w:ascii="arial" w:hAnsi="arial"/>
                <w:sz w:val="20"/>
              </w:rPr>
              <w:t>Jay D. Johns</w:t>
            </w:r>
          </w:p>
        </w:tc>
        <w:tc>
          <w:tcPr>
            <w:tcW w:w="120"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jc w:val="center"/>
              <w:rPr/>
            </w:pPr>
            <w:r>
              <w:rPr/>
              <w:t>60</w:t>
            </w:r>
          </w:p>
        </w:tc>
        <w:tc>
          <w:tcPr>
            <w:tcW w:w="216" w:type="dxa"/>
            <w:tcBorders/>
            <w:shd w:fill="auto" w:val="clear"/>
            <w:vAlign w:val="bottom"/>
          </w:tcPr>
          <w:p>
            <w:pPr>
              <w:pStyle w:val="TableContents"/>
              <w:spacing w:before="0" w:after="283"/>
              <w:rPr/>
            </w:pPr>
            <w:r>
              <w:rPr/>
              <w:t>  </w:t>
            </w:r>
          </w:p>
        </w:tc>
        <w:tc>
          <w:tcPr>
            <w:tcW w:w="6442" w:type="dxa"/>
            <w:tcBorders/>
            <w:shd w:fill="auto" w:val="clear"/>
            <w:vAlign w:val="bottom"/>
          </w:tcPr>
          <w:p>
            <w:pPr>
              <w:pStyle w:val="TableContents"/>
              <w:spacing w:before="0" w:after="283"/>
              <w:rPr/>
            </w:pPr>
            <w:r>
              <w:rPr/>
              <w:t>President, IHOP</w:t>
            </w:r>
          </w:p>
        </w:tc>
      </w:tr>
      <w:tr>
        <w:trPr>
          <w:trHeight w:val="75" w:hRule="atLeast"/>
        </w:trPr>
        <w:tc>
          <w:tcPr>
            <w:tcW w:w="2861" w:type="dxa"/>
            <w:tcBorders/>
            <w:shd w:fill="E5E5E5" w:val="clear"/>
            <w:vAlign w:val="center"/>
          </w:tcPr>
          <w:p>
            <w:pPr>
              <w:pStyle w:val="TableContents"/>
              <w:spacing w:before="0" w:after="283"/>
              <w:rPr>
                <w:sz w:val="4"/>
                <w:szCs w:val="4"/>
              </w:rPr>
            </w:pPr>
            <w:r>
              <w:rPr>
                <w:sz w:val="4"/>
                <w:szCs w:val="4"/>
              </w:rPr>
            </w:r>
          </w:p>
        </w:tc>
        <w:tc>
          <w:tcPr>
            <w:tcW w:w="686" w:type="dxa"/>
            <w:gridSpan w:val="2"/>
            <w:tcBorders/>
            <w:shd w:fill="E5E5E5" w:val="clear"/>
            <w:vAlign w:val="center"/>
          </w:tcPr>
          <w:p>
            <w:pPr>
              <w:pStyle w:val="TableContents"/>
              <w:spacing w:before="0" w:after="283"/>
              <w:rPr>
                <w:sz w:val="4"/>
                <w:szCs w:val="4"/>
              </w:rPr>
            </w:pPr>
            <w:r>
              <w:rPr>
                <w:sz w:val="4"/>
                <w:szCs w:val="4"/>
              </w:rPr>
            </w:r>
          </w:p>
        </w:tc>
        <w:tc>
          <w:tcPr>
            <w:tcW w:w="6658" w:type="dxa"/>
            <w:gridSpan w:val="2"/>
            <w:tcBorders/>
            <w:shd w:fill="E5E5E5" w:val="clear"/>
            <w:vAlign w:val="center"/>
          </w:tcPr>
          <w:p>
            <w:pPr>
              <w:pStyle w:val="TableContents"/>
              <w:spacing w:before="0" w:after="283"/>
              <w:rPr>
                <w:sz w:val="4"/>
                <w:szCs w:val="4"/>
              </w:rPr>
            </w:pPr>
            <w:r>
              <w:rPr>
                <w:sz w:val="4"/>
                <w:szCs w:val="4"/>
              </w:rPr>
            </w:r>
          </w:p>
        </w:tc>
      </w:tr>
      <w:tr>
        <w:trPr/>
        <w:tc>
          <w:tcPr>
            <w:tcW w:w="2861" w:type="dxa"/>
            <w:tcBorders/>
            <w:shd w:fill="E5E5E5" w:val="clear"/>
          </w:tcPr>
          <w:p>
            <w:pPr>
              <w:pStyle w:val="TableContents"/>
              <w:spacing w:before="0" w:after="0"/>
              <w:rPr>
                <w:rFonts w:ascii="arial" w:hAnsi="arial"/>
                <w:sz w:val="20"/>
              </w:rPr>
            </w:pPr>
            <w:r>
              <w:rPr>
                <w:rFonts w:ascii="arial" w:hAnsi="arial"/>
                <w:sz w:val="20"/>
              </w:rPr>
              <w:t>Bryan R. Adel</w:t>
            </w:r>
          </w:p>
        </w:tc>
        <w:tc>
          <w:tcPr>
            <w:tcW w:w="120" w:type="dxa"/>
            <w:tcBorders/>
            <w:shd w:fill="E5E5E5" w:val="clear"/>
            <w:vAlign w:val="bottom"/>
          </w:tcPr>
          <w:p>
            <w:pPr>
              <w:pStyle w:val="TableContents"/>
              <w:spacing w:before="0" w:after="283"/>
              <w:rPr/>
            </w:pPr>
            <w:r>
              <w:rPr/>
              <w:t>  </w:t>
            </w:r>
          </w:p>
        </w:tc>
        <w:tc>
          <w:tcPr>
            <w:tcW w:w="566" w:type="dxa"/>
            <w:tcBorders/>
            <w:shd w:fill="E5E5E5" w:val="clear"/>
            <w:vAlign w:val="bottom"/>
          </w:tcPr>
          <w:p>
            <w:pPr>
              <w:pStyle w:val="TableContents"/>
              <w:spacing w:before="0" w:after="283"/>
              <w:jc w:val="center"/>
              <w:rPr/>
            </w:pPr>
            <w:r>
              <w:rPr/>
              <w:t>58</w:t>
            </w:r>
          </w:p>
        </w:tc>
        <w:tc>
          <w:tcPr>
            <w:tcW w:w="216" w:type="dxa"/>
            <w:tcBorders/>
            <w:shd w:fill="E5E5E5" w:val="clear"/>
            <w:vAlign w:val="bottom"/>
          </w:tcPr>
          <w:p>
            <w:pPr>
              <w:pStyle w:val="TableContents"/>
              <w:spacing w:before="0" w:after="283"/>
              <w:rPr/>
            </w:pPr>
            <w:r>
              <w:rPr/>
              <w:t>  </w:t>
            </w:r>
          </w:p>
        </w:tc>
        <w:tc>
          <w:tcPr>
            <w:tcW w:w="6442" w:type="dxa"/>
            <w:tcBorders/>
            <w:shd w:fill="E5E5E5" w:val="clear"/>
            <w:vAlign w:val="bottom"/>
          </w:tcPr>
          <w:p>
            <w:pPr>
              <w:pStyle w:val="TableContents"/>
              <w:spacing w:before="0" w:after="283"/>
              <w:rPr/>
            </w:pPr>
            <w:r>
              <w:rPr/>
              <w:t>Senior Vice President, Legal, General Counsel and Secretary</w:t>
            </w:r>
          </w:p>
        </w:tc>
      </w:tr>
    </w:tbl>
    <w:p>
      <w:pPr>
        <w:pStyle w:val="TextBody"/>
        <w:spacing w:before="120" w:after="0"/>
        <w:jc w:val="left"/>
        <w:rPr>
          <w:rFonts w:ascii="arial" w:hAnsi="arial"/>
          <w:sz w:val="20"/>
        </w:rPr>
      </w:pPr>
      <w:r>
        <w:rPr>
          <w:rFonts w:ascii="arial" w:hAnsi="arial"/>
          <w:sz w:val="20"/>
        </w:rPr>
        <w:t xml:space="preserve">Executive officers of the Corporation are appointed by, and serve at the discretion of, the Board of Directors. </w:t>
      </w:r>
    </w:p>
    <w:p>
      <w:pPr>
        <w:pStyle w:val="TextBody"/>
        <w:spacing w:before="120" w:after="0"/>
        <w:jc w:val="left"/>
        <w:rPr>
          <w:rFonts w:ascii="arial" w:hAnsi="arial"/>
          <w:sz w:val="20"/>
        </w:rPr>
      </w:pPr>
      <w:r>
        <w:rPr>
          <w:rFonts w:ascii="arial" w:hAnsi="arial"/>
          <w:sz w:val="20"/>
        </w:rPr>
        <w:t xml:space="preserve">Biographical information for Mr. Peyton is provided in the section entitled Proposal One: Election Directors  Continuing Directors. Certain biographical information for the other executive officers is set forth below. </w:t>
      </w:r>
    </w:p>
    <w:p>
      <w:pPr>
        <w:pStyle w:val="TextBody"/>
        <w:spacing w:before="120" w:after="0"/>
        <w:jc w:val="left"/>
        <w:rPr>
          <w:rFonts w:ascii="arial" w:hAnsi="arial"/>
          <w:sz w:val="20"/>
        </w:rPr>
      </w:pPr>
      <w:r>
        <w:rPr>
          <w:rFonts w:ascii="arial" w:hAnsi="arial"/>
          <w:b/>
          <w:sz w:val="20"/>
        </w:rPr>
        <w:t>Ms.</w:t>
      </w:r>
      <w:r>
        <w:rPr>
          <w:rFonts w:ascii="arial" w:hAnsi="arial"/>
          <w:sz w:val="20"/>
        </w:rPr>
        <w:t> </w:t>
      </w:r>
      <w:r>
        <w:rPr>
          <w:rFonts w:ascii="arial" w:hAnsi="arial"/>
          <w:b/>
          <w:sz w:val="20"/>
        </w:rPr>
        <w:t xml:space="preserve">Hall </w:t>
      </w:r>
      <w:r>
        <w:rPr>
          <w:rFonts w:ascii="arial" w:hAnsi="arial"/>
          <w:sz w:val="20"/>
        </w:rPr>
        <w:t xml:space="preserve">was appointed to the position of Interim Chief Financial Officer in January 2021. Ms. Hall has served as Vice President and Corporate Controller of the Corporation since March 2019. Ms. Hall served as Assistant Controller of the Corporation from the start of her employment with the Corporation in 2007 until March 2019. </w:t>
      </w:r>
    </w:p>
    <w:p>
      <w:pPr>
        <w:pStyle w:val="TextBody"/>
        <w:spacing w:before="120" w:after="0"/>
        <w:jc w:val="left"/>
        <w:rPr>
          <w:rFonts w:ascii="arial" w:hAnsi="arial"/>
          <w:sz w:val="20"/>
        </w:rPr>
      </w:pPr>
      <w:r>
        <w:rPr>
          <w:rFonts w:ascii="arial" w:hAnsi="arial"/>
          <w:b/>
          <w:sz w:val="20"/>
        </w:rPr>
        <w:t>Mr.</w:t>
      </w:r>
      <w:r>
        <w:rPr>
          <w:rFonts w:ascii="arial" w:hAnsi="arial"/>
          <w:sz w:val="20"/>
        </w:rPr>
        <w:t> </w:t>
      </w:r>
      <w:r>
        <w:rPr>
          <w:rFonts w:ascii="arial" w:hAnsi="arial"/>
          <w:b/>
          <w:sz w:val="20"/>
        </w:rPr>
        <w:t>Cywinski</w:t>
      </w:r>
      <w:r>
        <w:rPr>
          <w:rFonts w:ascii="arial" w:hAnsi="arial"/>
          <w:sz w:val="20"/>
        </w:rPr>
        <w:t xml:space="preserve"> was appointed to the position of President, Applebees Business Unit in March 2017. Mr. Cywinski served as Executive Vice President of Strategic Innovation and Marketing at Brinker International, Inc. from March 2016 to March 2017. Mr. Cywinski was previously with Yum! Brands, Inc. in several roles from August 2010 to April 2014, including as President, KFC Corporation U.S. from November 2011 to April 2014. </w:t>
      </w:r>
    </w:p>
    <w:p>
      <w:pPr>
        <w:pStyle w:val="TextBody"/>
        <w:spacing w:before="120" w:after="0"/>
        <w:jc w:val="left"/>
        <w:rPr>
          <w:rFonts w:ascii="arial" w:hAnsi="arial"/>
          <w:sz w:val="20"/>
        </w:rPr>
      </w:pPr>
      <w:r>
        <w:rPr>
          <w:rFonts w:ascii="arial" w:hAnsi="arial"/>
          <w:b/>
          <w:sz w:val="20"/>
        </w:rPr>
        <w:t>Mr.</w:t>
      </w:r>
      <w:r>
        <w:rPr>
          <w:rFonts w:ascii="arial" w:hAnsi="arial"/>
          <w:sz w:val="20"/>
        </w:rPr>
        <w:t> </w:t>
      </w:r>
      <w:r>
        <w:rPr>
          <w:rFonts w:ascii="arial" w:hAnsi="arial"/>
          <w:b/>
          <w:sz w:val="20"/>
        </w:rPr>
        <w:t>Johns</w:t>
      </w:r>
      <w:r>
        <w:rPr>
          <w:rFonts w:ascii="arial" w:hAnsi="arial"/>
          <w:sz w:val="20"/>
        </w:rPr>
        <w:t xml:space="preserve"> was appointed to the position of President, IHOP in June 2019. Mr. Johns served as the Senior Vice President, Operations for IHOP from April 2017 to June 2019. Mr. Johns has been with the Corporation in various operations leadership roles since February 2009, including serving as the Senior Vice President, Strategic Operations Implementation from November 2013 to April 2017.</w:t>
      </w:r>
    </w:p>
    <w:p>
      <w:pPr>
        <w:pStyle w:val="TextBody"/>
        <w:spacing w:before="120" w:after="0"/>
        <w:jc w:val="left"/>
        <w:rPr>
          <w:rFonts w:ascii="arial" w:hAnsi="arial"/>
          <w:sz w:val="20"/>
        </w:rPr>
      </w:pPr>
      <w:r>
        <w:rPr>
          <w:rFonts w:ascii="arial" w:hAnsi="arial"/>
          <w:b/>
          <w:sz w:val="20"/>
        </w:rPr>
        <w:t>Mr.</w:t>
      </w:r>
      <w:r>
        <w:rPr>
          <w:rFonts w:ascii="arial" w:hAnsi="arial"/>
          <w:sz w:val="20"/>
        </w:rPr>
        <w:t> </w:t>
      </w:r>
      <w:r>
        <w:rPr>
          <w:rFonts w:ascii="arial" w:hAnsi="arial"/>
          <w:b/>
          <w:sz w:val="20"/>
        </w:rPr>
        <w:t>Adel</w:t>
      </w:r>
      <w:r>
        <w:rPr>
          <w:rFonts w:ascii="arial" w:hAnsi="arial"/>
          <w:sz w:val="20"/>
        </w:rPr>
        <w:t xml:space="preserve"> was appointed to the position of Senior Vice President, Legal, General Counsel and Secretary of the Corporation in August 2010. Mr. Adel served as senior vice president, general counsel and corporate secretary for Viant Holdings, Inc., a provider of healthcare payment solutions, from 2007 to 2010. Mr. Adel also spent over ten years at McDonalds Corporation in various legal and business roles. Mr. Adel served on the board of directors of Chipotle Mexican Grill, Inc. from 2001 to 2003.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52    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7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4" descr=""/>
                          <pic:cNvPicPr>
                            <a:picLocks noChangeAspect="1" noChangeArrowheads="1"/>
                          </pic:cNvPicPr>
                        </pic:nvPicPr>
                        <pic:blipFill>
                          <a:blip r:embed="rId65"/>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AUDIT-RELATED MATTERS   </w:t>
            </w:r>
          </w:p>
        </w:tc>
      </w:tr>
    </w:tbl>
    <w:p>
      <w:pPr>
        <w:pStyle w:val="TextBody"/>
        <w:spacing w:before="0" w:after="0"/>
        <w:jc w:val="left"/>
        <w:rPr/>
      </w:pPr>
      <w:r>
        <w:rPr/>
        <w:t> </w:t>
      </w:r>
    </w:p>
    <w:p>
      <w:pPr>
        <w:pStyle w:val="TextBody"/>
        <w:spacing w:before="0" w:after="0"/>
        <w:jc w:val="left"/>
        <w:rPr>
          <w:rFonts w:ascii="arial" w:hAnsi="arial"/>
          <w:b/>
          <w:sz w:val="42"/>
        </w:rPr>
      </w:pPr>
      <w:bookmarkStart w:id="40" w:name="toc116694_39"/>
      <w:bookmarkEnd w:id="40"/>
      <w:r>
        <w:rPr>
          <w:rFonts w:ascii="arial" w:hAnsi="arial"/>
          <w:b/>
          <w:sz w:val="42"/>
        </w:rPr>
        <w:t xml:space="preserve">AUDIT-RELATED MATTERS </w:t>
      </w:r>
    </w:p>
    <w:p>
      <w:pPr>
        <w:pStyle w:val="TextBody"/>
        <w:spacing w:before="360" w:after="0"/>
        <w:jc w:val="left"/>
        <w:rPr>
          <w:rFonts w:ascii="arial" w:hAnsi="arial"/>
          <w:b/>
          <w:color w:val="CF0A2C"/>
          <w:sz w:val="28"/>
        </w:rPr>
      </w:pPr>
      <w:bookmarkStart w:id="41" w:name="toc116694_40"/>
      <w:bookmarkEnd w:id="41"/>
      <w:r>
        <w:rPr>
          <w:rFonts w:ascii="arial" w:hAnsi="arial"/>
          <w:b/>
          <w:color w:val="CF0A2C"/>
          <w:sz w:val="28"/>
        </w:rPr>
        <w:t xml:space="preserve">REPORT OF THE AUDIT COMMITTEE </w:t>
      </w:r>
    </w:p>
    <w:p>
      <w:pPr>
        <w:pStyle w:val="TextBody"/>
        <w:spacing w:before="120" w:after="0"/>
        <w:jc w:val="left"/>
        <w:rPr>
          <w:rFonts w:ascii="arial" w:hAnsi="arial"/>
          <w:sz w:val="20"/>
        </w:rPr>
      </w:pPr>
      <w:r>
        <w:rPr>
          <w:rFonts w:ascii="arial" w:hAnsi="arial"/>
          <w:sz w:val="20"/>
        </w:rPr>
        <w:t xml:space="preserve">The Board of Directors has determined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103"/>
        <w:gridCol w:w="9486"/>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6" w:type="dxa"/>
            <w:tcBorders/>
            <w:shd w:fill="auto" w:val="clear"/>
          </w:tcPr>
          <w:p>
            <w:pPr>
              <w:pStyle w:val="TableContents"/>
              <w:spacing w:before="0" w:after="0"/>
              <w:jc w:val="left"/>
              <w:rPr>
                <w:rFonts w:ascii="arial" w:hAnsi="arial"/>
                <w:sz w:val="20"/>
              </w:rPr>
            </w:pPr>
            <w:r>
              <w:rPr>
                <w:rFonts w:ascii="arial" w:hAnsi="arial"/>
                <w:sz w:val="20"/>
              </w:rPr>
              <w:t xml:space="preserve">each Audit Committee member is independent under the corporate governance listing standards of the NYSE and is or will become financially literate, as defined by the NYSE, within a reasonable period of time after appointment to the Audit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102"/>
        <w:gridCol w:w="9489"/>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89" w:type="dxa"/>
            <w:tcBorders/>
            <w:shd w:fill="auto" w:val="clear"/>
          </w:tcPr>
          <w:p>
            <w:pPr>
              <w:pStyle w:val="TableContents"/>
              <w:spacing w:before="0" w:after="0"/>
              <w:jc w:val="left"/>
              <w:rPr>
                <w:rFonts w:ascii="arial" w:hAnsi="arial"/>
                <w:sz w:val="20"/>
              </w:rPr>
            </w:pPr>
            <w:r>
              <w:rPr>
                <w:rFonts w:ascii="arial" w:hAnsi="arial"/>
                <w:sz w:val="20"/>
              </w:rPr>
              <w:t xml:space="preserve">each member of the Audit Committee satisfies the financial management expertise standard, as required by the NYSE;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5"/>
        <w:gridCol w:w="102"/>
        <w:gridCol w:w="9492"/>
      </w:tblGrid>
      <w:tr>
        <w:trPr/>
        <w:tc>
          <w:tcPr>
            <w:tcW w:w="406"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0"/>
              <w:jc w:val="left"/>
              <w:rPr>
                <w:rFonts w:ascii="arial" w:hAnsi="arial"/>
                <w:sz w:val="20"/>
              </w:rPr>
            </w:pPr>
            <w:r>
              <w:rPr>
                <w:rFonts w:ascii="arial" w:hAnsi="arial"/>
                <w:sz w:val="20"/>
              </w:rPr>
              <w:t xml:space="preserve">Douglas M. Pasquale, Chairman of the Audit Committee, is an audit committee financial expert, as defined by the SEC. </w:t>
            </w:r>
          </w:p>
        </w:tc>
      </w:tr>
    </w:tbl>
    <w:p>
      <w:pPr>
        <w:pStyle w:val="TextBody"/>
        <w:spacing w:before="120" w:after="0"/>
        <w:jc w:val="left"/>
        <w:rPr>
          <w:rFonts w:ascii="arial" w:hAnsi="arial"/>
          <w:sz w:val="20"/>
        </w:rPr>
      </w:pPr>
      <w:r>
        <w:rPr>
          <w:rFonts w:ascii="arial" w:hAnsi="arial"/>
          <w:sz w:val="20"/>
        </w:rPr>
        <w:t xml:space="preserve">Management is responsible for the preparation of financial statements and the financial reporting process, including the system of internal controls over financial reporting. Ernst &amp; Young LLP (Ernst &amp; Young), the Corporations independent auditor, is responsible for performing an independent audit of the Corporations consolidated financial statements in accordance with auditing standards generally accepted in the United States of America and for issuing a report thereon. The Audit Committee is responsible for assisting the Board of Directors in monitoring: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103"/>
        <w:gridCol w:w="9486"/>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6" w:type="dxa"/>
            <w:tcBorders/>
            <w:shd w:fill="auto" w:val="clear"/>
          </w:tcPr>
          <w:p>
            <w:pPr>
              <w:pStyle w:val="TableContents"/>
              <w:spacing w:before="0" w:after="0"/>
              <w:jc w:val="left"/>
              <w:rPr>
                <w:rFonts w:ascii="arial" w:hAnsi="arial"/>
                <w:sz w:val="20"/>
              </w:rPr>
            </w:pPr>
            <w:r>
              <w:rPr>
                <w:rFonts w:ascii="arial" w:hAnsi="arial"/>
                <w:sz w:val="20"/>
              </w:rPr>
              <w:t xml:space="preserve">the integrity of the Corporations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103"/>
        <w:gridCol w:w="9486"/>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6" w:type="dxa"/>
            <w:tcBorders/>
            <w:shd w:fill="auto" w:val="clear"/>
          </w:tcPr>
          <w:p>
            <w:pPr>
              <w:pStyle w:val="TableContents"/>
              <w:spacing w:before="0" w:after="0"/>
              <w:jc w:val="left"/>
              <w:rPr>
                <w:rFonts w:ascii="arial" w:hAnsi="arial"/>
                <w:sz w:val="20"/>
              </w:rPr>
            </w:pPr>
            <w:r>
              <w:rPr>
                <w:rFonts w:ascii="arial" w:hAnsi="arial"/>
                <w:sz w:val="20"/>
              </w:rPr>
              <w:t xml:space="preserve">the Corporations compliance with legal and regulatory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0"/>
              <w:jc w:val="left"/>
              <w:rPr>
                <w:rFonts w:ascii="arial" w:hAnsi="arial"/>
                <w:sz w:val="20"/>
              </w:rPr>
            </w:pPr>
            <w:r>
              <w:rPr>
                <w:rFonts w:ascii="arial" w:hAnsi="arial"/>
                <w:sz w:val="20"/>
              </w:rPr>
              <w:t xml:space="preserve">the Corporations independent auditors qualifications and independence;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103"/>
        <w:gridCol w:w="9486"/>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6" w:type="dxa"/>
            <w:tcBorders/>
            <w:shd w:fill="auto" w:val="clear"/>
          </w:tcPr>
          <w:p>
            <w:pPr>
              <w:pStyle w:val="TableContents"/>
              <w:spacing w:before="0" w:after="0"/>
              <w:jc w:val="left"/>
              <w:rPr>
                <w:rFonts w:ascii="arial" w:hAnsi="arial"/>
                <w:sz w:val="20"/>
              </w:rPr>
            </w:pPr>
            <w:r>
              <w:rPr>
                <w:rFonts w:ascii="arial" w:hAnsi="arial"/>
                <w:sz w:val="20"/>
              </w:rPr>
              <w:t xml:space="preserve">the performance of the Corporations independent auditor and the Corporations internal audit function. </w:t>
            </w:r>
          </w:p>
        </w:tc>
      </w:tr>
    </w:tbl>
    <w:p>
      <w:pPr>
        <w:pStyle w:val="TextBody"/>
        <w:spacing w:before="120" w:after="0"/>
        <w:jc w:val="left"/>
        <w:rPr>
          <w:rFonts w:ascii="arial" w:hAnsi="arial"/>
          <w:sz w:val="20"/>
        </w:rPr>
      </w:pPr>
      <w:r>
        <w:rPr>
          <w:rFonts w:ascii="arial" w:hAnsi="arial"/>
          <w:sz w:val="20"/>
        </w:rPr>
        <w:t xml:space="preserve">It is the Audit Committees policy to review and approve in advance all proposed audit and non-audit services to be provided by the Corporations independent auditor. </w:t>
      </w:r>
    </w:p>
    <w:p>
      <w:pPr>
        <w:pStyle w:val="TextBody"/>
        <w:spacing w:before="120" w:after="0"/>
        <w:jc w:val="left"/>
        <w:rPr>
          <w:rFonts w:ascii="arial" w:hAnsi="arial"/>
          <w:sz w:val="20"/>
        </w:rPr>
      </w:pPr>
      <w:r>
        <w:rPr>
          <w:rFonts w:ascii="arial" w:hAnsi="arial"/>
          <w:sz w:val="20"/>
        </w:rPr>
        <w:t xml:space="preserve">During 2020, the Audit Committee met six times and held separate discussions with management, the Corporations internal auditors and Ernst &amp; Young. The Audit Committee reviewed and discussed the Corporations interim financial information contained in each quarterly earnings announcement with the Corporations Chief Executive Officer, Chief Financial Officer, General Counsel and Ernst &amp; Young prior to public release. The Audit Committee reviewed the Corporations quarterly financial statements with management and Ernst &amp; Young. </w:t>
      </w:r>
    </w:p>
    <w:p>
      <w:pPr>
        <w:pStyle w:val="TextBody"/>
        <w:spacing w:before="120" w:after="0"/>
        <w:jc w:val="left"/>
        <w:rPr>
          <w:rFonts w:ascii="arial" w:hAnsi="arial"/>
          <w:sz w:val="20"/>
        </w:rPr>
      </w:pPr>
      <w:r>
        <w:rPr>
          <w:rFonts w:ascii="arial" w:hAnsi="arial"/>
          <w:sz w:val="20"/>
        </w:rPr>
        <w:t xml:space="preserve">Management has represented to the Audit Committee that the Corporations consolidated financial statements were prepared in accordance with accounting principles generally accepted in the United States of America. The Audit Committee reviewed and discussed with management and Ernst &amp; Young the Corporations fiscal year ended December 31, 2020 annual consolidated financial statements. The Audit Committee has also discussed the following with Ernst &amp; Young: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10"/>
        <w:gridCol w:w="103"/>
        <w:gridCol w:w="9486"/>
      </w:tblGrid>
      <w:tr>
        <w:trPr/>
        <w:tc>
          <w:tcPr>
            <w:tcW w:w="40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486" w:type="dxa"/>
            <w:tcBorders/>
            <w:shd w:fill="auto" w:val="clear"/>
          </w:tcPr>
          <w:p>
            <w:pPr>
              <w:pStyle w:val="TableContents"/>
              <w:spacing w:before="0" w:after="0"/>
              <w:jc w:val="left"/>
              <w:rPr>
                <w:rFonts w:ascii="arial" w:hAnsi="arial"/>
                <w:sz w:val="20"/>
              </w:rPr>
            </w:pPr>
            <w:r>
              <w:rPr>
                <w:rFonts w:ascii="arial" w:hAnsi="arial"/>
                <w:sz w:val="20"/>
              </w:rPr>
              <w:t xml:space="preserve">the matters required to be discussed under the applicable requirements of the Public Company Accounting Oversight Board (United States) and the SEC which include, among other items, matters related to the conduct of the audit of the Corporations annual consolidated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8"/>
        <w:gridCol w:w="102"/>
        <w:gridCol w:w="9489"/>
      </w:tblGrid>
      <w:tr>
        <w:trPr/>
        <w:tc>
          <w:tcPr>
            <w:tcW w:w="40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89" w:type="dxa"/>
            <w:tcBorders/>
            <w:shd w:fill="auto" w:val="clear"/>
          </w:tcPr>
          <w:p>
            <w:pPr>
              <w:pStyle w:val="TableContents"/>
              <w:spacing w:before="0" w:after="0"/>
              <w:jc w:val="left"/>
              <w:rPr>
                <w:rFonts w:ascii="arial" w:hAnsi="arial"/>
                <w:sz w:val="20"/>
              </w:rPr>
            </w:pPr>
            <w:r>
              <w:rPr>
                <w:rFonts w:ascii="arial" w:hAnsi="arial"/>
                <w:sz w:val="20"/>
              </w:rPr>
              <w:t xml:space="preserve">the critical accounting policies and practices used in the preparation of the Corporations annual consolidated financial statements, alternative treatments of financial information within generally accepted accounting principles that Ernst &amp; Young discussed with management, the ramifications of using such alternative treatments, and the treatment preferred by Ernst &amp; Young;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206"/>
        <w:gridCol w:w="102"/>
        <w:gridCol w:w="9491"/>
      </w:tblGrid>
      <w:tr>
        <w:trPr/>
        <w:tc>
          <w:tcPr>
            <w:tcW w:w="4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0"/>
              <w:jc w:val="left"/>
              <w:rPr>
                <w:rFonts w:ascii="arial" w:hAnsi="arial"/>
                <w:sz w:val="20"/>
              </w:rPr>
            </w:pPr>
            <w:r>
              <w:rPr>
                <w:rFonts w:ascii="arial" w:hAnsi="arial"/>
                <w:sz w:val="20"/>
              </w:rPr>
              <w:t xml:space="preserve">other written communications between Ernst &amp; Young and management. </w:t>
            </w:r>
          </w:p>
        </w:tc>
      </w:tr>
    </w:tbl>
    <w:p>
      <w:pPr>
        <w:pStyle w:val="TextBody"/>
        <w:spacing w:before="120" w:after="0"/>
        <w:jc w:val="left"/>
        <w:rPr>
          <w:rFonts w:ascii="arial" w:hAnsi="arial"/>
          <w:sz w:val="20"/>
        </w:rPr>
      </w:pPr>
      <w:r>
        <w:rPr>
          <w:rFonts w:ascii="arial" w:hAnsi="arial"/>
          <w:sz w:val="20"/>
        </w:rPr>
        <w:t xml:space="preserve">In addition, the Audit Committee has received and reviewed the written disclosures and the letter from Ernst &amp; Young required by applicable requirements of the Public Company Accounting Oversight Board regarding Ernst &amp; Youngs communications with the Audit Committee concerning independence, and has discussed with Ernst &amp; Young the firms independence from the Corporation and management, including all relationships between Ernst &amp; Young and the Corporation.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7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5" descr=""/>
                          <pic:cNvPicPr>
                            <a:picLocks noChangeAspect="1" noChangeArrowheads="1"/>
                          </pic:cNvPicPr>
                        </pic:nvPicPr>
                        <pic:blipFill>
                          <a:blip r:embed="rId66"/>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53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AUDIT-RELATED MATTERS</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The Audit Committee has considered whether the provision of non-audit services by Ernst &amp; Young in the fiscal year ended December 31, 2020 is compatible with maintaining the auditors independence and determined that the provision of non-audit services by Ernst &amp; Young is compatible with maintaining the auditors independence. The Audit Committee discussed with the Corporations internal auditors, Ernst &amp; Young and management the overall scope and plans for their respective audits. The Audit Committee met with the internal auditors and Ernst &amp; Young, with and without management present, to discuss the results of their respective audits, the evaluations of the Corporations internal controls over financial reporting, and the overall quality of the Corporations financial reporting. The Audit Committee also discussed with Ernst &amp; Young whether there were any audit problems or difficulties, and managements response. In addition, the Audit Committee monitored the Corporations compliance activities relating to the Sarbanes-Oxley Act of 2002. </w:t>
      </w:r>
    </w:p>
    <w:p>
      <w:pPr>
        <w:pStyle w:val="TextBody"/>
        <w:spacing w:before="120" w:after="0"/>
        <w:jc w:val="left"/>
        <w:rPr>
          <w:rFonts w:ascii="arial" w:hAnsi="arial"/>
          <w:sz w:val="20"/>
        </w:rPr>
      </w:pPr>
      <w:r>
        <w:rPr>
          <w:rFonts w:ascii="arial" w:hAnsi="arial"/>
          <w:sz w:val="20"/>
        </w:rPr>
        <w:t xml:space="preserve">Based on the reviews and discussions described above, the Audit Committee recommended to the Board of Directors that the audited consolidated financial statements be included in the Corporations Annual Report on Form 10-K for the fiscal year ended December 31, 2020, for filing with the SEC. </w:t>
      </w:r>
    </w:p>
    <w:p>
      <w:pPr>
        <w:pStyle w:val="TextBody"/>
        <w:spacing w:before="120" w:after="0"/>
        <w:jc w:val="left"/>
        <w:rPr>
          <w:rFonts w:ascii="arial" w:hAnsi="arial"/>
          <w:sz w:val="20"/>
        </w:rPr>
      </w:pPr>
      <w:r>
        <w:rPr>
          <w:rFonts w:ascii="arial" w:hAnsi="arial"/>
          <w:sz w:val="20"/>
        </w:rPr>
        <w:t xml:space="preserve">The Audit Committee also selected Ernst &amp; Young as the Corporations independent auditor for the fiscal year ending December 31, 2021. The Board of Directors is recommending that stockholders ratify this appointment at the Annual Meeting. </w:t>
      </w:r>
    </w:p>
    <w:p>
      <w:pPr>
        <w:pStyle w:val="TextBody"/>
        <w:spacing w:before="480" w:after="0"/>
        <w:jc w:val="center"/>
        <w:rPr>
          <w:rFonts w:ascii="arial" w:hAnsi="arial"/>
          <w:b/>
          <w:sz w:val="20"/>
        </w:rPr>
      </w:pPr>
      <w:r>
        <w:rPr>
          <w:rFonts w:ascii="arial" w:hAnsi="arial"/>
          <w:b/>
          <w:sz w:val="20"/>
        </w:rPr>
        <w:t xml:space="preserve">THIS REPORT IS SUBMITTED BY THE </w:t>
      </w:r>
    </w:p>
    <w:p>
      <w:pPr>
        <w:pStyle w:val="TextBody"/>
        <w:spacing w:before="0" w:after="0"/>
        <w:jc w:val="center"/>
        <w:rPr>
          <w:rFonts w:ascii="arial" w:hAnsi="arial"/>
          <w:b/>
          <w:sz w:val="20"/>
        </w:rPr>
      </w:pPr>
      <w:r>
        <w:rPr>
          <w:rFonts w:ascii="arial" w:hAnsi="arial"/>
          <w:b/>
          <w:sz w:val="20"/>
        </w:rPr>
        <w:t xml:space="preserve">AUDIT COMMITTEE OF THE BOARD OF DIRECTORS </w:t>
      </w:r>
    </w:p>
    <w:p>
      <w:pPr>
        <w:pStyle w:val="TextBody"/>
        <w:spacing w:before="240" w:after="0"/>
        <w:jc w:val="center"/>
        <w:rPr>
          <w:rFonts w:ascii="arial" w:hAnsi="arial"/>
          <w:sz w:val="20"/>
        </w:rPr>
      </w:pPr>
      <w:r>
        <w:rPr>
          <w:rFonts w:ascii="arial" w:hAnsi="arial"/>
          <w:sz w:val="20"/>
        </w:rPr>
        <w:t xml:space="preserve">Douglas M. Pasquale (Chairman) </w:t>
      </w:r>
    </w:p>
    <w:p>
      <w:pPr>
        <w:pStyle w:val="TextBody"/>
        <w:spacing w:before="0" w:after="0"/>
        <w:jc w:val="center"/>
        <w:rPr>
          <w:rFonts w:ascii="arial" w:hAnsi="arial"/>
          <w:sz w:val="20"/>
        </w:rPr>
      </w:pPr>
      <w:r>
        <w:rPr>
          <w:rFonts w:ascii="arial" w:hAnsi="arial"/>
          <w:sz w:val="20"/>
        </w:rPr>
        <w:t xml:space="preserve">Howard M. Berk </w:t>
      </w:r>
    </w:p>
    <w:p>
      <w:pPr>
        <w:pStyle w:val="TextBody"/>
        <w:spacing w:before="0" w:after="0"/>
        <w:jc w:val="center"/>
        <w:rPr>
          <w:rFonts w:ascii="arial" w:hAnsi="arial"/>
          <w:sz w:val="20"/>
        </w:rPr>
      </w:pPr>
      <w:r>
        <w:rPr>
          <w:rFonts w:ascii="arial" w:hAnsi="arial"/>
          <w:sz w:val="20"/>
        </w:rPr>
        <w:t xml:space="preserve">Susan M. Collyns </w:t>
      </w:r>
    </w:p>
    <w:p>
      <w:pPr>
        <w:pStyle w:val="TextBody"/>
        <w:spacing w:before="0" w:after="0"/>
        <w:jc w:val="center"/>
        <w:rPr>
          <w:rFonts w:ascii="arial" w:hAnsi="arial"/>
          <w:sz w:val="20"/>
        </w:rPr>
      </w:pPr>
      <w:r>
        <w:rPr>
          <w:rFonts w:ascii="arial" w:hAnsi="arial"/>
          <w:sz w:val="20"/>
        </w:rPr>
        <w:t xml:space="preserve">Richard J. Dahl </w:t>
      </w:r>
    </w:p>
    <w:p>
      <w:pPr>
        <w:pStyle w:val="TextBody"/>
        <w:spacing w:before="0" w:after="0"/>
        <w:jc w:val="center"/>
        <w:rPr>
          <w:rFonts w:ascii="arial" w:hAnsi="arial"/>
          <w:sz w:val="20"/>
        </w:rPr>
      </w:pPr>
      <w:r>
        <w:rPr>
          <w:rFonts w:ascii="arial" w:hAnsi="arial"/>
          <w:sz w:val="20"/>
        </w:rPr>
        <w:t xml:space="preserve">Michael C. Hyter </w:t>
      </w:r>
    </w:p>
    <w:p>
      <w:pPr>
        <w:pStyle w:val="TextBody"/>
        <w:spacing w:before="0" w:after="0"/>
        <w:jc w:val="center"/>
        <w:rPr>
          <w:rFonts w:ascii="arial" w:hAnsi="arial"/>
          <w:sz w:val="20"/>
        </w:rPr>
      </w:pPr>
      <w:r>
        <w:rPr>
          <w:rFonts w:ascii="arial" w:hAnsi="arial"/>
          <w:sz w:val="20"/>
        </w:rPr>
        <w:t xml:space="preserve">Gilbert T. Ray </w:t>
      </w:r>
    </w:p>
    <w:p>
      <w:pPr>
        <w:pStyle w:val="TextBody"/>
        <w:spacing w:before="240" w:after="0"/>
        <w:jc w:val="left"/>
        <w:rPr>
          <w:rFonts w:ascii="arial" w:hAnsi="arial"/>
          <w:b/>
          <w:sz w:val="20"/>
        </w:rPr>
      </w:pPr>
      <w:bookmarkStart w:id="42" w:name="toc116694_41"/>
      <w:bookmarkEnd w:id="42"/>
      <w:r>
        <w:rPr>
          <w:rFonts w:ascii="arial" w:hAnsi="arial"/>
          <w:b/>
          <w:sz w:val="20"/>
        </w:rPr>
        <w:t xml:space="preserve">Independent Auditor Fees </w:t>
      </w:r>
    </w:p>
    <w:p>
      <w:pPr>
        <w:pStyle w:val="TextBody"/>
        <w:spacing w:before="120" w:after="0"/>
        <w:jc w:val="left"/>
        <w:rPr>
          <w:rFonts w:ascii="arial" w:hAnsi="arial"/>
          <w:sz w:val="20"/>
        </w:rPr>
      </w:pPr>
      <w:r>
        <w:rPr>
          <w:rFonts w:ascii="arial" w:hAnsi="arial"/>
          <w:sz w:val="20"/>
        </w:rPr>
        <w:t xml:space="preserve">The following table sets forth information concerning Ernst &amp; Youngs fees for the fiscal years ended December 31, 2020 and 2019. All of the fees shown in the table were approved by the Audit Committee in conformity with its pre-approval process.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410"/>
        <w:gridCol w:w="228"/>
        <w:gridCol w:w="140"/>
        <w:gridCol w:w="984"/>
        <w:gridCol w:w="60"/>
        <w:gridCol w:w="142"/>
        <w:gridCol w:w="140"/>
        <w:gridCol w:w="984"/>
        <w:gridCol w:w="117"/>
      </w:tblGrid>
      <w:tr>
        <w:trPr/>
        <w:tc>
          <w:tcPr>
            <w:tcW w:w="741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7410" w:type="dxa"/>
            <w:tcBorders/>
            <w:shd w:fill="CF0A2C" w:val="clear"/>
            <w:vAlign w:val="center"/>
          </w:tcPr>
          <w:p>
            <w:pPr>
              <w:pStyle w:val="TableContents"/>
              <w:spacing w:before="0" w:after="283"/>
              <w:rPr>
                <w:sz w:val="4"/>
                <w:szCs w:val="4"/>
              </w:rPr>
            </w:pPr>
            <w:r>
              <w:rPr>
                <w:sz w:val="4"/>
                <w:szCs w:val="4"/>
              </w:rPr>
            </w:r>
          </w:p>
        </w:tc>
        <w:tc>
          <w:tcPr>
            <w:tcW w:w="1412" w:type="dxa"/>
            <w:gridSpan w:val="4"/>
            <w:tcBorders/>
            <w:shd w:fill="CF0A2C" w:val="clear"/>
            <w:vAlign w:val="center"/>
          </w:tcPr>
          <w:p>
            <w:pPr>
              <w:pStyle w:val="TableContents"/>
              <w:spacing w:before="0" w:after="283"/>
              <w:rPr>
                <w:sz w:val="4"/>
                <w:szCs w:val="4"/>
              </w:rPr>
            </w:pPr>
            <w:r>
              <w:rPr>
                <w:sz w:val="4"/>
                <w:szCs w:val="4"/>
              </w:rPr>
            </w:r>
          </w:p>
        </w:tc>
        <w:tc>
          <w:tcPr>
            <w:tcW w:w="1383" w:type="dxa"/>
            <w:gridSpan w:val="4"/>
            <w:tcBorders/>
            <w:shd w:fill="CF0A2C" w:val="clear"/>
            <w:vAlign w:val="center"/>
          </w:tcPr>
          <w:p>
            <w:pPr>
              <w:pStyle w:val="TableContents"/>
              <w:spacing w:before="0" w:after="283"/>
              <w:rPr>
                <w:sz w:val="4"/>
                <w:szCs w:val="4"/>
              </w:rPr>
            </w:pPr>
            <w:r>
              <w:rPr>
                <w:sz w:val="4"/>
                <w:szCs w:val="4"/>
              </w:rPr>
            </w:r>
          </w:p>
        </w:tc>
      </w:tr>
      <w:tr>
        <w:trPr/>
        <w:tc>
          <w:tcPr>
            <w:tcW w:w="7410" w:type="dxa"/>
            <w:tcBorders/>
            <w:shd w:fill="CF0A2C" w:val="clear"/>
            <w:vAlign w:val="bottom"/>
          </w:tcPr>
          <w:p>
            <w:pPr>
              <w:pStyle w:val="TableContents"/>
              <w:spacing w:before="0" w:after="0"/>
              <w:rPr>
                <w:rFonts w:ascii="arial" w:hAnsi="arial"/>
                <w:b/>
                <w:color w:val="FFFFFF"/>
                <w:sz w:val="16"/>
              </w:rPr>
            </w:pPr>
            <w:r>
              <w:rPr>
                <w:rFonts w:ascii="arial" w:hAnsi="arial"/>
                <w:b/>
                <w:color w:val="FFFFFF"/>
                <w:sz w:val="16"/>
              </w:rPr>
              <w:t>Type of Fee</w:t>
            </w:r>
          </w:p>
        </w:tc>
        <w:tc>
          <w:tcPr>
            <w:tcW w:w="228" w:type="dxa"/>
            <w:tcBorders/>
            <w:shd w:fill="CF0A2C" w:val="clear"/>
            <w:vAlign w:val="bottom"/>
          </w:tcPr>
          <w:p>
            <w:pPr>
              <w:pStyle w:val="TableContents"/>
              <w:spacing w:before="0" w:after="283"/>
              <w:rPr/>
            </w:pPr>
            <w:r>
              <w:rPr/>
              <w:t>  </w:t>
            </w:r>
          </w:p>
        </w:tc>
        <w:tc>
          <w:tcPr>
            <w:tcW w:w="1124" w:type="dxa"/>
            <w:gridSpan w:val="2"/>
            <w:tcBorders/>
            <w:shd w:fill="CF0A2C" w:val="clear"/>
            <w:vAlign w:val="bottom"/>
          </w:tcPr>
          <w:p>
            <w:pPr>
              <w:pStyle w:val="TableContents"/>
              <w:spacing w:before="0" w:after="283"/>
              <w:jc w:val="center"/>
              <w:rPr>
                <w:b/>
                <w:color w:val="FFFFFF"/>
              </w:rPr>
            </w:pPr>
            <w:r>
              <w:rPr>
                <w:b/>
                <w:color w:val="FFFFFF"/>
              </w:rPr>
              <w:t>2020</w:t>
            </w:r>
          </w:p>
        </w:tc>
        <w:tc>
          <w:tcPr>
            <w:tcW w:w="60" w:type="dxa"/>
            <w:tcBorders/>
            <w:shd w:fill="CF0A2C" w:val="clear"/>
            <w:vAlign w:val="bottom"/>
          </w:tcPr>
          <w:p>
            <w:pPr>
              <w:pStyle w:val="TableContents"/>
              <w:spacing w:before="0" w:after="283"/>
              <w:rPr/>
            </w:pPr>
            <w:r>
              <w:rPr/>
              <w:t> </w:t>
            </w:r>
          </w:p>
        </w:tc>
        <w:tc>
          <w:tcPr>
            <w:tcW w:w="142" w:type="dxa"/>
            <w:tcBorders/>
            <w:shd w:fill="CF0A2C" w:val="clear"/>
            <w:vAlign w:val="bottom"/>
          </w:tcPr>
          <w:p>
            <w:pPr>
              <w:pStyle w:val="TableContents"/>
              <w:spacing w:before="0" w:after="283"/>
              <w:rPr/>
            </w:pPr>
            <w:r>
              <w:rPr/>
              <w:t>  </w:t>
            </w:r>
          </w:p>
        </w:tc>
        <w:tc>
          <w:tcPr>
            <w:tcW w:w="1124" w:type="dxa"/>
            <w:gridSpan w:val="2"/>
            <w:tcBorders/>
            <w:shd w:fill="CF0A2C" w:val="clear"/>
            <w:vAlign w:val="bottom"/>
          </w:tcPr>
          <w:p>
            <w:pPr>
              <w:pStyle w:val="TableContents"/>
              <w:spacing w:before="0" w:after="283"/>
              <w:jc w:val="center"/>
              <w:rPr>
                <w:b/>
                <w:color w:val="FFFFFF"/>
              </w:rPr>
            </w:pPr>
            <w:r>
              <w:rPr>
                <w:b/>
                <w:color w:val="FFFFFF"/>
              </w:rPr>
              <w:t>2019</w:t>
            </w:r>
          </w:p>
        </w:tc>
        <w:tc>
          <w:tcPr>
            <w:tcW w:w="117" w:type="dxa"/>
            <w:tcBorders/>
            <w:shd w:fill="CF0A2C" w:val="clear"/>
            <w:vAlign w:val="bottom"/>
          </w:tcPr>
          <w:p>
            <w:pPr>
              <w:pStyle w:val="TableContents"/>
              <w:spacing w:before="0" w:after="283"/>
              <w:rPr/>
            </w:pPr>
            <w:r>
              <w:rPr/>
              <w:t> </w:t>
            </w:r>
          </w:p>
        </w:tc>
      </w:tr>
      <w:tr>
        <w:trPr>
          <w:trHeight w:val="75" w:hRule="atLeast"/>
        </w:trPr>
        <w:tc>
          <w:tcPr>
            <w:tcW w:w="7410" w:type="dxa"/>
            <w:tcBorders/>
            <w:shd w:fill="E5E5E5" w:val="clear"/>
            <w:vAlign w:val="center"/>
          </w:tcPr>
          <w:p>
            <w:pPr>
              <w:pStyle w:val="TableContents"/>
              <w:spacing w:before="0" w:after="283"/>
              <w:rPr>
                <w:sz w:val="4"/>
                <w:szCs w:val="4"/>
              </w:rPr>
            </w:pPr>
            <w:r>
              <w:rPr>
                <w:sz w:val="4"/>
                <w:szCs w:val="4"/>
              </w:rPr>
            </w:r>
          </w:p>
        </w:tc>
        <w:tc>
          <w:tcPr>
            <w:tcW w:w="1412" w:type="dxa"/>
            <w:gridSpan w:val="4"/>
            <w:tcBorders/>
            <w:shd w:fill="E5E5E5" w:val="clear"/>
            <w:vAlign w:val="center"/>
          </w:tcPr>
          <w:p>
            <w:pPr>
              <w:pStyle w:val="TableContents"/>
              <w:spacing w:before="0" w:after="283"/>
              <w:rPr>
                <w:sz w:val="4"/>
                <w:szCs w:val="4"/>
              </w:rPr>
            </w:pPr>
            <w:r>
              <w:rPr>
                <w:sz w:val="4"/>
                <w:szCs w:val="4"/>
              </w:rPr>
            </w:r>
          </w:p>
        </w:tc>
        <w:tc>
          <w:tcPr>
            <w:tcW w:w="1383" w:type="dxa"/>
            <w:gridSpan w:val="4"/>
            <w:tcBorders/>
            <w:shd w:fill="E5E5E5" w:val="clear"/>
            <w:vAlign w:val="center"/>
          </w:tcPr>
          <w:p>
            <w:pPr>
              <w:pStyle w:val="TableContents"/>
              <w:spacing w:before="0" w:after="283"/>
              <w:rPr>
                <w:sz w:val="4"/>
                <w:szCs w:val="4"/>
              </w:rPr>
            </w:pPr>
            <w:r>
              <w:rPr>
                <w:sz w:val="4"/>
                <w:szCs w:val="4"/>
              </w:rPr>
            </w:r>
          </w:p>
        </w:tc>
      </w:tr>
      <w:tr>
        <w:trPr/>
        <w:tc>
          <w:tcPr>
            <w:tcW w:w="7410" w:type="dxa"/>
            <w:tcBorders/>
            <w:shd w:fill="E5E5E5" w:val="clear"/>
          </w:tcPr>
          <w:p>
            <w:pPr>
              <w:pStyle w:val="TableContents"/>
              <w:spacing w:before="0" w:after="0"/>
              <w:rPr>
                <w:rFonts w:ascii="arial" w:hAnsi="arial"/>
                <w:sz w:val="20"/>
              </w:rPr>
            </w:pPr>
            <w:r>
              <w:rPr>
                <w:rFonts w:ascii="arial" w:hAnsi="arial"/>
                <w:sz w:val="20"/>
              </w:rPr>
              <w:t>Audit Fees</w:t>
            </w:r>
          </w:p>
        </w:tc>
        <w:tc>
          <w:tcPr>
            <w:tcW w:w="228"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1,439,029</w:t>
            </w:r>
          </w:p>
        </w:tc>
        <w:tc>
          <w:tcPr>
            <w:tcW w:w="60" w:type="dxa"/>
            <w:tcBorders/>
            <w:shd w:fill="E5E5E5" w:val="clear"/>
            <w:vAlign w:val="bottom"/>
          </w:tcPr>
          <w:p>
            <w:pPr>
              <w:pStyle w:val="TableContents"/>
              <w:spacing w:before="0" w:after="283"/>
              <w:rPr/>
            </w:pPr>
            <w:r>
              <w:rPr/>
              <w:t> </w:t>
            </w:r>
          </w:p>
        </w:tc>
        <w:tc>
          <w:tcPr>
            <w:tcW w:w="14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1,643,800</w:t>
            </w:r>
          </w:p>
        </w:tc>
        <w:tc>
          <w:tcPr>
            <w:tcW w:w="117" w:type="dxa"/>
            <w:tcBorders/>
            <w:shd w:fill="E5E5E5" w:val="clear"/>
            <w:vAlign w:val="bottom"/>
          </w:tcPr>
          <w:p>
            <w:pPr>
              <w:pStyle w:val="TableContents"/>
              <w:spacing w:before="0" w:after="283"/>
              <w:rPr/>
            </w:pPr>
            <w:r>
              <w:rPr/>
              <w:t> </w:t>
            </w:r>
          </w:p>
        </w:tc>
      </w:tr>
      <w:tr>
        <w:trPr>
          <w:trHeight w:val="75" w:hRule="atLeast"/>
        </w:trPr>
        <w:tc>
          <w:tcPr>
            <w:tcW w:w="7410" w:type="dxa"/>
            <w:tcBorders/>
            <w:shd w:fill="auto" w:val="clear"/>
            <w:vAlign w:val="center"/>
          </w:tcPr>
          <w:p>
            <w:pPr>
              <w:pStyle w:val="TableContents"/>
              <w:spacing w:before="0" w:after="283"/>
              <w:rPr>
                <w:sz w:val="4"/>
                <w:szCs w:val="4"/>
              </w:rPr>
            </w:pPr>
            <w:r>
              <w:rPr>
                <w:sz w:val="4"/>
                <w:szCs w:val="4"/>
              </w:rPr>
            </w:r>
          </w:p>
        </w:tc>
        <w:tc>
          <w:tcPr>
            <w:tcW w:w="1412" w:type="dxa"/>
            <w:gridSpan w:val="4"/>
            <w:tcBorders/>
            <w:shd w:fill="auto" w:val="clear"/>
            <w:vAlign w:val="center"/>
          </w:tcPr>
          <w:p>
            <w:pPr>
              <w:pStyle w:val="TableContents"/>
              <w:spacing w:before="0" w:after="283"/>
              <w:rPr>
                <w:sz w:val="4"/>
                <w:szCs w:val="4"/>
              </w:rPr>
            </w:pPr>
            <w:r>
              <w:rPr>
                <w:sz w:val="4"/>
                <w:szCs w:val="4"/>
              </w:rPr>
            </w:r>
          </w:p>
        </w:tc>
        <w:tc>
          <w:tcPr>
            <w:tcW w:w="1383" w:type="dxa"/>
            <w:gridSpan w:val="4"/>
            <w:tcBorders/>
            <w:shd w:fill="auto" w:val="clear"/>
            <w:vAlign w:val="center"/>
          </w:tcPr>
          <w:p>
            <w:pPr>
              <w:pStyle w:val="TableContents"/>
              <w:spacing w:before="0" w:after="283"/>
              <w:rPr>
                <w:sz w:val="4"/>
                <w:szCs w:val="4"/>
              </w:rPr>
            </w:pPr>
            <w:r>
              <w:rPr>
                <w:sz w:val="4"/>
                <w:szCs w:val="4"/>
              </w:rPr>
            </w:r>
          </w:p>
        </w:tc>
      </w:tr>
      <w:tr>
        <w:trPr/>
        <w:tc>
          <w:tcPr>
            <w:tcW w:w="7410" w:type="dxa"/>
            <w:tcBorders/>
            <w:shd w:fill="auto" w:val="clear"/>
          </w:tcPr>
          <w:p>
            <w:pPr>
              <w:pStyle w:val="TableContents"/>
              <w:spacing w:before="0" w:after="0"/>
              <w:rPr>
                <w:rFonts w:ascii="arial" w:hAnsi="arial"/>
                <w:sz w:val="20"/>
              </w:rPr>
            </w:pPr>
            <w:r>
              <w:rPr>
                <w:rFonts w:ascii="arial" w:hAnsi="arial"/>
                <w:sz w:val="20"/>
              </w:rPr>
              <w:t>Audit-Related Fees</w:t>
            </w:r>
          </w:p>
        </w:tc>
        <w:tc>
          <w:tcPr>
            <w:tcW w:w="2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5,300</w:t>
            </w:r>
          </w:p>
        </w:tc>
        <w:tc>
          <w:tcPr>
            <w:tcW w:w="117" w:type="dxa"/>
            <w:tcBorders/>
            <w:shd w:fill="auto" w:val="clear"/>
            <w:vAlign w:val="bottom"/>
          </w:tcPr>
          <w:p>
            <w:pPr>
              <w:pStyle w:val="TableContents"/>
              <w:spacing w:before="0" w:after="283"/>
              <w:rPr/>
            </w:pPr>
            <w:r>
              <w:rPr/>
              <w:t> </w:t>
            </w:r>
          </w:p>
        </w:tc>
      </w:tr>
      <w:tr>
        <w:trPr>
          <w:trHeight w:val="75" w:hRule="atLeast"/>
        </w:trPr>
        <w:tc>
          <w:tcPr>
            <w:tcW w:w="7410" w:type="dxa"/>
            <w:tcBorders/>
            <w:shd w:fill="E5E5E5" w:val="clear"/>
            <w:vAlign w:val="center"/>
          </w:tcPr>
          <w:p>
            <w:pPr>
              <w:pStyle w:val="TableContents"/>
              <w:spacing w:before="0" w:after="283"/>
              <w:rPr>
                <w:sz w:val="4"/>
                <w:szCs w:val="4"/>
              </w:rPr>
            </w:pPr>
            <w:r>
              <w:rPr>
                <w:sz w:val="4"/>
                <w:szCs w:val="4"/>
              </w:rPr>
            </w:r>
          </w:p>
        </w:tc>
        <w:tc>
          <w:tcPr>
            <w:tcW w:w="1412" w:type="dxa"/>
            <w:gridSpan w:val="4"/>
            <w:tcBorders/>
            <w:shd w:fill="E5E5E5" w:val="clear"/>
            <w:vAlign w:val="center"/>
          </w:tcPr>
          <w:p>
            <w:pPr>
              <w:pStyle w:val="TableContents"/>
              <w:spacing w:before="0" w:after="283"/>
              <w:rPr>
                <w:sz w:val="4"/>
                <w:szCs w:val="4"/>
              </w:rPr>
            </w:pPr>
            <w:r>
              <w:rPr>
                <w:sz w:val="4"/>
                <w:szCs w:val="4"/>
              </w:rPr>
            </w:r>
          </w:p>
        </w:tc>
        <w:tc>
          <w:tcPr>
            <w:tcW w:w="1383" w:type="dxa"/>
            <w:gridSpan w:val="4"/>
            <w:tcBorders/>
            <w:shd w:fill="E5E5E5" w:val="clear"/>
            <w:vAlign w:val="center"/>
          </w:tcPr>
          <w:p>
            <w:pPr>
              <w:pStyle w:val="TableContents"/>
              <w:spacing w:before="0" w:after="283"/>
              <w:rPr>
                <w:sz w:val="4"/>
                <w:szCs w:val="4"/>
              </w:rPr>
            </w:pPr>
            <w:r>
              <w:rPr>
                <w:sz w:val="4"/>
                <w:szCs w:val="4"/>
              </w:rPr>
            </w:r>
          </w:p>
        </w:tc>
      </w:tr>
      <w:tr>
        <w:trPr/>
        <w:tc>
          <w:tcPr>
            <w:tcW w:w="7410" w:type="dxa"/>
            <w:tcBorders/>
            <w:shd w:fill="E5E5E5" w:val="clear"/>
          </w:tcPr>
          <w:p>
            <w:pPr>
              <w:pStyle w:val="TableContents"/>
              <w:spacing w:before="0" w:after="0"/>
              <w:rPr>
                <w:rFonts w:ascii="arial" w:hAnsi="arial"/>
                <w:sz w:val="20"/>
              </w:rPr>
            </w:pPr>
            <w:r>
              <w:rPr>
                <w:rFonts w:ascii="arial" w:hAnsi="arial"/>
                <w:sz w:val="20"/>
              </w:rPr>
              <w:t>Tax Fees</w:t>
            </w:r>
          </w:p>
        </w:tc>
        <w:tc>
          <w:tcPr>
            <w:tcW w:w="228"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89,292</w:t>
            </w:r>
          </w:p>
        </w:tc>
        <w:tc>
          <w:tcPr>
            <w:tcW w:w="60" w:type="dxa"/>
            <w:tcBorders/>
            <w:shd w:fill="E5E5E5" w:val="clear"/>
            <w:vAlign w:val="bottom"/>
          </w:tcPr>
          <w:p>
            <w:pPr>
              <w:pStyle w:val="TableContents"/>
              <w:spacing w:before="0" w:after="283"/>
              <w:rPr/>
            </w:pPr>
            <w:r>
              <w:rPr/>
              <w:t> </w:t>
            </w:r>
          </w:p>
        </w:tc>
        <w:tc>
          <w:tcPr>
            <w:tcW w:w="14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84" w:type="dxa"/>
            <w:tcBorders/>
            <w:shd w:fill="E5E5E5" w:val="clear"/>
            <w:vAlign w:val="bottom"/>
          </w:tcPr>
          <w:p>
            <w:pPr>
              <w:pStyle w:val="TableContents"/>
              <w:spacing w:before="0" w:after="283"/>
              <w:jc w:val="right"/>
              <w:rPr/>
            </w:pPr>
            <w:r>
              <w:rPr/>
              <w:t>137,433</w:t>
            </w:r>
          </w:p>
        </w:tc>
        <w:tc>
          <w:tcPr>
            <w:tcW w:w="117" w:type="dxa"/>
            <w:tcBorders/>
            <w:shd w:fill="E5E5E5" w:val="clear"/>
            <w:vAlign w:val="bottom"/>
          </w:tcPr>
          <w:p>
            <w:pPr>
              <w:pStyle w:val="TableContents"/>
              <w:spacing w:before="0" w:after="283"/>
              <w:rPr/>
            </w:pPr>
            <w:r>
              <w:rPr/>
              <w:t> </w:t>
            </w:r>
          </w:p>
        </w:tc>
      </w:tr>
      <w:tr>
        <w:trPr>
          <w:trHeight w:val="75" w:hRule="atLeast"/>
        </w:trPr>
        <w:tc>
          <w:tcPr>
            <w:tcW w:w="7410" w:type="dxa"/>
            <w:tcBorders/>
            <w:shd w:fill="auto" w:val="clear"/>
            <w:vAlign w:val="center"/>
          </w:tcPr>
          <w:p>
            <w:pPr>
              <w:pStyle w:val="TableContents"/>
              <w:spacing w:before="0" w:after="283"/>
              <w:rPr>
                <w:sz w:val="4"/>
                <w:szCs w:val="4"/>
              </w:rPr>
            </w:pPr>
            <w:r>
              <w:rPr>
                <w:sz w:val="4"/>
                <w:szCs w:val="4"/>
              </w:rPr>
            </w:r>
          </w:p>
        </w:tc>
        <w:tc>
          <w:tcPr>
            <w:tcW w:w="1412" w:type="dxa"/>
            <w:gridSpan w:val="4"/>
            <w:tcBorders/>
            <w:shd w:fill="auto" w:val="clear"/>
            <w:vAlign w:val="center"/>
          </w:tcPr>
          <w:p>
            <w:pPr>
              <w:pStyle w:val="TableContents"/>
              <w:spacing w:before="0" w:after="283"/>
              <w:rPr>
                <w:sz w:val="4"/>
                <w:szCs w:val="4"/>
              </w:rPr>
            </w:pPr>
            <w:r>
              <w:rPr>
                <w:sz w:val="4"/>
                <w:szCs w:val="4"/>
              </w:rPr>
            </w:r>
          </w:p>
        </w:tc>
        <w:tc>
          <w:tcPr>
            <w:tcW w:w="1383" w:type="dxa"/>
            <w:gridSpan w:val="4"/>
            <w:tcBorders/>
            <w:shd w:fill="auto" w:val="clear"/>
            <w:vAlign w:val="center"/>
          </w:tcPr>
          <w:p>
            <w:pPr>
              <w:pStyle w:val="TableContents"/>
              <w:spacing w:before="0" w:after="283"/>
              <w:rPr>
                <w:sz w:val="4"/>
                <w:szCs w:val="4"/>
              </w:rPr>
            </w:pPr>
            <w:r>
              <w:rPr>
                <w:sz w:val="4"/>
                <w:szCs w:val="4"/>
              </w:rPr>
            </w:r>
          </w:p>
        </w:tc>
      </w:tr>
      <w:tr>
        <w:trPr/>
        <w:tc>
          <w:tcPr>
            <w:tcW w:w="7410" w:type="dxa"/>
            <w:tcBorders/>
            <w:shd w:fill="auto" w:val="clear"/>
          </w:tcPr>
          <w:p>
            <w:pPr>
              <w:pStyle w:val="TableContents"/>
              <w:spacing w:before="0" w:after="0"/>
              <w:rPr>
                <w:rFonts w:ascii="arial" w:hAnsi="arial"/>
                <w:sz w:val="20"/>
              </w:rPr>
            </w:pPr>
            <w:r>
              <w:rPr>
                <w:rFonts w:ascii="arial" w:hAnsi="arial"/>
                <w:sz w:val="20"/>
              </w:rPr>
              <w:t>All Other Fees</w:t>
            </w:r>
          </w:p>
        </w:tc>
        <w:tc>
          <w:tcPr>
            <w:tcW w:w="2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63,490</w:t>
            </w:r>
          </w:p>
        </w:tc>
        <w:tc>
          <w:tcPr>
            <w:tcW w:w="6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202,000</w:t>
            </w:r>
          </w:p>
        </w:tc>
        <w:tc>
          <w:tcPr>
            <w:tcW w:w="117" w:type="dxa"/>
            <w:tcBorders/>
            <w:shd w:fill="auto" w:val="clear"/>
            <w:vAlign w:val="bottom"/>
          </w:tcPr>
          <w:p>
            <w:pPr>
              <w:pStyle w:val="TableContents"/>
              <w:spacing w:before="0" w:after="283"/>
              <w:rPr/>
            </w:pPr>
            <w:r>
              <w:rPr/>
              <w:t> </w:t>
            </w:r>
          </w:p>
        </w:tc>
      </w:tr>
      <w:tr>
        <w:trPr>
          <w:trHeight w:val="75" w:hRule="atLeast"/>
        </w:trPr>
        <w:tc>
          <w:tcPr>
            <w:tcW w:w="7410" w:type="dxa"/>
            <w:tcBorders/>
            <w:shd w:fill="E5E5E5" w:val="clear"/>
            <w:vAlign w:val="center"/>
          </w:tcPr>
          <w:p>
            <w:pPr>
              <w:pStyle w:val="TableContents"/>
              <w:spacing w:before="0" w:after="283"/>
              <w:rPr>
                <w:sz w:val="4"/>
                <w:szCs w:val="4"/>
              </w:rPr>
            </w:pPr>
            <w:r>
              <w:rPr>
                <w:sz w:val="4"/>
                <w:szCs w:val="4"/>
              </w:rPr>
            </w:r>
          </w:p>
        </w:tc>
        <w:tc>
          <w:tcPr>
            <w:tcW w:w="1412" w:type="dxa"/>
            <w:gridSpan w:val="4"/>
            <w:tcBorders/>
            <w:shd w:fill="E5E5E5" w:val="clear"/>
            <w:vAlign w:val="center"/>
          </w:tcPr>
          <w:p>
            <w:pPr>
              <w:pStyle w:val="TableContents"/>
              <w:spacing w:before="0" w:after="283"/>
              <w:rPr>
                <w:sz w:val="4"/>
                <w:szCs w:val="4"/>
              </w:rPr>
            </w:pPr>
            <w:r>
              <w:rPr>
                <w:sz w:val="4"/>
                <w:szCs w:val="4"/>
              </w:rPr>
            </w:r>
          </w:p>
        </w:tc>
        <w:tc>
          <w:tcPr>
            <w:tcW w:w="1383" w:type="dxa"/>
            <w:gridSpan w:val="4"/>
            <w:tcBorders/>
            <w:shd w:fill="E5E5E5" w:val="clear"/>
            <w:vAlign w:val="center"/>
          </w:tcPr>
          <w:p>
            <w:pPr>
              <w:pStyle w:val="TableContents"/>
              <w:spacing w:before="0" w:after="283"/>
              <w:rPr>
                <w:sz w:val="4"/>
                <w:szCs w:val="4"/>
              </w:rPr>
            </w:pPr>
            <w:r>
              <w:rPr>
                <w:sz w:val="4"/>
                <w:szCs w:val="4"/>
              </w:rPr>
            </w:r>
          </w:p>
        </w:tc>
      </w:tr>
      <w:tr>
        <w:trPr/>
        <w:tc>
          <w:tcPr>
            <w:tcW w:w="7410" w:type="dxa"/>
            <w:tcBorders/>
            <w:shd w:fill="E5E5E5" w:val="clear"/>
          </w:tcPr>
          <w:p>
            <w:pPr>
              <w:pStyle w:val="TableContents"/>
              <w:spacing w:before="0" w:after="0"/>
              <w:rPr>
                <w:rFonts w:ascii="arial" w:hAnsi="arial"/>
                <w:b/>
                <w:sz w:val="20"/>
              </w:rPr>
            </w:pPr>
            <w:r>
              <w:rPr>
                <w:rFonts w:ascii="arial" w:hAnsi="arial"/>
                <w:b/>
                <w:sz w:val="20"/>
              </w:rPr>
              <w:t>Total</w:t>
            </w:r>
          </w:p>
        </w:tc>
        <w:tc>
          <w:tcPr>
            <w:tcW w:w="228"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984" w:type="dxa"/>
            <w:tcBorders/>
            <w:shd w:fill="E5E5E5" w:val="clear"/>
            <w:vAlign w:val="bottom"/>
          </w:tcPr>
          <w:p>
            <w:pPr>
              <w:pStyle w:val="TableContents"/>
              <w:spacing w:before="0" w:after="283"/>
              <w:jc w:val="right"/>
              <w:rPr>
                <w:b/>
              </w:rPr>
            </w:pPr>
            <w:r>
              <w:rPr>
                <w:b/>
              </w:rPr>
              <w:t>1,591,811</w:t>
            </w:r>
          </w:p>
        </w:tc>
        <w:tc>
          <w:tcPr>
            <w:tcW w:w="60" w:type="dxa"/>
            <w:tcBorders/>
            <w:shd w:fill="E5E5E5" w:val="clear"/>
            <w:vAlign w:val="bottom"/>
          </w:tcPr>
          <w:p>
            <w:pPr>
              <w:pStyle w:val="TableContents"/>
              <w:spacing w:before="0" w:after="283"/>
              <w:rPr/>
            </w:pPr>
            <w:r>
              <w:rPr/>
              <w:t> </w:t>
            </w:r>
          </w:p>
        </w:tc>
        <w:tc>
          <w:tcPr>
            <w:tcW w:w="14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984" w:type="dxa"/>
            <w:tcBorders/>
            <w:shd w:fill="E5E5E5" w:val="clear"/>
            <w:vAlign w:val="bottom"/>
          </w:tcPr>
          <w:p>
            <w:pPr>
              <w:pStyle w:val="TableContents"/>
              <w:spacing w:before="0" w:after="283"/>
              <w:jc w:val="right"/>
              <w:rPr>
                <w:b/>
              </w:rPr>
            </w:pPr>
            <w:r>
              <w:rPr>
                <w:b/>
              </w:rPr>
              <w:t>1,988,533</w:t>
            </w:r>
          </w:p>
        </w:tc>
        <w:tc>
          <w:tcPr>
            <w:tcW w:w="117" w:type="dxa"/>
            <w:tcBorders/>
            <w:shd w:fill="E5E5E5" w:val="clear"/>
            <w:vAlign w:val="bottom"/>
          </w:tcPr>
          <w:p>
            <w:pPr>
              <w:pStyle w:val="TableContents"/>
              <w:spacing w:before="0" w:after="283"/>
              <w:rPr/>
            </w:pPr>
            <w:r>
              <w:rPr/>
              <w:t> </w:t>
            </w:r>
          </w:p>
        </w:tc>
      </w:tr>
    </w:tbl>
    <w:p>
      <w:pPr>
        <w:pStyle w:val="TextBody"/>
        <w:spacing w:before="120" w:after="0"/>
        <w:jc w:val="left"/>
        <w:rPr>
          <w:rFonts w:ascii="arial" w:hAnsi="arial"/>
          <w:sz w:val="20"/>
        </w:rPr>
      </w:pPr>
      <w:r>
        <w:rPr>
          <w:rFonts w:ascii="arial" w:hAnsi="arial"/>
          <w:b/>
          <w:sz w:val="20"/>
        </w:rPr>
        <w:t>Audit Fees</w:t>
      </w:r>
      <w:r>
        <w:rPr>
          <w:rFonts w:ascii="arial" w:hAnsi="arial"/>
          <w:sz w:val="20"/>
        </w:rPr>
        <w:t xml:space="preserve"> comprise fees for professional services necessary to perform an audit or review in accordance with the standards of the Public Company Accounting Oversight Board, including services rendered for the audit of the Corporations annual financial statements (including services incurred in rendering an opinion under Section 404 of the Sarbanes-Oxley Act of 2002) and review of quarterly financial statements. Audit fees also include fees for services that are normally incurred in connection with statutory and regulatory filings or engagements, such as comfort letters, statutory audits, attest services, consents, and review of documents filed with the SEC. </w:t>
      </w:r>
    </w:p>
    <w:p>
      <w:pPr>
        <w:pStyle w:val="TextBody"/>
        <w:spacing w:before="120" w:after="0"/>
        <w:jc w:val="left"/>
        <w:rPr>
          <w:rFonts w:ascii="arial" w:hAnsi="arial"/>
          <w:sz w:val="20"/>
        </w:rPr>
      </w:pPr>
      <w:r>
        <w:rPr>
          <w:rFonts w:ascii="arial" w:hAnsi="arial"/>
          <w:b/>
          <w:sz w:val="20"/>
        </w:rPr>
        <w:t>Audit-Related Fees</w:t>
      </w:r>
      <w:r>
        <w:rPr>
          <w:rFonts w:ascii="arial" w:hAnsi="arial"/>
          <w:sz w:val="20"/>
        </w:rPr>
        <w:t xml:space="preserve"> comprise fees for services that are reasonably related to the performance of the audit or review of the Corporations financial statements, including the support of business acquisition and divestiture activities, independent assessment of controls related to outsourcing services, and review of retirement and other benefit-related programs. </w:t>
      </w:r>
    </w:p>
    <w:p>
      <w:pPr>
        <w:pStyle w:val="TextBody"/>
        <w:spacing w:before="120" w:after="0"/>
        <w:jc w:val="left"/>
        <w:rPr>
          <w:rFonts w:ascii="arial" w:hAnsi="arial"/>
          <w:sz w:val="20"/>
        </w:rPr>
      </w:pPr>
      <w:r>
        <w:rPr>
          <w:rFonts w:ascii="arial" w:hAnsi="arial"/>
          <w:b/>
          <w:sz w:val="20"/>
        </w:rPr>
        <w:t>Tax Fees</w:t>
      </w:r>
      <w:r>
        <w:rPr>
          <w:rFonts w:ascii="arial" w:hAnsi="arial"/>
          <w:sz w:val="20"/>
        </w:rPr>
        <w:t xml:space="preserve"> comprise fees for tax compliance, tax planning, and tax advice, including the provision of such services in connection with business acquisition and divestiture activities.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54    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7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6" descr=""/>
                          <pic:cNvPicPr>
                            <a:picLocks noChangeAspect="1" noChangeArrowheads="1"/>
                          </pic:cNvPicPr>
                        </pic:nvPicPr>
                        <pic:blipFill>
                          <a:blip r:embed="rId67"/>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AUDIT-RELATED MATTERS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b/>
          <w:sz w:val="20"/>
        </w:rPr>
        <w:t>All Other Fees</w:t>
      </w:r>
      <w:r>
        <w:rPr>
          <w:rFonts w:ascii="arial" w:hAnsi="arial"/>
          <w:sz w:val="20"/>
        </w:rPr>
        <w:t xml:space="preserve"> consists of fees relating to other non-audit and non-tax services. </w:t>
      </w:r>
    </w:p>
    <w:p>
      <w:pPr>
        <w:pStyle w:val="TextBody"/>
        <w:spacing w:before="240" w:after="0"/>
        <w:jc w:val="left"/>
        <w:rPr>
          <w:rFonts w:ascii="arial" w:hAnsi="arial"/>
          <w:b/>
          <w:sz w:val="20"/>
        </w:rPr>
      </w:pPr>
      <w:bookmarkStart w:id="43" w:name="toc116694_42"/>
      <w:bookmarkEnd w:id="43"/>
      <w:r>
        <w:rPr>
          <w:rFonts w:ascii="arial" w:hAnsi="arial"/>
          <w:b/>
          <w:sz w:val="20"/>
        </w:rPr>
        <w:t xml:space="preserve">Pre-Approval of Audit and Permissible Non-Audit Services of the Independent Auditor </w:t>
      </w:r>
    </w:p>
    <w:p>
      <w:pPr>
        <w:pStyle w:val="TextBody"/>
        <w:spacing w:before="120" w:after="0"/>
        <w:jc w:val="left"/>
        <w:rPr>
          <w:rFonts w:ascii="arial" w:hAnsi="arial"/>
          <w:sz w:val="20"/>
        </w:rPr>
      </w:pPr>
      <w:r>
        <w:rPr>
          <w:rFonts w:ascii="arial" w:hAnsi="arial"/>
          <w:sz w:val="20"/>
        </w:rPr>
        <w:t xml:space="preserve">The Audit Committee reviews and, as appropriate, approves in advance the independent auditors annual engagement letter, including the proposed fees contained therein. The Audit Committee also reviews all audit and permitted non-audit engagements and relationships between the Corporation and its independent auditor, and approves in advance all of the fees related thereto. These services may include audit services, audit-related services, tax services, and other specifically designated non-audit services.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7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7" descr=""/>
                          <pic:cNvPicPr>
                            <a:picLocks noChangeAspect="1" noChangeArrowheads="1"/>
                          </pic:cNvPicPr>
                        </pic:nvPicPr>
                        <pic:blipFill>
                          <a:blip r:embed="rId68"/>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55</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MATTERS TO BE VOTED UPON AT THE ANNUAL MEETING</w:t>
            </w:r>
          </w:p>
        </w:tc>
      </w:tr>
    </w:tbl>
    <w:p>
      <w:pPr>
        <w:pStyle w:val="TextBody"/>
        <w:spacing w:before="0" w:after="0"/>
        <w:jc w:val="left"/>
        <w:rPr/>
      </w:pPr>
      <w:r>
        <w:rPr/>
        <w:t> </w:t>
      </w:r>
    </w:p>
    <w:p>
      <w:pPr>
        <w:pStyle w:val="TextBody"/>
        <w:spacing w:before="0" w:after="0"/>
        <w:jc w:val="left"/>
        <w:rPr>
          <w:rFonts w:ascii="arial" w:hAnsi="arial"/>
          <w:b/>
          <w:sz w:val="42"/>
        </w:rPr>
      </w:pPr>
      <w:bookmarkStart w:id="44" w:name="toc116694_43"/>
      <w:bookmarkEnd w:id="44"/>
      <w:r>
        <w:rPr>
          <w:rFonts w:ascii="arial" w:hAnsi="arial"/>
          <w:b/>
          <w:sz w:val="42"/>
        </w:rPr>
        <w:t xml:space="preserve">MATTERS TO BE VOTED UPON AT THE ANNUAL MEETING </w:t>
      </w:r>
    </w:p>
    <w:p>
      <w:pPr>
        <w:pStyle w:val="TextBody"/>
        <w:spacing w:before="360" w:after="0"/>
        <w:jc w:val="left"/>
        <w:rPr>
          <w:rFonts w:ascii="arial" w:hAnsi="arial"/>
          <w:b/>
          <w:color w:val="CF0A2C"/>
          <w:sz w:val="28"/>
        </w:rPr>
      </w:pPr>
      <w:bookmarkStart w:id="45" w:name="toc116694_44"/>
      <w:bookmarkEnd w:id="45"/>
      <w:r>
        <w:rPr>
          <w:rFonts w:ascii="arial" w:hAnsi="arial"/>
          <w:b/>
          <w:color w:val="CF0A2C"/>
          <w:sz w:val="28"/>
        </w:rPr>
        <w:t xml:space="preserve">PROPOSAL ONE: ELECTION OF TEN DIRECTORS </w:t>
      </w:r>
    </w:p>
    <w:p>
      <w:pPr>
        <w:pStyle w:val="TextBody"/>
        <w:spacing w:before="120" w:after="0"/>
        <w:jc w:val="left"/>
        <w:rPr>
          <w:rFonts w:ascii="arial" w:hAnsi="arial"/>
          <w:sz w:val="20"/>
        </w:rPr>
      </w:pPr>
      <w:r>
        <w:rPr>
          <w:rFonts w:ascii="arial" w:hAnsi="arial"/>
          <w:sz w:val="20"/>
        </w:rPr>
        <w:t xml:space="preserve">Based on the recommendation of the Nominating and Corporate Governance Committee, the Board of Directors has designated the ten nominees listed below for election as directors of the Corporation, each to serve for a term of one year that will expire at the Corporations 2022 annual meeting of stockholders. The Board of Directors has also designated Richard J. Dahl to serve as the independent Chairman of the Board of Directors. </w:t>
      </w:r>
    </w:p>
    <w:p>
      <w:pPr>
        <w:pStyle w:val="TextBody"/>
        <w:spacing w:before="120" w:after="0"/>
        <w:jc w:val="left"/>
        <w:rPr>
          <w:rFonts w:ascii="arial" w:hAnsi="arial"/>
          <w:sz w:val="20"/>
        </w:rPr>
      </w:pPr>
      <w:r>
        <w:rPr>
          <w:rFonts w:ascii="arial" w:hAnsi="arial"/>
          <w:sz w:val="20"/>
        </w:rPr>
        <w:t xml:space="preserve">Your proxy will be voted as specified thereon or, if no instructions are given, for the Board of Directors nominees; however, the persons designated to vote proxies reserve full discretion to vote the shares represented by the proxies for the election of any substitute nominee or nominees designated by the Board of Directors in the event the nominee who would otherwise receive the votes is unavailable or unable to serve as a candidate for election as a director. The Board of Directors has no reason to believe that any of the nominees, each of whom currently serves on the Board of Directors, will be unavailable or unable to serve if elected. </w:t>
      </w:r>
    </w:p>
    <w:p>
      <w:pPr>
        <w:pStyle w:val="TextBody"/>
        <w:spacing w:before="120" w:after="0"/>
        <w:jc w:val="left"/>
        <w:rPr>
          <w:rFonts w:ascii="arial" w:hAnsi="arial"/>
          <w:sz w:val="20"/>
        </w:rPr>
      </w:pPr>
      <w:r>
        <w:rPr>
          <w:rFonts w:ascii="arial" w:hAnsi="arial"/>
          <w:sz w:val="20"/>
        </w:rPr>
        <w:t xml:space="preserve">The Board of Directors believes that each of the director nominees and continuing directors is well qualified to serve on the Board of Directors, and each of the nominees brings his or her particular business, industry and financial experience and expertise to the Board of Directors. The Board of Directors believes that the backgrounds and qualifications of all of the directors, considered as a group, provide a complementary blend of diversity, experience, knowledge, and abilities. </w:t>
      </w:r>
    </w:p>
    <w:p>
      <w:pPr>
        <w:pStyle w:val="TextBody"/>
        <w:spacing w:before="120" w:after="0"/>
        <w:jc w:val="left"/>
        <w:rPr>
          <w:rFonts w:ascii="arial" w:hAnsi="arial"/>
          <w:sz w:val="20"/>
        </w:rPr>
      </w:pPr>
      <w:r>
        <w:rPr>
          <w:rFonts w:ascii="arial" w:hAnsi="arial"/>
          <w:sz w:val="20"/>
        </w:rPr>
        <w:t xml:space="preserve">The following paragraphs give the name and age of each director nominee, as well as each nominees business experience over the last five years or more. Immediately following the description of each nominees business experience is a description of the particular experience, skills and qualifications that were instrumental in the Nominating and Corporate Governance Committees determination that the nominee should serve as a director of the Corporation. </w:t>
      </w:r>
    </w:p>
    <w:p>
      <w:pPr>
        <w:pStyle w:val="TextBody"/>
        <w:spacing w:before="120" w:after="0"/>
        <w:jc w:val="left"/>
        <w:rPr>
          <w:rFonts w:ascii="arial" w:hAnsi="arial"/>
          <w:sz w:val="20"/>
        </w:rPr>
      </w:pPr>
      <w:r>
        <w:rPr>
          <w:rFonts w:ascii="arial" w:hAnsi="arial"/>
          <w:b/>
          <w:sz w:val="20"/>
        </w:rPr>
        <w:t xml:space="preserve">Howard M. Berk (age 56). </w:t>
      </w:r>
      <w:r>
        <w:rPr>
          <w:rFonts w:ascii="arial" w:hAnsi="arial"/>
          <w:sz w:val="20"/>
        </w:rPr>
        <w:t xml:space="preserve">Mr. Berk has served on the Corporations Board of Directors since 2009. Since 2002, Mr. Berk has been a partner at MSD Capital, L.P., a private investment firm. From 1998 to 2002, Mr. Berk was managing director of TG Capital Corp., an investment group that manages the capital of a single family and acquires and invests in both public and private companies. From 1995 to 1998, Mr. Berk was with The Stenbeck Group, acquiring and managing businesses in multiple countries. Prior to that, he was with Goldman, Sachs &amp; Co., where he worked in the principal investment area, as well as the mergers and acquisitions department. Mr. Berks qualifications to sit on the Corporations Board of Directors include his experience in dealing with public company boards of directors from a public investor perspective and his experience in finance and managing and investing private capital. </w:t>
      </w:r>
    </w:p>
    <w:p>
      <w:pPr>
        <w:pStyle w:val="TextBody"/>
        <w:spacing w:before="120" w:after="0"/>
        <w:jc w:val="left"/>
        <w:rPr>
          <w:rFonts w:ascii="arial" w:hAnsi="arial"/>
          <w:sz w:val="20"/>
        </w:rPr>
      </w:pPr>
      <w:r>
        <w:rPr>
          <w:rFonts w:ascii="arial" w:hAnsi="arial"/>
          <w:b/>
          <w:sz w:val="20"/>
        </w:rPr>
        <w:t>Daniel J. Brestle (age 75).</w:t>
      </w:r>
      <w:r>
        <w:rPr>
          <w:rFonts w:ascii="arial" w:hAnsi="arial"/>
          <w:sz w:val="20"/>
        </w:rPr>
        <w:t xml:space="preserve"> Mr. Brestle has served on the Corporations Board of Directors since 2009. Mr. Brestle has served as a Senior Advisor to GF Capital Management &amp; Advisors, LLC, a private equity and real estate investment company, since 2009. Previously, Mr. Brestle served as vice chairman and president of Estee Lauder Companies Inc. North America, a manufacturer and marketer of cosmetics products. Mr. Brestle held this position until he retired in 2009 after spending more than 30 years in leadership positions within the Estee Lauder organization and its family of brands. During his tenure, he held numerous positions including chief operating officer and group president of Estee Lauders high growth specialty brands. Prior to these positions, he was president of the Estee Lauder, Clinique and Prescriptives brands. Prior to Estee Lauder, Mr. Brestle held various positions of increasing responsibility in distribution, manufacturing and operations at Johnson &amp; Johnson and served in the United States Air Force. Mr. Brestle served on the board of directors of Abercrombie &amp; Fitch from 2005 to 2007. Mr. Brestles qualifications to sit on the Corporations Board of Directors include his experience in senior management at a multi-national consumer products public company, including experience in operations, manufacturing, marketing and brand-building, and his experience on the boards of directors of public companies. </w:t>
      </w:r>
    </w:p>
    <w:p>
      <w:pPr>
        <w:pStyle w:val="TextBody"/>
        <w:spacing w:before="120" w:after="0"/>
        <w:jc w:val="left"/>
        <w:rPr>
          <w:rFonts w:ascii="arial" w:hAnsi="arial"/>
          <w:sz w:val="20"/>
        </w:rPr>
      </w:pPr>
      <w:r>
        <w:rPr>
          <w:rFonts w:ascii="arial" w:hAnsi="arial"/>
          <w:b/>
          <w:sz w:val="20"/>
        </w:rPr>
        <w:t xml:space="preserve">Susan M. Collyns (age 54). </w:t>
      </w:r>
      <w:r>
        <w:rPr>
          <w:rFonts w:ascii="arial" w:hAnsi="arial"/>
          <w:sz w:val="20"/>
        </w:rPr>
        <w:t xml:space="preserve">Ms. Collyns is the President and Chief Financial Officer of Beachbody, LLC, a health, fitness, and nutrition company, and joined the company in August 2014. Previously, Ms. Collyns served as the Chief Financial Officer of Dun and Bradstreet Credibility Corp., a financial data subscription business, from July 2012 to August 2014. From 2001 to 2011, Ms. Collyns served as Chief Financial Officer and Chief Operating Officer of California Pizza Kitchen, Inc. Ms. Collyns has served on the board of directors of Waitr Holdings Inc. since May 2019 and is a member of its compensation committee and the chair of its audit committee. Ms. Collyns previously served on the board of directors and audit committee of Potbelly, Inc. from May 2018 to May 2019. Ms. Collyns also served on the board of directors of Zoes Kitchen, Inc. from February 2014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56    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7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8" descr=""/>
                          <pic:cNvPicPr>
                            <a:picLocks noChangeAspect="1" noChangeArrowheads="1"/>
                          </pic:cNvPicPr>
                        </pic:nvPicPr>
                        <pic:blipFill>
                          <a:blip r:embed="rId69"/>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MATTERS TO BE VOTED UPON AT THE ANNUAL MEETING   </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November 2018, where she served as the chair of the audit committee and was a member of the nominating and governance committee. Ms. Collyns qualifications to sit on the Corporations Board of Directors include her deep and pertinent restaurant and food service industry insight and her expertise in accounting, finance and operations. </w:t>
      </w:r>
    </w:p>
    <w:p>
      <w:pPr>
        <w:pStyle w:val="TextBody"/>
        <w:spacing w:before="120" w:after="0"/>
        <w:jc w:val="left"/>
        <w:rPr>
          <w:rFonts w:ascii="arial" w:hAnsi="arial"/>
          <w:sz w:val="20"/>
        </w:rPr>
      </w:pPr>
      <w:r>
        <w:rPr>
          <w:rFonts w:ascii="arial" w:hAnsi="arial"/>
          <w:b/>
          <w:sz w:val="20"/>
        </w:rPr>
        <w:t xml:space="preserve">Richard J. Dahl (age 69). </w:t>
      </w:r>
      <w:r>
        <w:rPr>
          <w:rFonts w:ascii="arial" w:hAnsi="arial"/>
          <w:sz w:val="20"/>
        </w:rPr>
        <w:t xml:space="preserve">Mr. Dahl serves as the Corporations independent Chairman of the Board of Directors, a position he has held since September 2017. From March 2017 to September 2017, Mr. Dahl served as the Chairman of the Board of Directors and Interim Chief Executive Officer of the Corporation. He also served briefly as Interim President, Applebees Business Unit in March 2017 prior to Mr. Cywinskis appointment to that role. He has served on the Corporations Board of Directors since 2004 and served as the Corporations Lead Director from January 2010 to March 2017. Mr. Dahl served on the board of directors of the James Campbell Company LLC, a privately-held, nationally diversified real estate company, from 2010 to May 2019 and previously served as the president and chief executive officer of James Campbell Company LLC from August 2010 to December 2016 and the chairman of the board of directors from 2010 to May 2018. He has been a member of the board of directors of Hawaiian Electric Industries, Inc. since January 2017 and served as a member of the board of directors of its subsidiary, Hawaiian Electric Company, Inc., from January 2017 to May 2019. He has been a member of the boards of directors of IDACORP, Inc. and its principal subsidiary, Idaho Power Company, since 2008 and has been chairman of the boards since May 2019. He served as a member of the board of directors of International Rectifier Corporation from February 2008 to January 2015 and as chairman of the board from May 2008 to January 2015. Mr. Dahl also served on the board of directors and as president and chief operating officer of Dole Food Company, Inc. from 2004 to 2007. Mr. Dahls qualifications to sit on the Corporations Board of Directors include his experience in senior management of public and private companies, including service as chairman, president, chief executive officer, chief operating officer and chief financial officer, his experience on the boards of directors of public companies, including service as the former chairman of the Audit Committee of the Corporation and on the audit committees of other public companies and his experience as a certified public accountant. </w:t>
      </w:r>
    </w:p>
    <w:p>
      <w:pPr>
        <w:pStyle w:val="TextBody"/>
        <w:spacing w:before="120" w:after="0"/>
        <w:jc w:val="left"/>
        <w:rPr>
          <w:rFonts w:ascii="arial" w:hAnsi="arial"/>
          <w:sz w:val="20"/>
        </w:rPr>
      </w:pPr>
      <w:r>
        <w:rPr>
          <w:rFonts w:ascii="arial" w:hAnsi="arial"/>
          <w:b/>
          <w:sz w:val="20"/>
        </w:rPr>
        <w:t xml:space="preserve">Michael C. Hyter (age 64). </w:t>
      </w:r>
      <w:r>
        <w:rPr>
          <w:rFonts w:ascii="arial" w:hAnsi="arial"/>
          <w:sz w:val="20"/>
        </w:rPr>
        <w:t xml:space="preserve">Mr. Hyter has served on the Corporations Board of Directors since July 2020. Mr. Hyter has served as the President and Chief Executive Officer of the Executive Leadership Counsel since March 2021. Mr. Hyter was the Chief Diversity Officer at Korn Ferry International, an organizational and people advisory firm, from June 2020 to February 2021, and was Managing Partner of Korn Ferry International from September 2012 to June 2020. Previously, Mr. Hyter served as the President and Managing Partner of Global Novations LLC, a provider of diversity, inclusion, and leadership development solutions, from 2006 to September 2012. From 2001 to 2006, Mr. Hyter served as President and Chief Executive Officer of Novations LLC. Mr. Hyters qualifications to sit on the Corporations Board of Directors include his prior experience in senior executive positions, his experience in management, and his leadership in diversity and inclusion-driven corporate growth strategies. </w:t>
      </w:r>
    </w:p>
    <w:p>
      <w:pPr>
        <w:pStyle w:val="TextBody"/>
        <w:spacing w:before="120" w:after="0"/>
        <w:jc w:val="left"/>
        <w:rPr>
          <w:rFonts w:ascii="arial" w:hAnsi="arial"/>
          <w:sz w:val="20"/>
        </w:rPr>
      </w:pPr>
      <w:r>
        <w:rPr>
          <w:rFonts w:ascii="arial" w:hAnsi="arial"/>
          <w:b/>
          <w:sz w:val="20"/>
        </w:rPr>
        <w:t xml:space="preserve">Larry A. Kay (age 73). </w:t>
      </w:r>
      <w:r>
        <w:rPr>
          <w:rFonts w:ascii="arial" w:hAnsi="arial"/>
          <w:sz w:val="20"/>
        </w:rPr>
        <w:t xml:space="preserve">Mr. Kay has served on the Corporations Board of Directors since 1987, before the Corporation went public. Mr. Kay served as the Lead Director of the Board of Directors of the Corporation from 2006 to 2009. He served as Chairman of the Board of Directors of the Corporation from 2003 to 2006. From 1978 to 1993, Mr. Kay was employed by the Corporation in a variety of capacities, including general counsel and executive vice president, administration. Mr. Kay served as chief executive officer and managing member of BSG Technologies, LLC, a sound technology licensing company, from 2008 to 2016. Mr. Kay was a private consultant and investor from 1994 to 2008. He served as a director of Design Center Solutions, Inc. dba Bridgeway Media Group and was an honorary member of the board of directors of the New Century Chamber Orchestra. Mr. Kays qualifications to sit on the Corporations Board of Directors include his prior experience as the Corporations Chairman of the Board of Directors and Lead Director, his experience as a consultant and private investor, his prior experience in senior management of the Corporation and his service on the boards of directors of private companies and non-profit organizations. </w:t>
      </w:r>
    </w:p>
    <w:p>
      <w:pPr>
        <w:pStyle w:val="TextBody"/>
        <w:spacing w:before="120" w:after="0"/>
        <w:jc w:val="left"/>
        <w:rPr>
          <w:rFonts w:ascii="arial" w:hAnsi="arial"/>
          <w:sz w:val="20"/>
        </w:rPr>
      </w:pPr>
      <w:r>
        <w:rPr>
          <w:rFonts w:ascii="arial" w:hAnsi="arial"/>
          <w:b/>
          <w:sz w:val="20"/>
        </w:rPr>
        <w:t>Caroline W. Nahas (age 72).</w:t>
      </w:r>
      <w:r>
        <w:rPr>
          <w:rFonts w:ascii="arial" w:hAnsi="arial"/>
          <w:sz w:val="20"/>
        </w:rPr>
        <w:t xml:space="preserve"> Ms. Nahas has served on the Corporations Board of Directors since 1992. She has served as Senior Advisor of Korn Ferry, an organizational and people advisory firm, since September 2019 and previously served as Vice Chair of Korn Ferry from January 2015 to September 2019. From 1998 to 2015, she held the position of managing director, Southern California, or similar positions, at Korn/Ferry International. She also served as a member of the executive committee of Korn/Ferry International from 1995 until 1998. Ms. Nahas is the former chairman of the board of directors and currently serves on the board of the United Way of Greater Los Angeles. Ms. Nahas currently serves as Chair of the Board of Advisors of the UCLA Anderson School of Management, previously serving as Vice Chair and Executive Committee member of the Board. She previously served as a director of the Los Angeles Chamber of Commerce and Town Hall Los Angeles. Ms. Nahas qualifications to sit on the Corporations Board of Directors include her experience in a senior executive position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9" descr=""/>
                          <pic:cNvPicPr>
                            <a:picLocks noChangeAspect="1" noChangeArrowheads="1"/>
                          </pic:cNvPicPr>
                        </pic:nvPicPr>
                        <pic:blipFill>
                          <a:blip r:embed="rId70"/>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57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MATTERS TO BE VOTED UPON AT THE ANNUAL MEETING</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with a professional services firm, her expertise in executive recruiting, human resources and compensation matters, and her experience on for-profit and not-for-profit boards of directors. </w:t>
      </w:r>
    </w:p>
    <w:p>
      <w:pPr>
        <w:pStyle w:val="TextBody"/>
        <w:spacing w:before="120" w:after="0"/>
        <w:jc w:val="left"/>
        <w:rPr>
          <w:rFonts w:ascii="arial" w:hAnsi="arial"/>
          <w:sz w:val="20"/>
        </w:rPr>
      </w:pPr>
      <w:r>
        <w:rPr>
          <w:rFonts w:ascii="arial" w:hAnsi="arial"/>
          <w:b/>
          <w:sz w:val="20"/>
        </w:rPr>
        <w:t xml:space="preserve">Douglas M. Pasquale (age 66). </w:t>
      </w:r>
      <w:r>
        <w:rPr>
          <w:rFonts w:ascii="arial" w:hAnsi="arial"/>
          <w:sz w:val="20"/>
        </w:rPr>
        <w:t xml:space="preserve">Mr. Pasquale has served on the Corporations Board of Directors since March 2013. He has served as chief executive officer of Capstone Enterprises Corporation, an investment and consulting firm, since January 2012. Mr. Pasquale served as Nationwide Health Properties chairman of the board of directors from 2009 to 2011, president and chief executive officer from 2004 to 2011 and executive vice president and chief operating officer from 2003 to 2004. Mr. Pasquale served as a director of Nationwide Health Properties from 2003 to 2011. He also served on the board of directors of Ventas, Inc. from 2011 to May 2017. Mr. Pasquale has served on the board of directors of Alexander &amp; Baldwin, Inc. since 2005, Terreno Realty Corporation since 2010 and Sunstone Hotel Investors, Inc. since 2011. Mr. Pasquales qualifications to sit on the Corporations Board of Directors include his prior experience in senior executive positions at public and private companies, his experience in management, accounting, finance, mergers, acquisitions and strategic planning, and his service on the boards of directors of public and private companies. </w:t>
      </w:r>
    </w:p>
    <w:p>
      <w:pPr>
        <w:pStyle w:val="TextBody"/>
        <w:spacing w:before="120" w:after="0"/>
        <w:jc w:val="left"/>
        <w:rPr>
          <w:rFonts w:ascii="arial" w:hAnsi="arial"/>
          <w:sz w:val="20"/>
        </w:rPr>
      </w:pPr>
      <w:r>
        <w:rPr>
          <w:rFonts w:ascii="arial" w:hAnsi="arial"/>
          <w:b/>
          <w:sz w:val="20"/>
        </w:rPr>
        <w:t xml:space="preserve">John W. Peyton (age 54). </w:t>
      </w:r>
      <w:r>
        <w:rPr>
          <w:rFonts w:ascii="arial" w:hAnsi="arial"/>
          <w:sz w:val="20"/>
        </w:rPr>
        <w:t xml:space="preserve">Mr. Peyton has served as the Chief Executive Officer of the Corporation since January 2021. Mr. Peyton served as President and Chief Executive Officer of Realogy Franchise Group from 2016 to December 2020. Prior to Realogy, Mr. Peyton spent 17 years with Starwood Hotels and Resorts Worldwide, holding various positions including Chief Marketing Officer, Senior Vice President of Global Operations and Chief Operations Officer, North America Hotel Division, among others. </w:t>
      </w:r>
    </w:p>
    <w:p>
      <w:pPr>
        <w:pStyle w:val="TextBody"/>
        <w:spacing w:before="120" w:after="0"/>
        <w:jc w:val="left"/>
        <w:rPr>
          <w:rFonts w:ascii="arial" w:hAnsi="arial"/>
          <w:sz w:val="20"/>
        </w:rPr>
      </w:pPr>
      <w:r>
        <w:rPr>
          <w:rFonts w:ascii="arial" w:hAnsi="arial"/>
          <w:b/>
          <w:sz w:val="20"/>
        </w:rPr>
        <w:t xml:space="preserve">Lilian C. Tomovich (age 53). </w:t>
      </w:r>
      <w:r>
        <w:rPr>
          <w:rFonts w:ascii="arial" w:hAnsi="arial"/>
          <w:sz w:val="20"/>
        </w:rPr>
        <w:t xml:space="preserve">Ms. Tomovich has served on the Corporations Board of Directors since January 2017. Ms. Tomovich served as the Chief Marketing Officer of Grove Collaborative, a home essentials company, from August 2020 to February 2021. She served as the Chief Experience Officer and Chief Marketing Officer for MGM Resorts International, a global hospitality company, from July 2014 to December 2019. Ms. Tomovich served as the Senior Vice President, US Consumer Marketing for MasterCard Worldwide, a global payments solutions company, from 2013 to 2014 and was the country head of Marketing for Canada from 2010 to 2013. Ms. Tomovichs qualifications to sit on the Corporations Board of Directors include her 25 years of marketing experience across all channels in the hospitality, retail, financial services, and telecom industries. </w:t>
      </w:r>
    </w:p>
    <w:p>
      <w:pPr>
        <w:pStyle w:val="TextBody"/>
        <w:spacing w:before="240" w:after="0"/>
        <w:jc w:val="center"/>
        <w:rPr>
          <w:rFonts w:ascii="arial" w:hAnsi="arial"/>
          <w:b/>
          <w:sz w:val="20"/>
        </w:rPr>
      </w:pPr>
      <w:r>
        <w:rPr>
          <w:rFonts w:ascii="arial" w:hAnsi="arial"/>
          <w:b/>
          <w:sz w:val="20"/>
        </w:rPr>
        <w:t xml:space="preserve">THE BOARD OF DIRECTORS UNANIMOUSLY RECOMMENDS A VOTE FOR THE ELECTION </w:t>
      </w:r>
    </w:p>
    <w:p>
      <w:pPr>
        <w:pStyle w:val="TextBody"/>
        <w:spacing w:before="0" w:after="0"/>
        <w:jc w:val="center"/>
        <w:rPr>
          <w:rFonts w:ascii="arial" w:hAnsi="arial"/>
          <w:b/>
          <w:sz w:val="20"/>
        </w:rPr>
      </w:pPr>
      <w:r>
        <w:rPr>
          <w:rFonts w:ascii="arial" w:hAnsi="arial"/>
          <w:b/>
          <w:sz w:val="20"/>
        </w:rPr>
        <w:t xml:space="preserve">OF ALL OF THE DIRECTOR NOMINEES. </w:t>
      </w:r>
    </w:p>
    <w:p>
      <w:pPr>
        <w:pStyle w:val="TextBody"/>
        <w:spacing w:before="360" w:after="0"/>
        <w:jc w:val="left"/>
        <w:rPr>
          <w:rFonts w:ascii="arial" w:hAnsi="arial"/>
          <w:b/>
          <w:color w:val="CF0A2C"/>
          <w:sz w:val="28"/>
        </w:rPr>
      </w:pPr>
      <w:bookmarkStart w:id="46" w:name="toc116694_46"/>
      <w:bookmarkEnd w:id="46"/>
      <w:r>
        <w:rPr>
          <w:rFonts w:ascii="arial" w:hAnsi="arial"/>
          <w:b/>
          <w:color w:val="CF0A2C"/>
          <w:sz w:val="28"/>
        </w:rPr>
        <w:t xml:space="preserve">PROPOSAL TWO: RATIFICATION OF THE APPOINTMENT OF ERNST &amp; YOUNG LLP AS THE CORPORATIONS INDEPENDENT AUDITOR FOR THE 2021 FISCAL YEAR </w:t>
      </w:r>
    </w:p>
    <w:p>
      <w:pPr>
        <w:pStyle w:val="TextBody"/>
        <w:spacing w:before="120" w:after="0"/>
        <w:jc w:val="left"/>
        <w:rPr>
          <w:rFonts w:ascii="arial" w:hAnsi="arial"/>
          <w:sz w:val="20"/>
        </w:rPr>
      </w:pPr>
      <w:r>
        <w:rPr>
          <w:rFonts w:ascii="arial" w:hAnsi="arial"/>
          <w:sz w:val="20"/>
        </w:rPr>
        <w:t xml:space="preserve">Ernst &amp; Young LLP served as the Corporations independent auditor for the fiscal year ended December 31, 2020 and the Audit Committee has unanimously selected Ernst &amp; Young LLP to serve as the Corporations independent auditor for the fiscal year ending December 31, 2021. </w:t>
      </w:r>
    </w:p>
    <w:p>
      <w:pPr>
        <w:pStyle w:val="TextBody"/>
        <w:spacing w:before="120" w:after="0"/>
        <w:jc w:val="left"/>
        <w:rPr>
          <w:rFonts w:ascii="arial" w:hAnsi="arial"/>
          <w:sz w:val="20"/>
        </w:rPr>
      </w:pPr>
      <w:r>
        <w:rPr>
          <w:rFonts w:ascii="arial" w:hAnsi="arial"/>
          <w:sz w:val="20"/>
        </w:rPr>
        <w:t xml:space="preserve">Representatives of Ernst &amp; Young LLP are expected to be present at the Annual Meeting and will have an opportunity to make a statement if they desire to do so and are expected to be available to respond to appropriate questions. Unless otherwise indicated thereon, the persons named in the proxy card will vote all proxies in favor of ratifying the appointment of Ernst &amp; Young LLP as the Corporations independent auditors. If stockholders do not approve this proposal, the Audit Committee will reconsider the appointment of Ernst &amp; Young LLP as the Corporations independent auditor. </w:t>
      </w:r>
    </w:p>
    <w:p>
      <w:pPr>
        <w:pStyle w:val="TextBody"/>
        <w:spacing w:before="240" w:after="0"/>
        <w:jc w:val="center"/>
        <w:rPr>
          <w:rFonts w:ascii="arial" w:hAnsi="arial"/>
          <w:b/>
          <w:sz w:val="20"/>
        </w:rPr>
      </w:pPr>
      <w:r>
        <w:rPr>
          <w:rFonts w:ascii="arial" w:hAnsi="arial"/>
          <w:b/>
          <w:sz w:val="20"/>
        </w:rPr>
        <w:t xml:space="preserve">THE BOARD OF DIRECTORS AND THE AUDIT COMMITTEE UNANIMOUSLY RECOMMEND A VOTE FOR THE RATIFICATION OF THE APPOINTMENT OF ERNST &amp; YOUNG LLP AS THE CORPORATIONS INDEPENDENT AUDITOR FOR THE 2021 FISCAL YEAR.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58    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0" descr=""/>
                          <pic:cNvPicPr>
                            <a:picLocks noChangeAspect="1" noChangeArrowheads="1"/>
                          </pic:cNvPicPr>
                        </pic:nvPicPr>
                        <pic:blipFill>
                          <a:blip r:embed="rId71"/>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MATTERS TO BE VOTED UPON AT THE ANNUAL MEETING   </w:t>
            </w:r>
          </w:p>
        </w:tc>
      </w:tr>
    </w:tbl>
    <w:p>
      <w:pPr>
        <w:pStyle w:val="TextBody"/>
        <w:spacing w:before="0" w:after="0"/>
        <w:jc w:val="left"/>
        <w:rPr/>
      </w:pPr>
      <w:r>
        <w:rPr/>
        <w:t> </w:t>
      </w:r>
    </w:p>
    <w:p>
      <w:pPr>
        <w:pStyle w:val="TextBody"/>
        <w:spacing w:before="0" w:after="0"/>
        <w:jc w:val="left"/>
        <w:rPr>
          <w:rFonts w:ascii="arial" w:hAnsi="arial"/>
          <w:b/>
          <w:color w:val="CF0A2C"/>
          <w:sz w:val="28"/>
        </w:rPr>
      </w:pPr>
      <w:bookmarkStart w:id="47" w:name="toc116694_47"/>
      <w:bookmarkEnd w:id="47"/>
      <w:r>
        <w:rPr>
          <w:rFonts w:ascii="arial" w:hAnsi="arial"/>
          <w:b/>
          <w:color w:val="CF0A2C"/>
          <w:sz w:val="28"/>
        </w:rPr>
        <w:t xml:space="preserve">PROPOSAL THREE: APPROVAL, ON AN ADVISORY BASIS, OF THE COMPENSATION OF THE CORPORATIONS NAMED EXECUTIVE OFFICERS </w:t>
      </w:r>
    </w:p>
    <w:p>
      <w:pPr>
        <w:pStyle w:val="TextBody"/>
        <w:spacing w:before="120" w:after="0"/>
        <w:jc w:val="left"/>
        <w:rPr>
          <w:rFonts w:ascii="arial" w:hAnsi="arial"/>
          <w:sz w:val="20"/>
        </w:rPr>
      </w:pPr>
      <w:r>
        <w:rPr>
          <w:rFonts w:ascii="arial" w:hAnsi="arial"/>
          <w:sz w:val="20"/>
        </w:rPr>
        <w:t xml:space="preserve">Pursuant to Section 14A of the Exchange Act, the Board of Directors provides stockholders with the opportunity to cast an advisory vote on the Corporations executive compensation. Pursuant to an advisory vote at our 2017 annual meeting, our stockholders elected to hold such advisory votes on an annual basis until the next vote regarding the frequency of future advisory votes which will occur at the annual meeting in 2023. </w:t>
      </w:r>
    </w:p>
    <w:p>
      <w:pPr>
        <w:pStyle w:val="TextBody"/>
        <w:spacing w:before="120" w:after="0"/>
        <w:jc w:val="left"/>
        <w:rPr>
          <w:rFonts w:ascii="arial" w:hAnsi="arial"/>
          <w:sz w:val="20"/>
        </w:rPr>
      </w:pPr>
      <w:r>
        <w:rPr>
          <w:rFonts w:ascii="arial" w:hAnsi="arial"/>
          <w:sz w:val="20"/>
        </w:rPr>
        <w:t xml:space="preserve">The core of the Corporations executive compensation policies and practices continues to be to pay-for-performance. Our executive officers are compensated in a manner consistent with our strategy, competitive practice, sound corporate governance principles, and stockholder interests and concerns. The Board of Directors believes the Corporations compensation programs and policies are strongly aligned with the long-term interests of the stockholders of the Corporation. </w:t>
      </w:r>
    </w:p>
    <w:p>
      <w:pPr>
        <w:pStyle w:val="TextBody"/>
        <w:spacing w:before="120" w:after="0"/>
        <w:jc w:val="left"/>
        <w:rPr>
          <w:rFonts w:ascii="arial" w:hAnsi="arial"/>
          <w:sz w:val="20"/>
        </w:rPr>
      </w:pPr>
      <w:r>
        <w:rPr>
          <w:rFonts w:ascii="arial" w:hAnsi="arial"/>
          <w:sz w:val="20"/>
        </w:rPr>
        <w:t xml:space="preserve">Stockholders are urged to read the Compensation Discussion and Analysis section of this proxy statement for additional details on executive compensation, including the Corporations compensation philosophy and objectives and the 2020 compensation of the Corporations NEOs. </w:t>
      </w:r>
    </w:p>
    <w:p>
      <w:pPr>
        <w:pStyle w:val="TextBody"/>
        <w:spacing w:before="120" w:after="0"/>
        <w:jc w:val="left"/>
        <w:rPr>
          <w:rFonts w:ascii="arial" w:hAnsi="arial"/>
          <w:sz w:val="20"/>
        </w:rPr>
      </w:pPr>
      <w:r>
        <w:rPr>
          <w:rFonts w:ascii="arial" w:hAnsi="arial"/>
          <w:sz w:val="20"/>
        </w:rPr>
        <w:t xml:space="preserve">The Board of Directors recommends that stockholders indicate their support for the compensation of the Corporations NEOs and the Corporations compensation philosophy as described in this proxy statement by approving the following resolution: </w:t>
      </w:r>
    </w:p>
    <w:p>
      <w:pPr>
        <w:pStyle w:val="TextBody"/>
        <w:spacing w:before="120" w:after="0"/>
        <w:jc w:val="left"/>
        <w:rPr>
          <w:rFonts w:ascii="arial" w:hAnsi="arial"/>
          <w:sz w:val="20"/>
        </w:rPr>
      </w:pPr>
      <w:r>
        <w:rPr>
          <w:rFonts w:ascii="arial" w:hAnsi="arial"/>
          <w:sz w:val="20"/>
        </w:rPr>
        <w:t xml:space="preserve">RESOLVED, that the stockholders hereby approve, on an advisory basis, the compensation paid to the named executive officers, as disclosed in the Corporations proxy statement for the 2021 Annual Meeting of Stockholders pursuant to Item 402 of Regulation S-K, including the Compensation Discussion and Analysis, the 2020 Summary Compensation Table, other compensation tables, narrative discussion and related disclosure. </w:t>
      </w:r>
    </w:p>
    <w:p>
      <w:pPr>
        <w:pStyle w:val="TextBody"/>
        <w:spacing w:before="240" w:after="0"/>
        <w:jc w:val="left"/>
        <w:rPr>
          <w:rFonts w:ascii="arial" w:hAnsi="arial"/>
          <w:sz w:val="20"/>
        </w:rPr>
      </w:pPr>
      <w:r>
        <w:rPr>
          <w:rFonts w:ascii="arial" w:hAnsi="arial"/>
          <w:sz w:val="20"/>
        </w:rPr>
        <w:t xml:space="preserve">Although this vote is advisory and therefore non-binding on the Corporation, the Board of Directors and the Compensation Committee value the opinions of our stockholders and will consider the outcome of the vote when making future compensation decisions for our NEOs. </w:t>
      </w:r>
    </w:p>
    <w:p>
      <w:pPr>
        <w:pStyle w:val="TextBody"/>
        <w:spacing w:before="240" w:after="0"/>
        <w:jc w:val="center"/>
        <w:rPr>
          <w:rFonts w:ascii="arial" w:hAnsi="arial"/>
          <w:b/>
          <w:sz w:val="20"/>
        </w:rPr>
      </w:pPr>
      <w:r>
        <w:rPr>
          <w:rFonts w:ascii="arial" w:hAnsi="arial"/>
          <w:b/>
          <w:sz w:val="20"/>
        </w:rPr>
        <w:t xml:space="preserve">THE BOARD OF DIRECTORS UNANIMOUSLY RECOMMENDS A VOTE FOR THE APPROVAL, </w:t>
      </w:r>
    </w:p>
    <w:p>
      <w:pPr>
        <w:pStyle w:val="TextBody"/>
        <w:spacing w:before="0" w:after="0"/>
        <w:jc w:val="center"/>
        <w:rPr>
          <w:rFonts w:ascii="arial" w:hAnsi="arial"/>
          <w:b/>
          <w:sz w:val="20"/>
        </w:rPr>
      </w:pPr>
      <w:r>
        <w:rPr>
          <w:rFonts w:ascii="arial" w:hAnsi="arial"/>
          <w:b/>
          <w:sz w:val="20"/>
        </w:rPr>
        <w:t xml:space="preserve">ON AN ADVISORY BASIS, OF THE COMPENSATION OF THE CORPORATIONS NAMED </w:t>
      </w:r>
    </w:p>
    <w:p>
      <w:pPr>
        <w:pStyle w:val="TextBody"/>
        <w:spacing w:before="0" w:after="0"/>
        <w:jc w:val="center"/>
        <w:rPr>
          <w:rFonts w:ascii="arial" w:hAnsi="arial"/>
          <w:b/>
          <w:sz w:val="20"/>
        </w:rPr>
      </w:pPr>
      <w:r>
        <w:rPr>
          <w:rFonts w:ascii="arial" w:hAnsi="arial"/>
          <w:b/>
          <w:sz w:val="20"/>
        </w:rPr>
        <w:t xml:space="preserve">EXECUTIVE OFFICERS AS DISCLOSED IN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1" descr=""/>
                          <pic:cNvPicPr>
                            <a:picLocks noChangeAspect="1" noChangeArrowheads="1"/>
                          </pic:cNvPicPr>
                        </pic:nvPicPr>
                        <pic:blipFill>
                          <a:blip r:embed="rId72"/>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59</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PROPOSALS OF STOCKHOLDERS</w:t>
            </w:r>
          </w:p>
        </w:tc>
      </w:tr>
    </w:tbl>
    <w:p>
      <w:pPr>
        <w:pStyle w:val="TextBody"/>
        <w:spacing w:before="0" w:after="0"/>
        <w:jc w:val="left"/>
        <w:rPr/>
      </w:pPr>
      <w:r>
        <w:rPr/>
        <w:t> </w:t>
      </w:r>
    </w:p>
    <w:p>
      <w:pPr>
        <w:pStyle w:val="TextBody"/>
        <w:spacing w:before="0" w:after="0"/>
        <w:jc w:val="left"/>
        <w:rPr>
          <w:rFonts w:ascii="arial" w:hAnsi="arial"/>
          <w:b/>
          <w:sz w:val="42"/>
        </w:rPr>
      </w:pPr>
      <w:bookmarkStart w:id="48" w:name="toc116694_49"/>
      <w:bookmarkEnd w:id="48"/>
      <w:r>
        <w:rPr>
          <w:rFonts w:ascii="arial" w:hAnsi="arial"/>
          <w:b/>
          <w:sz w:val="42"/>
        </w:rPr>
        <w:t xml:space="preserve">PROPOSALS OF STOCKHOLDERS </w:t>
      </w:r>
    </w:p>
    <w:p>
      <w:pPr>
        <w:pStyle w:val="TextBody"/>
        <w:spacing w:before="360" w:after="0"/>
        <w:jc w:val="left"/>
        <w:rPr>
          <w:rFonts w:ascii="arial" w:hAnsi="arial"/>
          <w:sz w:val="20"/>
        </w:rPr>
      </w:pPr>
      <w:r>
        <w:rPr>
          <w:rFonts w:ascii="arial" w:hAnsi="arial"/>
          <w:sz w:val="20"/>
        </w:rPr>
        <w:t xml:space="preserve">The Board of Directors will make provision for presentation of proposals of stockholders at the 2022 annual meeting of stockholders provided such proposals are submitted by eligible stockholders who have complied with the Bylaws of the Corporation and/or the relevant regulations of the SEC. In order for any such proposals to be considered for inclusion in the proxy materials for the 2022 annual meeting of stockholders, the proposal should be mailed to Dine Brands Global, Inc., Attn: Office of the Secretary, 450 North Brand Boulevard, Glendale, California 91203, and must be received no later than November 30, 2021. </w:t>
      </w:r>
    </w:p>
    <w:p>
      <w:pPr>
        <w:pStyle w:val="TextBody"/>
        <w:spacing w:before="120" w:after="0"/>
        <w:jc w:val="left"/>
        <w:rPr>
          <w:rFonts w:ascii="arial" w:hAnsi="arial"/>
          <w:sz w:val="20"/>
        </w:rPr>
      </w:pPr>
      <w:r>
        <w:rPr>
          <w:rFonts w:ascii="arial" w:hAnsi="arial"/>
          <w:sz w:val="20"/>
        </w:rPr>
        <w:t xml:space="preserve">Stockholders who intend to present a proposal at the 2022 annual meeting of stockholders without inclusion of such proposal in the Corporations proxy materials or to nominate a director to stand for election at the 2022 annual meeting of stockholders are required to provide notice of such proposal or nomination to the Corporation no earlier than February 10, 2022 and no later than March 12, 2022. The Corporation reserves the right to reject, rule out of order, or take other appropriate action with respect to any proposal or nomination that does not comply with these and other applicable requirements.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60    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8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2" descr=""/>
                          <pic:cNvPicPr>
                            <a:picLocks noChangeAspect="1" noChangeArrowheads="1"/>
                          </pic:cNvPicPr>
                        </pic:nvPicPr>
                        <pic:blipFill>
                          <a:blip r:embed="rId73"/>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HOUSEHOLDING OF PROXY MATERIALS   </w:t>
            </w:r>
          </w:p>
        </w:tc>
      </w:tr>
    </w:tbl>
    <w:p>
      <w:pPr>
        <w:pStyle w:val="TextBody"/>
        <w:spacing w:before="0" w:after="0"/>
        <w:jc w:val="left"/>
        <w:rPr/>
      </w:pPr>
      <w:r>
        <w:rPr/>
        <w:t> </w:t>
      </w:r>
    </w:p>
    <w:p>
      <w:pPr>
        <w:pStyle w:val="TextBody"/>
        <w:spacing w:before="0" w:after="0"/>
        <w:jc w:val="left"/>
        <w:rPr>
          <w:rFonts w:ascii="arial" w:hAnsi="arial"/>
          <w:b/>
          <w:sz w:val="42"/>
        </w:rPr>
      </w:pPr>
      <w:r>
        <w:rPr>
          <w:rFonts w:ascii="arial" w:hAnsi="arial"/>
          <w:b/>
          <w:sz w:val="42"/>
        </w:rPr>
        <w:t xml:space="preserve">HOUSEHOLDING OF PROXY MATERIALS </w:t>
      </w:r>
    </w:p>
    <w:p>
      <w:pPr>
        <w:pStyle w:val="TextBody"/>
        <w:spacing w:before="360" w:after="0"/>
        <w:jc w:val="left"/>
        <w:rPr>
          <w:rFonts w:ascii="arial" w:hAnsi="arial"/>
          <w:sz w:val="20"/>
        </w:rPr>
      </w:pPr>
      <w:r>
        <w:rPr>
          <w:rFonts w:ascii="arial" w:hAnsi="arial"/>
          <w:sz w:val="20"/>
        </w:rPr>
        <w:t xml:space="preserve">The SEC permits us to deliver a single copy of the notice, proxy statement and annual report to stockholders who have the same address and last name, unless we have received contrary instructions from such stockholders. Each stockholder will continue to receive a separate proxy card. This procedure, called householding, will reduce the volume of duplicate information you receive and reduce our printing and postage costs. We will promptly deliver a separate copy of the notice, proxy statement and annual report to any such stockholder upon written or oral request. A stockholder wishing to receive a separate notice, proxy statement or annual report can notify us at Dine Brands Global, Inc., Investor Relations, 450 North Brand Boulevard, 7th Floor, Glendale, CA 91203, telephone: (866) 995-DINE. Similarly, stockholders currently receiving multiple copies of these documents can request the elimination of duplicate documents by contacting us as described above.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18"/>
        <w:gridCol w:w="119"/>
        <w:gridCol w:w="568"/>
      </w:tblGrid>
      <w:tr>
        <w:trPr/>
        <w:tc>
          <w:tcPr>
            <w:tcW w:w="95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jc w:val="right"/>
              <w:rPr/>
            </w:pPr>
            <w:r>
              <w:rPr/>
              <w:drawing>
                <wp:inline distT="0" distB="0" distL="0" distR="0">
                  <wp:extent cx="24765" cy="30480"/>
                  <wp:effectExtent l="0" t="0" r="0" b="0"/>
                  <wp:docPr id="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3" descr=""/>
                          <pic:cNvPicPr>
                            <a:picLocks noChangeAspect="1" noChangeArrowheads="1"/>
                          </pic:cNvPicPr>
                        </pic:nvPicPr>
                        <pic:blipFill>
                          <a:blip r:embed="rId74"/>
                          <a:stretch>
                            <a:fillRect/>
                          </a:stretch>
                        </pic:blipFill>
                        <pic:spPr bwMode="auto">
                          <a:xfrm>
                            <a:off x="0" y="0"/>
                            <a:ext cx="24765" cy="30480"/>
                          </a:xfrm>
                          <a:prstGeom prst="rect">
                            <a:avLst/>
                          </a:prstGeom>
                        </pic:spPr>
                      </pic:pic>
                    </a:graphicData>
                  </a:graphic>
                </wp:inline>
              </w:drawing>
            </w:r>
            <w:r>
              <w:rPr/>
              <w:t xml:space="preserve"> </w:t>
            </w:r>
          </w:p>
        </w:tc>
        <w:tc>
          <w:tcPr>
            <w:tcW w:w="119" w:type="dxa"/>
            <w:tcBorders/>
            <w:shd w:fill="auto" w:val="clear"/>
            <w:vAlign w:val="bottom"/>
          </w:tcPr>
          <w:p>
            <w:pPr>
              <w:pStyle w:val="TableContents"/>
              <w:spacing w:before="0" w:after="283"/>
              <w:rPr/>
            </w:pPr>
            <w:r>
              <w:rPr/>
              <w:t> </w:t>
            </w:r>
          </w:p>
        </w:tc>
        <w:tc>
          <w:tcPr>
            <w:tcW w:w="568" w:type="dxa"/>
            <w:tcBorders/>
            <w:shd w:fill="auto" w:val="clear"/>
            <w:vAlign w:val="center"/>
          </w:tcPr>
          <w:p>
            <w:pPr>
              <w:pStyle w:val="TableContents"/>
              <w:spacing w:before="0" w:after="283"/>
              <w:jc w:val="right"/>
              <w:rPr/>
            </w:pPr>
            <w:r>
              <w:rPr/>
              <w:t>    </w:t>
            </w:r>
            <w:r>
              <w:rPr/>
              <w:t>61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OTHER BUSINESS</w:t>
            </w:r>
          </w:p>
        </w:tc>
      </w:tr>
    </w:tbl>
    <w:p>
      <w:pPr>
        <w:pStyle w:val="TextBody"/>
        <w:spacing w:before="0" w:after="0"/>
        <w:jc w:val="left"/>
        <w:rPr/>
      </w:pPr>
      <w:r>
        <w:rPr/>
        <w:t> </w:t>
      </w:r>
    </w:p>
    <w:p>
      <w:pPr>
        <w:pStyle w:val="TextBody"/>
        <w:spacing w:before="0" w:after="0"/>
        <w:jc w:val="left"/>
        <w:rPr>
          <w:rFonts w:ascii="arial" w:hAnsi="arial"/>
          <w:b/>
          <w:sz w:val="42"/>
        </w:rPr>
      </w:pPr>
      <w:bookmarkStart w:id="49" w:name="toc116694_50"/>
      <w:bookmarkEnd w:id="49"/>
      <w:r>
        <w:rPr>
          <w:rFonts w:ascii="arial" w:hAnsi="arial"/>
          <w:b/>
          <w:sz w:val="42"/>
        </w:rPr>
        <w:t xml:space="preserve">OTHER BUSINESS </w:t>
      </w:r>
    </w:p>
    <w:p>
      <w:pPr>
        <w:pStyle w:val="TextBody"/>
        <w:spacing w:before="360" w:after="0"/>
        <w:jc w:val="left"/>
        <w:rPr>
          <w:rFonts w:ascii="arial" w:hAnsi="arial"/>
          <w:sz w:val="20"/>
        </w:rPr>
      </w:pPr>
      <w:r>
        <w:rPr>
          <w:rFonts w:ascii="arial" w:hAnsi="arial"/>
          <w:sz w:val="20"/>
        </w:rPr>
        <w:t xml:space="preserve">As of the date of this proxy statement, the management of the Corporation is not aware of any other matters to be brought before the Annual Meeting. However, if any other matters are properly brought before the Annual Meeting, the persons named in the enclosed form of Proxy will have discretionary authority to vote all proxies with respect to such matters in accordance with their best judgment. </w:t>
      </w:r>
    </w:p>
    <w:p>
      <w:pPr>
        <w:pStyle w:val="TextBody"/>
        <w:spacing w:before="240" w:after="0"/>
        <w:jc w:val="left"/>
        <w:rPr>
          <w:rFonts w:ascii="arial" w:hAnsi="arial"/>
          <w:sz w:val="20"/>
        </w:rPr>
      </w:pPr>
      <w:r>
        <w:rPr>
          <w:rFonts w:ascii="arial" w:hAnsi="arial"/>
          <w:sz w:val="20"/>
        </w:rPr>
        <w:t xml:space="preserve">By Order of the Board of Directors, </w:t>
      </w:r>
    </w:p>
    <w:p>
      <w:pPr>
        <w:pStyle w:val="TextBody"/>
        <w:spacing w:before="0" w:after="0"/>
        <w:jc w:val="left"/>
        <w:rPr/>
      </w:pPr>
      <w:r>
        <w:rPr/>
        <w:t> </w:t>
      </w:r>
    </w:p>
    <w:p>
      <w:pPr>
        <w:pStyle w:val="TextBody"/>
        <w:spacing w:before="0" w:after="0"/>
        <w:jc w:val="left"/>
        <w:rPr/>
      </w:pPr>
      <w:r>
        <w:rPr/>
        <w:drawing>
          <wp:inline distT="0" distB="0" distL="0" distR="0">
            <wp:extent cx="184785" cy="47625"/>
            <wp:effectExtent l="0" t="0" r="0" b="0"/>
            <wp:docPr id="8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4" descr=""/>
                    <pic:cNvPicPr>
                      <a:picLocks noChangeAspect="1" noChangeArrowheads="1"/>
                    </pic:cNvPicPr>
                  </pic:nvPicPr>
                  <pic:blipFill>
                    <a:blip r:embed="rId75"/>
                    <a:stretch>
                      <a:fillRect/>
                    </a:stretch>
                  </pic:blipFill>
                  <pic:spPr bwMode="auto">
                    <a:xfrm>
                      <a:off x="0" y="0"/>
                      <a:ext cx="184785" cy="47625"/>
                    </a:xfrm>
                    <a:prstGeom prst="rect">
                      <a:avLst/>
                    </a:prstGeom>
                  </pic:spPr>
                </pic:pic>
              </a:graphicData>
            </a:graphic>
          </wp:inline>
        </w:drawing>
      </w:r>
      <w:r>
        <w:rPr/>
        <w:t xml:space="preserve"> </w:t>
      </w:r>
    </w:p>
    <w:p>
      <w:pPr>
        <w:pStyle w:val="TextBody"/>
        <w:spacing w:before="240" w:after="0"/>
        <w:jc w:val="left"/>
        <w:rPr>
          <w:rFonts w:ascii="arial" w:hAnsi="arial"/>
          <w:sz w:val="20"/>
        </w:rPr>
      </w:pPr>
      <w:r>
        <w:rPr>
          <w:rFonts w:ascii="arial" w:hAnsi="arial"/>
          <w:sz w:val="20"/>
        </w:rPr>
        <w:t xml:space="preserve">Bryan R. Adel </w:t>
      </w:r>
    </w:p>
    <w:p>
      <w:pPr>
        <w:pStyle w:val="TextBody"/>
        <w:spacing w:before="0" w:after="0"/>
        <w:jc w:val="left"/>
        <w:rPr>
          <w:rFonts w:ascii="arial" w:hAnsi="arial"/>
          <w:sz w:val="20"/>
        </w:rPr>
      </w:pPr>
      <w:r>
        <w:rPr>
          <w:rFonts w:ascii="arial" w:hAnsi="arial"/>
          <w:sz w:val="20"/>
        </w:rPr>
        <w:t xml:space="preserve">Senior Vice President, Legal, General Counsel and Secretary </w:t>
      </w:r>
    </w:p>
    <w:p>
      <w:pPr>
        <w:pStyle w:val="TextBody"/>
        <w:spacing w:before="240" w:after="0"/>
        <w:jc w:val="left"/>
        <w:rPr>
          <w:rFonts w:ascii="arial" w:hAnsi="arial"/>
          <w:sz w:val="20"/>
        </w:rPr>
      </w:pPr>
      <w:r>
        <w:rPr>
          <w:rFonts w:ascii="arial" w:hAnsi="arial"/>
          <w:sz w:val="20"/>
        </w:rPr>
        <w:t xml:space="preserve">March 30, 2021 </w:t>
      </w:r>
    </w:p>
    <w:p>
      <w:pPr>
        <w:pStyle w:val="TextBody"/>
        <w:spacing w:before="0" w:after="0"/>
        <w:jc w:val="left"/>
        <w:rPr>
          <w:rFonts w:ascii="arial" w:hAnsi="arial"/>
          <w:sz w:val="20"/>
        </w:rPr>
      </w:pPr>
      <w:r>
        <w:rPr>
          <w:rFonts w:ascii="arial" w:hAnsi="arial"/>
          <w:sz w:val="20"/>
        </w:rPr>
        <w:t xml:space="preserve">Glendale, California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5"/>
        <w:gridCol w:w="119"/>
        <w:gridCol w:w="9521"/>
      </w:tblGrid>
      <w:tr>
        <w:trPr/>
        <w:tc>
          <w:tcPr>
            <w:tcW w:w="5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vAlign w:val="center"/>
          </w:tcPr>
          <w:p>
            <w:pPr>
              <w:pStyle w:val="TableContents"/>
              <w:spacing w:before="0" w:after="283"/>
              <w:rPr/>
            </w:pPr>
            <w:r>
              <w:rPr/>
              <w:t>62    </w:t>
            </w:r>
          </w:p>
        </w:tc>
        <w:tc>
          <w:tcPr>
            <w:tcW w:w="119" w:type="dxa"/>
            <w:tcBorders/>
            <w:shd w:fill="auto" w:val="clear"/>
            <w:vAlign w:val="bottom"/>
          </w:tcPr>
          <w:p>
            <w:pPr>
              <w:pStyle w:val="TableContents"/>
              <w:spacing w:before="0" w:after="283"/>
              <w:rPr/>
            </w:pPr>
            <w:r>
              <w:rPr/>
              <w:t> </w:t>
            </w:r>
          </w:p>
        </w:tc>
        <w:tc>
          <w:tcPr>
            <w:tcW w:w="9521" w:type="dxa"/>
            <w:tcBorders/>
            <w:shd w:fill="auto" w:val="clear"/>
          </w:tcPr>
          <w:p>
            <w:pPr>
              <w:pStyle w:val="TableContents"/>
              <w:spacing w:before="0" w:after="283"/>
              <w:rPr/>
            </w:pPr>
            <w:r>
              <w:rPr/>
              <w:drawing>
                <wp:inline distT="0" distB="0" distL="0" distR="0">
                  <wp:extent cx="24765" cy="30480"/>
                  <wp:effectExtent l="0" t="0" r="0" b="0"/>
                  <wp:docPr id="8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5" descr=""/>
                          <pic:cNvPicPr>
                            <a:picLocks noChangeAspect="1" noChangeArrowheads="1"/>
                          </pic:cNvPicPr>
                        </pic:nvPicPr>
                        <pic:blipFill>
                          <a:blip r:embed="rId76"/>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jc w:val="right"/>
              <w:rPr>
                <w:rFonts w:ascii="arial" w:hAnsi="arial"/>
                <w:color w:val="FFFFFF"/>
                <w:sz w:val="20"/>
              </w:rPr>
            </w:pPr>
            <w:r>
              <w:rPr>
                <w:rFonts w:ascii="arial" w:hAnsi="arial"/>
                <w:color w:val="FFFFFF"/>
                <w:sz w:val="20"/>
              </w:rPr>
              <w:t>2021 PROXY STATEMENT  </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right"/>
              <w:rPr>
                <w:rFonts w:ascii="arial" w:hAnsi="arial"/>
                <w:sz w:val="16"/>
              </w:rPr>
            </w:pPr>
            <w:r>
              <w:rPr>
                <w:rFonts w:ascii="arial" w:hAnsi="arial"/>
                <w:sz w:val="16"/>
              </w:rPr>
              <w:t>APPENDIX A   </w:t>
            </w:r>
          </w:p>
        </w:tc>
      </w:tr>
    </w:tbl>
    <w:p>
      <w:pPr>
        <w:pStyle w:val="TextBody"/>
        <w:spacing w:before="0" w:after="0"/>
        <w:jc w:val="left"/>
        <w:rPr/>
      </w:pPr>
      <w:r>
        <w:rPr/>
        <w:t> </w:t>
      </w:r>
    </w:p>
    <w:p>
      <w:pPr>
        <w:pStyle w:val="TextBody"/>
        <w:spacing w:before="0" w:after="0"/>
        <w:jc w:val="left"/>
        <w:rPr>
          <w:rFonts w:ascii="arial" w:hAnsi="arial"/>
          <w:b/>
          <w:sz w:val="42"/>
        </w:rPr>
      </w:pPr>
      <w:bookmarkStart w:id="50" w:name="toc116694_51"/>
      <w:bookmarkEnd w:id="50"/>
      <w:r>
        <w:rPr>
          <w:rFonts w:ascii="arial" w:hAnsi="arial"/>
          <w:b/>
          <w:sz w:val="42"/>
        </w:rPr>
        <w:t xml:space="preserve">Appendix A </w:t>
      </w:r>
    </w:p>
    <w:p>
      <w:pPr>
        <w:pStyle w:val="TextBody"/>
        <w:spacing w:before="360" w:after="0"/>
        <w:jc w:val="left"/>
        <w:rPr>
          <w:rFonts w:ascii="arial" w:hAnsi="arial"/>
          <w:b/>
          <w:color w:val="CF0A2C"/>
          <w:sz w:val="28"/>
        </w:rPr>
      </w:pPr>
      <w:bookmarkStart w:id="51" w:name="toc116694_52"/>
      <w:bookmarkEnd w:id="51"/>
      <w:r>
        <w:rPr>
          <w:rFonts w:ascii="arial" w:hAnsi="arial"/>
          <w:b/>
          <w:color w:val="CF0A2C"/>
          <w:sz w:val="28"/>
        </w:rPr>
        <w:t xml:space="preserve">RECONCILIATION OF NON-GAAP FINANCIAL MEASURES </w:t>
      </w:r>
    </w:p>
    <w:p>
      <w:pPr>
        <w:pStyle w:val="TextBody"/>
        <w:spacing w:before="0" w:after="0"/>
        <w:jc w:val="left"/>
        <w:rPr>
          <w:rFonts w:ascii="arial" w:hAnsi="arial"/>
          <w:sz w:val="20"/>
        </w:rPr>
      </w:pPr>
      <w:r>
        <w:rPr>
          <w:rFonts w:ascii="arial" w:hAnsi="arial"/>
          <w:sz w:val="20"/>
        </w:rPr>
        <w:t xml:space="preserve">(In thousands, except per share amounts) </w:t>
      </w:r>
    </w:p>
    <w:p>
      <w:pPr>
        <w:pStyle w:val="TextBody"/>
        <w:spacing w:before="120" w:after="0"/>
        <w:jc w:val="left"/>
        <w:rPr>
          <w:rFonts w:ascii="arial" w:hAnsi="arial"/>
          <w:sz w:val="20"/>
        </w:rPr>
      </w:pPr>
      <w:r>
        <w:rPr>
          <w:rFonts w:ascii="arial" w:hAnsi="arial"/>
          <w:sz w:val="20"/>
        </w:rPr>
        <w:t xml:space="preserve">This proxy statement includes references to the Corporations non-GAAP financial measures adjusted net income available to common stockholders per diluted share (AEPS or adjusted EPS). Management may use non-GAAP financial measures along with the corresponding U.S. GAAP measures to evaluate the performance of the business and to make certain business decisions. Additionally, adjusted EPS is one of the metrics used in determining payouts under the Corporations annual cash incentive plan. Management believes that non-GAAP financial measures provide additional meaningful information that should be considered when assessing the business and the Corporations performance compared to prior periods and the marketplace. Adjusted EPS is supplemental non-GAAP financial measures and should not be considered in isolation or as a substitute for measures of performance prepared in accordance with U.S. GAAP. </w:t>
      </w:r>
    </w:p>
    <w:p>
      <w:pPr>
        <w:pStyle w:val="TextBody"/>
        <w:spacing w:before="120" w:after="0"/>
        <w:jc w:val="left"/>
        <w:rPr>
          <w:rFonts w:ascii="arial" w:hAnsi="arial"/>
          <w:sz w:val="20"/>
        </w:rPr>
      </w:pPr>
      <w:r>
        <w:rPr>
          <w:rFonts w:ascii="arial" w:hAnsi="arial"/>
          <w:sz w:val="20"/>
        </w:rPr>
        <w:t xml:space="preserve">Reconciliation of net (loss) income available to common stockholders to net income available to common stockholders, as adjusted for the following items: Impairment and closure charges; amortization of intangible assets; non-cash interest expense; gain or loss on disposition of assets; loss on extinguishment of debt; administrative reorganization costs; nonrecurring restaurant costs; and the combined tax effect of the preceding adjustments, as well as related per share data: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24"/>
        <w:gridCol w:w="212"/>
        <w:gridCol w:w="140"/>
        <w:gridCol w:w="637"/>
        <w:gridCol w:w="155"/>
        <w:gridCol w:w="169"/>
        <w:gridCol w:w="140"/>
        <w:gridCol w:w="733"/>
        <w:gridCol w:w="155"/>
        <w:gridCol w:w="169"/>
        <w:gridCol w:w="140"/>
        <w:gridCol w:w="934"/>
        <w:gridCol w:w="155"/>
        <w:gridCol w:w="106"/>
        <w:gridCol w:w="140"/>
        <w:gridCol w:w="817"/>
        <w:gridCol w:w="179"/>
      </w:tblGrid>
      <w:tr>
        <w:trPr/>
        <w:tc>
          <w:tcPr>
            <w:tcW w:w="522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r>
      <w:tr>
        <w:trPr/>
        <w:tc>
          <w:tcPr>
            <w:tcW w:w="5224" w:type="dxa"/>
            <w:tcBorders/>
            <w:shd w:fill="CF0A2C" w:val="clear"/>
            <w:vAlign w:val="bottom"/>
          </w:tcPr>
          <w:p>
            <w:pPr>
              <w:pStyle w:val="TableContents"/>
              <w:spacing w:before="0" w:after="283"/>
              <w:rPr/>
            </w:pPr>
            <w:r>
              <w:rPr/>
              <w:t> </w:t>
            </w:r>
          </w:p>
        </w:tc>
        <w:tc>
          <w:tcPr>
            <w:tcW w:w="212" w:type="dxa"/>
            <w:tcBorders/>
            <w:shd w:fill="CF0A2C" w:val="clear"/>
            <w:vAlign w:val="bottom"/>
          </w:tcPr>
          <w:p>
            <w:pPr>
              <w:pStyle w:val="TableContents"/>
              <w:spacing w:before="0" w:after="283"/>
              <w:rPr/>
            </w:pPr>
            <w:r>
              <w:rPr/>
              <w:t>  </w:t>
            </w:r>
          </w:p>
        </w:tc>
        <w:tc>
          <w:tcPr>
            <w:tcW w:w="1974" w:type="dxa"/>
            <w:gridSpan w:val="6"/>
            <w:tcBorders>
              <w:bottom w:val="single" w:sz="2" w:space="0" w:color="FFFFFF"/>
            </w:tcBorders>
            <w:shd w:fill="CF0A2C" w:val="clear"/>
            <w:tcMar>
              <w:bottom w:w="28" w:type="dxa"/>
            </w:tcMar>
            <w:vAlign w:val="bottom"/>
          </w:tcPr>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Three Months Ended</w:t>
              <w:br/>
              <w:t>December 31,</w:t>
            </w:r>
          </w:p>
        </w:tc>
        <w:tc>
          <w:tcPr>
            <w:tcW w:w="155" w:type="dxa"/>
            <w:tcBorders/>
            <w:shd w:fill="CF0A2C" w:val="clear"/>
            <w:vAlign w:val="bottom"/>
          </w:tcPr>
          <w:p>
            <w:pPr>
              <w:pStyle w:val="TableContents"/>
              <w:spacing w:before="0" w:after="283"/>
              <w:rPr/>
            </w:pPr>
            <w:r>
              <w:rPr/>
              <w:t> </w:t>
            </w:r>
          </w:p>
        </w:tc>
        <w:tc>
          <w:tcPr>
            <w:tcW w:w="169" w:type="dxa"/>
            <w:tcBorders/>
            <w:shd w:fill="CF0A2C" w:val="clear"/>
            <w:vAlign w:val="bottom"/>
          </w:tcPr>
          <w:p>
            <w:pPr>
              <w:pStyle w:val="TableContents"/>
              <w:spacing w:before="0" w:after="283"/>
              <w:rPr/>
            </w:pPr>
            <w:r>
              <w:rPr/>
              <w:t> </w:t>
            </w:r>
          </w:p>
        </w:tc>
        <w:tc>
          <w:tcPr>
            <w:tcW w:w="2292" w:type="dxa"/>
            <w:gridSpan w:val="6"/>
            <w:tcBorders>
              <w:bottom w:val="single" w:sz="2" w:space="0" w:color="FFFFFF"/>
            </w:tcBorders>
            <w:shd w:fill="CF0A2C" w:val="clear"/>
            <w:tcMar>
              <w:bottom w:w="28" w:type="dxa"/>
            </w:tcMar>
            <w:vAlign w:val="bottom"/>
          </w:tcPr>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Twelve Months Ended</w:t>
              <w:br/>
              <w:t>December 31,</w:t>
            </w:r>
          </w:p>
        </w:tc>
        <w:tc>
          <w:tcPr>
            <w:tcW w:w="179" w:type="dxa"/>
            <w:tcBorders/>
            <w:shd w:fill="CF0A2C" w:val="clear"/>
            <w:vAlign w:val="bottom"/>
          </w:tcPr>
          <w:p>
            <w:pPr>
              <w:pStyle w:val="TableContents"/>
              <w:spacing w:before="0" w:after="283"/>
              <w:rPr/>
            </w:pPr>
            <w:r>
              <w:rPr/>
              <w:t> </w:t>
            </w:r>
          </w:p>
        </w:tc>
      </w:tr>
      <w:tr>
        <w:trPr>
          <w:trHeight w:val="75" w:hRule="atLeast"/>
        </w:trPr>
        <w:tc>
          <w:tcPr>
            <w:tcW w:w="5224" w:type="dxa"/>
            <w:tcBorders/>
            <w:shd w:fill="CF0A2C" w:val="clear"/>
            <w:vAlign w:val="center"/>
          </w:tcPr>
          <w:p>
            <w:pPr>
              <w:pStyle w:val="TableContents"/>
              <w:spacing w:before="0" w:after="283"/>
              <w:rPr>
                <w:sz w:val="4"/>
                <w:szCs w:val="4"/>
              </w:rPr>
            </w:pPr>
            <w:r>
              <w:rPr>
                <w:sz w:val="4"/>
                <w:szCs w:val="4"/>
              </w:rPr>
            </w:r>
          </w:p>
        </w:tc>
        <w:tc>
          <w:tcPr>
            <w:tcW w:w="1144" w:type="dxa"/>
            <w:gridSpan w:val="4"/>
            <w:tcBorders/>
            <w:shd w:fill="CF0A2C" w:val="clear"/>
            <w:vAlign w:val="center"/>
          </w:tcPr>
          <w:p>
            <w:pPr>
              <w:pStyle w:val="TableContents"/>
              <w:spacing w:before="0" w:after="283"/>
              <w:rPr>
                <w:sz w:val="4"/>
                <w:szCs w:val="4"/>
              </w:rPr>
            </w:pPr>
            <w:r>
              <w:rPr>
                <w:sz w:val="4"/>
                <w:szCs w:val="4"/>
              </w:rPr>
            </w:r>
          </w:p>
        </w:tc>
        <w:tc>
          <w:tcPr>
            <w:tcW w:w="1197" w:type="dxa"/>
            <w:gridSpan w:val="4"/>
            <w:tcBorders/>
            <w:shd w:fill="CF0A2C" w:val="clear"/>
            <w:vAlign w:val="center"/>
          </w:tcPr>
          <w:p>
            <w:pPr>
              <w:pStyle w:val="TableContents"/>
              <w:spacing w:before="0" w:after="283"/>
              <w:rPr>
                <w:sz w:val="4"/>
                <w:szCs w:val="4"/>
              </w:rPr>
            </w:pPr>
            <w:r>
              <w:rPr>
                <w:sz w:val="4"/>
                <w:szCs w:val="4"/>
              </w:rPr>
            </w:r>
          </w:p>
        </w:tc>
        <w:tc>
          <w:tcPr>
            <w:tcW w:w="1398" w:type="dxa"/>
            <w:gridSpan w:val="4"/>
            <w:tcBorders/>
            <w:shd w:fill="CF0A2C" w:val="clear"/>
            <w:vAlign w:val="center"/>
          </w:tcPr>
          <w:p>
            <w:pPr>
              <w:pStyle w:val="TableContents"/>
              <w:spacing w:before="0" w:after="283"/>
              <w:rPr>
                <w:sz w:val="4"/>
                <w:szCs w:val="4"/>
              </w:rPr>
            </w:pPr>
            <w:r>
              <w:rPr>
                <w:sz w:val="4"/>
                <w:szCs w:val="4"/>
              </w:rPr>
            </w:r>
          </w:p>
        </w:tc>
        <w:tc>
          <w:tcPr>
            <w:tcW w:w="1242" w:type="dxa"/>
            <w:gridSpan w:val="4"/>
            <w:tcBorders/>
            <w:shd w:fill="CF0A2C" w:val="clear"/>
            <w:vAlign w:val="center"/>
          </w:tcPr>
          <w:p>
            <w:pPr>
              <w:pStyle w:val="TableContents"/>
              <w:spacing w:before="0" w:after="283"/>
              <w:rPr>
                <w:sz w:val="4"/>
                <w:szCs w:val="4"/>
              </w:rPr>
            </w:pPr>
            <w:r>
              <w:rPr>
                <w:sz w:val="4"/>
                <w:szCs w:val="4"/>
              </w:rPr>
            </w:r>
          </w:p>
        </w:tc>
      </w:tr>
      <w:tr>
        <w:trPr/>
        <w:tc>
          <w:tcPr>
            <w:tcW w:w="5224" w:type="dxa"/>
            <w:tcBorders/>
            <w:shd w:fill="CF0A2C" w:val="clear"/>
            <w:vAlign w:val="bottom"/>
          </w:tcPr>
          <w:p>
            <w:pPr>
              <w:pStyle w:val="TableContents"/>
              <w:spacing w:before="0" w:after="283"/>
              <w:rPr/>
            </w:pPr>
            <w:r>
              <w:rPr/>
              <w:t> </w:t>
            </w:r>
          </w:p>
        </w:tc>
        <w:tc>
          <w:tcPr>
            <w:tcW w:w="212" w:type="dxa"/>
            <w:tcBorders/>
            <w:shd w:fill="CF0A2C" w:val="clear"/>
            <w:vAlign w:val="bottom"/>
          </w:tcPr>
          <w:p>
            <w:pPr>
              <w:pStyle w:val="TableContents"/>
              <w:spacing w:before="0" w:after="283"/>
              <w:rPr/>
            </w:pPr>
            <w:r>
              <w:rPr/>
              <w:t>  </w:t>
            </w:r>
          </w:p>
        </w:tc>
        <w:tc>
          <w:tcPr>
            <w:tcW w:w="777" w:type="dxa"/>
            <w:gridSpan w:val="2"/>
            <w:tcBorders/>
            <w:shd w:fill="CF0A2C" w:val="clear"/>
            <w:vAlign w:val="bottom"/>
          </w:tcPr>
          <w:p>
            <w:pPr>
              <w:pStyle w:val="TableContents"/>
              <w:spacing w:before="0" w:after="283"/>
              <w:jc w:val="center"/>
              <w:rPr>
                <w:b/>
                <w:color w:val="FFFFFF"/>
              </w:rPr>
            </w:pPr>
            <w:r>
              <w:rPr>
                <w:b/>
                <w:color w:val="FFFFFF"/>
              </w:rPr>
              <w:t>2020</w:t>
            </w:r>
          </w:p>
        </w:tc>
        <w:tc>
          <w:tcPr>
            <w:tcW w:w="155" w:type="dxa"/>
            <w:tcBorders/>
            <w:shd w:fill="CF0A2C" w:val="clear"/>
            <w:vAlign w:val="bottom"/>
          </w:tcPr>
          <w:p>
            <w:pPr>
              <w:pStyle w:val="TableContents"/>
              <w:spacing w:before="0" w:after="283"/>
              <w:rPr/>
            </w:pPr>
            <w:r>
              <w:rPr/>
              <w:t> </w:t>
            </w:r>
          </w:p>
        </w:tc>
        <w:tc>
          <w:tcPr>
            <w:tcW w:w="169" w:type="dxa"/>
            <w:tcBorders/>
            <w:shd w:fill="CF0A2C" w:val="clear"/>
            <w:vAlign w:val="bottom"/>
          </w:tcPr>
          <w:p>
            <w:pPr>
              <w:pStyle w:val="TableContents"/>
              <w:spacing w:before="0" w:after="283"/>
              <w:rPr/>
            </w:pPr>
            <w:r>
              <w:rPr/>
              <w:t> </w:t>
            </w:r>
          </w:p>
        </w:tc>
        <w:tc>
          <w:tcPr>
            <w:tcW w:w="873" w:type="dxa"/>
            <w:gridSpan w:val="2"/>
            <w:tcBorders/>
            <w:shd w:fill="CF0A2C" w:val="clear"/>
            <w:vAlign w:val="bottom"/>
          </w:tcPr>
          <w:p>
            <w:pPr>
              <w:pStyle w:val="TableContents"/>
              <w:spacing w:before="0" w:after="283"/>
              <w:jc w:val="center"/>
              <w:rPr>
                <w:b/>
                <w:color w:val="FFFFFF"/>
              </w:rPr>
            </w:pPr>
            <w:r>
              <w:rPr>
                <w:b/>
                <w:color w:val="FFFFFF"/>
              </w:rPr>
              <w:t>2019</w:t>
            </w:r>
          </w:p>
        </w:tc>
        <w:tc>
          <w:tcPr>
            <w:tcW w:w="155" w:type="dxa"/>
            <w:tcBorders/>
            <w:shd w:fill="CF0A2C" w:val="clear"/>
            <w:vAlign w:val="bottom"/>
          </w:tcPr>
          <w:p>
            <w:pPr>
              <w:pStyle w:val="TableContents"/>
              <w:spacing w:before="0" w:after="283"/>
              <w:rPr/>
            </w:pPr>
            <w:r>
              <w:rPr/>
              <w:t> </w:t>
            </w:r>
          </w:p>
        </w:tc>
        <w:tc>
          <w:tcPr>
            <w:tcW w:w="169" w:type="dxa"/>
            <w:tcBorders/>
            <w:shd w:fill="CF0A2C" w:val="clear"/>
            <w:vAlign w:val="bottom"/>
          </w:tcPr>
          <w:p>
            <w:pPr>
              <w:pStyle w:val="TableContents"/>
              <w:spacing w:before="0" w:after="283"/>
              <w:rPr/>
            </w:pPr>
            <w:r>
              <w:rPr/>
              <w:t> </w:t>
            </w:r>
          </w:p>
        </w:tc>
        <w:tc>
          <w:tcPr>
            <w:tcW w:w="1074" w:type="dxa"/>
            <w:gridSpan w:val="2"/>
            <w:tcBorders/>
            <w:shd w:fill="CF0A2C" w:val="clear"/>
            <w:vAlign w:val="bottom"/>
          </w:tcPr>
          <w:p>
            <w:pPr>
              <w:pStyle w:val="TableContents"/>
              <w:spacing w:before="0" w:after="283"/>
              <w:jc w:val="center"/>
              <w:rPr>
                <w:b/>
                <w:color w:val="FFFFFF"/>
              </w:rPr>
            </w:pPr>
            <w:r>
              <w:rPr>
                <w:b/>
                <w:color w:val="FFFFFF"/>
              </w:rPr>
              <w:t>2020</w:t>
            </w:r>
          </w:p>
        </w:tc>
        <w:tc>
          <w:tcPr>
            <w:tcW w:w="155" w:type="dxa"/>
            <w:tcBorders/>
            <w:shd w:fill="CF0A2C" w:val="clear"/>
            <w:vAlign w:val="bottom"/>
          </w:tcPr>
          <w:p>
            <w:pPr>
              <w:pStyle w:val="TableContents"/>
              <w:spacing w:before="0" w:after="283"/>
              <w:rPr/>
            </w:pPr>
            <w:r>
              <w:rPr/>
              <w:t> </w:t>
            </w:r>
          </w:p>
        </w:tc>
        <w:tc>
          <w:tcPr>
            <w:tcW w:w="106" w:type="dxa"/>
            <w:tcBorders/>
            <w:shd w:fill="CF0A2C" w:val="clear"/>
            <w:vAlign w:val="bottom"/>
          </w:tcPr>
          <w:p>
            <w:pPr>
              <w:pStyle w:val="TableContents"/>
              <w:spacing w:before="0" w:after="283"/>
              <w:rPr/>
            </w:pPr>
            <w:r>
              <w:rPr/>
              <w:t> </w:t>
            </w:r>
          </w:p>
        </w:tc>
        <w:tc>
          <w:tcPr>
            <w:tcW w:w="957" w:type="dxa"/>
            <w:gridSpan w:val="2"/>
            <w:tcBorders/>
            <w:shd w:fill="CF0A2C" w:val="clear"/>
            <w:vAlign w:val="bottom"/>
          </w:tcPr>
          <w:p>
            <w:pPr>
              <w:pStyle w:val="TableContents"/>
              <w:spacing w:before="0" w:after="283"/>
              <w:jc w:val="center"/>
              <w:rPr>
                <w:b/>
                <w:color w:val="FFFFFF"/>
              </w:rPr>
            </w:pPr>
            <w:r>
              <w:rPr>
                <w:b/>
                <w:color w:val="FFFFFF"/>
              </w:rPr>
              <w:t>2019</w:t>
            </w:r>
          </w:p>
        </w:tc>
        <w:tc>
          <w:tcPr>
            <w:tcW w:w="179" w:type="dxa"/>
            <w:tcBorders/>
            <w:shd w:fill="CF0A2C" w:val="clear"/>
            <w:vAlign w:val="bottom"/>
          </w:tcPr>
          <w:p>
            <w:pPr>
              <w:pStyle w:val="TableContents"/>
              <w:spacing w:before="0" w:after="283"/>
              <w:rPr/>
            </w:pPr>
            <w:r>
              <w:rPr/>
              <w:t> </w:t>
            </w:r>
          </w:p>
        </w:tc>
      </w:tr>
      <w:tr>
        <w:trPr>
          <w:trHeight w:val="75" w:hRule="atLeast"/>
        </w:trPr>
        <w:tc>
          <w:tcPr>
            <w:tcW w:w="5224" w:type="dxa"/>
            <w:tcBorders/>
            <w:shd w:fill="E5E5E5" w:val="clear"/>
            <w:vAlign w:val="center"/>
          </w:tcPr>
          <w:p>
            <w:pPr>
              <w:pStyle w:val="TableContents"/>
              <w:spacing w:before="0" w:after="283"/>
              <w:rPr>
                <w:sz w:val="4"/>
                <w:szCs w:val="4"/>
              </w:rPr>
            </w:pPr>
            <w:r>
              <w:rPr>
                <w:sz w:val="4"/>
                <w:szCs w:val="4"/>
              </w:rPr>
            </w:r>
          </w:p>
        </w:tc>
        <w:tc>
          <w:tcPr>
            <w:tcW w:w="1144" w:type="dxa"/>
            <w:gridSpan w:val="4"/>
            <w:tcBorders/>
            <w:shd w:fill="E5E5E5" w:val="clear"/>
            <w:vAlign w:val="center"/>
          </w:tcPr>
          <w:p>
            <w:pPr>
              <w:pStyle w:val="TableContents"/>
              <w:spacing w:before="0" w:after="283"/>
              <w:rPr>
                <w:sz w:val="4"/>
                <w:szCs w:val="4"/>
              </w:rPr>
            </w:pPr>
            <w:r>
              <w:rPr>
                <w:sz w:val="4"/>
                <w:szCs w:val="4"/>
              </w:rPr>
            </w:r>
          </w:p>
        </w:tc>
        <w:tc>
          <w:tcPr>
            <w:tcW w:w="1197" w:type="dxa"/>
            <w:gridSpan w:val="4"/>
            <w:tcBorders/>
            <w:shd w:fill="E5E5E5" w:val="clear"/>
            <w:vAlign w:val="center"/>
          </w:tcPr>
          <w:p>
            <w:pPr>
              <w:pStyle w:val="TableContents"/>
              <w:spacing w:before="0" w:after="283"/>
              <w:rPr>
                <w:sz w:val="4"/>
                <w:szCs w:val="4"/>
              </w:rPr>
            </w:pPr>
            <w:r>
              <w:rPr>
                <w:sz w:val="4"/>
                <w:szCs w:val="4"/>
              </w:rPr>
            </w:r>
          </w:p>
        </w:tc>
        <w:tc>
          <w:tcPr>
            <w:tcW w:w="1398" w:type="dxa"/>
            <w:gridSpan w:val="4"/>
            <w:tcBorders/>
            <w:shd w:fill="E5E5E5" w:val="clear"/>
            <w:vAlign w:val="center"/>
          </w:tcPr>
          <w:p>
            <w:pPr>
              <w:pStyle w:val="TableContents"/>
              <w:spacing w:before="0" w:after="283"/>
              <w:rPr>
                <w:sz w:val="4"/>
                <w:szCs w:val="4"/>
              </w:rPr>
            </w:pPr>
            <w:r>
              <w:rPr>
                <w:sz w:val="4"/>
                <w:szCs w:val="4"/>
              </w:rPr>
            </w:r>
          </w:p>
        </w:tc>
        <w:tc>
          <w:tcPr>
            <w:tcW w:w="1242" w:type="dxa"/>
            <w:gridSpan w:val="4"/>
            <w:tcBorders/>
            <w:shd w:fill="E5E5E5" w:val="clear"/>
            <w:vAlign w:val="center"/>
          </w:tcPr>
          <w:p>
            <w:pPr>
              <w:pStyle w:val="TableContents"/>
              <w:spacing w:before="0" w:after="283"/>
              <w:rPr>
                <w:sz w:val="4"/>
                <w:szCs w:val="4"/>
              </w:rPr>
            </w:pPr>
            <w:r>
              <w:rPr>
                <w:sz w:val="4"/>
                <w:szCs w:val="4"/>
              </w:rPr>
            </w:r>
          </w:p>
        </w:tc>
      </w:tr>
      <w:tr>
        <w:trPr/>
        <w:tc>
          <w:tcPr>
            <w:tcW w:w="5224" w:type="dxa"/>
            <w:tcBorders/>
            <w:shd w:fill="E5E5E5" w:val="clear"/>
          </w:tcPr>
          <w:p>
            <w:pPr>
              <w:pStyle w:val="TableContents"/>
              <w:spacing w:before="0" w:after="0"/>
              <w:rPr>
                <w:rFonts w:ascii="arial" w:hAnsi="arial"/>
                <w:sz w:val="20"/>
              </w:rPr>
            </w:pPr>
            <w:r>
              <w:rPr>
                <w:rFonts w:ascii="arial" w:hAnsi="arial"/>
                <w:sz w:val="20"/>
              </w:rPr>
              <w:t>Net (loss) income available to common stockholders, as reported</w:t>
            </w:r>
          </w:p>
        </w:tc>
        <w:tc>
          <w:tcPr>
            <w:tcW w:w="21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37" w:type="dxa"/>
            <w:tcBorders/>
            <w:shd w:fill="E5E5E5" w:val="clear"/>
            <w:vAlign w:val="bottom"/>
          </w:tcPr>
          <w:p>
            <w:pPr>
              <w:pStyle w:val="TableContents"/>
              <w:spacing w:before="0" w:after="283"/>
              <w:jc w:val="right"/>
              <w:rPr/>
            </w:pPr>
            <w:r>
              <w:rPr/>
              <w:t>(1,561</w:t>
            </w:r>
          </w:p>
        </w:tc>
        <w:tc>
          <w:tcPr>
            <w:tcW w:w="155" w:type="dxa"/>
            <w:tcBorders/>
            <w:shd w:fill="E5E5E5" w:val="clear"/>
            <w:vAlign w:val="bottom"/>
          </w:tcPr>
          <w:p>
            <w:pPr>
              <w:pStyle w:val="TableContents"/>
              <w:spacing w:before="0" w:after="283"/>
              <w:rPr/>
            </w:pPr>
            <w:r>
              <w:rPr/>
              <w:t>) </w:t>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733" w:type="dxa"/>
            <w:tcBorders/>
            <w:shd w:fill="E5E5E5" w:val="clear"/>
            <w:vAlign w:val="bottom"/>
          </w:tcPr>
          <w:p>
            <w:pPr>
              <w:pStyle w:val="TableContents"/>
              <w:spacing w:before="0" w:after="283"/>
              <w:jc w:val="right"/>
              <w:rPr/>
            </w:pPr>
            <w:r>
              <w:rPr/>
              <w:t>26,488</w:t>
            </w:r>
          </w:p>
        </w:tc>
        <w:tc>
          <w:tcPr>
            <w:tcW w:w="155" w:type="dxa"/>
            <w:tcBorders/>
            <w:shd w:fill="E5E5E5" w:val="clear"/>
            <w:vAlign w:val="bottom"/>
          </w:tcPr>
          <w:p>
            <w:pPr>
              <w:pStyle w:val="TableContents"/>
              <w:spacing w:before="0" w:after="283"/>
              <w:rPr>
                <w:sz w:val="4"/>
                <w:szCs w:val="4"/>
              </w:rPr>
            </w:pPr>
            <w:r>
              <w:rPr>
                <w:sz w:val="4"/>
                <w:szCs w:val="4"/>
              </w:rPr>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934" w:type="dxa"/>
            <w:tcBorders/>
            <w:shd w:fill="E5E5E5" w:val="clear"/>
            <w:vAlign w:val="bottom"/>
          </w:tcPr>
          <w:p>
            <w:pPr>
              <w:pStyle w:val="TableContents"/>
              <w:spacing w:before="0" w:after="283"/>
              <w:jc w:val="right"/>
              <w:rPr/>
            </w:pPr>
            <w:r>
              <w:rPr/>
              <w:t>(104,414</w:t>
            </w:r>
          </w:p>
        </w:tc>
        <w:tc>
          <w:tcPr>
            <w:tcW w:w="155" w:type="dxa"/>
            <w:tcBorders/>
            <w:shd w:fill="E5E5E5" w:val="clear"/>
            <w:vAlign w:val="bottom"/>
          </w:tcPr>
          <w:p>
            <w:pPr>
              <w:pStyle w:val="TableContents"/>
              <w:spacing w:before="0" w:after="283"/>
              <w:rPr/>
            </w:pPr>
            <w:r>
              <w:rPr/>
              <w:t>) </w:t>
            </w:r>
          </w:p>
        </w:tc>
        <w:tc>
          <w:tcPr>
            <w:tcW w:w="10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17" w:type="dxa"/>
            <w:tcBorders/>
            <w:shd w:fill="E5E5E5" w:val="clear"/>
            <w:vAlign w:val="bottom"/>
          </w:tcPr>
          <w:p>
            <w:pPr>
              <w:pStyle w:val="TableContents"/>
              <w:spacing w:before="0" w:after="283"/>
              <w:jc w:val="right"/>
              <w:rPr/>
            </w:pPr>
            <w:r>
              <w:rPr/>
              <w:t>100,814</w:t>
            </w:r>
          </w:p>
        </w:tc>
        <w:tc>
          <w:tcPr>
            <w:tcW w:w="179"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224" w:type="dxa"/>
            <w:tcBorders/>
            <w:shd w:fill="auto" w:val="clear"/>
            <w:vAlign w:val="center"/>
          </w:tcPr>
          <w:p>
            <w:pPr>
              <w:pStyle w:val="TableContents"/>
              <w:spacing w:before="0" w:after="283"/>
              <w:rPr>
                <w:sz w:val="4"/>
                <w:szCs w:val="4"/>
              </w:rPr>
            </w:pPr>
            <w:r>
              <w:rPr>
                <w:sz w:val="4"/>
                <w:szCs w:val="4"/>
              </w:rPr>
            </w:r>
          </w:p>
        </w:tc>
        <w:tc>
          <w:tcPr>
            <w:tcW w:w="1144" w:type="dxa"/>
            <w:gridSpan w:val="4"/>
            <w:tcBorders/>
            <w:shd w:fill="auto" w:val="clear"/>
            <w:vAlign w:val="center"/>
          </w:tcPr>
          <w:p>
            <w:pPr>
              <w:pStyle w:val="TableContents"/>
              <w:spacing w:before="0" w:after="283"/>
              <w:rPr>
                <w:sz w:val="4"/>
                <w:szCs w:val="4"/>
              </w:rPr>
            </w:pPr>
            <w:r>
              <w:rPr>
                <w:sz w:val="4"/>
                <w:szCs w:val="4"/>
              </w:rPr>
            </w:r>
          </w:p>
        </w:tc>
        <w:tc>
          <w:tcPr>
            <w:tcW w:w="1197" w:type="dxa"/>
            <w:gridSpan w:val="4"/>
            <w:tcBorders/>
            <w:shd w:fill="auto" w:val="clear"/>
            <w:vAlign w:val="center"/>
          </w:tcPr>
          <w:p>
            <w:pPr>
              <w:pStyle w:val="TableContents"/>
              <w:spacing w:before="0" w:after="283"/>
              <w:rPr>
                <w:sz w:val="4"/>
                <w:szCs w:val="4"/>
              </w:rPr>
            </w:pPr>
            <w:r>
              <w:rPr>
                <w:sz w:val="4"/>
                <w:szCs w:val="4"/>
              </w:rPr>
            </w:r>
          </w:p>
        </w:tc>
        <w:tc>
          <w:tcPr>
            <w:tcW w:w="1398" w:type="dxa"/>
            <w:gridSpan w:val="4"/>
            <w:tcBorders/>
            <w:shd w:fill="auto" w:val="clear"/>
            <w:vAlign w:val="center"/>
          </w:tcPr>
          <w:p>
            <w:pPr>
              <w:pStyle w:val="TableContents"/>
              <w:spacing w:before="0" w:after="283"/>
              <w:rPr>
                <w:sz w:val="4"/>
                <w:szCs w:val="4"/>
              </w:rPr>
            </w:pPr>
            <w:r>
              <w:rPr>
                <w:sz w:val="4"/>
                <w:szCs w:val="4"/>
              </w:rPr>
            </w:r>
          </w:p>
        </w:tc>
        <w:tc>
          <w:tcPr>
            <w:tcW w:w="1242" w:type="dxa"/>
            <w:gridSpan w:val="4"/>
            <w:tcBorders/>
            <w:shd w:fill="auto" w:val="clear"/>
            <w:vAlign w:val="center"/>
          </w:tcPr>
          <w:p>
            <w:pPr>
              <w:pStyle w:val="TableContents"/>
              <w:spacing w:before="0" w:after="283"/>
              <w:rPr>
                <w:sz w:val="4"/>
                <w:szCs w:val="4"/>
              </w:rPr>
            </w:pPr>
            <w:r>
              <w:rPr>
                <w:sz w:val="4"/>
                <w:szCs w:val="4"/>
              </w:rPr>
            </w:r>
          </w:p>
        </w:tc>
      </w:tr>
      <w:tr>
        <w:trPr/>
        <w:tc>
          <w:tcPr>
            <w:tcW w:w="5224" w:type="dxa"/>
            <w:tcBorders/>
            <w:shd w:fill="auto" w:val="clear"/>
          </w:tcPr>
          <w:p>
            <w:pPr>
              <w:pStyle w:val="TableContents"/>
              <w:spacing w:before="0" w:after="0"/>
              <w:rPr>
                <w:rFonts w:ascii="arial" w:hAnsi="arial"/>
                <w:sz w:val="20"/>
              </w:rPr>
            </w:pPr>
            <w:r>
              <w:rPr>
                <w:rFonts w:ascii="arial" w:hAnsi="arial"/>
                <w:sz w:val="20"/>
              </w:rPr>
              <w:t>Impairment and closure charges</w:t>
            </w:r>
          </w:p>
        </w:tc>
        <w:tc>
          <w:tcPr>
            <w:tcW w:w="2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8,099</w:t>
            </w:r>
          </w:p>
        </w:tc>
        <w:tc>
          <w:tcPr>
            <w:tcW w:w="15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847</w:t>
            </w:r>
          </w:p>
        </w:tc>
        <w:tc>
          <w:tcPr>
            <w:tcW w:w="15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pPr>
            <w:r>
              <w:rPr/>
              <w:t>132,620</w:t>
            </w:r>
          </w:p>
        </w:tc>
        <w:tc>
          <w:tcPr>
            <w:tcW w:w="155"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1,487</w:t>
            </w:r>
          </w:p>
        </w:tc>
        <w:tc>
          <w:tcPr>
            <w:tcW w:w="179"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224" w:type="dxa"/>
            <w:tcBorders/>
            <w:shd w:fill="E5E5E5" w:val="clear"/>
            <w:vAlign w:val="center"/>
          </w:tcPr>
          <w:p>
            <w:pPr>
              <w:pStyle w:val="TableContents"/>
              <w:spacing w:before="0" w:after="283"/>
              <w:rPr>
                <w:sz w:val="4"/>
                <w:szCs w:val="4"/>
              </w:rPr>
            </w:pPr>
            <w:r>
              <w:rPr>
                <w:sz w:val="4"/>
                <w:szCs w:val="4"/>
              </w:rPr>
            </w:r>
          </w:p>
        </w:tc>
        <w:tc>
          <w:tcPr>
            <w:tcW w:w="1144" w:type="dxa"/>
            <w:gridSpan w:val="4"/>
            <w:tcBorders/>
            <w:shd w:fill="E5E5E5" w:val="clear"/>
            <w:vAlign w:val="center"/>
          </w:tcPr>
          <w:p>
            <w:pPr>
              <w:pStyle w:val="TableContents"/>
              <w:spacing w:before="0" w:after="283"/>
              <w:rPr>
                <w:sz w:val="4"/>
                <w:szCs w:val="4"/>
              </w:rPr>
            </w:pPr>
            <w:r>
              <w:rPr>
                <w:sz w:val="4"/>
                <w:szCs w:val="4"/>
              </w:rPr>
            </w:r>
          </w:p>
        </w:tc>
        <w:tc>
          <w:tcPr>
            <w:tcW w:w="1197" w:type="dxa"/>
            <w:gridSpan w:val="4"/>
            <w:tcBorders/>
            <w:shd w:fill="E5E5E5" w:val="clear"/>
            <w:vAlign w:val="center"/>
          </w:tcPr>
          <w:p>
            <w:pPr>
              <w:pStyle w:val="TableContents"/>
              <w:spacing w:before="0" w:after="283"/>
              <w:rPr>
                <w:sz w:val="4"/>
                <w:szCs w:val="4"/>
              </w:rPr>
            </w:pPr>
            <w:r>
              <w:rPr>
                <w:sz w:val="4"/>
                <w:szCs w:val="4"/>
              </w:rPr>
            </w:r>
          </w:p>
        </w:tc>
        <w:tc>
          <w:tcPr>
            <w:tcW w:w="1398" w:type="dxa"/>
            <w:gridSpan w:val="4"/>
            <w:tcBorders/>
            <w:shd w:fill="E5E5E5" w:val="clear"/>
            <w:vAlign w:val="center"/>
          </w:tcPr>
          <w:p>
            <w:pPr>
              <w:pStyle w:val="TableContents"/>
              <w:spacing w:before="0" w:after="283"/>
              <w:rPr>
                <w:sz w:val="4"/>
                <w:szCs w:val="4"/>
              </w:rPr>
            </w:pPr>
            <w:r>
              <w:rPr>
                <w:sz w:val="4"/>
                <w:szCs w:val="4"/>
              </w:rPr>
            </w:r>
          </w:p>
        </w:tc>
        <w:tc>
          <w:tcPr>
            <w:tcW w:w="1242" w:type="dxa"/>
            <w:gridSpan w:val="4"/>
            <w:tcBorders/>
            <w:shd w:fill="E5E5E5" w:val="clear"/>
            <w:vAlign w:val="center"/>
          </w:tcPr>
          <w:p>
            <w:pPr>
              <w:pStyle w:val="TableContents"/>
              <w:spacing w:before="0" w:after="283"/>
              <w:rPr>
                <w:sz w:val="4"/>
                <w:szCs w:val="4"/>
              </w:rPr>
            </w:pPr>
            <w:r>
              <w:rPr>
                <w:sz w:val="4"/>
                <w:szCs w:val="4"/>
              </w:rPr>
            </w:r>
          </w:p>
        </w:tc>
      </w:tr>
      <w:tr>
        <w:trPr/>
        <w:tc>
          <w:tcPr>
            <w:tcW w:w="5224" w:type="dxa"/>
            <w:tcBorders/>
            <w:shd w:fill="E5E5E5" w:val="clear"/>
          </w:tcPr>
          <w:p>
            <w:pPr>
              <w:pStyle w:val="TableContents"/>
              <w:spacing w:before="0" w:after="0"/>
              <w:rPr>
                <w:rFonts w:ascii="arial" w:hAnsi="arial"/>
                <w:sz w:val="20"/>
              </w:rPr>
            </w:pPr>
            <w:r>
              <w:rPr>
                <w:rFonts w:ascii="arial" w:hAnsi="arial"/>
                <w:sz w:val="20"/>
              </w:rPr>
              <w:t>Amortization of intangible assets</w:t>
            </w:r>
          </w:p>
        </w:tc>
        <w:tc>
          <w:tcPr>
            <w:tcW w:w="21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37" w:type="dxa"/>
            <w:tcBorders/>
            <w:shd w:fill="E5E5E5" w:val="clear"/>
            <w:vAlign w:val="bottom"/>
          </w:tcPr>
          <w:p>
            <w:pPr>
              <w:pStyle w:val="TableContents"/>
              <w:spacing w:before="0" w:after="283"/>
              <w:jc w:val="right"/>
              <w:rPr/>
            </w:pPr>
            <w:r>
              <w:rPr/>
              <w:t>2,663</w:t>
            </w:r>
          </w:p>
        </w:tc>
        <w:tc>
          <w:tcPr>
            <w:tcW w:w="155" w:type="dxa"/>
            <w:tcBorders/>
            <w:shd w:fill="E5E5E5" w:val="clear"/>
            <w:vAlign w:val="bottom"/>
          </w:tcPr>
          <w:p>
            <w:pPr>
              <w:pStyle w:val="TableContents"/>
              <w:spacing w:before="0" w:after="283"/>
              <w:rPr>
                <w:sz w:val="4"/>
                <w:szCs w:val="4"/>
              </w:rPr>
            </w:pPr>
            <w:r>
              <w:rPr>
                <w:sz w:val="4"/>
                <w:szCs w:val="4"/>
              </w:rPr>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3" w:type="dxa"/>
            <w:tcBorders/>
            <w:shd w:fill="E5E5E5" w:val="clear"/>
            <w:vAlign w:val="bottom"/>
          </w:tcPr>
          <w:p>
            <w:pPr>
              <w:pStyle w:val="TableContents"/>
              <w:spacing w:before="0" w:after="283"/>
              <w:jc w:val="right"/>
              <w:rPr/>
            </w:pPr>
            <w:r>
              <w:rPr/>
              <w:t>2,928</w:t>
            </w:r>
          </w:p>
        </w:tc>
        <w:tc>
          <w:tcPr>
            <w:tcW w:w="155" w:type="dxa"/>
            <w:tcBorders/>
            <w:shd w:fill="E5E5E5" w:val="clear"/>
            <w:vAlign w:val="bottom"/>
          </w:tcPr>
          <w:p>
            <w:pPr>
              <w:pStyle w:val="TableContents"/>
              <w:spacing w:before="0" w:after="283"/>
              <w:rPr>
                <w:sz w:val="4"/>
                <w:szCs w:val="4"/>
              </w:rPr>
            </w:pPr>
            <w:r>
              <w:rPr>
                <w:sz w:val="4"/>
                <w:szCs w:val="4"/>
              </w:rPr>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934" w:type="dxa"/>
            <w:tcBorders/>
            <w:shd w:fill="E5E5E5" w:val="clear"/>
            <w:vAlign w:val="bottom"/>
          </w:tcPr>
          <w:p>
            <w:pPr>
              <w:pStyle w:val="TableContents"/>
              <w:spacing w:before="0" w:after="283"/>
              <w:jc w:val="right"/>
              <w:rPr/>
            </w:pPr>
            <w:r>
              <w:rPr/>
              <w:t>10,903</w:t>
            </w:r>
          </w:p>
        </w:tc>
        <w:tc>
          <w:tcPr>
            <w:tcW w:w="155" w:type="dxa"/>
            <w:tcBorders/>
            <w:shd w:fill="E5E5E5" w:val="clear"/>
            <w:vAlign w:val="bottom"/>
          </w:tcPr>
          <w:p>
            <w:pPr>
              <w:pStyle w:val="TableContents"/>
              <w:spacing w:before="0" w:after="283"/>
              <w:rPr>
                <w:sz w:val="4"/>
                <w:szCs w:val="4"/>
              </w:rPr>
            </w:pPr>
            <w:r>
              <w:rPr>
                <w:sz w:val="4"/>
                <w:szCs w:val="4"/>
              </w:rPr>
            </w:r>
          </w:p>
        </w:tc>
        <w:tc>
          <w:tcPr>
            <w:tcW w:w="10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17" w:type="dxa"/>
            <w:tcBorders/>
            <w:shd w:fill="E5E5E5" w:val="clear"/>
            <w:vAlign w:val="bottom"/>
          </w:tcPr>
          <w:p>
            <w:pPr>
              <w:pStyle w:val="TableContents"/>
              <w:spacing w:before="0" w:after="283"/>
              <w:jc w:val="right"/>
              <w:rPr/>
            </w:pPr>
            <w:r>
              <w:rPr/>
              <w:t>11,702</w:t>
            </w:r>
          </w:p>
        </w:tc>
        <w:tc>
          <w:tcPr>
            <w:tcW w:w="179"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224" w:type="dxa"/>
            <w:tcBorders/>
            <w:shd w:fill="auto" w:val="clear"/>
            <w:vAlign w:val="center"/>
          </w:tcPr>
          <w:p>
            <w:pPr>
              <w:pStyle w:val="TableContents"/>
              <w:spacing w:before="0" w:after="283"/>
              <w:rPr>
                <w:sz w:val="4"/>
                <w:szCs w:val="4"/>
              </w:rPr>
            </w:pPr>
            <w:r>
              <w:rPr>
                <w:sz w:val="4"/>
                <w:szCs w:val="4"/>
              </w:rPr>
            </w:r>
          </w:p>
        </w:tc>
        <w:tc>
          <w:tcPr>
            <w:tcW w:w="1144" w:type="dxa"/>
            <w:gridSpan w:val="4"/>
            <w:tcBorders/>
            <w:shd w:fill="auto" w:val="clear"/>
            <w:vAlign w:val="center"/>
          </w:tcPr>
          <w:p>
            <w:pPr>
              <w:pStyle w:val="TableContents"/>
              <w:spacing w:before="0" w:after="283"/>
              <w:rPr>
                <w:sz w:val="4"/>
                <w:szCs w:val="4"/>
              </w:rPr>
            </w:pPr>
            <w:r>
              <w:rPr>
                <w:sz w:val="4"/>
                <w:szCs w:val="4"/>
              </w:rPr>
            </w:r>
          </w:p>
        </w:tc>
        <w:tc>
          <w:tcPr>
            <w:tcW w:w="1197" w:type="dxa"/>
            <w:gridSpan w:val="4"/>
            <w:tcBorders/>
            <w:shd w:fill="auto" w:val="clear"/>
            <w:vAlign w:val="center"/>
          </w:tcPr>
          <w:p>
            <w:pPr>
              <w:pStyle w:val="TableContents"/>
              <w:spacing w:before="0" w:after="283"/>
              <w:rPr>
                <w:sz w:val="4"/>
                <w:szCs w:val="4"/>
              </w:rPr>
            </w:pPr>
            <w:r>
              <w:rPr>
                <w:sz w:val="4"/>
                <w:szCs w:val="4"/>
              </w:rPr>
            </w:r>
          </w:p>
        </w:tc>
        <w:tc>
          <w:tcPr>
            <w:tcW w:w="1398" w:type="dxa"/>
            <w:gridSpan w:val="4"/>
            <w:tcBorders/>
            <w:shd w:fill="auto" w:val="clear"/>
            <w:vAlign w:val="center"/>
          </w:tcPr>
          <w:p>
            <w:pPr>
              <w:pStyle w:val="TableContents"/>
              <w:spacing w:before="0" w:after="283"/>
              <w:rPr>
                <w:sz w:val="4"/>
                <w:szCs w:val="4"/>
              </w:rPr>
            </w:pPr>
            <w:r>
              <w:rPr>
                <w:sz w:val="4"/>
                <w:szCs w:val="4"/>
              </w:rPr>
            </w:r>
          </w:p>
        </w:tc>
        <w:tc>
          <w:tcPr>
            <w:tcW w:w="1242" w:type="dxa"/>
            <w:gridSpan w:val="4"/>
            <w:tcBorders/>
            <w:shd w:fill="auto" w:val="clear"/>
            <w:vAlign w:val="center"/>
          </w:tcPr>
          <w:p>
            <w:pPr>
              <w:pStyle w:val="TableContents"/>
              <w:spacing w:before="0" w:after="283"/>
              <w:rPr>
                <w:sz w:val="4"/>
                <w:szCs w:val="4"/>
              </w:rPr>
            </w:pPr>
            <w:r>
              <w:rPr>
                <w:sz w:val="4"/>
                <w:szCs w:val="4"/>
              </w:rPr>
            </w:r>
          </w:p>
        </w:tc>
      </w:tr>
      <w:tr>
        <w:trPr/>
        <w:tc>
          <w:tcPr>
            <w:tcW w:w="5224" w:type="dxa"/>
            <w:tcBorders/>
            <w:shd w:fill="auto" w:val="clear"/>
          </w:tcPr>
          <w:p>
            <w:pPr>
              <w:pStyle w:val="TableContents"/>
              <w:spacing w:before="0" w:after="0"/>
              <w:rPr>
                <w:rFonts w:ascii="arial" w:hAnsi="arial"/>
                <w:sz w:val="20"/>
              </w:rPr>
            </w:pPr>
            <w:r>
              <w:rPr>
                <w:rFonts w:ascii="arial" w:hAnsi="arial"/>
                <w:sz w:val="20"/>
              </w:rPr>
              <w:t>Non-cash interest expense</w:t>
            </w:r>
          </w:p>
        </w:tc>
        <w:tc>
          <w:tcPr>
            <w:tcW w:w="2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708</w:t>
            </w:r>
          </w:p>
        </w:tc>
        <w:tc>
          <w:tcPr>
            <w:tcW w:w="15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647</w:t>
            </w:r>
          </w:p>
        </w:tc>
        <w:tc>
          <w:tcPr>
            <w:tcW w:w="15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pPr>
            <w:r>
              <w:rPr/>
              <w:t>2,698</w:t>
            </w:r>
          </w:p>
        </w:tc>
        <w:tc>
          <w:tcPr>
            <w:tcW w:w="155"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3,369</w:t>
            </w:r>
          </w:p>
        </w:tc>
        <w:tc>
          <w:tcPr>
            <w:tcW w:w="179"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224" w:type="dxa"/>
            <w:tcBorders/>
            <w:shd w:fill="E5E5E5" w:val="clear"/>
            <w:vAlign w:val="center"/>
          </w:tcPr>
          <w:p>
            <w:pPr>
              <w:pStyle w:val="TableContents"/>
              <w:spacing w:before="0" w:after="283"/>
              <w:rPr>
                <w:sz w:val="4"/>
                <w:szCs w:val="4"/>
              </w:rPr>
            </w:pPr>
            <w:r>
              <w:rPr>
                <w:sz w:val="4"/>
                <w:szCs w:val="4"/>
              </w:rPr>
            </w:r>
          </w:p>
        </w:tc>
        <w:tc>
          <w:tcPr>
            <w:tcW w:w="1144" w:type="dxa"/>
            <w:gridSpan w:val="4"/>
            <w:tcBorders/>
            <w:shd w:fill="E5E5E5" w:val="clear"/>
            <w:vAlign w:val="center"/>
          </w:tcPr>
          <w:p>
            <w:pPr>
              <w:pStyle w:val="TableContents"/>
              <w:spacing w:before="0" w:after="283"/>
              <w:rPr>
                <w:sz w:val="4"/>
                <w:szCs w:val="4"/>
              </w:rPr>
            </w:pPr>
            <w:r>
              <w:rPr>
                <w:sz w:val="4"/>
                <w:szCs w:val="4"/>
              </w:rPr>
            </w:r>
          </w:p>
        </w:tc>
        <w:tc>
          <w:tcPr>
            <w:tcW w:w="1197" w:type="dxa"/>
            <w:gridSpan w:val="4"/>
            <w:tcBorders/>
            <w:shd w:fill="E5E5E5" w:val="clear"/>
            <w:vAlign w:val="center"/>
          </w:tcPr>
          <w:p>
            <w:pPr>
              <w:pStyle w:val="TableContents"/>
              <w:spacing w:before="0" w:after="283"/>
              <w:rPr>
                <w:sz w:val="4"/>
                <w:szCs w:val="4"/>
              </w:rPr>
            </w:pPr>
            <w:r>
              <w:rPr>
                <w:sz w:val="4"/>
                <w:szCs w:val="4"/>
              </w:rPr>
            </w:r>
          </w:p>
        </w:tc>
        <w:tc>
          <w:tcPr>
            <w:tcW w:w="1398" w:type="dxa"/>
            <w:gridSpan w:val="4"/>
            <w:tcBorders/>
            <w:shd w:fill="E5E5E5" w:val="clear"/>
            <w:vAlign w:val="center"/>
          </w:tcPr>
          <w:p>
            <w:pPr>
              <w:pStyle w:val="TableContents"/>
              <w:spacing w:before="0" w:after="283"/>
              <w:rPr>
                <w:sz w:val="4"/>
                <w:szCs w:val="4"/>
              </w:rPr>
            </w:pPr>
            <w:r>
              <w:rPr>
                <w:sz w:val="4"/>
                <w:szCs w:val="4"/>
              </w:rPr>
            </w:r>
          </w:p>
        </w:tc>
        <w:tc>
          <w:tcPr>
            <w:tcW w:w="1242" w:type="dxa"/>
            <w:gridSpan w:val="4"/>
            <w:tcBorders/>
            <w:shd w:fill="E5E5E5" w:val="clear"/>
            <w:vAlign w:val="center"/>
          </w:tcPr>
          <w:p>
            <w:pPr>
              <w:pStyle w:val="TableContents"/>
              <w:spacing w:before="0" w:after="283"/>
              <w:rPr>
                <w:sz w:val="4"/>
                <w:szCs w:val="4"/>
              </w:rPr>
            </w:pPr>
            <w:r>
              <w:rPr>
                <w:sz w:val="4"/>
                <w:szCs w:val="4"/>
              </w:rPr>
            </w:r>
          </w:p>
        </w:tc>
      </w:tr>
      <w:tr>
        <w:trPr/>
        <w:tc>
          <w:tcPr>
            <w:tcW w:w="5224" w:type="dxa"/>
            <w:tcBorders/>
            <w:shd w:fill="E5E5E5" w:val="clear"/>
          </w:tcPr>
          <w:p>
            <w:pPr>
              <w:pStyle w:val="TableContents"/>
              <w:spacing w:before="0" w:after="0"/>
              <w:rPr>
                <w:rFonts w:ascii="arial" w:hAnsi="arial"/>
                <w:sz w:val="20"/>
              </w:rPr>
            </w:pPr>
            <w:r>
              <w:rPr>
                <w:rFonts w:ascii="arial" w:hAnsi="arial"/>
                <w:sz w:val="20"/>
              </w:rPr>
              <w:t>(Gain) loss on disposition of assets</w:t>
            </w:r>
          </w:p>
        </w:tc>
        <w:tc>
          <w:tcPr>
            <w:tcW w:w="21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37" w:type="dxa"/>
            <w:tcBorders/>
            <w:shd w:fill="E5E5E5" w:val="clear"/>
            <w:vAlign w:val="bottom"/>
          </w:tcPr>
          <w:p>
            <w:pPr>
              <w:pStyle w:val="TableContents"/>
              <w:spacing w:before="0" w:after="283"/>
              <w:jc w:val="right"/>
              <w:rPr/>
            </w:pPr>
            <w:r>
              <w:rPr/>
              <w:t>(561</w:t>
            </w:r>
          </w:p>
        </w:tc>
        <w:tc>
          <w:tcPr>
            <w:tcW w:w="155" w:type="dxa"/>
            <w:tcBorders/>
            <w:shd w:fill="E5E5E5" w:val="clear"/>
            <w:vAlign w:val="bottom"/>
          </w:tcPr>
          <w:p>
            <w:pPr>
              <w:pStyle w:val="TableContents"/>
              <w:spacing w:before="0" w:after="283"/>
              <w:rPr/>
            </w:pPr>
            <w:r>
              <w:rPr/>
              <w:t>) </w:t>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3" w:type="dxa"/>
            <w:tcBorders/>
            <w:shd w:fill="E5E5E5" w:val="clear"/>
            <w:vAlign w:val="bottom"/>
          </w:tcPr>
          <w:p>
            <w:pPr>
              <w:pStyle w:val="TableContents"/>
              <w:spacing w:before="0" w:after="283"/>
              <w:jc w:val="right"/>
              <w:rPr/>
            </w:pPr>
            <w:r>
              <w:rPr/>
              <w:t>(1,519</w:t>
            </w:r>
          </w:p>
        </w:tc>
        <w:tc>
          <w:tcPr>
            <w:tcW w:w="155" w:type="dxa"/>
            <w:tcBorders/>
            <w:shd w:fill="E5E5E5" w:val="clear"/>
            <w:vAlign w:val="bottom"/>
          </w:tcPr>
          <w:p>
            <w:pPr>
              <w:pStyle w:val="TableContents"/>
              <w:spacing w:before="0" w:after="283"/>
              <w:rPr/>
            </w:pPr>
            <w:r>
              <w:rPr/>
              <w:t>) </w:t>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934" w:type="dxa"/>
            <w:tcBorders/>
            <w:shd w:fill="E5E5E5" w:val="clear"/>
            <w:vAlign w:val="bottom"/>
          </w:tcPr>
          <w:p>
            <w:pPr>
              <w:pStyle w:val="TableContents"/>
              <w:spacing w:before="0" w:after="283"/>
              <w:jc w:val="right"/>
              <w:rPr/>
            </w:pPr>
            <w:r>
              <w:rPr/>
              <w:t>2,069</w:t>
            </w:r>
          </w:p>
        </w:tc>
        <w:tc>
          <w:tcPr>
            <w:tcW w:w="155" w:type="dxa"/>
            <w:tcBorders/>
            <w:shd w:fill="E5E5E5" w:val="clear"/>
            <w:vAlign w:val="bottom"/>
          </w:tcPr>
          <w:p>
            <w:pPr>
              <w:pStyle w:val="TableContents"/>
              <w:spacing w:before="0" w:after="283"/>
              <w:rPr>
                <w:sz w:val="4"/>
                <w:szCs w:val="4"/>
              </w:rPr>
            </w:pPr>
            <w:r>
              <w:rPr>
                <w:sz w:val="4"/>
                <w:szCs w:val="4"/>
              </w:rPr>
            </w:r>
          </w:p>
        </w:tc>
        <w:tc>
          <w:tcPr>
            <w:tcW w:w="10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17" w:type="dxa"/>
            <w:tcBorders/>
            <w:shd w:fill="E5E5E5" w:val="clear"/>
            <w:vAlign w:val="bottom"/>
          </w:tcPr>
          <w:p>
            <w:pPr>
              <w:pStyle w:val="TableContents"/>
              <w:spacing w:before="0" w:after="283"/>
              <w:jc w:val="right"/>
              <w:rPr/>
            </w:pPr>
            <w:r>
              <w:rPr/>
              <w:t>(332</w:t>
            </w:r>
          </w:p>
        </w:tc>
        <w:tc>
          <w:tcPr>
            <w:tcW w:w="179" w:type="dxa"/>
            <w:tcBorders/>
            <w:shd w:fill="E5E5E5" w:val="clear"/>
            <w:vAlign w:val="bottom"/>
          </w:tcPr>
          <w:p>
            <w:pPr>
              <w:pStyle w:val="TableContents"/>
              <w:spacing w:before="0" w:after="283"/>
              <w:rPr/>
            </w:pPr>
            <w:r>
              <w:rPr/>
              <w:t>) </w:t>
            </w:r>
          </w:p>
        </w:tc>
      </w:tr>
      <w:tr>
        <w:trPr>
          <w:trHeight w:val="75" w:hRule="atLeast"/>
        </w:trPr>
        <w:tc>
          <w:tcPr>
            <w:tcW w:w="5224" w:type="dxa"/>
            <w:tcBorders/>
            <w:shd w:fill="auto" w:val="clear"/>
            <w:vAlign w:val="center"/>
          </w:tcPr>
          <w:p>
            <w:pPr>
              <w:pStyle w:val="TableContents"/>
              <w:spacing w:before="0" w:after="283"/>
              <w:rPr>
                <w:sz w:val="4"/>
                <w:szCs w:val="4"/>
              </w:rPr>
            </w:pPr>
            <w:r>
              <w:rPr>
                <w:sz w:val="4"/>
                <w:szCs w:val="4"/>
              </w:rPr>
            </w:r>
          </w:p>
        </w:tc>
        <w:tc>
          <w:tcPr>
            <w:tcW w:w="1144" w:type="dxa"/>
            <w:gridSpan w:val="4"/>
            <w:tcBorders/>
            <w:shd w:fill="auto" w:val="clear"/>
            <w:vAlign w:val="center"/>
          </w:tcPr>
          <w:p>
            <w:pPr>
              <w:pStyle w:val="TableContents"/>
              <w:spacing w:before="0" w:after="283"/>
              <w:rPr>
                <w:sz w:val="4"/>
                <w:szCs w:val="4"/>
              </w:rPr>
            </w:pPr>
            <w:r>
              <w:rPr>
                <w:sz w:val="4"/>
                <w:szCs w:val="4"/>
              </w:rPr>
            </w:r>
          </w:p>
        </w:tc>
        <w:tc>
          <w:tcPr>
            <w:tcW w:w="1197" w:type="dxa"/>
            <w:gridSpan w:val="4"/>
            <w:tcBorders/>
            <w:shd w:fill="auto" w:val="clear"/>
            <w:vAlign w:val="center"/>
          </w:tcPr>
          <w:p>
            <w:pPr>
              <w:pStyle w:val="TableContents"/>
              <w:spacing w:before="0" w:after="283"/>
              <w:rPr>
                <w:sz w:val="4"/>
                <w:szCs w:val="4"/>
              </w:rPr>
            </w:pPr>
            <w:r>
              <w:rPr>
                <w:sz w:val="4"/>
                <w:szCs w:val="4"/>
              </w:rPr>
            </w:r>
          </w:p>
        </w:tc>
        <w:tc>
          <w:tcPr>
            <w:tcW w:w="1398" w:type="dxa"/>
            <w:gridSpan w:val="4"/>
            <w:tcBorders/>
            <w:shd w:fill="auto" w:val="clear"/>
            <w:vAlign w:val="center"/>
          </w:tcPr>
          <w:p>
            <w:pPr>
              <w:pStyle w:val="TableContents"/>
              <w:spacing w:before="0" w:after="283"/>
              <w:rPr>
                <w:sz w:val="4"/>
                <w:szCs w:val="4"/>
              </w:rPr>
            </w:pPr>
            <w:r>
              <w:rPr>
                <w:sz w:val="4"/>
                <w:szCs w:val="4"/>
              </w:rPr>
            </w:r>
          </w:p>
        </w:tc>
        <w:tc>
          <w:tcPr>
            <w:tcW w:w="1242" w:type="dxa"/>
            <w:gridSpan w:val="4"/>
            <w:tcBorders/>
            <w:shd w:fill="auto" w:val="clear"/>
            <w:vAlign w:val="center"/>
          </w:tcPr>
          <w:p>
            <w:pPr>
              <w:pStyle w:val="TableContents"/>
              <w:spacing w:before="0" w:after="283"/>
              <w:rPr>
                <w:sz w:val="4"/>
                <w:szCs w:val="4"/>
              </w:rPr>
            </w:pPr>
            <w:r>
              <w:rPr>
                <w:sz w:val="4"/>
                <w:szCs w:val="4"/>
              </w:rPr>
            </w:r>
          </w:p>
        </w:tc>
      </w:tr>
      <w:tr>
        <w:trPr/>
        <w:tc>
          <w:tcPr>
            <w:tcW w:w="5224" w:type="dxa"/>
            <w:tcBorders/>
            <w:shd w:fill="auto" w:val="clear"/>
          </w:tcPr>
          <w:p>
            <w:pPr>
              <w:pStyle w:val="TableContents"/>
              <w:spacing w:before="0" w:after="0"/>
              <w:rPr>
                <w:rFonts w:ascii="arial" w:hAnsi="arial"/>
                <w:sz w:val="20"/>
              </w:rPr>
            </w:pPr>
            <w:r>
              <w:rPr>
                <w:rFonts w:ascii="arial" w:hAnsi="arial"/>
                <w:sz w:val="20"/>
              </w:rPr>
              <w:t>Loss on extinguishment of debt</w:t>
            </w:r>
          </w:p>
        </w:tc>
        <w:tc>
          <w:tcPr>
            <w:tcW w:w="2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8,276</w:t>
            </w:r>
          </w:p>
        </w:tc>
        <w:tc>
          <w:tcPr>
            <w:tcW w:w="179"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224" w:type="dxa"/>
            <w:tcBorders/>
            <w:shd w:fill="E5E5E5" w:val="clear"/>
            <w:vAlign w:val="center"/>
          </w:tcPr>
          <w:p>
            <w:pPr>
              <w:pStyle w:val="TableContents"/>
              <w:spacing w:before="0" w:after="283"/>
              <w:rPr>
                <w:sz w:val="4"/>
                <w:szCs w:val="4"/>
              </w:rPr>
            </w:pPr>
            <w:r>
              <w:rPr>
                <w:sz w:val="4"/>
                <w:szCs w:val="4"/>
              </w:rPr>
            </w:r>
          </w:p>
        </w:tc>
        <w:tc>
          <w:tcPr>
            <w:tcW w:w="1144" w:type="dxa"/>
            <w:gridSpan w:val="4"/>
            <w:tcBorders/>
            <w:shd w:fill="E5E5E5" w:val="clear"/>
            <w:vAlign w:val="center"/>
          </w:tcPr>
          <w:p>
            <w:pPr>
              <w:pStyle w:val="TableContents"/>
              <w:spacing w:before="0" w:after="283"/>
              <w:rPr>
                <w:sz w:val="4"/>
                <w:szCs w:val="4"/>
              </w:rPr>
            </w:pPr>
            <w:r>
              <w:rPr>
                <w:sz w:val="4"/>
                <w:szCs w:val="4"/>
              </w:rPr>
            </w:r>
          </w:p>
        </w:tc>
        <w:tc>
          <w:tcPr>
            <w:tcW w:w="1197" w:type="dxa"/>
            <w:gridSpan w:val="4"/>
            <w:tcBorders/>
            <w:shd w:fill="E5E5E5" w:val="clear"/>
            <w:vAlign w:val="center"/>
          </w:tcPr>
          <w:p>
            <w:pPr>
              <w:pStyle w:val="TableContents"/>
              <w:spacing w:before="0" w:after="283"/>
              <w:rPr>
                <w:sz w:val="4"/>
                <w:szCs w:val="4"/>
              </w:rPr>
            </w:pPr>
            <w:r>
              <w:rPr>
                <w:sz w:val="4"/>
                <w:szCs w:val="4"/>
              </w:rPr>
            </w:r>
          </w:p>
        </w:tc>
        <w:tc>
          <w:tcPr>
            <w:tcW w:w="1398" w:type="dxa"/>
            <w:gridSpan w:val="4"/>
            <w:tcBorders/>
            <w:shd w:fill="E5E5E5" w:val="clear"/>
            <w:vAlign w:val="center"/>
          </w:tcPr>
          <w:p>
            <w:pPr>
              <w:pStyle w:val="TableContents"/>
              <w:spacing w:before="0" w:after="283"/>
              <w:rPr>
                <w:sz w:val="4"/>
                <w:szCs w:val="4"/>
              </w:rPr>
            </w:pPr>
            <w:r>
              <w:rPr>
                <w:sz w:val="4"/>
                <w:szCs w:val="4"/>
              </w:rPr>
            </w:r>
          </w:p>
        </w:tc>
        <w:tc>
          <w:tcPr>
            <w:tcW w:w="1242" w:type="dxa"/>
            <w:gridSpan w:val="4"/>
            <w:tcBorders/>
            <w:shd w:fill="E5E5E5" w:val="clear"/>
            <w:vAlign w:val="center"/>
          </w:tcPr>
          <w:p>
            <w:pPr>
              <w:pStyle w:val="TableContents"/>
              <w:spacing w:before="0" w:after="283"/>
              <w:rPr>
                <w:sz w:val="4"/>
                <w:szCs w:val="4"/>
              </w:rPr>
            </w:pPr>
            <w:r>
              <w:rPr>
                <w:sz w:val="4"/>
                <w:szCs w:val="4"/>
              </w:rPr>
            </w:r>
          </w:p>
        </w:tc>
      </w:tr>
      <w:tr>
        <w:trPr/>
        <w:tc>
          <w:tcPr>
            <w:tcW w:w="5224" w:type="dxa"/>
            <w:tcBorders/>
            <w:shd w:fill="E5E5E5" w:val="clear"/>
          </w:tcPr>
          <w:p>
            <w:pPr>
              <w:pStyle w:val="TableContents"/>
              <w:spacing w:before="0" w:after="0"/>
              <w:rPr>
                <w:rFonts w:ascii="arial" w:hAnsi="arial"/>
                <w:sz w:val="20"/>
              </w:rPr>
            </w:pPr>
            <w:r>
              <w:rPr>
                <w:rFonts w:ascii="arial" w:hAnsi="arial"/>
                <w:sz w:val="20"/>
              </w:rPr>
              <w:t>Administrative reorganization costs</w:t>
            </w:r>
          </w:p>
        </w:tc>
        <w:tc>
          <w:tcPr>
            <w:tcW w:w="21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37" w:type="dxa"/>
            <w:tcBorders/>
            <w:shd w:fill="E5E5E5" w:val="clear"/>
            <w:vAlign w:val="bottom"/>
          </w:tcPr>
          <w:p>
            <w:pPr>
              <w:pStyle w:val="TableContents"/>
              <w:spacing w:before="0" w:after="283"/>
              <w:jc w:val="right"/>
              <w:rPr/>
            </w:pPr>
            <w:r>
              <w:rPr/>
              <w:t></w:t>
            </w:r>
          </w:p>
        </w:tc>
        <w:tc>
          <w:tcPr>
            <w:tcW w:w="155" w:type="dxa"/>
            <w:tcBorders/>
            <w:shd w:fill="E5E5E5" w:val="clear"/>
            <w:vAlign w:val="bottom"/>
          </w:tcPr>
          <w:p>
            <w:pPr>
              <w:pStyle w:val="TableContents"/>
              <w:spacing w:before="0" w:after="283"/>
              <w:rPr/>
            </w:pPr>
            <w:r>
              <w:rPr/>
              <w:t> </w:t>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3" w:type="dxa"/>
            <w:tcBorders/>
            <w:shd w:fill="E5E5E5" w:val="clear"/>
            <w:vAlign w:val="bottom"/>
          </w:tcPr>
          <w:p>
            <w:pPr>
              <w:pStyle w:val="TableContents"/>
              <w:spacing w:before="0" w:after="283"/>
              <w:jc w:val="right"/>
              <w:rPr/>
            </w:pPr>
            <w:r>
              <w:rPr/>
              <w:t>1,606</w:t>
            </w:r>
          </w:p>
        </w:tc>
        <w:tc>
          <w:tcPr>
            <w:tcW w:w="155" w:type="dxa"/>
            <w:tcBorders/>
            <w:shd w:fill="E5E5E5" w:val="clear"/>
            <w:vAlign w:val="bottom"/>
          </w:tcPr>
          <w:p>
            <w:pPr>
              <w:pStyle w:val="TableContents"/>
              <w:spacing w:before="0" w:after="283"/>
              <w:rPr>
                <w:sz w:val="4"/>
                <w:szCs w:val="4"/>
              </w:rPr>
            </w:pPr>
            <w:r>
              <w:rPr>
                <w:sz w:val="4"/>
                <w:szCs w:val="4"/>
              </w:rPr>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934" w:type="dxa"/>
            <w:tcBorders/>
            <w:shd w:fill="E5E5E5" w:val="clear"/>
            <w:vAlign w:val="bottom"/>
          </w:tcPr>
          <w:p>
            <w:pPr>
              <w:pStyle w:val="TableContents"/>
              <w:spacing w:before="0" w:after="283"/>
              <w:jc w:val="right"/>
              <w:rPr/>
            </w:pPr>
            <w:r>
              <w:rPr/>
              <w:t></w:t>
            </w:r>
          </w:p>
        </w:tc>
        <w:tc>
          <w:tcPr>
            <w:tcW w:w="155" w:type="dxa"/>
            <w:tcBorders/>
            <w:shd w:fill="E5E5E5" w:val="clear"/>
            <w:vAlign w:val="bottom"/>
          </w:tcPr>
          <w:p>
            <w:pPr>
              <w:pStyle w:val="TableContents"/>
              <w:spacing w:before="0" w:after="283"/>
              <w:rPr/>
            </w:pPr>
            <w:r>
              <w:rPr/>
              <w:t> </w:t>
            </w:r>
          </w:p>
        </w:tc>
        <w:tc>
          <w:tcPr>
            <w:tcW w:w="10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17" w:type="dxa"/>
            <w:tcBorders/>
            <w:shd w:fill="E5E5E5" w:val="clear"/>
            <w:vAlign w:val="bottom"/>
          </w:tcPr>
          <w:p>
            <w:pPr>
              <w:pStyle w:val="TableContents"/>
              <w:spacing w:before="0" w:after="283"/>
              <w:jc w:val="right"/>
              <w:rPr/>
            </w:pPr>
            <w:r>
              <w:rPr/>
              <w:t>1,606</w:t>
            </w:r>
          </w:p>
        </w:tc>
        <w:tc>
          <w:tcPr>
            <w:tcW w:w="179"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224" w:type="dxa"/>
            <w:tcBorders/>
            <w:shd w:fill="auto" w:val="clear"/>
            <w:vAlign w:val="center"/>
          </w:tcPr>
          <w:p>
            <w:pPr>
              <w:pStyle w:val="TableContents"/>
              <w:spacing w:before="0" w:after="283"/>
              <w:rPr>
                <w:sz w:val="4"/>
                <w:szCs w:val="4"/>
              </w:rPr>
            </w:pPr>
            <w:r>
              <w:rPr>
                <w:sz w:val="4"/>
                <w:szCs w:val="4"/>
              </w:rPr>
            </w:r>
          </w:p>
        </w:tc>
        <w:tc>
          <w:tcPr>
            <w:tcW w:w="1144" w:type="dxa"/>
            <w:gridSpan w:val="4"/>
            <w:tcBorders/>
            <w:shd w:fill="auto" w:val="clear"/>
            <w:vAlign w:val="center"/>
          </w:tcPr>
          <w:p>
            <w:pPr>
              <w:pStyle w:val="TableContents"/>
              <w:spacing w:before="0" w:after="283"/>
              <w:rPr>
                <w:sz w:val="4"/>
                <w:szCs w:val="4"/>
              </w:rPr>
            </w:pPr>
            <w:r>
              <w:rPr>
                <w:sz w:val="4"/>
                <w:szCs w:val="4"/>
              </w:rPr>
            </w:r>
          </w:p>
        </w:tc>
        <w:tc>
          <w:tcPr>
            <w:tcW w:w="1197" w:type="dxa"/>
            <w:gridSpan w:val="4"/>
            <w:tcBorders/>
            <w:shd w:fill="auto" w:val="clear"/>
            <w:vAlign w:val="center"/>
          </w:tcPr>
          <w:p>
            <w:pPr>
              <w:pStyle w:val="TableContents"/>
              <w:spacing w:before="0" w:after="283"/>
              <w:rPr>
                <w:sz w:val="4"/>
                <w:szCs w:val="4"/>
              </w:rPr>
            </w:pPr>
            <w:r>
              <w:rPr>
                <w:sz w:val="4"/>
                <w:szCs w:val="4"/>
              </w:rPr>
            </w:r>
          </w:p>
        </w:tc>
        <w:tc>
          <w:tcPr>
            <w:tcW w:w="1398" w:type="dxa"/>
            <w:gridSpan w:val="4"/>
            <w:tcBorders/>
            <w:shd w:fill="auto" w:val="clear"/>
            <w:vAlign w:val="center"/>
          </w:tcPr>
          <w:p>
            <w:pPr>
              <w:pStyle w:val="TableContents"/>
              <w:spacing w:before="0" w:after="283"/>
              <w:rPr>
                <w:sz w:val="4"/>
                <w:szCs w:val="4"/>
              </w:rPr>
            </w:pPr>
            <w:r>
              <w:rPr>
                <w:sz w:val="4"/>
                <w:szCs w:val="4"/>
              </w:rPr>
            </w:r>
          </w:p>
        </w:tc>
        <w:tc>
          <w:tcPr>
            <w:tcW w:w="1242" w:type="dxa"/>
            <w:gridSpan w:val="4"/>
            <w:tcBorders/>
            <w:shd w:fill="auto" w:val="clear"/>
            <w:vAlign w:val="center"/>
          </w:tcPr>
          <w:p>
            <w:pPr>
              <w:pStyle w:val="TableContents"/>
              <w:spacing w:before="0" w:after="283"/>
              <w:rPr>
                <w:sz w:val="4"/>
                <w:szCs w:val="4"/>
              </w:rPr>
            </w:pPr>
            <w:r>
              <w:rPr>
                <w:sz w:val="4"/>
                <w:szCs w:val="4"/>
              </w:rPr>
            </w:r>
          </w:p>
        </w:tc>
      </w:tr>
      <w:tr>
        <w:trPr/>
        <w:tc>
          <w:tcPr>
            <w:tcW w:w="5224" w:type="dxa"/>
            <w:tcBorders/>
            <w:shd w:fill="auto" w:val="clear"/>
          </w:tcPr>
          <w:p>
            <w:pPr>
              <w:pStyle w:val="TableContents"/>
              <w:spacing w:before="0" w:after="0"/>
              <w:rPr>
                <w:rFonts w:ascii="arial" w:hAnsi="arial"/>
                <w:sz w:val="20"/>
              </w:rPr>
            </w:pPr>
            <w:r>
              <w:rPr>
                <w:rFonts w:ascii="arial" w:hAnsi="arial"/>
                <w:sz w:val="20"/>
              </w:rPr>
              <w:t>Nonrecurring restaurant costs</w:t>
            </w:r>
          </w:p>
        </w:tc>
        <w:tc>
          <w:tcPr>
            <w:tcW w:w="2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385</w:t>
            </w:r>
          </w:p>
        </w:tc>
        <w:tc>
          <w:tcPr>
            <w:tcW w:w="179"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224" w:type="dxa"/>
            <w:tcBorders/>
            <w:shd w:fill="E5E5E5" w:val="clear"/>
            <w:vAlign w:val="center"/>
          </w:tcPr>
          <w:p>
            <w:pPr>
              <w:pStyle w:val="TableContents"/>
              <w:spacing w:before="0" w:after="283"/>
              <w:rPr>
                <w:sz w:val="4"/>
                <w:szCs w:val="4"/>
              </w:rPr>
            </w:pPr>
            <w:r>
              <w:rPr>
                <w:sz w:val="4"/>
                <w:szCs w:val="4"/>
              </w:rPr>
            </w:r>
          </w:p>
        </w:tc>
        <w:tc>
          <w:tcPr>
            <w:tcW w:w="1144" w:type="dxa"/>
            <w:gridSpan w:val="4"/>
            <w:tcBorders/>
            <w:shd w:fill="E5E5E5" w:val="clear"/>
            <w:vAlign w:val="center"/>
          </w:tcPr>
          <w:p>
            <w:pPr>
              <w:pStyle w:val="TableContents"/>
              <w:spacing w:before="0" w:after="283"/>
              <w:rPr>
                <w:sz w:val="4"/>
                <w:szCs w:val="4"/>
              </w:rPr>
            </w:pPr>
            <w:r>
              <w:rPr>
                <w:sz w:val="4"/>
                <w:szCs w:val="4"/>
              </w:rPr>
            </w:r>
          </w:p>
        </w:tc>
        <w:tc>
          <w:tcPr>
            <w:tcW w:w="1197" w:type="dxa"/>
            <w:gridSpan w:val="4"/>
            <w:tcBorders/>
            <w:shd w:fill="E5E5E5" w:val="clear"/>
            <w:vAlign w:val="center"/>
          </w:tcPr>
          <w:p>
            <w:pPr>
              <w:pStyle w:val="TableContents"/>
              <w:spacing w:before="0" w:after="283"/>
              <w:rPr>
                <w:sz w:val="4"/>
                <w:szCs w:val="4"/>
              </w:rPr>
            </w:pPr>
            <w:r>
              <w:rPr>
                <w:sz w:val="4"/>
                <w:szCs w:val="4"/>
              </w:rPr>
            </w:r>
          </w:p>
        </w:tc>
        <w:tc>
          <w:tcPr>
            <w:tcW w:w="1398" w:type="dxa"/>
            <w:gridSpan w:val="4"/>
            <w:tcBorders/>
            <w:shd w:fill="E5E5E5" w:val="clear"/>
            <w:vAlign w:val="center"/>
          </w:tcPr>
          <w:p>
            <w:pPr>
              <w:pStyle w:val="TableContents"/>
              <w:spacing w:before="0" w:after="283"/>
              <w:rPr>
                <w:sz w:val="4"/>
                <w:szCs w:val="4"/>
              </w:rPr>
            </w:pPr>
            <w:r>
              <w:rPr>
                <w:sz w:val="4"/>
                <w:szCs w:val="4"/>
              </w:rPr>
            </w:r>
          </w:p>
        </w:tc>
        <w:tc>
          <w:tcPr>
            <w:tcW w:w="1242" w:type="dxa"/>
            <w:gridSpan w:val="4"/>
            <w:tcBorders/>
            <w:shd w:fill="E5E5E5" w:val="clear"/>
            <w:vAlign w:val="center"/>
          </w:tcPr>
          <w:p>
            <w:pPr>
              <w:pStyle w:val="TableContents"/>
              <w:spacing w:before="0" w:after="283"/>
              <w:rPr>
                <w:sz w:val="4"/>
                <w:szCs w:val="4"/>
              </w:rPr>
            </w:pPr>
            <w:r>
              <w:rPr>
                <w:sz w:val="4"/>
                <w:szCs w:val="4"/>
              </w:rPr>
            </w:r>
          </w:p>
        </w:tc>
      </w:tr>
      <w:tr>
        <w:trPr/>
        <w:tc>
          <w:tcPr>
            <w:tcW w:w="5224" w:type="dxa"/>
            <w:tcBorders/>
            <w:shd w:fill="E5E5E5" w:val="clear"/>
          </w:tcPr>
          <w:p>
            <w:pPr>
              <w:pStyle w:val="TableContents"/>
              <w:spacing w:before="0" w:after="0"/>
              <w:rPr>
                <w:rFonts w:ascii="arial" w:hAnsi="arial"/>
                <w:sz w:val="20"/>
              </w:rPr>
            </w:pPr>
            <w:r>
              <w:rPr>
                <w:rFonts w:ascii="arial" w:hAnsi="arial"/>
                <w:sz w:val="20"/>
              </w:rPr>
              <w:t>Net income tax provision for above adjustments</w:t>
            </w:r>
          </w:p>
        </w:tc>
        <w:tc>
          <w:tcPr>
            <w:tcW w:w="21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37" w:type="dxa"/>
            <w:tcBorders/>
            <w:shd w:fill="E5E5E5" w:val="clear"/>
            <w:vAlign w:val="bottom"/>
          </w:tcPr>
          <w:p>
            <w:pPr>
              <w:pStyle w:val="TableContents"/>
              <w:spacing w:before="0" w:after="283"/>
              <w:jc w:val="right"/>
              <w:rPr/>
            </w:pPr>
            <w:r>
              <w:rPr/>
              <w:t>(2,727</w:t>
            </w:r>
          </w:p>
        </w:tc>
        <w:tc>
          <w:tcPr>
            <w:tcW w:w="155" w:type="dxa"/>
            <w:tcBorders/>
            <w:shd w:fill="E5E5E5" w:val="clear"/>
            <w:vAlign w:val="bottom"/>
          </w:tcPr>
          <w:p>
            <w:pPr>
              <w:pStyle w:val="TableContents"/>
              <w:spacing w:before="0" w:after="283"/>
              <w:rPr/>
            </w:pPr>
            <w:r>
              <w:rPr/>
              <w:t>) </w:t>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3" w:type="dxa"/>
            <w:tcBorders/>
            <w:shd w:fill="E5E5E5" w:val="clear"/>
            <w:vAlign w:val="bottom"/>
          </w:tcPr>
          <w:p>
            <w:pPr>
              <w:pStyle w:val="TableContents"/>
              <w:spacing w:before="0" w:after="283"/>
              <w:jc w:val="right"/>
              <w:rPr/>
            </w:pPr>
            <w:r>
              <w:rPr/>
              <w:t>(1,173</w:t>
            </w:r>
          </w:p>
        </w:tc>
        <w:tc>
          <w:tcPr>
            <w:tcW w:w="155" w:type="dxa"/>
            <w:tcBorders/>
            <w:shd w:fill="E5E5E5" w:val="clear"/>
            <w:vAlign w:val="bottom"/>
          </w:tcPr>
          <w:p>
            <w:pPr>
              <w:pStyle w:val="TableContents"/>
              <w:spacing w:before="0" w:after="283"/>
              <w:rPr/>
            </w:pPr>
            <w:r>
              <w:rPr/>
              <w:t>) </w:t>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934" w:type="dxa"/>
            <w:tcBorders/>
            <w:shd w:fill="E5E5E5" w:val="clear"/>
            <w:vAlign w:val="bottom"/>
          </w:tcPr>
          <w:p>
            <w:pPr>
              <w:pStyle w:val="TableContents"/>
              <w:spacing w:before="0" w:after="283"/>
              <w:jc w:val="right"/>
              <w:rPr/>
            </w:pPr>
            <w:r>
              <w:rPr/>
              <w:t>(14,014</w:t>
            </w:r>
          </w:p>
        </w:tc>
        <w:tc>
          <w:tcPr>
            <w:tcW w:w="155" w:type="dxa"/>
            <w:tcBorders/>
            <w:shd w:fill="E5E5E5" w:val="clear"/>
            <w:vAlign w:val="bottom"/>
          </w:tcPr>
          <w:p>
            <w:pPr>
              <w:pStyle w:val="TableContents"/>
              <w:spacing w:before="0" w:after="283"/>
              <w:rPr/>
            </w:pPr>
            <w:r>
              <w:rPr/>
              <w:t>) </w:t>
            </w:r>
          </w:p>
        </w:tc>
        <w:tc>
          <w:tcPr>
            <w:tcW w:w="10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17" w:type="dxa"/>
            <w:tcBorders/>
            <w:shd w:fill="E5E5E5" w:val="clear"/>
            <w:vAlign w:val="bottom"/>
          </w:tcPr>
          <w:p>
            <w:pPr>
              <w:pStyle w:val="TableContents"/>
              <w:spacing w:before="0" w:after="283"/>
              <w:jc w:val="right"/>
              <w:rPr/>
            </w:pPr>
            <w:r>
              <w:rPr/>
              <w:t>(6,888</w:t>
            </w:r>
          </w:p>
        </w:tc>
        <w:tc>
          <w:tcPr>
            <w:tcW w:w="179" w:type="dxa"/>
            <w:tcBorders/>
            <w:shd w:fill="E5E5E5" w:val="clear"/>
            <w:vAlign w:val="bottom"/>
          </w:tcPr>
          <w:p>
            <w:pPr>
              <w:pStyle w:val="TableContents"/>
              <w:spacing w:before="0" w:after="283"/>
              <w:rPr/>
            </w:pPr>
            <w:r>
              <w:rPr/>
              <w:t>) </w:t>
            </w:r>
          </w:p>
        </w:tc>
      </w:tr>
      <w:tr>
        <w:trPr>
          <w:trHeight w:val="75" w:hRule="atLeast"/>
        </w:trPr>
        <w:tc>
          <w:tcPr>
            <w:tcW w:w="5224" w:type="dxa"/>
            <w:tcBorders/>
            <w:shd w:fill="auto" w:val="clear"/>
            <w:vAlign w:val="center"/>
          </w:tcPr>
          <w:p>
            <w:pPr>
              <w:pStyle w:val="TableContents"/>
              <w:spacing w:before="0" w:after="283"/>
              <w:rPr>
                <w:sz w:val="4"/>
                <w:szCs w:val="4"/>
              </w:rPr>
            </w:pPr>
            <w:r>
              <w:rPr>
                <w:sz w:val="4"/>
                <w:szCs w:val="4"/>
              </w:rPr>
            </w:r>
          </w:p>
        </w:tc>
        <w:tc>
          <w:tcPr>
            <w:tcW w:w="1144" w:type="dxa"/>
            <w:gridSpan w:val="4"/>
            <w:tcBorders/>
            <w:shd w:fill="auto" w:val="clear"/>
            <w:vAlign w:val="center"/>
          </w:tcPr>
          <w:p>
            <w:pPr>
              <w:pStyle w:val="TableContents"/>
              <w:spacing w:before="0" w:after="283"/>
              <w:rPr>
                <w:sz w:val="4"/>
                <w:szCs w:val="4"/>
              </w:rPr>
            </w:pPr>
            <w:r>
              <w:rPr>
                <w:sz w:val="4"/>
                <w:szCs w:val="4"/>
              </w:rPr>
            </w:r>
          </w:p>
        </w:tc>
        <w:tc>
          <w:tcPr>
            <w:tcW w:w="1197" w:type="dxa"/>
            <w:gridSpan w:val="4"/>
            <w:tcBorders/>
            <w:shd w:fill="auto" w:val="clear"/>
            <w:vAlign w:val="center"/>
          </w:tcPr>
          <w:p>
            <w:pPr>
              <w:pStyle w:val="TableContents"/>
              <w:spacing w:before="0" w:after="283"/>
              <w:rPr>
                <w:sz w:val="4"/>
                <w:szCs w:val="4"/>
              </w:rPr>
            </w:pPr>
            <w:r>
              <w:rPr>
                <w:sz w:val="4"/>
                <w:szCs w:val="4"/>
              </w:rPr>
            </w:r>
          </w:p>
        </w:tc>
        <w:tc>
          <w:tcPr>
            <w:tcW w:w="1398" w:type="dxa"/>
            <w:gridSpan w:val="4"/>
            <w:tcBorders/>
            <w:shd w:fill="auto" w:val="clear"/>
            <w:vAlign w:val="center"/>
          </w:tcPr>
          <w:p>
            <w:pPr>
              <w:pStyle w:val="TableContents"/>
              <w:spacing w:before="0" w:after="283"/>
              <w:rPr>
                <w:sz w:val="4"/>
                <w:szCs w:val="4"/>
              </w:rPr>
            </w:pPr>
            <w:r>
              <w:rPr>
                <w:sz w:val="4"/>
                <w:szCs w:val="4"/>
              </w:rPr>
            </w:r>
          </w:p>
        </w:tc>
        <w:tc>
          <w:tcPr>
            <w:tcW w:w="1242" w:type="dxa"/>
            <w:gridSpan w:val="4"/>
            <w:tcBorders/>
            <w:shd w:fill="auto" w:val="clear"/>
            <w:vAlign w:val="center"/>
          </w:tcPr>
          <w:p>
            <w:pPr>
              <w:pStyle w:val="TableContents"/>
              <w:spacing w:before="0" w:after="283"/>
              <w:rPr>
                <w:sz w:val="4"/>
                <w:szCs w:val="4"/>
              </w:rPr>
            </w:pPr>
            <w:r>
              <w:rPr>
                <w:sz w:val="4"/>
                <w:szCs w:val="4"/>
              </w:rPr>
            </w:r>
          </w:p>
        </w:tc>
      </w:tr>
      <w:tr>
        <w:trPr/>
        <w:tc>
          <w:tcPr>
            <w:tcW w:w="5224" w:type="dxa"/>
            <w:tcBorders/>
            <w:shd w:fill="auto" w:val="clear"/>
          </w:tcPr>
          <w:p>
            <w:pPr>
              <w:pStyle w:val="TableContents"/>
              <w:spacing w:before="0" w:after="0"/>
              <w:rPr>
                <w:rFonts w:ascii="arial" w:hAnsi="arial"/>
                <w:sz w:val="20"/>
              </w:rPr>
            </w:pPr>
            <w:r>
              <w:rPr>
                <w:rFonts w:ascii="arial" w:hAnsi="arial"/>
                <w:sz w:val="20"/>
              </w:rPr>
              <w:t>Net income allocated to unvested participating restricted stock</w:t>
            </w:r>
          </w:p>
        </w:tc>
        <w:tc>
          <w:tcPr>
            <w:tcW w:w="2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(216</w:t>
            </w:r>
          </w:p>
        </w:tc>
        <w:tc>
          <w:tcPr>
            <w:tcW w:w="1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(108</w:t>
            </w:r>
          </w:p>
        </w:tc>
        <w:tc>
          <w:tcPr>
            <w:tcW w:w="1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pPr>
            <w:r>
              <w:rPr/>
              <w:t>(585</w:t>
            </w:r>
          </w:p>
        </w:tc>
        <w:tc>
          <w:tcPr>
            <w:tcW w:w="15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(673</w:t>
            </w:r>
          </w:p>
        </w:tc>
        <w:tc>
          <w:tcPr>
            <w:tcW w:w="179" w:type="dxa"/>
            <w:tcBorders/>
            <w:shd w:fill="auto" w:val="clear"/>
            <w:vAlign w:val="bottom"/>
          </w:tcPr>
          <w:p>
            <w:pPr>
              <w:pStyle w:val="TableContents"/>
              <w:spacing w:before="0" w:after="283"/>
              <w:rPr/>
            </w:pPr>
            <w:r>
              <w:rPr/>
              <w:t>) </w:t>
            </w:r>
          </w:p>
        </w:tc>
      </w:tr>
      <w:tr>
        <w:trPr>
          <w:trHeight w:val="75" w:hRule="atLeast"/>
        </w:trPr>
        <w:tc>
          <w:tcPr>
            <w:tcW w:w="5224" w:type="dxa"/>
            <w:tcBorders/>
            <w:shd w:fill="E5E5E5" w:val="clear"/>
            <w:vAlign w:val="center"/>
          </w:tcPr>
          <w:p>
            <w:pPr>
              <w:pStyle w:val="TableContents"/>
              <w:spacing w:before="0" w:after="283"/>
              <w:rPr>
                <w:sz w:val="4"/>
                <w:szCs w:val="4"/>
              </w:rPr>
            </w:pPr>
            <w:r>
              <w:rPr>
                <w:sz w:val="4"/>
                <w:szCs w:val="4"/>
              </w:rPr>
            </w:r>
          </w:p>
        </w:tc>
        <w:tc>
          <w:tcPr>
            <w:tcW w:w="1144" w:type="dxa"/>
            <w:gridSpan w:val="4"/>
            <w:tcBorders/>
            <w:shd w:fill="E5E5E5" w:val="clear"/>
            <w:vAlign w:val="center"/>
          </w:tcPr>
          <w:p>
            <w:pPr>
              <w:pStyle w:val="TableContents"/>
              <w:spacing w:before="0" w:after="283"/>
              <w:rPr>
                <w:sz w:val="4"/>
                <w:szCs w:val="4"/>
              </w:rPr>
            </w:pPr>
            <w:r>
              <w:rPr>
                <w:sz w:val="4"/>
                <w:szCs w:val="4"/>
              </w:rPr>
            </w:r>
          </w:p>
        </w:tc>
        <w:tc>
          <w:tcPr>
            <w:tcW w:w="1197" w:type="dxa"/>
            <w:gridSpan w:val="4"/>
            <w:tcBorders/>
            <w:shd w:fill="E5E5E5" w:val="clear"/>
            <w:vAlign w:val="center"/>
          </w:tcPr>
          <w:p>
            <w:pPr>
              <w:pStyle w:val="TableContents"/>
              <w:spacing w:before="0" w:after="283"/>
              <w:rPr>
                <w:sz w:val="4"/>
                <w:szCs w:val="4"/>
              </w:rPr>
            </w:pPr>
            <w:r>
              <w:rPr>
                <w:sz w:val="4"/>
                <w:szCs w:val="4"/>
              </w:rPr>
            </w:r>
          </w:p>
        </w:tc>
        <w:tc>
          <w:tcPr>
            <w:tcW w:w="1398" w:type="dxa"/>
            <w:gridSpan w:val="4"/>
            <w:tcBorders/>
            <w:shd w:fill="E5E5E5" w:val="clear"/>
            <w:vAlign w:val="center"/>
          </w:tcPr>
          <w:p>
            <w:pPr>
              <w:pStyle w:val="TableContents"/>
              <w:spacing w:before="0" w:after="283"/>
              <w:rPr>
                <w:sz w:val="4"/>
                <w:szCs w:val="4"/>
              </w:rPr>
            </w:pPr>
            <w:r>
              <w:rPr>
                <w:sz w:val="4"/>
                <w:szCs w:val="4"/>
              </w:rPr>
            </w:r>
          </w:p>
        </w:tc>
        <w:tc>
          <w:tcPr>
            <w:tcW w:w="1242" w:type="dxa"/>
            <w:gridSpan w:val="4"/>
            <w:tcBorders/>
            <w:shd w:fill="E5E5E5" w:val="clear"/>
            <w:vAlign w:val="center"/>
          </w:tcPr>
          <w:p>
            <w:pPr>
              <w:pStyle w:val="TableContents"/>
              <w:spacing w:before="0" w:after="283"/>
              <w:rPr>
                <w:sz w:val="4"/>
                <w:szCs w:val="4"/>
              </w:rPr>
            </w:pPr>
            <w:r>
              <w:rPr>
                <w:sz w:val="4"/>
                <w:szCs w:val="4"/>
              </w:rPr>
            </w:r>
          </w:p>
        </w:tc>
      </w:tr>
      <w:tr>
        <w:trPr/>
        <w:tc>
          <w:tcPr>
            <w:tcW w:w="5224" w:type="dxa"/>
            <w:tcBorders/>
            <w:shd w:fill="E5E5E5" w:val="clear"/>
          </w:tcPr>
          <w:p>
            <w:pPr>
              <w:pStyle w:val="TableContents"/>
              <w:spacing w:before="0" w:after="0"/>
              <w:rPr>
                <w:rFonts w:ascii="arial" w:hAnsi="arial"/>
                <w:b/>
                <w:sz w:val="20"/>
              </w:rPr>
            </w:pPr>
            <w:r>
              <w:rPr>
                <w:rFonts w:ascii="arial" w:hAnsi="arial"/>
                <w:b/>
                <w:sz w:val="20"/>
              </w:rPr>
              <w:t>Net income available to common stockholders, as adjusted</w:t>
            </w:r>
          </w:p>
        </w:tc>
        <w:tc>
          <w:tcPr>
            <w:tcW w:w="212"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637" w:type="dxa"/>
            <w:tcBorders/>
            <w:shd w:fill="E5E5E5" w:val="clear"/>
            <w:vAlign w:val="bottom"/>
          </w:tcPr>
          <w:p>
            <w:pPr>
              <w:pStyle w:val="TableContents"/>
              <w:spacing w:before="0" w:after="283"/>
              <w:jc w:val="right"/>
              <w:rPr>
                <w:b/>
              </w:rPr>
            </w:pPr>
            <w:r>
              <w:rPr>
                <w:b/>
              </w:rPr>
              <w:t>6,405</w:t>
            </w:r>
          </w:p>
        </w:tc>
        <w:tc>
          <w:tcPr>
            <w:tcW w:w="155" w:type="dxa"/>
            <w:tcBorders/>
            <w:shd w:fill="E5E5E5" w:val="clear"/>
            <w:vAlign w:val="bottom"/>
          </w:tcPr>
          <w:p>
            <w:pPr>
              <w:pStyle w:val="TableContents"/>
              <w:spacing w:before="0" w:after="283"/>
              <w:rPr>
                <w:sz w:val="4"/>
                <w:szCs w:val="4"/>
              </w:rPr>
            </w:pPr>
            <w:r>
              <w:rPr>
                <w:sz w:val="4"/>
                <w:szCs w:val="4"/>
              </w:rPr>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733" w:type="dxa"/>
            <w:tcBorders/>
            <w:shd w:fill="E5E5E5" w:val="clear"/>
            <w:vAlign w:val="bottom"/>
          </w:tcPr>
          <w:p>
            <w:pPr>
              <w:pStyle w:val="TableContents"/>
              <w:spacing w:before="0" w:after="283"/>
              <w:jc w:val="right"/>
              <w:rPr>
                <w:b/>
              </w:rPr>
            </w:pPr>
            <w:r>
              <w:rPr>
                <w:b/>
              </w:rPr>
              <w:t>29,718</w:t>
            </w:r>
          </w:p>
        </w:tc>
        <w:tc>
          <w:tcPr>
            <w:tcW w:w="155" w:type="dxa"/>
            <w:tcBorders/>
            <w:shd w:fill="E5E5E5" w:val="clear"/>
            <w:vAlign w:val="bottom"/>
          </w:tcPr>
          <w:p>
            <w:pPr>
              <w:pStyle w:val="TableContents"/>
              <w:spacing w:before="0" w:after="283"/>
              <w:rPr>
                <w:sz w:val="4"/>
                <w:szCs w:val="4"/>
              </w:rPr>
            </w:pPr>
            <w:r>
              <w:rPr>
                <w:sz w:val="4"/>
                <w:szCs w:val="4"/>
              </w:rPr>
            </w:r>
          </w:p>
        </w:tc>
        <w:tc>
          <w:tcPr>
            <w:tcW w:w="169"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934" w:type="dxa"/>
            <w:tcBorders/>
            <w:shd w:fill="E5E5E5" w:val="clear"/>
            <w:vAlign w:val="bottom"/>
          </w:tcPr>
          <w:p>
            <w:pPr>
              <w:pStyle w:val="TableContents"/>
              <w:spacing w:before="0" w:after="283"/>
              <w:jc w:val="right"/>
              <w:rPr>
                <w:b/>
              </w:rPr>
            </w:pPr>
            <w:r>
              <w:rPr>
                <w:b/>
              </w:rPr>
              <w:t>29,277</w:t>
            </w:r>
          </w:p>
        </w:tc>
        <w:tc>
          <w:tcPr>
            <w:tcW w:w="155" w:type="dxa"/>
            <w:tcBorders/>
            <w:shd w:fill="E5E5E5" w:val="clear"/>
            <w:vAlign w:val="bottom"/>
          </w:tcPr>
          <w:p>
            <w:pPr>
              <w:pStyle w:val="TableContents"/>
              <w:spacing w:before="0" w:after="283"/>
              <w:rPr>
                <w:sz w:val="4"/>
                <w:szCs w:val="4"/>
              </w:rPr>
            </w:pPr>
            <w:r>
              <w:rPr>
                <w:sz w:val="4"/>
                <w:szCs w:val="4"/>
              </w:rPr>
            </w:r>
          </w:p>
        </w:tc>
        <w:tc>
          <w:tcPr>
            <w:tcW w:w="10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817" w:type="dxa"/>
            <w:tcBorders/>
            <w:shd w:fill="E5E5E5" w:val="clear"/>
            <w:vAlign w:val="bottom"/>
          </w:tcPr>
          <w:p>
            <w:pPr>
              <w:pStyle w:val="TableContents"/>
              <w:spacing w:before="0" w:after="283"/>
              <w:jc w:val="right"/>
              <w:rPr>
                <w:b/>
              </w:rPr>
            </w:pPr>
            <w:r>
              <w:rPr>
                <w:b/>
              </w:rPr>
              <w:t>119,746</w:t>
            </w:r>
          </w:p>
        </w:tc>
        <w:tc>
          <w:tcPr>
            <w:tcW w:w="179" w:type="dxa"/>
            <w:tcBorders/>
            <w:shd w:fill="E5E5E5"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96"/>
        <w:gridCol w:w="110"/>
        <w:gridCol w:w="599"/>
      </w:tblGrid>
      <w:tr>
        <w:trPr/>
        <w:tc>
          <w:tcPr>
            <w:tcW w:w="949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r>
      <w:tr>
        <w:trPr/>
        <w:tc>
          <w:tcPr>
            <w:tcW w:w="9496" w:type="dxa"/>
            <w:tcBorders/>
            <w:shd w:fill="auto" w:val="clear"/>
          </w:tcPr>
          <w:p>
            <w:pPr>
              <w:pStyle w:val="TableContents"/>
              <w:spacing w:before="0" w:after="283"/>
              <w:jc w:val="right"/>
              <w:rPr/>
            </w:pPr>
            <w:r>
              <w:rPr/>
              <w:drawing>
                <wp:inline distT="0" distB="0" distL="0" distR="0">
                  <wp:extent cx="24765" cy="30480"/>
                  <wp:effectExtent l="0" t="0" r="0" b="0"/>
                  <wp:docPr id="8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6" descr=""/>
                          <pic:cNvPicPr>
                            <a:picLocks noChangeAspect="1" noChangeArrowheads="1"/>
                          </pic:cNvPicPr>
                        </pic:nvPicPr>
                        <pic:blipFill>
                          <a:blip r:embed="rId77"/>
                          <a:stretch>
                            <a:fillRect/>
                          </a:stretch>
                        </pic:blipFill>
                        <pic:spPr bwMode="auto">
                          <a:xfrm>
                            <a:off x="0" y="0"/>
                            <a:ext cx="24765" cy="30480"/>
                          </a:xfrm>
                          <a:prstGeom prst="rect">
                            <a:avLst/>
                          </a:prstGeom>
                        </pic:spPr>
                      </pic:pic>
                    </a:graphicData>
                  </a:graphic>
                </wp:inline>
              </w:drawing>
            </w:r>
            <w:r>
              <w:rPr/>
              <w:t xml:space="preserve"> </w:t>
            </w:r>
          </w:p>
        </w:tc>
        <w:tc>
          <w:tcPr>
            <w:tcW w:w="110" w:type="dxa"/>
            <w:tcBorders/>
            <w:shd w:fill="auto" w:val="clear"/>
            <w:vAlign w:val="bottom"/>
          </w:tcPr>
          <w:p>
            <w:pPr>
              <w:pStyle w:val="TableContents"/>
              <w:spacing w:before="0" w:after="283"/>
              <w:rPr/>
            </w:pPr>
            <w:r>
              <w:rPr/>
              <w:t> </w:t>
            </w:r>
          </w:p>
        </w:tc>
        <w:tc>
          <w:tcPr>
            <w:tcW w:w="599" w:type="dxa"/>
            <w:tcBorders/>
            <w:shd w:fill="auto" w:val="clear"/>
            <w:vAlign w:val="center"/>
          </w:tcPr>
          <w:p>
            <w:pPr>
              <w:pStyle w:val="TableContents"/>
              <w:spacing w:before="0" w:after="283"/>
              <w:jc w:val="right"/>
              <w:rPr/>
            </w:pPr>
            <w:r>
              <w:rPr/>
              <w:t>    </w:t>
            </w:r>
            <w:r>
              <w:rPr/>
              <w:t>A-1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CF0A2C" w:val="clear"/>
          </w:tcPr>
          <w:p>
            <w:pPr>
              <w:pStyle w:val="TableContents"/>
              <w:spacing w:before="0" w:after="0"/>
              <w:rPr/>
            </w:pPr>
            <w:r>
              <w:rPr/>
              <w:t> </w:t>
            </w:r>
          </w:p>
          <w:p>
            <w:pPr>
              <w:pStyle w:val="TableContents"/>
              <w:spacing w:before="0" w:after="0"/>
              <w:rPr>
                <w:color w:val="FFFFFF"/>
              </w:rPr>
            </w:pPr>
            <w:r>
              <w:rPr>
                <w:color w:val="FFFFFF"/>
              </w:rPr>
              <w:t>  </w:t>
            </w:r>
            <w:r>
              <w:rPr>
                <w:rFonts w:ascii="arial" w:hAnsi="arial"/>
                <w:color w:val="FFFFFF"/>
                <w:sz w:val="20"/>
              </w:rPr>
              <w:t>2021 PROXY STATEMENT</w:t>
            </w:r>
          </w:p>
          <w:p>
            <w:pPr>
              <w:pStyle w:val="TableContents"/>
              <w:spacing w:before="0" w:after="20"/>
              <w:rPr/>
            </w:pPr>
            <w:r>
              <w:rPr/>
              <w:t> </w:t>
            </w:r>
          </w:p>
        </w:tc>
      </w:tr>
      <w:tr>
        <w:trPr/>
        <w:tc>
          <w:tcPr>
            <w:tcW w:w="1020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APPENDIX A</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594"/>
        <w:gridCol w:w="146"/>
        <w:gridCol w:w="140"/>
        <w:gridCol w:w="737"/>
        <w:gridCol w:w="172"/>
        <w:gridCol w:w="100"/>
        <w:gridCol w:w="140"/>
        <w:gridCol w:w="737"/>
        <w:gridCol w:w="155"/>
        <w:gridCol w:w="100"/>
        <w:gridCol w:w="140"/>
        <w:gridCol w:w="681"/>
        <w:gridCol w:w="155"/>
        <w:gridCol w:w="60"/>
        <w:gridCol w:w="140"/>
        <w:gridCol w:w="828"/>
        <w:gridCol w:w="180"/>
      </w:tblGrid>
      <w:tr>
        <w:trPr/>
        <w:tc>
          <w:tcPr>
            <w:tcW w:w="55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r>
      <w:tr>
        <w:trPr/>
        <w:tc>
          <w:tcPr>
            <w:tcW w:w="5594" w:type="dxa"/>
            <w:tcBorders/>
            <w:shd w:fill="CF0A2C" w:val="clear"/>
            <w:vAlign w:val="bottom"/>
          </w:tcPr>
          <w:p>
            <w:pPr>
              <w:pStyle w:val="TableContents"/>
              <w:spacing w:before="0" w:after="283"/>
              <w:rPr/>
            </w:pPr>
            <w:r>
              <w:rPr/>
              <w:t> </w:t>
            </w:r>
          </w:p>
        </w:tc>
        <w:tc>
          <w:tcPr>
            <w:tcW w:w="146" w:type="dxa"/>
            <w:tcBorders/>
            <w:shd w:fill="CF0A2C" w:val="clear"/>
            <w:vAlign w:val="bottom"/>
          </w:tcPr>
          <w:p>
            <w:pPr>
              <w:pStyle w:val="TableContents"/>
              <w:spacing w:before="0" w:after="283"/>
              <w:rPr/>
            </w:pPr>
            <w:r>
              <w:rPr/>
              <w:t>  </w:t>
            </w:r>
          </w:p>
        </w:tc>
        <w:tc>
          <w:tcPr>
            <w:tcW w:w="2026" w:type="dxa"/>
            <w:gridSpan w:val="6"/>
            <w:tcBorders>
              <w:bottom w:val="single" w:sz="2" w:space="0" w:color="FFFFFF"/>
            </w:tcBorders>
            <w:shd w:fill="CF0A2C" w:val="clear"/>
            <w:tcMar>
              <w:bottom w:w="28" w:type="dxa"/>
            </w:tcMar>
            <w:vAlign w:val="bottom"/>
          </w:tcPr>
          <w:p>
            <w:pPr>
              <w:pStyle w:val="TableContents"/>
              <w:spacing w:before="0" w:after="283"/>
              <w:jc w:val="center"/>
              <w:rPr>
                <w:b/>
                <w:color w:val="FFFFFF"/>
              </w:rPr>
            </w:pPr>
            <w:r>
              <w:rPr>
                <w:b/>
                <w:color w:val="FFFFFF"/>
              </w:rPr>
              <w:t>Three Months Ended</w:t>
              <w:br/>
              <w:t>December 31,</w:t>
            </w:r>
          </w:p>
        </w:tc>
        <w:tc>
          <w:tcPr>
            <w:tcW w:w="155" w:type="dxa"/>
            <w:tcBorders/>
            <w:shd w:fill="CF0A2C" w:val="clear"/>
            <w:vAlign w:val="bottom"/>
          </w:tcPr>
          <w:p>
            <w:pPr>
              <w:pStyle w:val="TableContents"/>
              <w:spacing w:before="0" w:after="283"/>
              <w:rPr/>
            </w:pPr>
            <w:r>
              <w:rPr/>
              <w:t> </w:t>
            </w:r>
          </w:p>
        </w:tc>
        <w:tc>
          <w:tcPr>
            <w:tcW w:w="100" w:type="dxa"/>
            <w:tcBorders/>
            <w:shd w:fill="CF0A2C" w:val="clear"/>
            <w:vAlign w:val="bottom"/>
          </w:tcPr>
          <w:p>
            <w:pPr>
              <w:pStyle w:val="TableContents"/>
              <w:spacing w:before="0" w:after="283"/>
              <w:rPr/>
            </w:pPr>
            <w:r>
              <w:rPr/>
              <w:t> </w:t>
            </w:r>
          </w:p>
        </w:tc>
        <w:tc>
          <w:tcPr>
            <w:tcW w:w="2004" w:type="dxa"/>
            <w:gridSpan w:val="6"/>
            <w:tcBorders>
              <w:bottom w:val="single" w:sz="2" w:space="0" w:color="FFFFFF"/>
            </w:tcBorders>
            <w:shd w:fill="CF0A2C" w:val="clear"/>
            <w:tcMar>
              <w:bottom w:w="28" w:type="dxa"/>
            </w:tcMar>
            <w:vAlign w:val="bottom"/>
          </w:tcPr>
          <w:p>
            <w:pPr>
              <w:pStyle w:val="TableContents"/>
              <w:spacing w:before="0" w:after="0"/>
              <w:rPr/>
            </w:pPr>
            <w:r>
              <w:rPr/>
              <w:t> </w:t>
            </w:r>
          </w:p>
          <w:p>
            <w:pPr>
              <w:pStyle w:val="TableContents"/>
              <w:spacing w:before="0" w:after="20"/>
              <w:jc w:val="center"/>
              <w:rPr>
                <w:rFonts w:ascii="arial" w:hAnsi="arial"/>
                <w:b/>
                <w:color w:val="FFFFFF"/>
                <w:sz w:val="16"/>
              </w:rPr>
            </w:pPr>
            <w:r>
              <w:rPr>
                <w:rFonts w:ascii="arial" w:hAnsi="arial"/>
                <w:b/>
                <w:color w:val="FFFFFF"/>
                <w:sz w:val="16"/>
              </w:rPr>
              <w:t>Twelve Months Ended</w:t>
              <w:br/>
              <w:t>December 31,</w:t>
            </w:r>
          </w:p>
        </w:tc>
        <w:tc>
          <w:tcPr>
            <w:tcW w:w="180" w:type="dxa"/>
            <w:tcBorders/>
            <w:shd w:fill="CF0A2C" w:val="clear"/>
            <w:vAlign w:val="bottom"/>
          </w:tcPr>
          <w:p>
            <w:pPr>
              <w:pStyle w:val="TableContents"/>
              <w:spacing w:before="0" w:after="283"/>
              <w:rPr/>
            </w:pPr>
            <w:r>
              <w:rPr/>
              <w:t> </w:t>
            </w:r>
          </w:p>
        </w:tc>
      </w:tr>
      <w:tr>
        <w:trPr>
          <w:trHeight w:val="75" w:hRule="atLeast"/>
        </w:trPr>
        <w:tc>
          <w:tcPr>
            <w:tcW w:w="5594" w:type="dxa"/>
            <w:tcBorders/>
            <w:shd w:fill="CF0A2C" w:val="clear"/>
            <w:vAlign w:val="center"/>
          </w:tcPr>
          <w:p>
            <w:pPr>
              <w:pStyle w:val="TableContents"/>
              <w:spacing w:before="0" w:after="283"/>
              <w:rPr>
                <w:sz w:val="4"/>
                <w:szCs w:val="4"/>
              </w:rPr>
            </w:pPr>
            <w:r>
              <w:rPr>
                <w:sz w:val="4"/>
                <w:szCs w:val="4"/>
              </w:rPr>
            </w:r>
          </w:p>
        </w:tc>
        <w:tc>
          <w:tcPr>
            <w:tcW w:w="1195" w:type="dxa"/>
            <w:gridSpan w:val="4"/>
            <w:tcBorders/>
            <w:shd w:fill="CF0A2C" w:val="clear"/>
            <w:vAlign w:val="center"/>
          </w:tcPr>
          <w:p>
            <w:pPr>
              <w:pStyle w:val="TableContents"/>
              <w:spacing w:before="0" w:after="283"/>
              <w:rPr>
                <w:sz w:val="4"/>
                <w:szCs w:val="4"/>
              </w:rPr>
            </w:pPr>
            <w:r>
              <w:rPr>
                <w:sz w:val="4"/>
                <w:szCs w:val="4"/>
              </w:rPr>
            </w:r>
          </w:p>
        </w:tc>
        <w:tc>
          <w:tcPr>
            <w:tcW w:w="1132" w:type="dxa"/>
            <w:gridSpan w:val="4"/>
            <w:tcBorders/>
            <w:shd w:fill="CF0A2C" w:val="clear"/>
            <w:vAlign w:val="center"/>
          </w:tcPr>
          <w:p>
            <w:pPr>
              <w:pStyle w:val="TableContents"/>
              <w:spacing w:before="0" w:after="283"/>
              <w:rPr>
                <w:sz w:val="4"/>
                <w:szCs w:val="4"/>
              </w:rPr>
            </w:pPr>
            <w:r>
              <w:rPr>
                <w:sz w:val="4"/>
                <w:szCs w:val="4"/>
              </w:rPr>
            </w:r>
          </w:p>
        </w:tc>
        <w:tc>
          <w:tcPr>
            <w:tcW w:w="1076" w:type="dxa"/>
            <w:gridSpan w:val="4"/>
            <w:tcBorders/>
            <w:shd w:fill="CF0A2C" w:val="clear"/>
            <w:vAlign w:val="center"/>
          </w:tcPr>
          <w:p>
            <w:pPr>
              <w:pStyle w:val="TableContents"/>
              <w:spacing w:before="0" w:after="283"/>
              <w:rPr>
                <w:sz w:val="4"/>
                <w:szCs w:val="4"/>
              </w:rPr>
            </w:pPr>
            <w:r>
              <w:rPr>
                <w:sz w:val="4"/>
                <w:szCs w:val="4"/>
              </w:rPr>
            </w:r>
          </w:p>
        </w:tc>
        <w:tc>
          <w:tcPr>
            <w:tcW w:w="1208" w:type="dxa"/>
            <w:gridSpan w:val="4"/>
            <w:tcBorders/>
            <w:shd w:fill="CF0A2C" w:val="clear"/>
            <w:vAlign w:val="center"/>
          </w:tcPr>
          <w:p>
            <w:pPr>
              <w:pStyle w:val="TableContents"/>
              <w:spacing w:before="0" w:after="283"/>
              <w:rPr>
                <w:sz w:val="4"/>
                <w:szCs w:val="4"/>
              </w:rPr>
            </w:pPr>
            <w:r>
              <w:rPr>
                <w:sz w:val="4"/>
                <w:szCs w:val="4"/>
              </w:rPr>
            </w:r>
          </w:p>
        </w:tc>
      </w:tr>
      <w:tr>
        <w:trPr/>
        <w:tc>
          <w:tcPr>
            <w:tcW w:w="5594" w:type="dxa"/>
            <w:tcBorders/>
            <w:shd w:fill="CF0A2C" w:val="clear"/>
            <w:vAlign w:val="bottom"/>
          </w:tcPr>
          <w:p>
            <w:pPr>
              <w:pStyle w:val="TableContents"/>
              <w:spacing w:before="0" w:after="283"/>
              <w:rPr/>
            </w:pPr>
            <w:r>
              <w:rPr/>
              <w:t> </w:t>
            </w:r>
          </w:p>
        </w:tc>
        <w:tc>
          <w:tcPr>
            <w:tcW w:w="146" w:type="dxa"/>
            <w:tcBorders/>
            <w:shd w:fill="CF0A2C" w:val="clear"/>
            <w:vAlign w:val="bottom"/>
          </w:tcPr>
          <w:p>
            <w:pPr>
              <w:pStyle w:val="TableContents"/>
              <w:spacing w:before="0" w:after="283"/>
              <w:rPr/>
            </w:pPr>
            <w:r>
              <w:rPr/>
              <w:t>  </w:t>
            </w:r>
          </w:p>
        </w:tc>
        <w:tc>
          <w:tcPr>
            <w:tcW w:w="877" w:type="dxa"/>
            <w:gridSpan w:val="2"/>
            <w:tcBorders/>
            <w:shd w:fill="CF0A2C" w:val="clear"/>
            <w:vAlign w:val="bottom"/>
          </w:tcPr>
          <w:p>
            <w:pPr>
              <w:pStyle w:val="TableContents"/>
              <w:spacing w:before="0" w:after="283"/>
              <w:jc w:val="center"/>
              <w:rPr>
                <w:b/>
                <w:color w:val="FFFFFF"/>
              </w:rPr>
            </w:pPr>
            <w:r>
              <w:rPr>
                <w:b/>
                <w:color w:val="FFFFFF"/>
              </w:rPr>
              <w:t>2020</w:t>
            </w:r>
          </w:p>
        </w:tc>
        <w:tc>
          <w:tcPr>
            <w:tcW w:w="172" w:type="dxa"/>
            <w:tcBorders/>
            <w:shd w:fill="CF0A2C" w:val="clear"/>
            <w:vAlign w:val="bottom"/>
          </w:tcPr>
          <w:p>
            <w:pPr>
              <w:pStyle w:val="TableContents"/>
              <w:spacing w:before="0" w:after="283"/>
              <w:rPr/>
            </w:pPr>
            <w:r>
              <w:rPr/>
              <w:t> </w:t>
            </w:r>
          </w:p>
        </w:tc>
        <w:tc>
          <w:tcPr>
            <w:tcW w:w="100" w:type="dxa"/>
            <w:tcBorders/>
            <w:shd w:fill="CF0A2C" w:val="clear"/>
            <w:vAlign w:val="bottom"/>
          </w:tcPr>
          <w:p>
            <w:pPr>
              <w:pStyle w:val="TableContents"/>
              <w:spacing w:before="0" w:after="283"/>
              <w:rPr/>
            </w:pPr>
            <w:r>
              <w:rPr/>
              <w:t> </w:t>
            </w:r>
          </w:p>
        </w:tc>
        <w:tc>
          <w:tcPr>
            <w:tcW w:w="877" w:type="dxa"/>
            <w:gridSpan w:val="2"/>
            <w:tcBorders/>
            <w:shd w:fill="CF0A2C" w:val="clear"/>
            <w:vAlign w:val="bottom"/>
          </w:tcPr>
          <w:p>
            <w:pPr>
              <w:pStyle w:val="TableContents"/>
              <w:spacing w:before="0" w:after="283"/>
              <w:jc w:val="center"/>
              <w:rPr>
                <w:b/>
                <w:color w:val="FFFFFF"/>
              </w:rPr>
            </w:pPr>
            <w:r>
              <w:rPr>
                <w:b/>
                <w:color w:val="FFFFFF"/>
              </w:rPr>
              <w:t>2019</w:t>
            </w:r>
          </w:p>
        </w:tc>
        <w:tc>
          <w:tcPr>
            <w:tcW w:w="155" w:type="dxa"/>
            <w:tcBorders/>
            <w:shd w:fill="CF0A2C" w:val="clear"/>
            <w:vAlign w:val="bottom"/>
          </w:tcPr>
          <w:p>
            <w:pPr>
              <w:pStyle w:val="TableContents"/>
              <w:spacing w:before="0" w:after="283"/>
              <w:rPr/>
            </w:pPr>
            <w:r>
              <w:rPr/>
              <w:t> </w:t>
            </w:r>
          </w:p>
        </w:tc>
        <w:tc>
          <w:tcPr>
            <w:tcW w:w="100" w:type="dxa"/>
            <w:tcBorders/>
            <w:shd w:fill="CF0A2C" w:val="clear"/>
            <w:vAlign w:val="bottom"/>
          </w:tcPr>
          <w:p>
            <w:pPr>
              <w:pStyle w:val="TableContents"/>
              <w:spacing w:before="0" w:after="283"/>
              <w:rPr/>
            </w:pPr>
            <w:r>
              <w:rPr/>
              <w:t> </w:t>
            </w:r>
          </w:p>
        </w:tc>
        <w:tc>
          <w:tcPr>
            <w:tcW w:w="821" w:type="dxa"/>
            <w:gridSpan w:val="2"/>
            <w:tcBorders/>
            <w:shd w:fill="CF0A2C" w:val="clear"/>
            <w:vAlign w:val="bottom"/>
          </w:tcPr>
          <w:p>
            <w:pPr>
              <w:pStyle w:val="TableContents"/>
              <w:spacing w:before="0" w:after="283"/>
              <w:jc w:val="center"/>
              <w:rPr>
                <w:b/>
                <w:color w:val="FFFFFF"/>
              </w:rPr>
            </w:pPr>
            <w:r>
              <w:rPr>
                <w:b/>
                <w:color w:val="FFFFFF"/>
              </w:rPr>
              <w:t>2020</w:t>
            </w:r>
          </w:p>
        </w:tc>
        <w:tc>
          <w:tcPr>
            <w:tcW w:w="155" w:type="dxa"/>
            <w:tcBorders/>
            <w:shd w:fill="CF0A2C" w:val="clear"/>
            <w:vAlign w:val="bottom"/>
          </w:tcPr>
          <w:p>
            <w:pPr>
              <w:pStyle w:val="TableContents"/>
              <w:spacing w:before="0" w:after="283"/>
              <w:rPr/>
            </w:pPr>
            <w:r>
              <w:rPr/>
              <w:t> </w:t>
            </w:r>
          </w:p>
        </w:tc>
        <w:tc>
          <w:tcPr>
            <w:tcW w:w="60" w:type="dxa"/>
            <w:tcBorders/>
            <w:shd w:fill="CF0A2C" w:val="clear"/>
            <w:vAlign w:val="bottom"/>
          </w:tcPr>
          <w:p>
            <w:pPr>
              <w:pStyle w:val="TableContents"/>
              <w:spacing w:before="0" w:after="283"/>
              <w:rPr/>
            </w:pPr>
            <w:r>
              <w:rPr/>
              <w:t> </w:t>
            </w:r>
          </w:p>
        </w:tc>
        <w:tc>
          <w:tcPr>
            <w:tcW w:w="968" w:type="dxa"/>
            <w:gridSpan w:val="2"/>
            <w:tcBorders/>
            <w:shd w:fill="CF0A2C" w:val="clear"/>
            <w:vAlign w:val="bottom"/>
          </w:tcPr>
          <w:p>
            <w:pPr>
              <w:pStyle w:val="TableContents"/>
              <w:spacing w:before="0" w:after="283"/>
              <w:jc w:val="center"/>
              <w:rPr>
                <w:b/>
                <w:color w:val="FFFFFF"/>
              </w:rPr>
            </w:pPr>
            <w:r>
              <w:rPr>
                <w:b/>
                <w:color w:val="FFFFFF"/>
              </w:rPr>
              <w:t>2019</w:t>
            </w:r>
          </w:p>
        </w:tc>
        <w:tc>
          <w:tcPr>
            <w:tcW w:w="180" w:type="dxa"/>
            <w:tcBorders/>
            <w:shd w:fill="CF0A2C" w:val="clear"/>
            <w:vAlign w:val="bottom"/>
          </w:tcPr>
          <w:p>
            <w:pPr>
              <w:pStyle w:val="TableContents"/>
              <w:spacing w:before="0" w:after="283"/>
              <w:rPr/>
            </w:pPr>
            <w:r>
              <w:rPr/>
              <w:t> </w:t>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sz w:val="20"/>
              </w:rPr>
            </w:pPr>
            <w:r>
              <w:rPr>
                <w:rFonts w:ascii="arial" w:hAnsi="arial"/>
                <w:sz w:val="20"/>
              </w:rPr>
              <w:t>Diluted net income available to common stockholders per share:</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737" w:type="dxa"/>
            <w:tcBorders/>
            <w:shd w:fill="E5E5E5" w:val="clear"/>
            <w:vAlign w:val="bottom"/>
          </w:tcPr>
          <w:p>
            <w:pPr>
              <w:pStyle w:val="TableContents"/>
              <w:spacing w:before="0" w:after="283"/>
              <w:rPr>
                <w:sz w:val="4"/>
                <w:szCs w:val="4"/>
              </w:rPr>
            </w:pPr>
            <w:r>
              <w:rPr>
                <w:sz w:val="4"/>
                <w:szCs w:val="4"/>
              </w:rPr>
            </w:r>
          </w:p>
        </w:tc>
        <w:tc>
          <w:tcPr>
            <w:tcW w:w="172"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737" w:type="dxa"/>
            <w:tcBorders/>
            <w:shd w:fill="E5E5E5" w:val="clear"/>
            <w:vAlign w:val="bottom"/>
          </w:tcPr>
          <w:p>
            <w:pPr>
              <w:pStyle w:val="TableContents"/>
              <w:spacing w:before="0" w:after="283"/>
              <w:rPr>
                <w:sz w:val="4"/>
                <w:szCs w:val="4"/>
              </w:rPr>
            </w:pPr>
            <w:r>
              <w:rPr>
                <w:sz w:val="4"/>
                <w:szCs w:val="4"/>
              </w:rPr>
            </w:r>
          </w:p>
        </w:tc>
        <w:tc>
          <w:tcPr>
            <w:tcW w:w="155"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681" w:type="dxa"/>
            <w:tcBorders/>
            <w:shd w:fill="E5E5E5" w:val="clear"/>
            <w:vAlign w:val="bottom"/>
          </w:tcPr>
          <w:p>
            <w:pPr>
              <w:pStyle w:val="TableContents"/>
              <w:spacing w:before="0" w:after="283"/>
              <w:rPr>
                <w:sz w:val="4"/>
                <w:szCs w:val="4"/>
              </w:rPr>
            </w:pPr>
            <w:r>
              <w:rPr>
                <w:sz w:val="4"/>
                <w:szCs w:val="4"/>
              </w:rPr>
            </w:r>
          </w:p>
        </w:tc>
        <w:tc>
          <w:tcPr>
            <w:tcW w:w="1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sz w:val="4"/>
                <w:szCs w:val="4"/>
              </w:rPr>
            </w:pPr>
            <w:r>
              <w:rPr>
                <w:sz w:val="4"/>
                <w:szCs w:val="4"/>
              </w:rPr>
            </w:r>
          </w:p>
        </w:tc>
        <w:tc>
          <w:tcPr>
            <w:tcW w:w="828" w:type="dxa"/>
            <w:tcBorders/>
            <w:shd w:fill="E5E5E5" w:val="clear"/>
            <w:vAlign w:val="bottom"/>
          </w:tcPr>
          <w:p>
            <w:pPr>
              <w:pStyle w:val="TableContents"/>
              <w:spacing w:before="0" w:after="283"/>
              <w:rPr>
                <w:sz w:val="4"/>
                <w:szCs w:val="4"/>
              </w:rPr>
            </w:pPr>
            <w:r>
              <w:rPr>
                <w:sz w:val="4"/>
                <w:szCs w:val="4"/>
              </w:rPr>
            </w:r>
          </w:p>
        </w:tc>
        <w:tc>
          <w:tcPr>
            <w:tcW w:w="18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sz w:val="20"/>
              </w:rPr>
            </w:pPr>
            <w:r>
              <w:rPr>
                <w:rFonts w:ascii="arial" w:hAnsi="arial"/>
                <w:sz w:val="20"/>
              </w:rPr>
              <w:t>Net (loss) income available to common stockholders per share, as reported</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37" w:type="dxa"/>
            <w:tcBorders/>
            <w:shd w:fill="auto" w:val="clear"/>
            <w:vAlign w:val="bottom"/>
          </w:tcPr>
          <w:p>
            <w:pPr>
              <w:pStyle w:val="TableContents"/>
              <w:spacing w:before="0" w:after="283"/>
              <w:jc w:val="right"/>
              <w:rPr/>
            </w:pPr>
            <w:r>
              <w:rPr/>
              <w:t>(0.10</w:t>
            </w:r>
          </w:p>
        </w:tc>
        <w:tc>
          <w:tcPr>
            <w:tcW w:w="17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37" w:type="dxa"/>
            <w:tcBorders/>
            <w:shd w:fill="auto" w:val="clear"/>
            <w:vAlign w:val="bottom"/>
          </w:tcPr>
          <w:p>
            <w:pPr>
              <w:pStyle w:val="TableContents"/>
              <w:spacing w:before="0" w:after="283"/>
              <w:jc w:val="right"/>
              <w:rPr/>
            </w:pPr>
            <w:r>
              <w:rPr/>
              <w:t>1.59</w:t>
            </w:r>
          </w:p>
        </w:tc>
        <w:tc>
          <w:tcPr>
            <w:tcW w:w="15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1" w:type="dxa"/>
            <w:tcBorders/>
            <w:shd w:fill="auto" w:val="clear"/>
            <w:vAlign w:val="bottom"/>
          </w:tcPr>
          <w:p>
            <w:pPr>
              <w:pStyle w:val="TableContents"/>
              <w:spacing w:before="0" w:after="283"/>
              <w:jc w:val="right"/>
              <w:rPr/>
            </w:pPr>
            <w:r>
              <w:rPr/>
              <w:t>(6.43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8" w:type="dxa"/>
            <w:tcBorders/>
            <w:shd w:fill="auto" w:val="clear"/>
            <w:vAlign w:val="bottom"/>
          </w:tcPr>
          <w:p>
            <w:pPr>
              <w:pStyle w:val="TableContents"/>
              <w:spacing w:before="0" w:after="283"/>
              <w:jc w:val="right"/>
              <w:rPr/>
            </w:pPr>
            <w:r>
              <w:rPr/>
              <w:t>5.85</w:t>
            </w:r>
          </w:p>
        </w:tc>
        <w:tc>
          <w:tcPr>
            <w:tcW w:w="180"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sz w:val="20"/>
              </w:rPr>
            </w:pPr>
            <w:r>
              <w:rPr>
                <w:rFonts w:ascii="arial" w:hAnsi="arial"/>
                <w:sz w:val="20"/>
              </w:rPr>
              <w:t>Impairment and closure charges</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0.37</w:t>
            </w:r>
          </w:p>
        </w:tc>
        <w:tc>
          <w:tcPr>
            <w:tcW w:w="172"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0.04</w:t>
            </w:r>
          </w:p>
        </w:tc>
        <w:tc>
          <w:tcPr>
            <w:tcW w:w="155"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7.50</w:t>
            </w:r>
          </w:p>
        </w:tc>
        <w:tc>
          <w:tcPr>
            <w:tcW w:w="1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28" w:type="dxa"/>
            <w:tcBorders/>
            <w:shd w:fill="E5E5E5" w:val="clear"/>
            <w:vAlign w:val="bottom"/>
          </w:tcPr>
          <w:p>
            <w:pPr>
              <w:pStyle w:val="TableContents"/>
              <w:spacing w:before="0" w:after="283"/>
              <w:jc w:val="right"/>
              <w:rPr/>
            </w:pPr>
            <w:r>
              <w:rPr/>
              <w:t>0.06</w:t>
            </w:r>
          </w:p>
        </w:tc>
        <w:tc>
          <w:tcPr>
            <w:tcW w:w="18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sz w:val="20"/>
              </w:rPr>
            </w:pPr>
            <w:r>
              <w:rPr>
                <w:rFonts w:ascii="arial" w:hAnsi="arial"/>
                <w:sz w:val="20"/>
              </w:rPr>
              <w:t>Amortization of intangible assets</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0.12</w:t>
            </w:r>
          </w:p>
        </w:tc>
        <w:tc>
          <w:tcPr>
            <w:tcW w:w="172"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0.13</w:t>
            </w:r>
          </w:p>
        </w:tc>
        <w:tc>
          <w:tcPr>
            <w:tcW w:w="15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0.50</w:t>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0.50</w:t>
            </w:r>
          </w:p>
        </w:tc>
        <w:tc>
          <w:tcPr>
            <w:tcW w:w="180"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sz w:val="20"/>
              </w:rPr>
            </w:pPr>
            <w:r>
              <w:rPr>
                <w:rFonts w:ascii="arial" w:hAnsi="arial"/>
                <w:sz w:val="20"/>
              </w:rPr>
              <w:t>Non-cash interest expense</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0.03</w:t>
            </w:r>
          </w:p>
        </w:tc>
        <w:tc>
          <w:tcPr>
            <w:tcW w:w="172"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0.03</w:t>
            </w:r>
          </w:p>
        </w:tc>
        <w:tc>
          <w:tcPr>
            <w:tcW w:w="155"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0.12</w:t>
            </w:r>
          </w:p>
        </w:tc>
        <w:tc>
          <w:tcPr>
            <w:tcW w:w="1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28" w:type="dxa"/>
            <w:tcBorders/>
            <w:shd w:fill="E5E5E5" w:val="clear"/>
            <w:vAlign w:val="bottom"/>
          </w:tcPr>
          <w:p>
            <w:pPr>
              <w:pStyle w:val="TableContents"/>
              <w:spacing w:before="0" w:after="283"/>
              <w:jc w:val="right"/>
              <w:rPr/>
            </w:pPr>
            <w:r>
              <w:rPr/>
              <w:t>0.14</w:t>
            </w:r>
          </w:p>
        </w:tc>
        <w:tc>
          <w:tcPr>
            <w:tcW w:w="18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sz w:val="20"/>
              </w:rPr>
            </w:pPr>
            <w:r>
              <w:rPr>
                <w:rFonts w:ascii="arial" w:hAnsi="arial"/>
                <w:sz w:val="20"/>
              </w:rPr>
              <w:t>(Gain) loss on disposition of assets</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(0.03</w:t>
            </w:r>
          </w:p>
        </w:tc>
        <w:tc>
          <w:tcPr>
            <w:tcW w:w="17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(0.07</w:t>
            </w:r>
          </w:p>
        </w:tc>
        <w:tc>
          <w:tcPr>
            <w:tcW w:w="15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0.10</w:t>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(0.01</w:t>
            </w:r>
          </w:p>
        </w:tc>
        <w:tc>
          <w:tcPr>
            <w:tcW w:w="180" w:type="dxa"/>
            <w:tcBorders/>
            <w:shd w:fill="auto" w:val="clear"/>
            <w:vAlign w:val="bottom"/>
          </w:tcPr>
          <w:p>
            <w:pPr>
              <w:pStyle w:val="TableContents"/>
              <w:spacing w:before="0" w:after="283"/>
              <w:rPr/>
            </w:pPr>
            <w:r>
              <w:rPr/>
              <w:t>) </w:t>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sz w:val="20"/>
              </w:rPr>
            </w:pPr>
            <w:r>
              <w:rPr>
                <w:rFonts w:ascii="arial" w:hAnsi="arial"/>
                <w:sz w:val="20"/>
              </w:rPr>
              <w:t>Loss on extinguishment of debt</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w:t>
            </w:r>
          </w:p>
        </w:tc>
        <w:tc>
          <w:tcPr>
            <w:tcW w:w="172" w:type="dxa"/>
            <w:tcBorders/>
            <w:shd w:fill="E5E5E5" w:val="clear"/>
            <w:vAlign w:val="bottom"/>
          </w:tcPr>
          <w:p>
            <w:pPr>
              <w:pStyle w:val="TableContents"/>
              <w:spacing w:before="0" w:after="283"/>
              <w:rPr/>
            </w:pPr>
            <w:r>
              <w:rPr/>
              <w:t> </w:t>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w:t>
            </w:r>
          </w:p>
        </w:tc>
        <w:tc>
          <w:tcPr>
            <w:tcW w:w="155" w:type="dxa"/>
            <w:tcBorders/>
            <w:shd w:fill="E5E5E5" w:val="clear"/>
            <w:vAlign w:val="bottom"/>
          </w:tcPr>
          <w:p>
            <w:pPr>
              <w:pStyle w:val="TableContents"/>
              <w:spacing w:before="0" w:after="283"/>
              <w:rPr/>
            </w:pPr>
            <w:r>
              <w:rPr/>
              <w:t> </w:t>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w:t>
            </w:r>
          </w:p>
        </w:tc>
        <w:tc>
          <w:tcPr>
            <w:tcW w:w="155"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28" w:type="dxa"/>
            <w:tcBorders/>
            <w:shd w:fill="E5E5E5" w:val="clear"/>
            <w:vAlign w:val="bottom"/>
          </w:tcPr>
          <w:p>
            <w:pPr>
              <w:pStyle w:val="TableContents"/>
              <w:spacing w:before="0" w:after="283"/>
              <w:jc w:val="right"/>
              <w:rPr/>
            </w:pPr>
            <w:r>
              <w:rPr/>
              <w:t>0.36</w:t>
            </w:r>
          </w:p>
        </w:tc>
        <w:tc>
          <w:tcPr>
            <w:tcW w:w="18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sz w:val="20"/>
              </w:rPr>
            </w:pPr>
            <w:r>
              <w:rPr>
                <w:rFonts w:ascii="arial" w:hAnsi="arial"/>
                <w:sz w:val="20"/>
              </w:rPr>
              <w:t>Administrative reorganization costs</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w:t>
            </w:r>
          </w:p>
        </w:tc>
        <w:tc>
          <w:tcPr>
            <w:tcW w:w="17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0.07</w:t>
            </w:r>
          </w:p>
        </w:tc>
        <w:tc>
          <w:tcPr>
            <w:tcW w:w="15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0.07</w:t>
            </w:r>
          </w:p>
        </w:tc>
        <w:tc>
          <w:tcPr>
            <w:tcW w:w="180"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sz w:val="20"/>
              </w:rPr>
            </w:pPr>
            <w:r>
              <w:rPr>
                <w:rFonts w:ascii="arial" w:hAnsi="arial"/>
                <w:sz w:val="20"/>
              </w:rPr>
              <w:t>Nonrecurring restaurant costs</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w:t>
            </w:r>
          </w:p>
        </w:tc>
        <w:tc>
          <w:tcPr>
            <w:tcW w:w="172" w:type="dxa"/>
            <w:tcBorders/>
            <w:shd w:fill="E5E5E5" w:val="clear"/>
            <w:vAlign w:val="bottom"/>
          </w:tcPr>
          <w:p>
            <w:pPr>
              <w:pStyle w:val="TableContents"/>
              <w:spacing w:before="0" w:after="283"/>
              <w:rPr/>
            </w:pPr>
            <w:r>
              <w:rPr/>
              <w:t> </w:t>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0.00</w:t>
            </w:r>
          </w:p>
        </w:tc>
        <w:tc>
          <w:tcPr>
            <w:tcW w:w="155"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w:t>
            </w:r>
          </w:p>
        </w:tc>
        <w:tc>
          <w:tcPr>
            <w:tcW w:w="155" w:type="dxa"/>
            <w:tcBorders/>
            <w:shd w:fill="E5E5E5" w:val="clear"/>
            <w:vAlign w:val="bottom"/>
          </w:tcPr>
          <w:p>
            <w:pPr>
              <w:pStyle w:val="TableContents"/>
              <w:spacing w:before="0" w:after="283"/>
              <w:rPr/>
            </w:pPr>
            <w:r>
              <w:rPr/>
              <w:t> </w:t>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28" w:type="dxa"/>
            <w:tcBorders/>
            <w:shd w:fill="E5E5E5" w:val="clear"/>
            <w:vAlign w:val="bottom"/>
          </w:tcPr>
          <w:p>
            <w:pPr>
              <w:pStyle w:val="TableContents"/>
              <w:spacing w:before="0" w:after="283"/>
              <w:jc w:val="right"/>
              <w:rPr/>
            </w:pPr>
            <w:r>
              <w:rPr/>
              <w:t>0.02</w:t>
            </w:r>
          </w:p>
        </w:tc>
        <w:tc>
          <w:tcPr>
            <w:tcW w:w="18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sz w:val="20"/>
              </w:rPr>
            </w:pPr>
            <w:r>
              <w:rPr>
                <w:rFonts w:ascii="arial" w:hAnsi="arial"/>
                <w:sz w:val="20"/>
              </w:rPr>
              <w:t>Net income allocated to unvested participating restricted stock</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(0.01</w:t>
            </w:r>
          </w:p>
        </w:tc>
        <w:tc>
          <w:tcPr>
            <w:tcW w:w="17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(0.01</w:t>
            </w:r>
          </w:p>
        </w:tc>
        <w:tc>
          <w:tcPr>
            <w:tcW w:w="15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(0.03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(0.04</w:t>
            </w:r>
          </w:p>
        </w:tc>
        <w:tc>
          <w:tcPr>
            <w:tcW w:w="180" w:type="dxa"/>
            <w:tcBorders/>
            <w:shd w:fill="auto" w:val="clear"/>
            <w:vAlign w:val="bottom"/>
          </w:tcPr>
          <w:p>
            <w:pPr>
              <w:pStyle w:val="TableContents"/>
              <w:spacing w:before="0" w:after="283"/>
              <w:rPr/>
            </w:pPr>
            <w:r>
              <w:rPr/>
              <w:t>) </w:t>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sz w:val="20"/>
              </w:rPr>
            </w:pPr>
            <w:r>
              <w:rPr>
                <w:rFonts w:ascii="arial" w:hAnsi="arial"/>
                <w:sz w:val="20"/>
              </w:rPr>
              <w:t>Rounding</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0.01</w:t>
            </w:r>
          </w:p>
        </w:tc>
        <w:tc>
          <w:tcPr>
            <w:tcW w:w="172"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w:t>
            </w:r>
          </w:p>
        </w:tc>
        <w:tc>
          <w:tcPr>
            <w:tcW w:w="155" w:type="dxa"/>
            <w:tcBorders/>
            <w:shd w:fill="E5E5E5" w:val="clear"/>
            <w:vAlign w:val="bottom"/>
          </w:tcPr>
          <w:p>
            <w:pPr>
              <w:pStyle w:val="TableContents"/>
              <w:spacing w:before="0" w:after="283"/>
              <w:rPr/>
            </w:pPr>
            <w:r>
              <w:rPr/>
              <w:t> </w:t>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0.03</w:t>
            </w:r>
          </w:p>
        </w:tc>
        <w:tc>
          <w:tcPr>
            <w:tcW w:w="1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28" w:type="dxa"/>
            <w:tcBorders/>
            <w:shd w:fill="E5E5E5" w:val="clear"/>
            <w:vAlign w:val="bottom"/>
          </w:tcPr>
          <w:p>
            <w:pPr>
              <w:pStyle w:val="TableContents"/>
              <w:spacing w:before="0" w:after="283"/>
              <w:jc w:val="right"/>
              <w:rPr/>
            </w:pPr>
            <w:r>
              <w:rPr/>
              <w:t></w:t>
            </w:r>
          </w:p>
        </w:tc>
        <w:tc>
          <w:tcPr>
            <w:tcW w:w="180" w:type="dxa"/>
            <w:tcBorders/>
            <w:shd w:fill="E5E5E5" w:val="clear"/>
            <w:vAlign w:val="bottom"/>
          </w:tcPr>
          <w:p>
            <w:pPr>
              <w:pStyle w:val="TableContents"/>
              <w:spacing w:before="0" w:after="283"/>
              <w:rPr/>
            </w:pPr>
            <w:r>
              <w:rPr/>
              <w:t> </w:t>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b/>
                <w:sz w:val="20"/>
              </w:rPr>
            </w:pPr>
            <w:r>
              <w:rPr>
                <w:rFonts w:ascii="arial" w:hAnsi="arial"/>
                <w:b/>
                <w:sz w:val="20"/>
              </w:rPr>
              <w:t>Diluted net income available to common stockholders per share, as adjusted</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737" w:type="dxa"/>
            <w:tcBorders/>
            <w:shd w:fill="auto" w:val="clear"/>
            <w:vAlign w:val="bottom"/>
          </w:tcPr>
          <w:p>
            <w:pPr>
              <w:pStyle w:val="TableContents"/>
              <w:spacing w:before="0" w:after="283"/>
              <w:jc w:val="right"/>
              <w:rPr>
                <w:b/>
              </w:rPr>
            </w:pPr>
            <w:r>
              <w:rPr>
                <w:b/>
              </w:rPr>
              <w:t>0.39</w:t>
            </w:r>
          </w:p>
        </w:tc>
        <w:tc>
          <w:tcPr>
            <w:tcW w:w="172"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737" w:type="dxa"/>
            <w:tcBorders/>
            <w:shd w:fill="auto" w:val="clear"/>
            <w:vAlign w:val="bottom"/>
          </w:tcPr>
          <w:p>
            <w:pPr>
              <w:pStyle w:val="TableContents"/>
              <w:spacing w:before="0" w:after="283"/>
              <w:jc w:val="right"/>
              <w:rPr>
                <w:b/>
              </w:rPr>
            </w:pPr>
            <w:r>
              <w:rPr>
                <w:b/>
              </w:rPr>
              <w:t>1.78</w:t>
            </w:r>
          </w:p>
        </w:tc>
        <w:tc>
          <w:tcPr>
            <w:tcW w:w="15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81" w:type="dxa"/>
            <w:tcBorders/>
            <w:shd w:fill="auto" w:val="clear"/>
            <w:vAlign w:val="bottom"/>
          </w:tcPr>
          <w:p>
            <w:pPr>
              <w:pStyle w:val="TableContents"/>
              <w:spacing w:before="0" w:after="283"/>
              <w:jc w:val="right"/>
              <w:rPr>
                <w:b/>
              </w:rPr>
            </w:pPr>
            <w:r>
              <w:rPr>
                <w:b/>
              </w:rPr>
              <w:t>1.79</w:t>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28" w:type="dxa"/>
            <w:tcBorders/>
            <w:shd w:fill="auto" w:val="clear"/>
            <w:vAlign w:val="bottom"/>
          </w:tcPr>
          <w:p>
            <w:pPr>
              <w:pStyle w:val="TableContents"/>
              <w:spacing w:before="0" w:after="283"/>
              <w:jc w:val="right"/>
              <w:rPr>
                <w:b/>
              </w:rPr>
            </w:pPr>
            <w:r>
              <w:rPr>
                <w:b/>
              </w:rPr>
              <w:t>6.95</w:t>
            </w:r>
          </w:p>
        </w:tc>
        <w:tc>
          <w:tcPr>
            <w:tcW w:w="180"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sz w:val="20"/>
              </w:rPr>
            </w:pPr>
            <w:r>
              <w:rPr>
                <w:rFonts w:ascii="arial" w:hAnsi="arial"/>
                <w:sz w:val="20"/>
              </w:rPr>
              <w:t>Numerator for basic EPS-income available to common stockholders, as adjusted</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737" w:type="dxa"/>
            <w:tcBorders/>
            <w:shd w:fill="E5E5E5" w:val="clear"/>
            <w:vAlign w:val="bottom"/>
          </w:tcPr>
          <w:p>
            <w:pPr>
              <w:pStyle w:val="TableContents"/>
              <w:spacing w:before="0" w:after="283"/>
              <w:jc w:val="right"/>
              <w:rPr/>
            </w:pPr>
            <w:r>
              <w:rPr/>
              <w:t>6,405</w:t>
            </w:r>
          </w:p>
        </w:tc>
        <w:tc>
          <w:tcPr>
            <w:tcW w:w="172"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737" w:type="dxa"/>
            <w:tcBorders/>
            <w:shd w:fill="E5E5E5" w:val="clear"/>
            <w:vAlign w:val="bottom"/>
          </w:tcPr>
          <w:p>
            <w:pPr>
              <w:pStyle w:val="TableContents"/>
              <w:spacing w:before="0" w:after="283"/>
              <w:jc w:val="right"/>
              <w:rPr/>
            </w:pPr>
            <w:r>
              <w:rPr/>
              <w:t>29,718</w:t>
            </w:r>
          </w:p>
        </w:tc>
        <w:tc>
          <w:tcPr>
            <w:tcW w:w="155"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681" w:type="dxa"/>
            <w:tcBorders/>
            <w:shd w:fill="E5E5E5" w:val="clear"/>
            <w:vAlign w:val="bottom"/>
          </w:tcPr>
          <w:p>
            <w:pPr>
              <w:pStyle w:val="TableContents"/>
              <w:spacing w:before="0" w:after="283"/>
              <w:jc w:val="right"/>
              <w:rPr/>
            </w:pPr>
            <w:r>
              <w:rPr/>
              <w:t>29,277</w:t>
            </w:r>
          </w:p>
        </w:tc>
        <w:tc>
          <w:tcPr>
            <w:tcW w:w="1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w:t>
            </w:r>
          </w:p>
        </w:tc>
        <w:tc>
          <w:tcPr>
            <w:tcW w:w="828" w:type="dxa"/>
            <w:tcBorders/>
            <w:shd w:fill="E5E5E5" w:val="clear"/>
            <w:vAlign w:val="bottom"/>
          </w:tcPr>
          <w:p>
            <w:pPr>
              <w:pStyle w:val="TableContents"/>
              <w:spacing w:before="0" w:after="283"/>
              <w:jc w:val="right"/>
              <w:rPr/>
            </w:pPr>
            <w:r>
              <w:rPr/>
              <w:t>119,746</w:t>
            </w:r>
          </w:p>
        </w:tc>
        <w:tc>
          <w:tcPr>
            <w:tcW w:w="18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sz w:val="20"/>
              </w:rPr>
            </w:pPr>
            <w:r>
              <w:rPr>
                <w:rFonts w:ascii="arial" w:hAnsi="arial"/>
                <w:sz w:val="20"/>
              </w:rPr>
              <w:t>Effect of unvested participating restricted stock using the two-class method</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2</w:t>
            </w:r>
          </w:p>
        </w:tc>
        <w:tc>
          <w:tcPr>
            <w:tcW w:w="172"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44</w:t>
            </w:r>
          </w:p>
        </w:tc>
        <w:tc>
          <w:tcPr>
            <w:tcW w:w="180"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b/>
                <w:sz w:val="20"/>
              </w:rPr>
            </w:pPr>
            <w:r>
              <w:rPr>
                <w:rFonts w:ascii="arial" w:hAnsi="arial"/>
                <w:b/>
                <w:sz w:val="20"/>
              </w:rPr>
              <w:t>Numerator for diluted EPS-income available to common stockholders, as adjusted</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737" w:type="dxa"/>
            <w:tcBorders/>
            <w:shd w:fill="E5E5E5" w:val="clear"/>
            <w:vAlign w:val="bottom"/>
          </w:tcPr>
          <w:p>
            <w:pPr>
              <w:pStyle w:val="TableContents"/>
              <w:spacing w:before="0" w:after="283"/>
              <w:jc w:val="right"/>
              <w:rPr>
                <w:b/>
              </w:rPr>
            </w:pPr>
            <w:r>
              <w:rPr>
                <w:b/>
              </w:rPr>
              <w:t>6,407</w:t>
            </w:r>
          </w:p>
        </w:tc>
        <w:tc>
          <w:tcPr>
            <w:tcW w:w="172"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737" w:type="dxa"/>
            <w:tcBorders/>
            <w:shd w:fill="E5E5E5" w:val="clear"/>
            <w:vAlign w:val="bottom"/>
          </w:tcPr>
          <w:p>
            <w:pPr>
              <w:pStyle w:val="TableContents"/>
              <w:spacing w:before="0" w:after="283"/>
              <w:jc w:val="right"/>
              <w:rPr>
                <w:b/>
              </w:rPr>
            </w:pPr>
            <w:r>
              <w:rPr>
                <w:b/>
              </w:rPr>
              <w:t>29,726</w:t>
            </w:r>
          </w:p>
        </w:tc>
        <w:tc>
          <w:tcPr>
            <w:tcW w:w="155"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681" w:type="dxa"/>
            <w:tcBorders/>
            <w:shd w:fill="E5E5E5" w:val="clear"/>
            <w:vAlign w:val="bottom"/>
          </w:tcPr>
          <w:p>
            <w:pPr>
              <w:pStyle w:val="TableContents"/>
              <w:spacing w:before="0" w:after="283"/>
              <w:jc w:val="right"/>
              <w:rPr>
                <w:b/>
              </w:rPr>
            </w:pPr>
            <w:r>
              <w:rPr>
                <w:b/>
              </w:rPr>
              <w:t>29,281</w:t>
            </w:r>
          </w:p>
        </w:tc>
        <w:tc>
          <w:tcPr>
            <w:tcW w:w="1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b/>
              </w:rPr>
            </w:pPr>
            <w:r>
              <w:rPr>
                <w:b/>
              </w:rPr>
              <w:t>$</w:t>
            </w:r>
          </w:p>
        </w:tc>
        <w:tc>
          <w:tcPr>
            <w:tcW w:w="828" w:type="dxa"/>
            <w:tcBorders/>
            <w:shd w:fill="E5E5E5" w:val="clear"/>
            <w:vAlign w:val="bottom"/>
          </w:tcPr>
          <w:p>
            <w:pPr>
              <w:pStyle w:val="TableContents"/>
              <w:spacing w:before="0" w:after="283"/>
              <w:jc w:val="right"/>
              <w:rPr>
                <w:b/>
              </w:rPr>
            </w:pPr>
            <w:r>
              <w:rPr>
                <w:b/>
              </w:rPr>
              <w:t>119,790</w:t>
            </w:r>
          </w:p>
        </w:tc>
        <w:tc>
          <w:tcPr>
            <w:tcW w:w="18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sz w:val="20"/>
              </w:rPr>
            </w:pPr>
            <w:r>
              <w:rPr>
                <w:rFonts w:ascii="arial" w:hAnsi="arial"/>
                <w:sz w:val="20"/>
              </w:rPr>
              <w:t>Denominator for basic EPS-weighted-average shares</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16,232</w:t>
            </w:r>
          </w:p>
        </w:tc>
        <w:tc>
          <w:tcPr>
            <w:tcW w:w="172"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16,449</w:t>
            </w:r>
          </w:p>
        </w:tc>
        <w:tc>
          <w:tcPr>
            <w:tcW w:w="15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16,230</w:t>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16,934</w:t>
            </w:r>
          </w:p>
        </w:tc>
        <w:tc>
          <w:tcPr>
            <w:tcW w:w="180"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E5E5E5" w:val="clear"/>
            <w:vAlign w:val="center"/>
          </w:tcPr>
          <w:p>
            <w:pPr>
              <w:pStyle w:val="TableContents"/>
              <w:spacing w:before="0" w:after="283"/>
              <w:rPr>
                <w:sz w:val="4"/>
                <w:szCs w:val="4"/>
              </w:rPr>
            </w:pPr>
            <w:r>
              <w:rPr>
                <w:sz w:val="4"/>
                <w:szCs w:val="4"/>
              </w:rPr>
            </w:r>
          </w:p>
        </w:tc>
        <w:tc>
          <w:tcPr>
            <w:tcW w:w="1195" w:type="dxa"/>
            <w:gridSpan w:val="4"/>
            <w:tcBorders/>
            <w:shd w:fill="E5E5E5" w:val="clear"/>
            <w:vAlign w:val="center"/>
          </w:tcPr>
          <w:p>
            <w:pPr>
              <w:pStyle w:val="TableContents"/>
              <w:spacing w:before="0" w:after="283"/>
              <w:rPr>
                <w:sz w:val="4"/>
                <w:szCs w:val="4"/>
              </w:rPr>
            </w:pPr>
            <w:r>
              <w:rPr>
                <w:sz w:val="4"/>
                <w:szCs w:val="4"/>
              </w:rPr>
            </w:r>
          </w:p>
        </w:tc>
        <w:tc>
          <w:tcPr>
            <w:tcW w:w="1132" w:type="dxa"/>
            <w:gridSpan w:val="4"/>
            <w:tcBorders/>
            <w:shd w:fill="E5E5E5" w:val="clear"/>
            <w:vAlign w:val="center"/>
          </w:tcPr>
          <w:p>
            <w:pPr>
              <w:pStyle w:val="TableContents"/>
              <w:spacing w:before="0" w:after="283"/>
              <w:rPr>
                <w:sz w:val="4"/>
                <w:szCs w:val="4"/>
              </w:rPr>
            </w:pPr>
            <w:r>
              <w:rPr>
                <w:sz w:val="4"/>
                <w:szCs w:val="4"/>
              </w:rPr>
            </w:r>
          </w:p>
        </w:tc>
        <w:tc>
          <w:tcPr>
            <w:tcW w:w="1076" w:type="dxa"/>
            <w:gridSpan w:val="4"/>
            <w:tcBorders/>
            <w:shd w:fill="E5E5E5" w:val="clear"/>
            <w:vAlign w:val="center"/>
          </w:tcPr>
          <w:p>
            <w:pPr>
              <w:pStyle w:val="TableContents"/>
              <w:spacing w:before="0" w:after="283"/>
              <w:rPr>
                <w:sz w:val="4"/>
                <w:szCs w:val="4"/>
              </w:rPr>
            </w:pPr>
            <w:r>
              <w:rPr>
                <w:sz w:val="4"/>
                <w:szCs w:val="4"/>
              </w:rPr>
            </w:r>
          </w:p>
        </w:tc>
        <w:tc>
          <w:tcPr>
            <w:tcW w:w="1208" w:type="dxa"/>
            <w:gridSpan w:val="4"/>
            <w:tcBorders/>
            <w:shd w:fill="E5E5E5" w:val="clear"/>
            <w:vAlign w:val="center"/>
          </w:tcPr>
          <w:p>
            <w:pPr>
              <w:pStyle w:val="TableContents"/>
              <w:spacing w:before="0" w:after="283"/>
              <w:rPr>
                <w:sz w:val="4"/>
                <w:szCs w:val="4"/>
              </w:rPr>
            </w:pPr>
            <w:r>
              <w:rPr>
                <w:sz w:val="4"/>
                <w:szCs w:val="4"/>
              </w:rPr>
            </w:r>
          </w:p>
        </w:tc>
      </w:tr>
      <w:tr>
        <w:trPr/>
        <w:tc>
          <w:tcPr>
            <w:tcW w:w="5594" w:type="dxa"/>
            <w:tcBorders/>
            <w:shd w:fill="E5E5E5" w:val="clear"/>
          </w:tcPr>
          <w:p>
            <w:pPr>
              <w:pStyle w:val="TableContents"/>
              <w:spacing w:before="0" w:after="0"/>
              <w:rPr>
                <w:rFonts w:ascii="arial" w:hAnsi="arial"/>
                <w:sz w:val="20"/>
              </w:rPr>
            </w:pPr>
            <w:r>
              <w:rPr>
                <w:rFonts w:ascii="arial" w:hAnsi="arial"/>
                <w:sz w:val="20"/>
              </w:rPr>
              <w:t>Dilutive effect of stock options</w:t>
            </w:r>
          </w:p>
        </w:tc>
        <w:tc>
          <w:tcPr>
            <w:tcW w:w="146"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137</w:t>
            </w:r>
          </w:p>
        </w:tc>
        <w:tc>
          <w:tcPr>
            <w:tcW w:w="172" w:type="dxa"/>
            <w:tcBorders/>
            <w:shd w:fill="E5E5E5" w:val="clear"/>
            <w:vAlign w:val="bottom"/>
          </w:tcPr>
          <w:p>
            <w:pPr>
              <w:pStyle w:val="TableContents"/>
              <w:spacing w:before="0" w:after="283"/>
              <w:rPr/>
            </w:pPr>
            <w:r>
              <w:rPr/>
              <w:t> </w:t>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737" w:type="dxa"/>
            <w:tcBorders/>
            <w:shd w:fill="E5E5E5" w:val="clear"/>
            <w:vAlign w:val="bottom"/>
          </w:tcPr>
          <w:p>
            <w:pPr>
              <w:pStyle w:val="TableContents"/>
              <w:spacing w:before="0" w:after="283"/>
              <w:jc w:val="right"/>
              <w:rPr/>
            </w:pPr>
            <w:r>
              <w:rPr/>
              <w:t>249</w:t>
            </w:r>
          </w:p>
        </w:tc>
        <w:tc>
          <w:tcPr>
            <w:tcW w:w="155" w:type="dxa"/>
            <w:tcBorders/>
            <w:shd w:fill="E5E5E5" w:val="clear"/>
            <w:vAlign w:val="bottom"/>
          </w:tcPr>
          <w:p>
            <w:pPr>
              <w:pStyle w:val="TableContents"/>
              <w:spacing w:before="0" w:after="283"/>
              <w:rPr>
                <w:sz w:val="4"/>
                <w:szCs w:val="4"/>
              </w:rPr>
            </w:pPr>
            <w:r>
              <w:rPr>
                <w:sz w:val="4"/>
                <w:szCs w:val="4"/>
              </w:rPr>
            </w:r>
          </w:p>
        </w:tc>
        <w:tc>
          <w:tcPr>
            <w:tcW w:w="10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681" w:type="dxa"/>
            <w:tcBorders/>
            <w:shd w:fill="E5E5E5" w:val="clear"/>
            <w:vAlign w:val="bottom"/>
          </w:tcPr>
          <w:p>
            <w:pPr>
              <w:pStyle w:val="TableContents"/>
              <w:spacing w:before="0" w:after="283"/>
              <w:jc w:val="right"/>
              <w:rPr/>
            </w:pPr>
            <w:r>
              <w:rPr/>
              <w:t>100</w:t>
            </w:r>
          </w:p>
        </w:tc>
        <w:tc>
          <w:tcPr>
            <w:tcW w:w="155" w:type="dxa"/>
            <w:tcBorders/>
            <w:shd w:fill="E5E5E5" w:val="clear"/>
            <w:vAlign w:val="bottom"/>
          </w:tcPr>
          <w:p>
            <w:pPr>
              <w:pStyle w:val="TableContents"/>
              <w:spacing w:before="0" w:after="283"/>
              <w:rPr>
                <w:sz w:val="4"/>
                <w:szCs w:val="4"/>
              </w:rPr>
            </w:pPr>
            <w:r>
              <w:rPr>
                <w:sz w:val="4"/>
                <w:szCs w:val="4"/>
              </w:rPr>
            </w:r>
          </w:p>
        </w:tc>
        <w:tc>
          <w:tcPr>
            <w:tcW w:w="60" w:type="dxa"/>
            <w:tcBorders/>
            <w:shd w:fill="E5E5E5" w:val="clear"/>
            <w:vAlign w:val="bottom"/>
          </w:tcPr>
          <w:p>
            <w:pPr>
              <w:pStyle w:val="TableContents"/>
              <w:spacing w:before="0" w:after="283"/>
              <w:rPr/>
            </w:pPr>
            <w:r>
              <w:rPr/>
              <w:t> </w:t>
            </w:r>
          </w:p>
        </w:tc>
        <w:tc>
          <w:tcPr>
            <w:tcW w:w="140" w:type="dxa"/>
            <w:tcBorders/>
            <w:shd w:fill="E5E5E5" w:val="clear"/>
            <w:vAlign w:val="bottom"/>
          </w:tcPr>
          <w:p>
            <w:pPr>
              <w:pStyle w:val="TableContents"/>
              <w:spacing w:before="0" w:after="283"/>
              <w:rPr/>
            </w:pPr>
            <w:r>
              <w:rPr/>
              <w:t> </w:t>
            </w:r>
          </w:p>
        </w:tc>
        <w:tc>
          <w:tcPr>
            <w:tcW w:w="828" w:type="dxa"/>
            <w:tcBorders/>
            <w:shd w:fill="E5E5E5" w:val="clear"/>
            <w:vAlign w:val="bottom"/>
          </w:tcPr>
          <w:p>
            <w:pPr>
              <w:pStyle w:val="TableContents"/>
              <w:spacing w:before="0" w:after="283"/>
              <w:jc w:val="right"/>
              <w:rPr/>
            </w:pPr>
            <w:r>
              <w:rPr/>
              <w:t>311</w:t>
            </w:r>
          </w:p>
        </w:tc>
        <w:tc>
          <w:tcPr>
            <w:tcW w:w="180" w:type="dxa"/>
            <w:tcBorders/>
            <w:shd w:fill="E5E5E5" w:val="clear"/>
            <w:vAlign w:val="bottom"/>
          </w:tcPr>
          <w:p>
            <w:pPr>
              <w:pStyle w:val="TableContents"/>
              <w:spacing w:before="0" w:after="283"/>
              <w:rPr>
                <w:sz w:val="4"/>
                <w:szCs w:val="4"/>
              </w:rPr>
            </w:pPr>
            <w:r>
              <w:rPr>
                <w:sz w:val="4"/>
                <w:szCs w:val="4"/>
              </w:rPr>
            </w:r>
          </w:p>
        </w:tc>
      </w:tr>
      <w:tr>
        <w:trPr>
          <w:trHeight w:val="75" w:hRule="atLeast"/>
        </w:trPr>
        <w:tc>
          <w:tcPr>
            <w:tcW w:w="5594" w:type="dxa"/>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76" w:type="dxa"/>
            <w:gridSpan w:val="4"/>
            <w:tcBorders/>
            <w:shd w:fill="auto" w:val="clear"/>
            <w:vAlign w:val="center"/>
          </w:tcPr>
          <w:p>
            <w:pPr>
              <w:pStyle w:val="TableContents"/>
              <w:spacing w:before="0" w:after="283"/>
              <w:rPr>
                <w:sz w:val="4"/>
                <w:szCs w:val="4"/>
              </w:rPr>
            </w:pPr>
            <w:r>
              <w:rPr>
                <w:sz w:val="4"/>
                <w:szCs w:val="4"/>
              </w:rPr>
            </w:r>
          </w:p>
        </w:tc>
        <w:tc>
          <w:tcPr>
            <w:tcW w:w="1208" w:type="dxa"/>
            <w:gridSpan w:val="4"/>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tcPr>
          <w:p>
            <w:pPr>
              <w:pStyle w:val="TableContents"/>
              <w:spacing w:before="0" w:after="0"/>
              <w:rPr>
                <w:rFonts w:ascii="arial" w:hAnsi="arial"/>
                <w:b/>
                <w:sz w:val="20"/>
              </w:rPr>
            </w:pPr>
            <w:r>
              <w:rPr>
                <w:rFonts w:ascii="arial" w:hAnsi="arial"/>
                <w:b/>
                <w:sz w:val="20"/>
              </w:rPr>
              <w:t>Denominator for diluted EPS-weighted-average shares</w:t>
            </w:r>
          </w:p>
        </w:tc>
        <w:tc>
          <w:tcPr>
            <w:tcW w:w="1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b/>
              </w:rPr>
            </w:pPr>
            <w:r>
              <w:rPr>
                <w:b/>
              </w:rPr>
              <w:t>16,369</w:t>
            </w:r>
          </w:p>
        </w:tc>
        <w:tc>
          <w:tcPr>
            <w:tcW w:w="172"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b/>
              </w:rPr>
            </w:pPr>
            <w:r>
              <w:rPr>
                <w:b/>
              </w:rPr>
              <w:t>16,698</w:t>
            </w:r>
          </w:p>
        </w:tc>
        <w:tc>
          <w:tcPr>
            <w:tcW w:w="15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b/>
              </w:rPr>
            </w:pPr>
            <w:r>
              <w:rPr>
                <w:b/>
              </w:rPr>
              <w:t>16,330</w:t>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b/>
              </w:rPr>
            </w:pPr>
            <w:r>
              <w:rPr>
                <w:b/>
              </w:rPr>
              <w:t>17,245</w:t>
            </w:r>
          </w:p>
        </w:tc>
        <w:tc>
          <w:tcPr>
            <w:tcW w:w="180"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9"/>
        <w:gridCol w:w="101"/>
        <w:gridCol w:w="9595"/>
      </w:tblGrid>
      <w:tr>
        <w:trPr/>
        <w:tc>
          <w:tcPr>
            <w:tcW w:w="50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595" w:type="dxa"/>
            <w:tcBorders/>
            <w:shd w:fill="auto" w:val="clear"/>
            <w:vAlign w:val="center"/>
          </w:tcPr>
          <w:p>
            <w:pPr>
              <w:pStyle w:val="TableContents"/>
              <w:spacing w:before="0" w:after="283"/>
              <w:rPr>
                <w:sz w:val="4"/>
                <w:szCs w:val="4"/>
              </w:rPr>
            </w:pPr>
            <w:r>
              <w:rPr>
                <w:sz w:val="4"/>
                <w:szCs w:val="4"/>
              </w:rPr>
            </w:r>
          </w:p>
        </w:tc>
      </w:tr>
      <w:tr>
        <w:trPr/>
        <w:tc>
          <w:tcPr>
            <w:tcW w:w="509" w:type="dxa"/>
            <w:tcBorders/>
            <w:shd w:fill="auto" w:val="clear"/>
            <w:vAlign w:val="center"/>
          </w:tcPr>
          <w:p>
            <w:pPr>
              <w:pStyle w:val="TableContents"/>
              <w:spacing w:before="0" w:after="283"/>
              <w:rPr/>
            </w:pPr>
            <w:r>
              <w:rPr/>
              <w:t>A-2    </w:t>
            </w:r>
          </w:p>
        </w:tc>
        <w:tc>
          <w:tcPr>
            <w:tcW w:w="101"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drawing>
                <wp:inline distT="0" distB="0" distL="0" distR="0">
                  <wp:extent cx="24765" cy="30480"/>
                  <wp:effectExtent l="0" t="0" r="0" b="0"/>
                  <wp:docPr id="8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7" descr=""/>
                          <pic:cNvPicPr>
                            <a:picLocks noChangeAspect="1" noChangeArrowheads="1"/>
                          </pic:cNvPicPr>
                        </pic:nvPicPr>
                        <pic:blipFill>
                          <a:blip r:embed="rId78"/>
                          <a:stretch>
                            <a:fillRect/>
                          </a:stretch>
                        </pic:blipFill>
                        <pic:spPr bwMode="auto">
                          <a:xfrm>
                            <a:off x="0" y="0"/>
                            <a:ext cx="24765" cy="30480"/>
                          </a:xfrm>
                          <a:prstGeom prst="rect">
                            <a:avLst/>
                          </a:prstGeom>
                        </pic:spPr>
                      </pic:pic>
                    </a:graphicData>
                  </a:graphic>
                </wp:inline>
              </w:drawing>
            </w:r>
            <w:r>
              <w:rPr/>
              <w:t xml:space="preserve">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5962650" cy="7715250"/>
            <wp:effectExtent l="0" t="0" r="0" b="0"/>
            <wp:docPr id="8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8" descr=""/>
                    <pic:cNvPicPr>
                      <a:picLocks noChangeAspect="1" noChangeArrowheads="1"/>
                    </pic:cNvPicPr>
                  </pic:nvPicPr>
                  <pic:blipFill>
                    <a:blip r:embed="rId79"/>
                    <a:stretch>
                      <a:fillRect/>
                    </a:stretch>
                  </pic:blipFill>
                  <pic:spPr bwMode="auto">
                    <a:xfrm>
                      <a:off x="0" y="0"/>
                      <a:ext cx="5962650" cy="7715250"/>
                    </a:xfrm>
                    <a:prstGeom prst="rect">
                      <a:avLst/>
                    </a:prstGeom>
                  </pic:spPr>
                </pic:pic>
              </a:graphicData>
            </a:graphic>
          </wp:inline>
        </w:drawing>
      </w:r>
      <w:r>
        <w:rPr/>
        <w:t xml:space="preserve"> </w:t>
      </w:r>
    </w:p>
    <w:p>
      <w:pPr>
        <w:pStyle w:val="TextBody"/>
        <w:jc w:val="right"/>
        <w:rPr>
          <w:rFonts w:ascii="Times New Roman" w:hAnsi="Times New Roman"/>
          <w:color w:val="FFFFFF"/>
          <w:sz w:val="2"/>
        </w:rPr>
      </w:pPr>
      <w:r>
        <w:rPr>
          <w:rFonts w:ascii="Times New Roman" w:hAnsi="Times New Roman"/>
          <w:color w:val="FFFFFF"/>
          <w:sz w:val="2"/>
        </w:rPr>
        <w:t xml:space="preserve">Using a black ink pen, mark your votes with an X as shown in this example. Please do not write outside the designated areas. Your vote matters - here's how to vote! You may vote online or by phone instead of mailing this card. Online Go to www.envisionreports.com/DIN or scan the QR code - login details are located in the shaded bar below. Phone Call toll free 1-800-652-VOTE (8683) within the USA, US territories and Canada Save paper, time and money! Sign up for electronic delivery at www.envisionreports.com/DIN 2021 Annual Meeting Proxy Card IF VOTING BY MAIL, SIGN, DETACH AND RETURN THE BOTTOM PORTION IN THE ENCLOSED ENVELOPE. A Proposals - The Board of Directors recommend a vote FOR all the nominees listed and FOR Proposals 2 and 3. 1. To elect ten directors to serve until the next annual meeting of stockholders and to serve until their successors are elected and qualified: 01 - Howard M. Berk 04 - Richard J. Dahl 07 - Caroline W. Nahas 10 - Lilian C. Tomovich For Against Abstain 02 - Daniel J. Brestle 05 - Michael C. Hyter 08 - Douglas M. Pasquale For Against Abstain 03 - Susan M. Collyns 06 - Larry A. Kay 09 - John W. Peyton For Against Abstain 2. Ratification of the appointment of Ernst &amp; Young LLP as the Corporation's independent auditor for the fiscal year ending December 31, 2021. For Against Abstain 3. Approval, on an advisory basis, of the compensation of the Corporation's named executive officers. For Against Abstain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5962650" cy="7715250"/>
            <wp:effectExtent l="0" t="0" r="0" b="0"/>
            <wp:docPr id="8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9" descr=""/>
                    <pic:cNvPicPr>
                      <a:picLocks noChangeAspect="1" noChangeArrowheads="1"/>
                    </pic:cNvPicPr>
                  </pic:nvPicPr>
                  <pic:blipFill>
                    <a:blip r:embed="rId80"/>
                    <a:stretch>
                      <a:fillRect/>
                    </a:stretch>
                  </pic:blipFill>
                  <pic:spPr bwMode="auto">
                    <a:xfrm>
                      <a:off x="0" y="0"/>
                      <a:ext cx="5962650" cy="7715250"/>
                    </a:xfrm>
                    <a:prstGeom prst="rect">
                      <a:avLst/>
                    </a:prstGeom>
                  </pic:spPr>
                </pic:pic>
              </a:graphicData>
            </a:graphic>
          </wp:inline>
        </w:drawing>
      </w:r>
      <w:r>
        <w:rPr/>
        <w:t xml:space="preserve"> </w:t>
      </w:r>
    </w:p>
    <w:p>
      <w:pPr>
        <w:pStyle w:val="TextBody"/>
        <w:jc w:val="right"/>
        <w:rPr>
          <w:rFonts w:ascii="Times New Roman" w:hAnsi="Times New Roman"/>
          <w:color w:val="FFFFFF"/>
          <w:sz w:val="2"/>
        </w:rPr>
      </w:pPr>
      <w:r>
        <w:rPr>
          <w:rFonts w:ascii="Times New Roman" w:hAnsi="Times New Roman"/>
          <w:color w:val="FFFFFF"/>
          <w:sz w:val="2"/>
        </w:rPr>
        <w:t xml:space="preserve">The 2021 Annual Meeting of Stockholders of Dine Brands Global, Inc. will be held on Tuesday, May 11, 2021 at 8:00am local time, virtually via the internet at www.meetingcenter.io/265229604. To access the virtual meeting, you must have the information that is printed in the shaded bar located on the reverse side of this form. The password for this meeting is - DIN2021. Important notice regarding the Internet availability of proxy materials for the Annual Meeting of Stockholders. The material is available at: www.envisionreports.com/DIN Small steps make an impact. Help the environment by consenting to receive electronic delivery, sign up at www.envisionreports.com/DIN IF VOTING BY MAIL, SIGN, DETACH AND RETURN THE BOTTOM PORTION IN THE ENCLOSED ENVELOPE. Dine Brands Global, Inc. Notice of 2021 Annual Meeting of Stockholders Proxy Solicited by Board of Directors for Annual Meeting - May 11, 2021 John W. Peyton and Christine K. Son, or any of them, each with the power of substitution, are hereby authorized to represent and vote the shares of the undersigned, with all the powers which the undersigned would possess if personally present, at the Annual Meeting of Stockholders of Dine Brands Global, Inc. to be held on May 11, 2021 or at any postponement or adjournment thereof. Shares represented by this proxy will be voted by the stockholder. If no such directions are indicated, the Proxies will have authority to vote FOR the election of the Board of Directors and FOR items 2 and 3. In their discretion, the Proxies are authorized to vote upon such other business as may properly come before the meeting. (Items to be voted appear on reverse side) C Non-Voting Items Change of Address - Please print new address below. Comments - Please print your comments below.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5962650" cy="7715250"/>
            <wp:effectExtent l="0" t="0" r="0" b="0"/>
            <wp:docPr id="9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0" descr=""/>
                    <pic:cNvPicPr>
                      <a:picLocks noChangeAspect="1" noChangeArrowheads="1"/>
                    </pic:cNvPicPr>
                  </pic:nvPicPr>
                  <pic:blipFill>
                    <a:blip r:embed="rId81"/>
                    <a:stretch>
                      <a:fillRect/>
                    </a:stretch>
                  </pic:blipFill>
                  <pic:spPr bwMode="auto">
                    <a:xfrm>
                      <a:off x="0" y="0"/>
                      <a:ext cx="5962650" cy="7715250"/>
                    </a:xfrm>
                    <a:prstGeom prst="rect">
                      <a:avLst/>
                    </a:prstGeom>
                  </pic:spPr>
                </pic:pic>
              </a:graphicData>
            </a:graphic>
          </wp:inline>
        </w:drawing>
      </w:r>
      <w:r>
        <w:rPr/>
        <w:t xml:space="preserve"> </w:t>
      </w:r>
    </w:p>
    <w:p>
      <w:pPr>
        <w:pStyle w:val="TextBody"/>
        <w:jc w:val="right"/>
        <w:rPr>
          <w:rFonts w:ascii="Times New Roman" w:hAnsi="Times New Roman"/>
          <w:color w:val="FFFFFF"/>
          <w:sz w:val="2"/>
        </w:rPr>
      </w:pPr>
      <w:r>
        <w:rPr>
          <w:rFonts w:ascii="Times New Roman" w:hAnsi="Times New Roman"/>
          <w:color w:val="FFFFFF"/>
          <w:sz w:val="2"/>
        </w:rPr>
        <w:t xml:space="preserve">Using a black ink pen, mark your votes with an X as shown in this example. Please do not write outside the designated areas. 2021 Annual Meeting Proxy Card IF VOTING BY MAIL, SIGN, DETACH AND RETURN THE BOTTOM PORTION IN THE ENCLOSED ENVELOPE. A Proposals - The Board of Directors recommend a vote FOR all the nominees listed and FOR Proposals 2 and 3. 1. To elect ten directors to serve until the next annual meeting of stockholders and to serve until their successors are elected and qualified: For Against Abstain 01 - Howard M. Berk 04 - Richard J. Dahl 07 - Caroline W. Nahas 02 - Daniel J. Brestle 05 - Michael C. Hyter 08 - Douglas M. Pasquale 03 - Susan M. Collyns 06 - Larry A. Kay 09 - John W. Peyton 10 - Lilian C. Tomovich 2. Ratification of the appointment of Ernst &amp; Young LLP as the Corporation's independent auditor for the fiscal year ending December 31, 2021. 3. Approval, on an advisory basis, of the compensation of the Corporation's named executive officers.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 P X 03ESCD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5962650" cy="7715250"/>
            <wp:effectExtent l="0" t="0" r="0" b="0"/>
            <wp:docPr id="9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1" descr=""/>
                    <pic:cNvPicPr>
                      <a:picLocks noChangeAspect="1" noChangeArrowheads="1"/>
                    </pic:cNvPicPr>
                  </pic:nvPicPr>
                  <pic:blipFill>
                    <a:blip r:embed="rId82"/>
                    <a:stretch>
                      <a:fillRect/>
                    </a:stretch>
                  </pic:blipFill>
                  <pic:spPr bwMode="auto">
                    <a:xfrm>
                      <a:off x="0" y="0"/>
                      <a:ext cx="5962650" cy="7715250"/>
                    </a:xfrm>
                    <a:prstGeom prst="rect">
                      <a:avLst/>
                    </a:prstGeom>
                  </pic:spPr>
                </pic:pic>
              </a:graphicData>
            </a:graphic>
          </wp:inline>
        </w:drawing>
      </w:r>
      <w:r>
        <w:rPr/>
        <w:t xml:space="preserve"> </w:t>
      </w:r>
    </w:p>
    <w:p>
      <w:pPr>
        <w:pStyle w:val="TextBody"/>
        <w:spacing w:before="0" w:after="283"/>
        <w:jc w:val="right"/>
        <w:rPr>
          <w:rFonts w:ascii="Times New Roman" w:hAnsi="Times New Roman"/>
          <w:color w:val="FFFFFF"/>
          <w:sz w:val="2"/>
        </w:rPr>
      </w:pPr>
      <w:r>
        <w:rPr>
          <w:rFonts w:ascii="Times New Roman" w:hAnsi="Times New Roman"/>
          <w:color w:val="FFFFFF"/>
          <w:sz w:val="2"/>
        </w:rPr>
        <w:t xml:space="preserve">Important notice regarding the Internet availability of proxy materials for the Annual Meeting of Stockholders. The material is available at: www.edocumentview.com/DIN IF VOTING BY MAIL, SIGN, DETACH AND RETURN THE BOTTOM PORTION IN THE ENCLOSED ENVELOPE. Dine Brands Global, Inc. Notice of 2021 Annual Meeting of Stockholders Proxy Solicited by Board of Directors for Annual Meeting - May 11, 2021 John W. Peyton and Christine K. Son, or any of them, each with the power of substitution, are hereby authorized to represent and vote the shares of the undersigned, with all the powers which the undersigned would possess if personally present, at the Annual Meeting of Stockholders of Dine Brands Global, Inc. to be held on May 11, 2021 or at any postponement or adjournment thereof. Shares represented by this proxy will be voted by the stockholder. If no such directions are indicated, the Proxies will have authority to vote FOR the election of the Board of Directors and FOR items 2 and 3. In their discretion, the Proxies are authorized to vote upon such other business as may properly come before the meeting. (Items to be voted appear on reverse side)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w:charset w:val="00"/>
    <w:family w:val="auto"/>
    <w:pitch w:val="default"/>
  </w:font>
  <w:font w:name="SYMBO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74</Pages>
  <Words>37187</Words>
  <CharactersWithSpaces>234589</CharactersWithSpaces>
  <Paragraphs>8438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