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1200" w:hanging="753"/>
        <w:spacing w:after="0"/>
        <w:tabs>
          <w:tab w:leader="none" w:pos="12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w:t>
      </w:r>
    </w:p>
    <w:p>
      <w:pPr>
        <w:ind w:left="12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3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 w:lineRule="exact"/>
        <w:rPr>
          <w:sz w:val="24"/>
          <w:szCs w:val="24"/>
          <w:color w:val="auto"/>
        </w:rPr>
      </w:pPr>
    </w:p>
    <w:p>
      <w:pPr>
        <w:ind w:left="1200" w:hanging="753"/>
        <w:spacing w:after="0"/>
        <w:tabs>
          <w:tab w:leader="none" w:pos="12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w:t>
      </w:r>
    </w:p>
    <w:p>
      <w:pPr>
        <w:ind w:left="120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5" w:lineRule="exact"/>
        <w:rPr>
          <w:sz w:val="24"/>
          <w:szCs w:val="24"/>
          <w:color w:val="auto"/>
        </w:rPr>
      </w:pPr>
    </w:p>
    <w:p>
      <w:pPr>
        <w:ind w:left="372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24765</wp:posOffset>
            </wp:positionV>
            <wp:extent cx="137160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6858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13716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500" w:type="dxa"/>
            <w:vAlign w:val="bottom"/>
          </w:tcPr>
          <w:p>
            <w:pPr>
              <w:spacing w:after="0"/>
              <w:rPr>
                <w:sz w:val="16"/>
                <w:szCs w:val="16"/>
                <w:color w:val="auto"/>
              </w:rPr>
            </w:pPr>
          </w:p>
        </w:tc>
      </w:tr>
      <w:tr>
        <w:trPr>
          <w:trHeight w:val="247"/>
        </w:trPr>
        <w:tc>
          <w:tcPr>
            <w:tcW w:w="3820" w:type="dxa"/>
            <w:vAlign w:val="bottom"/>
          </w:tcPr>
          <w:p>
            <w:pPr>
              <w:jc w:val="center"/>
              <w:ind w:left="2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500" w:type="dxa"/>
            <w:vAlign w:val="bottom"/>
          </w:tcPr>
          <w:p>
            <w:pPr>
              <w:jc w:val="right"/>
              <w:ind w:right="1701"/>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b w:val="1"/>
                <w:bCs w:val="1"/>
                <w:color w:val="auto"/>
              </w:rPr>
              <w:t>10 West Walnut Street, 5th Floor, Pasadena, California 91103</w:t>
            </w:r>
          </w:p>
        </w:tc>
        <w:tc>
          <w:tcPr>
            <w:tcW w:w="3500" w:type="dxa"/>
            <w:vAlign w:val="bottom"/>
          </w:tcPr>
          <w:p>
            <w:pPr>
              <w:jc w:val="right"/>
              <w:ind w:right="1901"/>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7180" w:type="dxa"/>
            <w:vAlign w:val="bottom"/>
            <w:gridSpan w:val="3"/>
          </w:tcPr>
          <w:p>
            <w:pPr>
              <w:jc w:val="center"/>
              <w:ind w:right="78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5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3820" w:type="dxa"/>
            <w:vAlign w:val="bottom"/>
          </w:tcPr>
          <w:p>
            <w:pPr>
              <w:spacing w:after="0"/>
              <w:rPr>
                <w:sz w:val="24"/>
                <w:szCs w:val="24"/>
                <w:color w:val="auto"/>
              </w:rPr>
            </w:pPr>
          </w:p>
        </w:tc>
        <w:tc>
          <w:tcPr>
            <w:tcW w:w="336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35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6860" w:type="dxa"/>
            <w:vAlign w:val="bottom"/>
            <w:gridSpan w:val="3"/>
          </w:tcPr>
          <w:p>
            <w:pPr>
              <w:jc w:val="center"/>
              <w:ind w:right="31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3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3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24"/>
                <w:szCs w:val="24"/>
                <w:color w:val="auto"/>
              </w:rPr>
            </w:pPr>
          </w:p>
        </w:tc>
        <w:tc>
          <w:tcPr>
            <w:tcW w:w="3140" w:type="dxa"/>
            <w:vAlign w:val="bottom"/>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04"/>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7"/>
                <w:szCs w:val="17"/>
                <w:color w:val="auto"/>
              </w:rPr>
            </w:pPr>
          </w:p>
        </w:tc>
        <w:tc>
          <w:tcPr>
            <w:tcW w:w="3140" w:type="dxa"/>
            <w:vAlign w:val="bottom"/>
          </w:tcPr>
          <w:p>
            <w:pPr>
              <w:jc w:val="center"/>
              <w:ind w:right="385"/>
              <w:spacing w:after="0"/>
              <w:rPr>
                <w:sz w:val="20"/>
                <w:szCs w:val="20"/>
                <w:color w:val="auto"/>
              </w:rPr>
            </w:pPr>
            <w:r>
              <w:rPr>
                <w:rFonts w:ascii="Times New Roman" w:cs="Times New Roman" w:eastAsia="Times New Roman" w:hAnsi="Times New Roman"/>
                <w:sz w:val="16"/>
                <w:szCs w:val="16"/>
                <w:color w:val="auto"/>
                <w:w w:val="98"/>
              </w:rPr>
              <w:t>DIN</w:t>
            </w:r>
          </w:p>
        </w:tc>
        <w:tc>
          <w:tcPr>
            <w:tcW w:w="3500" w:type="dxa"/>
            <w:vAlign w:val="bottom"/>
          </w:tcPr>
          <w:p>
            <w:pPr>
              <w:jc w:val="center"/>
              <w:ind w:right="381"/>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ind w:right="2460"/>
        <w:spacing w:after="0" w:line="334"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5"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3" w:lineRule="exact"/>
        <w:rPr>
          <w:sz w:val="24"/>
          <w:szCs w:val="24"/>
          <w:color w:val="auto"/>
        </w:rPr>
      </w:pPr>
    </w:p>
    <w:p>
      <w:pPr>
        <w:ind w:left="380"/>
        <w:spacing w:after="0" w:line="161" w:lineRule="exact"/>
        <w:tabs>
          <w:tab w:leader="none" w:pos="2180" w:val="left"/>
          <w:tab w:leader="none" w:pos="2560" w:val="left"/>
          <w:tab w:leader="none" w:pos="3960" w:val="left"/>
          <w:tab w:leader="none" w:pos="4300" w:val="left"/>
          <w:tab w:leader="none" w:pos="6160" w:val="left"/>
          <w:tab w:leader="none" w:pos="8400" w:val="left"/>
          <w:tab w:leader="none" w:pos="106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9" w:lineRule="exact"/>
        <w:rPr>
          <w:sz w:val="24"/>
          <w:szCs w:val="24"/>
          <w:color w:val="auto"/>
        </w:rPr>
      </w:pPr>
    </w:p>
    <w:p>
      <w:pPr>
        <w:ind w:right="580"/>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9" w:lineRule="exact"/>
        <w:rPr>
          <w:sz w:val="24"/>
          <w:szCs w:val="24"/>
          <w:color w:val="auto"/>
        </w:rPr>
      </w:pPr>
    </w:p>
    <w:p>
      <w:pPr>
        <w:ind w:right="2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0"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June 30, 2024 was $522.1 million.</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2025, the Registrant ha</w:t>
      </w:r>
      <w:r>
        <w:rPr>
          <w:rFonts w:ascii="Times New Roman" w:cs="Times New Roman" w:eastAsia="Times New Roman" w:hAnsi="Times New Roman"/>
          <w:sz w:val="17"/>
          <w:szCs w:val="17"/>
          <w:color w:val="auto"/>
        </w:rPr>
        <w:t>d 15,253,787</w:t>
      </w:r>
      <w:r>
        <w:rPr>
          <w:rFonts w:ascii="Times New Roman" w:cs="Times New Roman" w:eastAsia="Times New Roman" w:hAnsi="Times New Roman"/>
          <w:sz w:val="16"/>
          <w:szCs w:val="16"/>
          <w:color w:val="auto"/>
        </w:rPr>
        <w:t xml:space="preserve"> shares of Common Stock outstanding.</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 w:name="page2"/>
    <w:bookmarkEnd w:id="1"/>
    <w:p>
      <w:pPr>
        <w:jc w:val="center"/>
        <w:spacing w:after="0" w:line="261" w:lineRule="auto"/>
        <w:rPr>
          <w:sz w:val="20"/>
          <w:szCs w:val="20"/>
          <w:color w:val="auto"/>
        </w:rPr>
      </w:pPr>
      <w:r>
        <w:rPr>
          <w:rFonts w:ascii="Times New Roman" w:cs="Times New Roman" w:eastAsia="Times New Roman" w:hAnsi="Times New Roman"/>
          <w:sz w:val="14"/>
          <w:szCs w:val="14"/>
          <w:color w:val="auto"/>
        </w:rPr>
        <w:t>Portions of the Proxy Statement for the Annual Meeting of Stockholders to be held on Tuesday, May 14, 2025 are incorporated by reference into Part III of this Annual Report on Form 10-K where indicated. Except as expressly incorporated by reference, the registrant’s Proxy Statement shall not be deemed to be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267970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49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980" w:type="dxa"/>
            <w:vAlign w:val="bottom"/>
            <w:gridSpan w:val="27"/>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9980" w:type="dxa"/>
            <w:vAlign w:val="bottom"/>
            <w:gridSpan w:val="27"/>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1—Business</w:t>
            </w:r>
          </w:p>
        </w:tc>
        <w:tc>
          <w:tcPr>
            <w:tcW w:w="9120" w:type="dxa"/>
            <w:vAlign w:val="bottom"/>
            <w:gridSpan w:val="22"/>
          </w:tcPr>
          <w:p>
            <w:pPr>
              <w:spacing w:after="0"/>
              <w:rPr>
                <w:sz w:val="19"/>
                <w:szCs w:val="19"/>
                <w:color w:val="auto"/>
              </w:rPr>
            </w:pPr>
          </w:p>
        </w:tc>
        <w:tc>
          <w:tcPr>
            <w:tcW w:w="4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1A—Risk Factors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1B—Unresolved Staff Comments</w:t>
            </w:r>
          </w:p>
        </w:tc>
        <w:tc>
          <w:tcPr>
            <w:tcW w:w="7600" w:type="dxa"/>
            <w:vAlign w:val="bottom"/>
            <w:gridSpan w:val="1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1C—Cybersecurity</w:t>
            </w:r>
          </w:p>
        </w:tc>
        <w:tc>
          <w:tcPr>
            <w:tcW w:w="7600" w:type="dxa"/>
            <w:vAlign w:val="bottom"/>
            <w:gridSpan w:val="1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2—Properties</w:t>
            </w:r>
          </w:p>
        </w:tc>
        <w:tc>
          <w:tcPr>
            <w:tcW w:w="8640" w:type="dxa"/>
            <w:vAlign w:val="bottom"/>
            <w:gridSpan w:val="19"/>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3—Legal Proceedings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4—Mine Safety Disclosures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5—Market for Registrant's Common Equity, Related Stockholder Matters and Issuer Purchases of Equity Securities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7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6—Reserved</w:t>
            </w:r>
          </w:p>
        </w:tc>
        <w:tc>
          <w:tcPr>
            <w:tcW w:w="17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Item 7—Management's Discussion and Analysis of Financial Condition and Results of Operations</w:t>
            </w:r>
          </w:p>
        </w:tc>
        <w:tc>
          <w:tcPr>
            <w:tcW w:w="3320" w:type="dxa"/>
            <w:vAlign w:val="bottom"/>
            <w:gridSpan w:val="4"/>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Item 7A—Quantitative and Qualitative Disclosures about Market Risk</w:t>
            </w:r>
          </w:p>
        </w:tc>
        <w:tc>
          <w:tcPr>
            <w:tcW w:w="2000" w:type="dxa"/>
            <w:vAlign w:val="bottom"/>
            <w:gridSpan w:val="3"/>
          </w:tcPr>
          <w:p>
            <w:pPr>
              <w:spacing w:after="0"/>
              <w:rPr>
                <w:sz w:val="18"/>
                <w:szCs w:val="18"/>
                <w:color w:val="auto"/>
              </w:rPr>
            </w:pPr>
          </w:p>
        </w:tc>
        <w:tc>
          <w:tcPr>
            <w:tcW w:w="3320" w:type="dxa"/>
            <w:vAlign w:val="bottom"/>
            <w:gridSpan w:val="4"/>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8—Financial Statements and Supplementary Data</w:t>
            </w:r>
          </w:p>
        </w:tc>
        <w:tc>
          <w:tcPr>
            <w:tcW w:w="5320" w:type="dxa"/>
            <w:vAlign w:val="bottom"/>
            <w:gridSpan w:val="7"/>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9—Changes in and Disagreements with Accountants on Accounting and Financial Disclosure</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5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9A—Controls and Procedures</w:t>
            </w:r>
          </w:p>
        </w:tc>
        <w:tc>
          <w:tcPr>
            <w:tcW w:w="4560" w:type="dxa"/>
            <w:vAlign w:val="bottom"/>
            <w:tcBorders>
              <w:top w:val="single" w:sz="8" w:color="0000FF"/>
            </w:tcBorders>
            <w:gridSpan w:val="10"/>
          </w:tcPr>
          <w:p>
            <w:pPr>
              <w:spacing w:after="0"/>
              <w:rPr>
                <w:sz w:val="18"/>
                <w:szCs w:val="18"/>
                <w:color w:val="auto"/>
              </w:rPr>
            </w:pPr>
          </w:p>
        </w:tc>
        <w:tc>
          <w:tcPr>
            <w:tcW w:w="33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9B—Other Information</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6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Item 9C—Disclosure Regarding Foreign Jurisdictions that Prevent Inspections</w:t>
            </w:r>
          </w:p>
        </w:tc>
        <w:tc>
          <w:tcPr>
            <w:tcW w:w="4740" w:type="dxa"/>
            <w:vAlign w:val="bottom"/>
            <w:gridSpan w:val="6"/>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840" w:type="dxa"/>
            <w:vAlign w:val="bottom"/>
            <w:gridSpan w:val="24"/>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48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10—Directors, Executive Officers and Corporate Governance</w:t>
            </w:r>
          </w:p>
        </w:tc>
        <w:tc>
          <w:tcPr>
            <w:tcW w:w="558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11—Executive Compensation</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0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12—Security Ownership of Certain Beneficial Owners and Management and Related Stockholder Matters</w:t>
            </w:r>
          </w:p>
        </w:tc>
        <w:tc>
          <w:tcPr>
            <w:tcW w:w="23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2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13—Certain Relationships and Related Transactions, and Director Independence</w:t>
            </w:r>
          </w:p>
        </w:tc>
        <w:tc>
          <w:tcPr>
            <w:tcW w:w="422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14—Principal Accountant Fees and Services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Item 15—Exhibits and Financial Statement Schedules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16—Form 10-K Summary</w:t>
            </w:r>
          </w:p>
        </w:tc>
        <w:tc>
          <w:tcPr>
            <w:tcW w:w="1600" w:type="dxa"/>
            <w:vAlign w:val="bottom"/>
            <w:tcBorders>
              <w:top w:val="single" w:sz="8" w:color="0000FF"/>
            </w:tcBorders>
            <w:gridSpan w:val="6"/>
          </w:tcPr>
          <w:p>
            <w:pPr>
              <w:spacing w:after="0"/>
              <w:rPr>
                <w:sz w:val="18"/>
                <w:szCs w:val="18"/>
                <w:color w:val="auto"/>
              </w:rPr>
            </w:pPr>
          </w:p>
        </w:tc>
        <w:tc>
          <w:tcPr>
            <w:tcW w:w="6520" w:type="dxa"/>
            <w:vAlign w:val="bottom"/>
            <w:gridSpan w:val="10"/>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and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this Annual Report on Form 10-K for the fiscal year ended December 31, 2024, and in the Corporation's other filings with the Securities and Exchange Commission, many of which are beyond our control.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Year-End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2024, 2023 and 2022 fiscal years that ended December 29, 2024, December 31, 2023, and January 1, 2023,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together with its subsidiaries (referred to as the “Company,” “Dine Brands Global,” “we,” “our” and “us”), owns and franchises the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acquired in December 2022.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or by us. As of December 31, 2024, the substantial majority of our 3,555 restaurants across all brands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revenue during the year ended December 31, 2024 from four reporting segments, comprised as follows:</w:t>
      </w:r>
    </w:p>
    <w:p>
      <w:pPr>
        <w:spacing w:after="0" w:line="117" w:lineRule="exact"/>
        <w:rPr>
          <w:sz w:val="20"/>
          <w:szCs w:val="20"/>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operations - consist of Applebee’s, IHOP and Fuzzy's, generating royalties, advertising fees and other income from 1,567 Applebee’s franchised restaurants, 1,824 IHOP franchised and area licensed restaurants, and 116 Fuzzy's franchised restaurants;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operations - primarily rental income derived from lease or sublease agreements covering 554 IHOP franchised restaurants and two Applebee’s franchised restaurants;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operations - primarily interest income from approximately $13 million of receivables for equipment leases and franchise fee notes generally associated with IHOP franchised restaurants developed before 2003 and approximately $14 million of notes receivable from franchisees;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operations - primarily retail sales from 47 company-operated Applebee's restaurants we acquired from franchisees in November 2024 and one company-operated Fuzzy's restaurant.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revenue is derived from domestic sources within these four reporting segments, with approximately 83% of our total revenues for the year ended December 31, 2024 being generated from our two largest franchise operating segments, Applebee's and IHOP. Internationally, our restaurants are in 19 countries and two United States territories at December 31, 2024. Revenue derived from all international operations comprised less than 3% of total consolidated revenue for the year ended December 31, 2024. At December 31, 2024, there were no long-lived assets located outside of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accelerate profitable growth and create significant value for stockholders and franchisees.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fundamental approach to restaurant brand building centers on innovation and evolution of our existing brands as well as exploring investments in or acquisitions of new concepts. We intend to leverage our significant scale and our franchise business model to drive robust margins and cash flows. We are actively supporting our brands with focused teams that are accountable at the brand level to drive strong performance. Together with our franchisees, significant investments have been made and will continue to be made in marketing across traditional and digital channels to drive traffic to our restaurants. We are investing in technology to create more ways for customers to access our brands and in growth platforms such as online ordering, off-premise business and delivery. We work alongside our franchisees to develop new restaurants across the globe. We will focus on capital allocation strategies to maximize long-term stockholder return, including cash dividends and repurchases of our common stock, taking into consideration market conditions. Furthermore, we will continue to evaluate the addition of new brands to our restaurant portfolio through acquisitions and other strategic investments.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IHOP restaurant opened in 1958 in Toluca Lake, California. Since that time, the Company and its predecessors have engaged in the development, franchising and, from time to time,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restaurant in what became the Applebee’s chain opened in 1980 in Decatur, Georgia. Applebee's International, Inc, (“AII”) became a public company in 1989, then comprised of 100 restaurants. In November 2007, we completed the acquisition of AII, which comprised 1,455 franchised restaurants and 510 company-operated restaurants at the time of the acquisition. We subsequently refranchised all Applebee's company-operated restaurants and were 100% franchised. In December 2018, we acquired 69 Applebee’s restaurants from a franchisee and operated them as company restaurants through October 2022 when we completed the sale of these restaurants to a different franchisee. In November 2024, we acquired 56 Applebee's restaurants from franchisees, of which nine were simultaneously refranchised to a different franchisee. We currently operate 47 Applebee's restaurants as company restaurants.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Fuzzy’s Taco Shop opened in 2003 in Fort Worth, Texas and the first franchised location opened in 2009. Since that time, Fuzzy’s has engaged in the development, franchising, and operation of Fuzzy’s Taco Shops. In December 2022, we completed the acquisition of Fuzzy’s, which consisted of 135 franchised restaurants and three company-operated restaurants at the time of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Concepts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Applebee's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franchise Applebee’s restaurants in the American full-service restaurant segment within the casual dining category of the restaurant industry. As one of the world’s largest casual dining brands, Applebee’s Neighborhood Grill + Bar offers guests a dining experience that combines simple American fare with classic drinks and local draft beers. Applebee’s offers a familiar and affordable escape from the everyday, whether family and friends choose to connect with one another in the Applebee’s dining room or in the comfort of their living room. This is why Applebee’s is Eatin’ Good in the Neighborhood™.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Applebee’s provides multiple options for our guests to enjoy our food on the go or at home including online ordering, a mobile app, Carside To Go, and delivery service providers.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Applebee's restaurants are 97.1% franchisee owned and operated with 57 franchise groups (30 domestic and 27 international) operating 1,567 Applebee’s franchise restaurants (1,454 domestic and 113 international). We operated 47 Applebee's restaurants acquired from franchisees in November 2024. As of December 31, 2024, Applebee's restaurants were located in 49 states within the United States, two United States territories and 15 countries outside of the United States. The June 2024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one of the largest restaurant chains in the casual dining segment, in terms of United States system-wide sales during 2023.</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IHOP</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franchise restaurants in the midscale full-service restaurant segment within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initiatives and development. Focused on meeting the needs of today’s guest, IHOP leverages industry analytics and brand-specific insights to help drive visit frequency and increase average check.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 restaurants are open throughout the day and evening hours. As of December 31, 2024, approximately 663 IHOP restaurants operated 24 hours a day, seven days a week, with approximately 202 additional restaurants operating 24 hours a day for some portion of the week. In comparison, approximately 621 IHOP restaurants operated 24 hours a day, seven days a week, with approximately 200 additional restaurants operating 24 hours a day for some portion of the week as of December 31,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committed to giving more people, more reasons to enjoy more IHOP, more often. Placing an emphasis on building its IHOP ‘N’ Go business, IHOP offers an online ordering platform, a mobile app, and a national delivery program with leading service providers. In 2022, IHOP launched the International Bank of Pancakes, our brand's first-ever loyalty program, with the goal to increase visit frequency and spend from participating guests. Additionally, we continue to maintain and enhance our in-restaurant health safety and sanitation operational procedures in order to protect the health and foster the confidence of employees and guests at the restaurants.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263 franchise groups (235 domestic, 28 international) operated 1,824 IHOP franchise and area license restaurants. These restaurants were in 49 states within the United States, in the District of Columbia, in two United States territories and in 14 countries outside of the United States. The June 2024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chain in the midscale family-style segment in terms of United States system-wide sales during 2023.</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Fuzzy's Taco Shop</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our acquisition in December 2022, we began franchising and operating restaurants in the Mexican limited-service restaurant segment within the fast-casual dining category of the restaurant industry under the name, Fuzzy’s Taco Shop. Fuzzy's restaurants feature a number of menu items including Baja-style Mexican food like Baja tacos, chips and queso, guacamole and salsa made in house, and a full bar including margaritas, our "Beeritas" and a selection of cold draft beer, all served in a laid back and inviting setting. Fuzzy’s offers its guests the flexibility of an online ordering platform and loyalty program. As of December 31, 2024, 37 franchise groups operated 116 restaurants in 15 states within the United States and we had one company restaurant in Texas.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2 - Properties,</w:t>
      </w:r>
      <w:r>
        <w:rPr>
          <w:rFonts w:ascii="Times New Roman" w:cs="Times New Roman" w:eastAsia="Times New Roman" w:hAnsi="Times New Roman"/>
          <w:sz w:val="18"/>
          <w:szCs w:val="18"/>
          <w:color w:val="auto"/>
        </w:rPr>
        <w:t xml:space="preserve"> for the geographic location of all Applebee’s, IHOP, and Fuzzy's restaurants.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Franchisee Relationships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value good relationships with our franchisees and strive to maintain positive working relationships with them. Applebee’s, IHOP and Fuzzy’s franchisees participate in Company-sponsored advisory groups. These groups provide a forum for franchisees to share demonstrated best practices, offer counsel and review successful strategies, while working side-by-side with management of the Applebee's, IHOP and Fuzzy’s brands. Applebee’s sponsors its Franchise Business Council (“FBC”), which consists of eight elected franchisee representatives and three Applebee's representatives. IHOP sponsors its Franchise Leadership Council (“FLC”), an elected and appointed body of up to 14 IHOP franchisees. Fuzzy’s sponsors its Franchise Advisory Council (“FAC”), an elected body of eight Fuzzy’s franchisees plus a Fuzzy’s representative.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Agreements and Fees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 arrangements for Applebee's restaurants typically consist of a development agreement and a separate franchise agreement for each restaurant. Development agreements may or may not grant to the franchisee the exclusive right to develop Applebee's restaurants within a designated geographical area over a specified period of time. The term of a domestic development agreement ranges from one to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opening of each new Applebee's restaurant, we enter into a separate franchise agreement with the franchisee for that restaurant. Our current standard domestic Applebee's franchise agreement provides for an initial term of 20 years and an option for four successive renewal terms, in five-year increments, for up to an additional 20 years, upon payment of an additional franchise fee. Our current standard domestic Applebee's franchise arrangement calls for a development fee of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Current IHOP Business Model, a potential franchisee that is approved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restaurant franchise agreement, in each case paid upon execution of the franchise agreement; (d) franchise royalties equal to 4.5% of weekly gross sales; (e) revenue from the sale of our proprietary pancake and waffle dry mixes; and (f) franchise advertising fees.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Franchise arrangements for Fuzzy’s restaurants typically consist of a development agreement and a separate franchise agreement for each restaurant opened. Development agreements obligate the developer to build a mutually agreed on number of restaurants in the development area during the term of the development agreement and typically provide that, subject to certain exceptions, we will not own, operate, or grant anyone else the right to operate a Fuzzy’s restaurant in the development area during the term of the development agreement. Our current standard development fee is generally $40,000 per restaurant and is credited towards the initial franchise fee for such restaurant.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opening of each new Fuzzy’s restaurant, we will enter into a separate franchise agreement with the franchisee for that restaurant. Our current standard franchise offering provides for an initial term of 10 years and provides, subject to certain conditions, the ability to renew for two additional 10-year terms, upon payment of a renewal fee. Our current standard franchise fees are an initial franchise fee of $40,000 per restaurant, a royalty fee of 5% of weekly gross sales, and a renewal fee of $5,000 per renewal term. We also earn revenue from franchisees from sale of our proprietary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From time to time, we may also offer reduced or eliminated initial franchise fees, key money grants, equipment leasing options, and periods of reduced royalties as development incentives to encourage the development of new restaurants.</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Advertising Fees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Applebee's franchise agreements generally require domestic franchisees of Applebee's restaurants to (i) contribute 3.25% of their gross sales to a national advertising fund, which funds the development of national promotions, television and radio commercials, print advertising materials and digital marketing,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 substantial majority of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A substantial majority of franchisees who entered into amendments agreed to an incremental temporary increase in the national advertising contribution rate to 4.25% through December 31, 2025, with no requirement that franchisees spend on local marketing during that time.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IHOP franchisees allocate a percentage of their sales to local advertising cooperatives and a national advertising fund (the “IHOP NAF”). Older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may be disseminated in various media, including television, radio, print, point of sale, www.ihop.com, mobile app, outdoor banners, billboards, online, digital, social media and other emerging media on a national, regional or local level, though most advertising is national.</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and in 2022 it was further extended through 2027. Commencing on January 1, 2028, the local advertising fee and the national advertising fee are subject to change. The current form of IHOP franchise agreement generally provides for advertising fees comprised of (i) a local advertising fee equal to 0% of gross sales under the franchise agreement, and (ii) a national advertising fee equal to 3.5% of weekly gross sales under the franchise agreement.</w:t>
      </w:r>
    </w:p>
    <w:p>
      <w:pPr>
        <w:spacing w:after="0" w:line="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Fuzzy’s franchise agreements generally require Fuzzy’s franchisees to contribute to a national brand development fund (the “Fuzzy’s Development Fund”) intended for the common benefit of all Fuzzy’s restaurants. The Fuzzy’s Development Fund may be used for a variety of matters including but not limited to creative development services, marketing services, culinary development, third party services to franchisees, advertising, and website production. Currently, the standard form of new franchise agreement calls for contributions to the Fuzzy’s Development Fund at the rate of 2% of weekly gross sales.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IHOP Area License Agreements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four long-term area license agreements for IHOP restaurants covering the state of Florida and certain counties in the state of Georgia, the province of British Columbia, Canada, the country of Pakistan, and certain countries or islands in the Caribbean, including Aruba, Bonaire and Curacao, Bahamas, Barbados, Guyana, Jamaica, St. Lucia, St. Maarten and Trinidad &amp; Tobago. The area license agreements provide the licensees with the right to develop and franchise new IHOP restaurants in their respective territories and provide for royalties ranging from 1.0% to 5.5%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2027. We also derive revenues from the sale of proprietary products to these area licensees and, in certain instances, to their sub-franchisees. Revenues from our area licensees are included in franchise operations revenues.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area licensee for the state of Florida and certain counties in Georgia operated or sub-franchised a total of 146 IHOP restaurants. The area licensee for the province of British Columbia, Canada operated or sub-franchised a total of eight IHOP restaurants. The area licensee for the country of Pakistan opened its first franchise IHOP restaurant in 2020 and may begin to sub-license restaurants once a required number of franchise restaurants have been opened. The area licensee for the Caribbean also may begin to sub-license restaurants once a required number of franchise restaurants have been opened. The area license for British Columbia expires in 2026; the area license for Pakistan expires in 2047; the area license for the Caribbean expires after the year 2042, with the date of expiration changing depending on the number of qualified restaurant openings and closures by such licensee; and the area license for Florida and Georgia expires after the year 2100, with the date of expiration changing depending on the number of qualified restaurant openings and closures by such licensee.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Franchise-related Revenues and Fees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89% of franchise segment revenue for the year ended December 31, 2024 consisted of Applebee's, IHOP and Fuzzy's royalties and advertising revenue. Most of the remaining 11% consisted of sales of proprietary products (primarily IHOP pancake and waffle dry mix), initial franchise and renewal fees, and software maintenance and support fees.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International Franchising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Domestic and International Franchise Restaurant Development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signed commitments from IHOP franchisees to build 285 IHOP restaurants over the next six years, comprised of eight restaurants under single restaurant or non-traditional development agreements, 98 restaurants under domestic multi-restaurant development agreements and 179 restaurants under international development agreements. We also have signed option agreements to build an additional 11 restaurants over the next four years, primarily under domestic multi-restaurant development agreements. As of December 31, 2024, we had signed commitments from Fuzzy's franchisees to build 122 Fuzzy's Taco Shop restaurants over the next eight years. As of December 31, 2024, we had signed commitments from Applebee's franchisees to build approximately nine domestic restaurants and approximately 59 international restaurants over the next six years. Developers’ level of compliance with development obligations varies per year and could change; therefore, the number of signed commitment and/or development agreements in place at any given time may not be a reliable indicator of future restaurant openings.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Operations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Composition of Franchise Systems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30 Applebee’s franchisees owned a total of 1,454 domestic Applebee's restaurants. The number of domestic restaurants held by a single franchisee ranged from one restaurant to 460 restaurants. As of December 31, 2024, 27 franchisees owned a total of 113 international Applebee's restaurants. The number of international restaurants held by a single franchisee ranged from one restaurant to 12 restaurants. Our five largest Applebee’s franchisees owned 56% of the total 1,567 Applebee's franchise restaurants.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235 franchisees owned a total of 1,694 domestic IHOP restaurants, including 87 franchisees that each owned one restaurant. The largest single IHOP franchisee owned 263 domestic restaurants. As of December 31, 2024, 28 franchisees owned a total of 130 international IHOP franchise restaurants. The number of international restaurants held by a single franchisee ranged from one restaurant to 20 restaurants. Our five largest IHOP franchisees owned 31% of the total 1,824 IHOP franchise restaurants.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37 franchisees owned a total of 116 domestic Fuzzy's Taco Shop restaurants. The largest single Fuzzy's franchisee owned 12 domestic restaurants. Our five largest Fuzzy's franchisees owned 40% of the total 116 Fuzzy's franchise restaurants.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Restaurants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acquired 56 Applebee's restaurants across Georgia, Texas, Arkansas, Illinois, Kentucky, Tennessee, Mississippi and Missouri from franchisees, of which nine in Texas were simultaneously refranchised to a different franchisee. We currently operate the remaining 47 Applebee's restaurants as company restaurants.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2022, we acquired three company-operated Fuzzy's Taco Shop restaurants in Texas in connection with our acquisition of Fuzzy's, of which two were subsequently refranchised in the second quarter of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and monitor opportunities to refranchise company operated restaurants under favorable circumstances. Our business strategy includes the possible addition of new brands to our restaurant portfolio, which may result in our acquiring additional company-operated restaurants.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also may acquire a small number of restaurants from franchisees for a variety of reasons. Historically, we have been able to refranchise these restaurants to new franchisees. When acquired restaurants are not refranchised quickly, we typically operate the acquired restaurants until they can be refranchised. These restaurants may require investments in remodeling and rehabilitation before they can be refranchised. As a result, an acquired restaurant may incur operating losses for some period of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2024, 100% of Applebee's domestic franchise restaurants and 100% of IHOP domestic franchise restaurants were members of CSCS.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CSCS combines the purchasing volume for goods, equipment and distribution services within and across the Applebee's and IHOP concepts. Its mission is to achieve for its members the benefit of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Competition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Applebee's, IHOP and Fuzzy's are among the numerous restaurant chains and independent restaurants competing in the restaurant industry in the United States. The restaurant industry is generally classified into categories and segments based on various factors including price point ranges, the types of food and beverages offered, and the types of service available to customers. These categories include, among others, fast food or quick service restaurants, fast-casual dining, family dining, casual dining and fine dining. These segments include, among others, American full-service, midscale full-service and Mexican limited-service. Casual dining restaurants offer full table service and typically have bars or serve liquor, wine and beer, while family dining restaurants offer full table service, typically do not have bars or serve liquor, and usually offer breakfast in addition to lunch and dinner items. Fast-casual dining restaurants offer limited table service and are an intermediate concept between fast-food and casual dining that combine the quick service of a fast-food joint with an elevated menu of healthier, less processed food options.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Applebee's competes in the casual dining category against national and multi-state restaurant chains such as Buffalo Wild Wings, Olive Garden, Chili's Grill &amp; Bar, Texas Roadhouse and Outback Steakhouse, among others, as well as fast-casual and quick service restaurant chains. In addition, there are many independent restaurants across the country in the casual dining segment. Applebee's is in the American full-service restaurant segment in the restaurant industry. The June 2024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one of the largest restaurant chains in the casual dining segment, in terms of United States system-wide sales during 2023.</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IHOP competes in the family dining category against national and multi-state restaurant chains such as Denny's, Cracker Barrel Old Country Store, Golden Corral, Waffle House and Bob Evans Restaurants. IHOP also faces competition from fast-casual and quick service restaurant chains that serve breakfast. In addition, there are many independent restaurants and diners across the country in the family dining segment. IHOP is in the midscale full-service restaurant segment in the restaurant industry. The June 2024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chain in the midscale family-style segment in terms of United States system-wide sales during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competes in the fast-casual dining category against national and multi-state restaurant chains such as Velvet Taco, Torchy's Tacos, and Rusty Taco, among others, as well as casual and quick service restaurant chains. In addition, there are many independent restaurants across the country in the fast-casual dining segment. Fuzzy's is in the Mexican limited-service restaurant segment in the restaurant industry.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and our affiliates have registered or submitted registrations for certain trademarks and service marks with the United States Patent and Trademark Office and various international jurisdictions, including “Dine Brands Global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own trademarks and service marks used in the Applebee's system, including various logos and the trademarks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jc w:val="both"/>
        <w:spacing w:after="0" w:line="239" w:lineRule="auto"/>
        <w:rPr>
          <w:sz w:val="20"/>
          <w:szCs w:val="20"/>
          <w:color w:val="auto"/>
        </w:rPr>
      </w:pPr>
      <w:r>
        <w:rPr>
          <w:rFonts w:ascii="Times New Roman" w:cs="Times New Roman" w:eastAsia="Times New Roman" w:hAnsi="Times New Roman"/>
          <w:sz w:val="18"/>
          <w:szCs w:val="18"/>
          <w:color w:val="auto"/>
        </w:rPr>
        <w:t>“Applebee's Neighborhood Grill + Bar®” and variations of each. In addition, we own trademarks and service marks used in the IHOP system, including various logos and the trademarks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“International House of Pancakes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variations of each. Further, we own trademarks and service marks used in the Fuzzy’s system, including various logos and the trademark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such.</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some of our trademarks and service marks and believe these domain name registrations are an integral part of our identity. From time to time, we may take appropriate legal action to defend and protect the use of our intellectual property.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in-house developed and third-party point of sale systems for order processing, and back-of-the house systems for accounting, labor and inventory management in our franchisees' restaurants. We utilize a variety of proprietary and commercially available systems to support our corporate operations.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Protection of financial and personal information is a high priority for us, led by our Cybersecurity Department with a committee representing key functional areas. We continue to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and for information regarding Cybersecurity, see </w:t>
      </w:r>
      <w:r>
        <w:rPr>
          <w:rFonts w:ascii="Times New Roman" w:cs="Times New Roman" w:eastAsia="Times New Roman" w:hAnsi="Times New Roman"/>
          <w:sz w:val="18"/>
          <w:szCs w:val="18"/>
          <w:i w:val="1"/>
          <w:iCs w:val="1"/>
          <w:color w:val="auto"/>
        </w:rPr>
        <w:t>Item 1C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consider our operations to be seasonal to a material degree. We may experience a slight increase in system-wide sales in the first quarter of our fiscal year due to redemptions of gift cards sold during the preceding December holiday season. In terms of average sales over the five-year time period covering 2019 to 2024, excluding the year 2020, 25% of our annual system-wide sales (retail sales reported to us by our franchisees plus sales at our company-operated restaurants) occurred in each of the first, third and fourth quarters of the fiscal year, with 26% occurring in the second quarter (Note: does not add to 100% due to rounding). The 2020 time period was excluded in the five-year average above due to distortions caused by the COVID-19 pandemic in that year. Sales at restaurants owned by franchisees are not attributable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 unless an exemption applies.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cause” to exist as a basis for the termination and/or non-renewal, advance notice to the franchisee of the termination or non-renewal, an opportunity to cure a default and/or a repurchase of inventory or other compensation upon termination, these provisions have not historically had a significant effect on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restaurant is subject to licensing and regulation by a number of governmental authorities, which may include liquor license authorities (primarily in the case of Applebee's and Fuzzy's restaurants), health, sanitation, safety, fire, building and other agencies in the state or municipality in which the restaurant is located.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minimum wages, paid leaves of absence, mandated health benefits, changes to the tip credit or increased tax reporting and tax payment requirements with respect to employees who receive gratuities could be detrimental to the economic viability of company-operated restaurants and our franchisees' restaurants.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including, without limitation, the California Consumer Privacy Act, California Privacy Rights Act, and Virginia Consumer Data Protection Act. The legislative and regulatory landscape for privacy and data protection continues to evolve, and there has been increased attention in privacy and data protection issues. This has the potential to directly impact our business, especially due to new laws and regulations in the United States and internationally that require notifying individuals and government authorities about security breaches involving certain types of personal information.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also subject to laws and regulations, which may vary from jurisdiction to jurisdiction, relating to nutritional content and menu labeling. 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our team members as one of the three core strategic pillars of our business - People, Brand, and Growth. We believe that hiring, developing and retaining team members is critical to our operations and that our corporate responsibility begins with our team members. We are focused on a comprehensive approach to valuing diversity across leadership, team members, franchisees and the community.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have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We also contribute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encourage and appreciate the diversity of our workforce. We embrace our personal differences - whether it be race, gender, age, religion, culture, ethnicity, sexual orientation, veteran status, national origin or physical ability - and the benefits that an array of backgrounds, cultures and thinking styles bring to our organization. We are committed to sustaining an environment that accepts, includes and engages everyone in our workforce and encourages open dialogue, empowerment and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sense of belonging. While the world and our business change rapidly, our management believes that respecting individual differences will continue to be essential to our long-term success.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six Team Member Resource Groups ("TMRGs") as part of our diversity and inclusion efforts that are open to all employees. TMRGs are team member-led, self-directed, voluntary groups, each sponsored by a member of our Executive team. Our TMRGs offer internal networking opportunities, career development, and expand our innovation and problem solving.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our culture and listen to our workforce through periodic team member engagement surveys. Numerous policy changes have been made or been influenced by the feedback we receive from our team members. A recent example of such a change is our hybrid work schedule, which offers increased flexibility for our restaurant support center team members.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992 employees, of whom 396 were employees of our company restaurants and 596 were corporate employees at our restaurant support centers or in the field. Of our corporate employees, 59% are male and 41% are female, while 54% are white and 46% are people of color. Approximately 84% of our corporate employees are salaried, with 16% paid hourly. Of our company restaurant employees, 44% are male and 56% are female, while 49% are white and 51% are people of color. Nearly 94% of our company restaurant employees are paid on an hourly basis, while certain restaurant and operations management and corporate positions are salaried. At our company restaurants,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are not our employees as independent business owners and their employees also are not our employees. Therefore, franchisees and their employees are not included in our employee count.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1976 with the name IHOP Corp. In November 2007, we completed the acquisition of Applebee’s. Effective June 2, 2008, we changed our name to DineEquity, Inc. and on February 20, 2018, we changed our name to Dine Brands Global, Inc. In December 2022, we completed the acquisition of Fuzzy's. Our principal executive offices are located at 10 West Walnut Street, 5th Floor, Pasadena, California 91103 and our telephone number is (818) 240-6055. Our Internet address is </w:t>
      </w:r>
      <w:r>
        <w:rPr>
          <w:rFonts w:ascii="Times New Roman" w:cs="Times New Roman" w:eastAsia="Times New Roman" w:hAnsi="Times New Roman"/>
          <w:sz w:val="18"/>
          <w:szCs w:val="18"/>
          <w:b w:val="1"/>
          <w:bCs w:val="1"/>
          <w:color w:val="auto"/>
        </w:rPr>
        <w:t>www.dinebrands.com</w:t>
      </w:r>
      <w:r>
        <w:rPr>
          <w:rFonts w:ascii="Times New Roman" w:cs="Times New Roman" w:eastAsia="Times New Roman" w:hAnsi="Times New Roman"/>
          <w:sz w:val="18"/>
          <w:szCs w:val="18"/>
          <w:color w:val="auto"/>
        </w:rPr>
        <w:t>. Our common stock is listed on the New York Stock Exchange (“NYSE”) and trades under the ticker symbol “DIN.”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 The SEC maintains an Internet site that contains periodic reports, proxy and information statements and other information regarding our filings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The above references to our website and the SEC’s website do not constitute incorporation by reference of the information contained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websites and should not be considered part of this document.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 You should carefully consider the risks and uncertainties described below, together with all of the other information in this Annual Report on Form 10-K, before deciding to invest in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Financial Condition</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affected by general economic conditions that are largely out of our control. </w:t>
      </w:r>
      <w:r>
        <w:rPr>
          <w:rFonts w:ascii="Times New Roman" w:cs="Times New Roman" w:eastAsia="Times New Roman" w:hAnsi="Times New Roman"/>
          <w:sz w:val="18"/>
          <w:szCs w:val="18"/>
          <w:color w:val="auto"/>
        </w:rPr>
        <w:t>Our business is dependent to a significant extent on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local economic conditions, and, to a lesser extent, on global economic conditions, particularly those conditions affecting the demographics of the guests that frequently patronize restaurants. If our customers' disposable income available for discretionary spending is reduced (because of circumstances such as job losses, credit constraints, higher housing costs, inflation, changes to tax regulations, energy costs, interest rates or other costs) or if the perceived wealth of customers decreases (because of circumstances such as inflation, lower residential real estate values, increased foreclosure rates, changes to tax regulations, the imposition of tariffs or other trade barriers, or other economic disruptions), our business could experience a decline in sales and/or customer traffic as potential customers choose lower-cost alternatives (such as quick-service restaurants) or other alternatives to dining out. The inflationary period experienced over recent years, which has been over 20% cumulatively since 2020, and potential future inflationary periods, could negatively impact consumers’ discretionary income and reduce the amount of income previously used for dining outside the home.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franchisees' failure to address cost pressures, including rising costs for commodities, labor, health care and utilities could adversely affect our franchisees and our revenues and results of operations. </w:t>
      </w:r>
      <w:r>
        <w:rPr>
          <w:rFonts w:ascii="Times New Roman" w:cs="Times New Roman" w:eastAsia="Times New Roman" w:hAnsi="Times New Roman"/>
          <w:sz w:val="18"/>
          <w:szCs w:val="18"/>
          <w:color w:val="auto"/>
        </w:rPr>
        <w:t>The success of our franchisees (and our success with company restaurants) depend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ability to anticipate and react to changes in the price and availability of food (such as the cost and supply of eggs, which may be impacted by avian flu), ingredients, labor, health care, utilities, fuel and other related costs. Our franchisees have experienced and continue to experience inflationary conditions with respect to most or all of these costs during fiscal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minimum wage, health care and other benefit costs may have a material adverse effect on our and our franchisees' labor costs. We and our franchisees operate in many states and localities where the minimum wage is significantly higher than the federal minimum wage. The market for labor in the United States is competitive and has resulted in pressure on wages and may continue to do so in the future. Increases in minimum wage and market pressure may also result in increases in the wage rates paid for non-minimum wage positions. Many states and localities are also passing laws regulating employment practices and working conditions which could have a material adverse effect on our and our franchisees’ labor costs in those areas.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and our franchisees’ restaurants' operating margins are also affected by fluctuations in the price of utilities such as electricity and natural gas, whether as a result of inflation or otherwise, on which the restaurants depend for their energy supply. In addition, interruptions to the availability of gas, electric, water or other utilities, whether due to aging infrastructure, weather conditions, fire, animal damage, trees, digging accidents, geopolitical impacts or other reasons largely out of our control, may adversely affect our operations. Our and our franchisees' inability to anticipate and respond effectively to an adverse change in any of these factors could have a significant adverse effect on our sales and results of operations.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adversely affect our financial health and prevent us from fulfilling our obligations under our debt. </w:t>
      </w:r>
      <w:r>
        <w:rPr>
          <w:rFonts w:ascii="Times New Roman" w:cs="Times New Roman" w:eastAsia="Times New Roman" w:hAnsi="Times New Roman"/>
          <w:sz w:val="18"/>
          <w:szCs w:val="18"/>
          <w:color w:val="auto"/>
        </w:rPr>
        <w:t>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certain of our indirect, wholly-owned subsidiaries had approximately $1.2 billion of long-term debt. In addition, we had approximately $0.4 billion in operating lease, finance lease and other financing obligations as of December 31, 2024.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75" w:lineRule="exact"/>
        <w:rPr>
          <w:sz w:val="20"/>
          <w:szCs w:val="20"/>
          <w:color w:val="auto"/>
        </w:rPr>
      </w:pPr>
    </w:p>
    <w:p>
      <w:pPr>
        <w:ind w:left="580" w:hanging="248"/>
        <w:spacing w:after="0" w:line="282"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or refinance any of our debt on attractive terms, commercially reasonable terms, or at all;</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or a downturn in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jc w:val="both"/>
        <w:ind w:left="580" w:hanging="248"/>
        <w:spacing w:after="0" w:line="266"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not as highly leveraged;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taking actions that we believe would be in the best interest of our business and make it difficult for us to successfully execute our business strategy; and</w:t>
      </w:r>
    </w:p>
    <w:p>
      <w:pPr>
        <w:spacing w:after="0" w:line="53"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Times New Roman" w:cs="Times New Roman" w:eastAsia="Times New Roman" w:hAnsi="Times New Roman"/>
          <w:sz w:val="18"/>
          <w:szCs w:val="18"/>
          <w:color w:val="auto"/>
        </w:rPr>
        <w:t>Unless and until we repay all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Dine Brands International, Inc. or FTO Holding Company, LLC as these entities are not parties to the indenture. A breach of a covenant could result in a rapid amortization event or default under the securitized debt.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DSCR and minimum domestic franchise system sales. The ability to meet these financial performance measures can be affected by events beyond our control and there can be no assurance that we will satisfy these financial measures.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six-year term following issuance, the outstanding fixed-rate 2023 Class A-2 senior notes will accrue interest at a rate of 7.824% per year. During the seven-year term following issuance, the outstanding fixed-rate 2019 Class A-2-II senior notes will accrue interest at a rate of 4.723% per year. It is anticipated that the 2023 Class A-2 Notes will be repaid or refinanced prior to June 2029 and the Class A-2-II Notes will be repaid or refinanced prior to June 2026. If these notes are not repaid or refinanced prior to these anticipated dates, under certain circumstances additional interest will accrue on these notes. Additionally, the fixed-rate 2023 Class A-2 and 2019 Class A-2-II senior notes have scheduled quarterly principal amortization payments of $1.25 million and $1.5 million, respectively. If we maintain a leverage ratio of less than or equal to 5.25x total debt to adjusted EBITDA, we may elect to not make the scheduled principal payments. From time to time, our leverage ratio has exceeded the 5.25x total debt to adjusted EBITDA ratio and we have made the required scheduled principal payments. If we are unable to refinance or repay amounts under the securitized debt prior to the expiration of the applicable six-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refinance all or a portion of our indebtedness or obtain additional financing depends on many factors beyond our control. </w:t>
      </w:r>
      <w:r>
        <w:rPr>
          <w:rFonts w:ascii="Times New Roman" w:cs="Times New Roman" w:eastAsia="Times New Roman" w:hAnsi="Times New Roman"/>
          <w:sz w:val="18"/>
          <w:szCs w:val="18"/>
          <w:color w:val="auto"/>
        </w:rPr>
        <w:t>No assurance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with refinancing our debt. Downgrades in our credit ratings could also affect the terms of any such financing and restrict our ability to obtain additional financing in the future.</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Times New Roman" w:cs="Times New Roman" w:eastAsia="Times New Roman" w:hAnsi="Times New Roman"/>
          <w:sz w:val="18"/>
          <w:szCs w:val="18"/>
          <w:color w:val="auto"/>
        </w:rPr>
        <w:t>We rely heavily on information technology systems across our operations, including point-of-sale processing in our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Times New Roman" w:cs="Times New Roman" w:eastAsia="Times New Roman" w:hAnsi="Times New Roman"/>
          <w:sz w:val="18"/>
          <w:szCs w:val="18"/>
          <w:color w:val="auto"/>
        </w:rPr>
        <w:t>Any adverse event that threatens the confidentiality, integrity, or availability of our information resources is considered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In addition, the rapid evolution and increased adoption of artificial intelligence technologies may intensify our cybersecurity risks.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use of personal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we are subject to the California Consumer Privacy Act and California Privacy Rights Act, which require various processes and protections to be implemented. For further information regarding cybersecurity, see </w:t>
      </w:r>
      <w:r>
        <w:rPr>
          <w:rFonts w:ascii="Times New Roman" w:cs="Times New Roman" w:eastAsia="Times New Roman" w:hAnsi="Times New Roman"/>
          <w:sz w:val="18"/>
          <w:szCs w:val="18"/>
          <w:i w:val="1"/>
          <w:iCs w:val="1"/>
          <w:color w:val="auto"/>
        </w:rPr>
        <w:t>Item 1C - Cybersecurity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connection with the implementation of our corporate strategies, we may face risks associated with the acquisition of businesses, the integration of acquired businesses, and the growth and development of these businesses. </w:t>
      </w:r>
      <w:r>
        <w:rPr>
          <w:rFonts w:ascii="Times New Roman" w:cs="Times New Roman" w:eastAsia="Times New Roman" w:hAnsi="Times New Roman"/>
          <w:sz w:val="18"/>
          <w:szCs w:val="18"/>
          <w:color w:val="auto"/>
        </w:rPr>
        <w:t>In pursuing our corporate strategy, from time to time we may acquire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or brands, as we did in December 2022 when we acquired Fuzzy’s. There can be no assurance that we will realize the anticipated synergies or cost savings related to acquisitions or that they will be achieved in our estimated timeframe. In addition, continued integration efforts may result in material challenges. We may not be able to successfully integrate and streamline overlapping functions from past or future acquisitions, and integration may be more costly to accomplish than we expect. Furthermore, growth and development plans with respect to acquired businesses may not be achievable or may not be achieved in our estimated time frame. We could also encounter difficulties in managing our combined company due to its increased size and scope.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doing business in international markets</w:t>
      </w:r>
      <w:r>
        <w:rPr>
          <w:rFonts w:ascii="Times New Roman" w:cs="Times New Roman" w:eastAsia="Times New Roman" w:hAnsi="Times New Roman"/>
          <w:sz w:val="18"/>
          <w:szCs w:val="18"/>
          <w:color w:val="auto"/>
        </w:rPr>
        <w:t>. Our expansion into and continued operations in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create risks to our brands and reputation. There is no assurance that our international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Times New Roman" w:cs="Times New Roman" w:eastAsia="Times New Roman" w:hAnsi="Times New Roman"/>
          <w:sz w:val="18"/>
          <w:szCs w:val="18"/>
          <w:color w:val="auto"/>
        </w:rPr>
        <w:t>We are involved in lawsuits, claims and proceedings incident to the ordinary course of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81" w:lineRule="exact"/>
        <w:rPr>
          <w:sz w:val="20"/>
          <w:szCs w:val="20"/>
          <w:color w:val="auto"/>
        </w:rPr>
      </w:pPr>
    </w:p>
    <w:p>
      <w:pPr>
        <w:jc w:val="both"/>
        <w:ind w:firstLine="52"/>
        <w:spacing w:after="0" w:line="258" w:lineRule="auto"/>
        <w:rPr>
          <w:sz w:val="20"/>
          <w:szCs w:val="20"/>
          <w:color w:val="auto"/>
        </w:rPr>
      </w:pPr>
      <w:r>
        <w:rPr>
          <w:rFonts w:ascii="Times New Roman" w:cs="Times New Roman" w:eastAsia="Times New Roman" w:hAnsi="Times New Roman"/>
          <w:sz w:val="18"/>
          <w:szCs w:val="18"/>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through the operation of our company restaurants, and our franchisees, through the operation of franchised restaurants,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Times New Roman" w:cs="Times New Roman" w:eastAsia="Times New Roman" w:hAnsi="Times New Roman"/>
          <w:sz w:val="18"/>
          <w:szCs w:val="18"/>
          <w:color w:val="auto"/>
        </w:rPr>
        <w:t>We regard our service marks and trademarks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 Our failure to obtain or adequately protect our intellectual property rights (including in response to developments in artificial intelligence technologies), may diminish our competitiveness and could materially harm our business and financial condition.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predict the risks associated with the implementation and use of artificial intelligence and related technologies. </w:t>
      </w:r>
      <w:r>
        <w:rPr>
          <w:rFonts w:ascii="Times New Roman" w:cs="Times New Roman" w:eastAsia="Times New Roman" w:hAnsi="Times New Roman"/>
          <w:sz w:val="18"/>
          <w:szCs w:val="18"/>
          <w:color w:val="auto"/>
        </w:rPr>
        <w:t>We may, now and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use artificial intelligence, generative artificial intelligence, or related technologies (collectively, “Artificial Intelligence”). However, the implementation and use of Artificial Intelligence technologies could present various risks and uncertainties to our business and there is no assurance that using such technologies will produce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desired results. The risks and uncertainties related to the use of Artificial Intelligence include, but are not limited to, concerns around privacy, security, intellectual property, and ethics, and if the Artificial Intelligence technologies that we use (or create) turn out to be controversial or otherwise flawed, we could face competitive, brand, or reputational harm, legal liability, regulatory action, or other adverse impacts on our business. As the regulatory framework surrounding Artificial Intelligence evolves, it is possible that new laws or regulations will be adopted both within the United States and in non-U.S. jurisdictions, or that existing laws and regulations may be interpreted in ways that could affect the ways in which we use Artificial Intelligence. Since these technologies are rapidly and constantly evolving and extremely complex, we cannot predict all of the business and legal risks that may arise from our use of such technologies, any of which could adversely affect our business, financial condition, and results of operations.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Times New Roman" w:cs="Times New Roman" w:eastAsia="Times New Roman" w:hAnsi="Times New Roman"/>
          <w:sz w:val="18"/>
          <w:szCs w:val="18"/>
          <w:color w:val="auto"/>
        </w:rPr>
        <w:t>. There can be no assurance that delivery vendors will not take actions that could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on our brands and/or subject us to increased litigation and costs. Our delivery initiatives also introduce new operating procedures to our and our franchisees’ restaurants, which could adversely affect the business, brands, and the experience of our guests.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the proper allocation of our human capital and our ability to attract and retain talented management and other key employees. </w:t>
      </w:r>
      <w:r>
        <w:rPr>
          <w:rFonts w:ascii="Times New Roman" w:cs="Times New Roman" w:eastAsia="Times New Roman" w:hAnsi="Times New Roman"/>
          <w:sz w:val="18"/>
          <w:szCs w:val="18"/>
          <w:color w:val="auto"/>
        </w:rPr>
        <w:t>We have dedicated brand resources for key functions such as marketing, consumer insights and operations and a shared service model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7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or the failure of our franchisees to comply with federal, state and local governmental regulations may subject us to losses and harm our brands. </w:t>
      </w:r>
      <w:r>
        <w:rPr>
          <w:rFonts w:ascii="Times New Roman" w:cs="Times New Roman" w:eastAsia="Times New Roman" w:hAnsi="Times New Roman"/>
          <w:sz w:val="18"/>
          <w:szCs w:val="18"/>
          <w:color w:val="auto"/>
        </w:rPr>
        <w:t>We and our franchisees are subject to a variety of laws enacted, or rules and regulations promulgated by federal, state and local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that govern our operations. We are subject to the Fair Labor Standards Act (which governs such matters as minimum wage, overtime, collective 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various other laws,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state, and local mandated increases in the minimum wage or changes to the tip credit may negatively impact our and our franchisees’ profitability. Enactment and enforcement of various federal, state and local laws, rules and regulations on immigration, collective bargaining and labor organizations as well as rules and regulations relating to employment practices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regulations. The inability to obtain or maintain such licenses or publicity resulting from actual or alleged violations of such laws could have an adverse effect on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U.S. government regulations and trade policies, including the imposition of tariffs and other trade barriers, could materially impact our business. </w:t>
      </w:r>
      <w:r>
        <w:rPr>
          <w:rFonts w:ascii="Times New Roman" w:cs="Times New Roman" w:eastAsia="Times New Roman" w:hAnsi="Times New Roman"/>
          <w:sz w:val="18"/>
          <w:szCs w:val="18"/>
          <w:color w:val="auto"/>
        </w:rPr>
        <w:t>Changes to U.S. government regulations could impact our business operations, financial condition, and results of operations. Regulatory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to labor laws, environmental standards, healthcare, and consumer protections, could increase our compliance costs, operational complexities, and potential liabilities. Changes in trade policies, including the imposition of new tariffs or modifications to existing trade agreements, could disrupt our supply chain and increase the cost of imported goods. Changes to immigration laws could result in unknown impacts to the labor market, particularly in industries that rely on immigrant workers, which could lead to increased labor costs and operational disruptions.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self-insurance for medical, dental and vision benefits. </w:t>
      </w:r>
      <w:r>
        <w:rPr>
          <w:rFonts w:ascii="Times New Roman" w:cs="Times New Roman" w:eastAsia="Times New Roman" w:hAnsi="Times New Roman"/>
          <w:sz w:val="18"/>
          <w:szCs w:val="18"/>
          <w:color w:val="auto"/>
        </w:rPr>
        <w:t>We self-insure all of our employee medical, dental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or failure to execute on a comprehensive business continuity plan following a major natural disaster such as an earthquake, wildfire, tornado, flood or a man-made disaster, including terrorism, civil unrest or a cyber incident, at or affecting our corporate facilities could materially adversely impact our business. </w:t>
      </w:r>
      <w:r>
        <w:rPr>
          <w:rFonts w:ascii="Times New Roman" w:cs="Times New Roman" w:eastAsia="Times New Roman" w:hAnsi="Times New Roman"/>
          <w:sz w:val="18"/>
          <w:szCs w:val="18"/>
          <w:color w:val="auto"/>
        </w:rPr>
        <w:t>Our corporate systems and processes and corporate support for our restaurant operations are handled primarily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support centers. We have disaster recovery procedures and business continuity plans in place to address most events of a crisis nature, including earthquakes, wildfires,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increase in volatile and adverse weather conditions as a result of climate change could adversely affect our restaurant sales or results of operations. </w:t>
      </w:r>
      <w:r>
        <w:rPr>
          <w:rFonts w:ascii="Times New Roman" w:cs="Times New Roman" w:eastAsia="Times New Roman" w:hAnsi="Times New Roman"/>
          <w:sz w:val="18"/>
          <w:szCs w:val="18"/>
          <w:color w:val="auto"/>
        </w:rPr>
        <w:t>There is growing concern that climate change and global warming have caused and may continue to cause more severe, volatile weather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extended droughts, which could increase the frequency and duration of weather impacts on our operations. Adverse weather conditions have in the past and may again impact guest traffic at our restaurants and, in more severe cases such as hurricanes, tornadoes, wildfires or other natural disasters, cause temporary restaurant closures, all of which negatively impact our restaurant sales. In addition, our supply chain is subject to increased costs caused by the effects of climate change, diminishing energy and water resources. We may be forced to source ingredients from new geographic regions, which could impact quality and taste, and increase our costs. These factors are beyond our control and, in many instances, unpredictable. Climate change and government regulation relating to climate change also could result in construction delays for new restaurants and interruptions to the availability or increases in the cost of utilities.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initiatives outside our core business could negatively impact our brands. </w:t>
      </w:r>
      <w:r>
        <w:rPr>
          <w:rFonts w:ascii="Times New Roman" w:cs="Times New Roman" w:eastAsia="Times New Roman" w:hAnsi="Times New Roman"/>
          <w:sz w:val="18"/>
          <w:szCs w:val="18"/>
          <w:color w:val="auto"/>
        </w:rPr>
        <w:t>Our business expansion into virtual brands, dual-branded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and non-traditional restaurant formats, including restaurants with a smaller footprint, restaurants located in non-traditional locations and restaurants that operate on a delivery-only and/or ghost kitchen basis, could create new risks to our brands and reputation.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Times New Roman" w:cs="Times New Roman" w:eastAsia="Times New Roman" w:hAnsi="Times New Roman"/>
          <w:sz w:val="18"/>
          <w:szCs w:val="18"/>
          <w:color w:val="auto"/>
        </w:rPr>
        <w:t>Our management is responsible for establishing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tax laws and unanticipated tax liabilities could adversely affect our financial results. </w:t>
      </w:r>
      <w:r>
        <w:rPr>
          <w:rFonts w:ascii="Times New Roman" w:cs="Times New Roman" w:eastAsia="Times New Roman" w:hAnsi="Times New Roman"/>
          <w:sz w:val="18"/>
          <w:szCs w:val="18"/>
          <w:color w:val="auto"/>
        </w:rPr>
        <w:t>We are subject to income and other taxes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foreign jurisdictions. Any significant changes in U.S. or foreign laws and related authoritative interpretations could affect our tax expense and profitability. We are also impacted by the outcome of tax audits, which could have a material effect on our results of operations and cash flows in the period or periods for which that determination is made. In addition, our effective income tax rate and our results may be impacted by our ability to realize deferred tax benefits and any increases or decreases of our valuation allowance applied to our deferred tax assets.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Declines in our financial performance have resulted in and could result in future impairment charges. </w:t>
      </w:r>
      <w:r>
        <w:rPr>
          <w:rFonts w:ascii="Times New Roman" w:cs="Times New Roman" w:eastAsia="Times New Roman" w:hAnsi="Times New Roman"/>
          <w:sz w:val="18"/>
          <w:szCs w:val="18"/>
          <w:color w:val="auto"/>
        </w:rPr>
        <w:t>United States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ten-year forecasts of financial results that incorporate assumptions including, among other things, restaurant sales trends, future development plans, restaurant closures, cost of revenues, operating expenses,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2020 and 2024, we recognized several significant impairment charges and could incur similar charges in the future. As of December 31, 2024, our total stockholders' deficit was $216.0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meet investor and stakeholder expectations regarding certain business responsibility matters may damage our reputation. </w:t>
      </w:r>
      <w:r>
        <w:rPr>
          <w:rFonts w:ascii="Times New Roman" w:cs="Times New Roman" w:eastAsia="Times New Roman" w:hAnsi="Times New Roman"/>
          <w:sz w:val="18"/>
          <w:szCs w:val="18"/>
          <w:color w:val="auto"/>
        </w:rPr>
        <w:t>There is a focus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certain investors, customers, consumers, employees and other stakeholders, both for and against certain environmental, sustainability, social and corporate governance matters. If our business responsibility practices fail to meet investor, customer, consumer, employee or other stakeholders’ evolving expectations and standards for responsible corporate citizenship in areas including environmental stewardship (such as greenhouse gas emissions), animal health and welfare,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Many factors, including those over which we have no control, affect the trading volatility and price of our stock. </w:t>
      </w:r>
      <w:r>
        <w:rPr>
          <w:rFonts w:ascii="Times New Roman" w:cs="Times New Roman" w:eastAsia="Times New Roman" w:hAnsi="Times New Roman"/>
          <w:sz w:val="18"/>
          <w:szCs w:val="18"/>
          <w:color w:val="auto"/>
        </w:rPr>
        <w:t>Many factors, 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and financial results in any given period may differ from guidance we provide to the public,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including our most recent public guidance. </w:t>
      </w:r>
      <w:r>
        <w:rPr>
          <w:rFonts w:ascii="Times New Roman" w:cs="Times New Roman" w:eastAsia="Times New Roman" w:hAnsi="Times New Roman"/>
          <w:sz w:val="18"/>
          <w:szCs w:val="18"/>
          <w:color w:val="auto"/>
        </w:rPr>
        <w:t>From time to time, in press releases, SEC filings, public conference calls and other contexts, we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to the public regarding 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Epidemics, disease outbreaks or public health emergencies may disrupt our business, which could materially affect our operations, and business and financial results. </w:t>
      </w:r>
      <w:r>
        <w:rPr>
          <w:rFonts w:ascii="Times New Roman" w:cs="Times New Roman" w:eastAsia="Times New Roman" w:hAnsi="Times New Roman"/>
          <w:sz w:val="18"/>
          <w:szCs w:val="18"/>
          <w:color w:val="auto"/>
        </w:rPr>
        <w:t>As experienced through the recent COVID-19 pandemic, epidemics, disease outbreaks or public health emergencies may impact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traffic at our and our franchisees’ restaurants, may make it more difficult to staff restaurants and, in more severe cases, may damage our reputation, cause an inability to obtain supplies, increase commodity costs or continue to cause partial or total closures of impacted restaurants. The extent to which future potential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 A future potential epidemic, disease outbreak or public health emergency may also heighten many of the other risks described in this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Franchised Business Model</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development plans under development agreements may not be implemented effectively and developed restaurants may not achieve desired results. </w:t>
      </w:r>
      <w:r>
        <w:rPr>
          <w:rFonts w:ascii="Times New Roman" w:cs="Times New Roman" w:eastAsia="Times New Roman" w:hAnsi="Times New Roman"/>
          <w:sz w:val="18"/>
          <w:szCs w:val="18"/>
          <w:color w:val="auto"/>
        </w:rPr>
        <w:t>We rely on franchisees to develop Applebee's, IHOP and Fuzzy's restaurants. From time to time, our franchisees have failed to fulfill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75"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Applebee’s, IHOP and Fuzzy's restaurants and the selection of appropriate franchisee candidates;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construction, permit issuance and regulatory compliance;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locations and terms for potential development sites, including lease or purchase terms for new locations;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construction permits and in completion of construction;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suitable development sites;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general labor market and our franchisees' ability to maintain adequate staffing of restaurants;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interpretations (including interpretations of the requirements of the Americans with Disabilities Act);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significantly franchised; as a result, we are highly dependent upon our franchisees. </w:t>
      </w:r>
      <w:r>
        <w:rPr>
          <w:rFonts w:ascii="Times New Roman" w:cs="Times New Roman" w:eastAsia="Times New Roman" w:hAnsi="Times New Roman"/>
          <w:sz w:val="18"/>
          <w:szCs w:val="18"/>
          <w:color w:val="auto"/>
        </w:rPr>
        <w:t>Substantially all IHOP, Applebee's and Fuzzy’s restaurants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owned and operated by our franchisees. Our dependence on our franchisees could adversely affect us, our brands, and our business, financial condition and results of operations. Our financial results 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our franchise agreements have expiration dates. Upon expiration, franchisees are generally offered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As our franchise portfolio matures with initial franchise agreements that are successfully renewed being replaced with renewal or successor franchise agreements, we generally expect to see a larger number of franchise agreements coming up for renewal on an annual basis due to the fact that the duration of renewal agreements is less than the duration of initial franchise agreements. We continue to have a substantial number of franchise agreements set to expire for our brands. We cannot ensure that renewal or successor franchise agreements or extensions will be entered into once the current term expires. This may result in reduced royalties and other payments due to a decrease in the number of restaurants operating under our brands.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other risks associated with the operation of a franchised business model that may have a material adverse effect on our business or financial condition include:</w:t>
      </w:r>
    </w:p>
    <w:p>
      <w:pPr>
        <w:spacing w:after="0" w:line="54" w:lineRule="exact"/>
        <w:rPr>
          <w:sz w:val="20"/>
          <w:szCs w:val="20"/>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participate in implementing changes or to participate in business strategy changes;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support our marketing programs and strategic initiatives;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franchisees to participate in business strategy changes due to financial constraints;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franchisees to report sales information accurately;</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proportional impact of general and administrative expenses on our business and financial condition; and</w:t>
      </w:r>
    </w:p>
    <w:p>
      <w:pPr>
        <w:spacing w:after="0" w:line="117" w:lineRule="exact"/>
        <w:rPr>
          <w:rFonts w:ascii="Times New Roman" w:cs="Times New Roman" w:eastAsia="Times New Roman" w:hAnsi="Times New Roman"/>
          <w:sz w:val="18"/>
          <w:szCs w:val="18"/>
          <w:color w:val="auto"/>
        </w:rPr>
      </w:pPr>
    </w:p>
    <w:p>
      <w:pPr>
        <w:ind w:left="580" w:hanging="208"/>
        <w:spacing w:after="0" w:line="282"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Applebee's franchised restaurants in a limited number of franchisees subjects us to greater risk. </w:t>
      </w:r>
      <w:r>
        <w:rPr>
          <w:rFonts w:ascii="Times New Roman" w:cs="Times New Roman" w:eastAsia="Times New Roman" w:hAnsi="Times New Roman"/>
          <w:sz w:val="18"/>
          <w:szCs w:val="18"/>
          <w:color w:val="auto"/>
        </w:rPr>
        <w:t>As of December 31, 2024, Applebee's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operated 1,454 Applebee's restaurants in the United States. Of those restaurants, the ten largest Applebee's franchisees owned 1,173 restaurants, representing 81% of all franchised Applebee's restaurants in the United States. The largest Applebee's franchisee owned 460 restaurants, representing 32%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Times New Roman" w:cs="Times New Roman" w:eastAsia="Times New Roman" w:hAnsi="Times New Roman"/>
          <w:sz w:val="18"/>
          <w:szCs w:val="18"/>
          <w:color w:val="auto"/>
        </w:rPr>
        <w:t>An insolvency proceeding involving a franchisee could prevent or delay us from collecting payments or exercising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Times New Roman" w:cs="Times New Roman" w:eastAsia="Times New Roman" w:hAnsi="Times New Roman"/>
          <w:sz w:val="18"/>
          <w:szCs w:val="18"/>
          <w:color w:val="auto"/>
        </w:rPr>
        <w:t>Prior to 2003, new IHOP restaurants were generally developed by us, and we were involved in all aspects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1,694 IHOP domestic franchise and area license restaurants as of December 31, 2024, approximately 554 restaurants have property lease/sublease agreements and/or notes and equipment contract obligations outstanding.</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our franchisees are subject to potential losses that may not be covered by insurance. </w:t>
      </w:r>
      <w:r>
        <w:rPr>
          <w:rFonts w:ascii="Times New Roman" w:cs="Times New Roman" w:eastAsia="Times New Roman" w:hAnsi="Times New Roman"/>
          <w:sz w:val="18"/>
          <w:szCs w:val="18"/>
          <w:color w:val="auto"/>
        </w:rPr>
        <w:t>We and our franchisees may have insufficient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out-of-pocket claims, the franchisee may not have the funds necessary to make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franchise and other payments to us, and franchisees may be unable to perform other obligations under their franchise agreements.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Times New Roman" w:cs="Times New Roman" w:eastAsia="Times New Roman" w:hAnsi="Times New Roman"/>
          <w:sz w:val="18"/>
          <w:szCs w:val="18"/>
          <w:color w:val="auto"/>
        </w:rPr>
        <w:t>We license our intellectual property to our franchisees, product suppliers, manufacturers,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our intellectual property.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strategy may not achieve anticipated results. </w:t>
      </w:r>
      <w:r>
        <w:rPr>
          <w:rFonts w:ascii="Times New Roman" w:cs="Times New Roman" w:eastAsia="Times New Roman" w:hAnsi="Times New Roman"/>
          <w:sz w:val="18"/>
          <w:szCs w:val="18"/>
          <w:color w:val="auto"/>
        </w:rPr>
        <w:t>We expect to continue to apply a business strategy that includes operation of a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franchised restaurant 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in the Restaurant Industry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performance is subject to risks associated with the restaurant industry, including the highly competitive nature of the industry. </w:t>
      </w:r>
      <w:r>
        <w:rPr>
          <w:rFonts w:ascii="Times New Roman" w:cs="Times New Roman" w:eastAsia="Times New Roman" w:hAnsi="Times New Roman"/>
          <w:sz w:val="18"/>
          <w:szCs w:val="18"/>
          <w:color w:val="auto"/>
        </w:rPr>
        <w:t>We derive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our revenues in the form of royalties based on the gross sales of our franchised restaurants. Sales and profitability of these restaurants may be negatively impacted by a number of factors associated with operating in the restaurant industry, some of which are outside of our control. These factors include:</w:t>
      </w:r>
    </w:p>
    <w:p>
      <w:pPr>
        <w:spacing w:after="0" w:line="72" w:lineRule="exact"/>
        <w:rPr>
          <w:sz w:val="20"/>
          <w:szCs w:val="20"/>
          <w:color w:val="auto"/>
        </w:rPr>
      </w:pPr>
    </w:p>
    <w:p>
      <w:pPr>
        <w:ind w:left="580" w:hanging="208"/>
        <w:spacing w:after="0" w:line="282"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macro-level shifts in retail, technology, media, e-commerce, global safety and demography which may impact where, when, whether and how often customers visit full-service restaurants;</w:t>
      </w:r>
    </w:p>
    <w:p>
      <w:pPr>
        <w:spacing w:after="0" w:line="53" w:lineRule="exact"/>
        <w:rPr>
          <w:rFonts w:ascii="Times New Roman" w:cs="Times New Roman" w:eastAsia="Times New Roman" w:hAnsi="Times New Roman"/>
          <w:sz w:val="18"/>
          <w:szCs w:val="18"/>
          <w:color w:val="auto"/>
        </w:rPr>
      </w:pPr>
    </w:p>
    <w:p>
      <w:pPr>
        <w:jc w:val="both"/>
        <w:ind w:left="580" w:hanging="208"/>
        <w:spacing w:after="0" w:line="258"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75" w:lineRule="exact"/>
        <w:rPr>
          <w:rFonts w:ascii="Times New Roman" w:cs="Times New Roman" w:eastAsia="Times New Roman" w:hAnsi="Times New Roman"/>
          <w:sz w:val="18"/>
          <w:szCs w:val="18"/>
          <w:color w:val="auto"/>
        </w:rPr>
      </w:pPr>
    </w:p>
    <w:p>
      <w:pPr>
        <w:jc w:val="both"/>
        <w:ind w:left="580" w:hanging="208"/>
        <w:spacing w:after="0" w:line="26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71" w:lineRule="exact"/>
        <w:rPr>
          <w:rFonts w:ascii="Times New Roman" w:cs="Times New Roman" w:eastAsia="Times New Roman" w:hAnsi="Times New Roman"/>
          <w:sz w:val="18"/>
          <w:szCs w:val="18"/>
          <w:color w:val="auto"/>
        </w:rPr>
      </w:pPr>
    </w:p>
    <w:p>
      <w:pPr>
        <w:jc w:val="both"/>
        <w:ind w:left="580" w:hanging="208"/>
        <w:spacing w:after="0" w:line="26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and (iv) the decline in the price of groceries which may increase the attractiveness of dining at home versus dining out;</w:t>
      </w:r>
    </w:p>
    <w:p>
      <w:pPr>
        <w:spacing w:after="0" w:line="71"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increasing menu pricing to offset increased operating expenses; and</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further penetration into mature markets.</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outside our control may harm our brands' reputations. </w:t>
      </w:r>
      <w:r>
        <w:rPr>
          <w:rFonts w:ascii="Times New Roman" w:cs="Times New Roman" w:eastAsia="Times New Roman" w:hAnsi="Times New Roman"/>
          <w:sz w:val="18"/>
          <w:szCs w:val="18"/>
          <w:color w:val="auto"/>
        </w:rPr>
        <w:t>The success of our business is largely dependent upon brand recognition and the strength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franchise systems. Our and our franchisees’ continued success is directly dependent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upon maintaining a favorable public view of the Applebee's, IHOP and Fuzzy's brands. Negative publicity (e.g., crime, scandal, litigation, on-site accidents and injuries or other harm to customers, social issues and food-borne illness) at a single Applebee's, IHOP or Fuzzy's location can have a substantial negative impact on all restaurants within their respective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risk of food-borne illness or food tampering cannot be completely eliminated. </w:t>
      </w:r>
      <w:r>
        <w:rPr>
          <w:rFonts w:ascii="Times New Roman" w:cs="Times New Roman" w:eastAsia="Times New Roman" w:hAnsi="Times New Roman"/>
          <w:sz w:val="18"/>
          <w:szCs w:val="18"/>
          <w:color w:val="auto"/>
        </w:rPr>
        <w:t>Any outbreak of food-borne illness or other food-related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Applebee's, IHOP or Fuzzy's restaurants or within the food service industry or any widespread negative publicity regarding the Applebee's, IHOP or Fuzzy's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we maintain liability insurance, and each franchisee is required to maintain liability insurance pursuant to its franchise agreements, a liability claim could injure the reputation of all Applebee's, IHOP or Fuzzy's restaurants, whether or not it is ultimately successful.</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Times New Roman" w:cs="Times New Roman" w:eastAsia="Times New Roman" w:hAnsi="Times New Roman"/>
          <w:sz w:val="18"/>
          <w:szCs w:val="18"/>
          <w:color w:val="auto"/>
        </w:rPr>
        <w:t>The success of our brands depends in large part on restaurant locations. As demographic and economic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experience shortages or interruptions in the supply or delivery of food and other products from third parties or in the availability of utilities. </w:t>
      </w:r>
      <w:r>
        <w:rPr>
          <w:rFonts w:ascii="Times New Roman" w:cs="Times New Roman" w:eastAsia="Times New Roman" w:hAnsi="Times New Roman"/>
          <w:sz w:val="18"/>
          <w:szCs w:val="18"/>
          <w:color w:val="auto"/>
        </w:rPr>
        <w:t>Our and our franchised restaurants are dependent on frequent deliveries of fresh produce, food, beverages and other products. Shortages or interruptions in food and beverage supplies may result from a variety of causes, including shortages due to climate change,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For example, the current outbreak of avian flu may impact the cost and availability of obtaining eggs.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to effectively manage or forecast appropriate inventory levels may adversely affect our business. </w:t>
      </w:r>
      <w:r>
        <w:rPr>
          <w:rFonts w:ascii="Times New Roman" w:cs="Times New Roman" w:eastAsia="Times New Roman" w:hAnsi="Times New Roman"/>
          <w:sz w:val="18"/>
          <w:szCs w:val="18"/>
          <w:color w:val="auto"/>
        </w:rPr>
        <w:t>Effective management of inventory levels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Times New Roman" w:cs="Times New Roman" w:eastAsia="Times New Roman" w:hAnsi="Times New Roman"/>
          <w:sz w:val="18"/>
          <w:szCs w:val="18"/>
          <w:color w:val="auto"/>
        </w:rPr>
        <w:t>If our competitors increase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marketing efforts, we rely on search engine marketing and social media platforms to attract and retain guests.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health or dietary preferences may cause consumers to avoid Applebee's, IHOP and Fuzzy's restaurants in favor of alternative options.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food 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health and welfare and sustainability advocacy groups, may impact consumer choice and cause consumers to select foods other than those that are offered by Applebee's, IHOP or Fuzzy's restaurants. We may not be able to adequately adapt Applebee's, IHOP or Fuzzy's restaurants' menu offerings to keep pace with developments in consumer preferences, which may result in reduced royalty revenues from a decline in demand for our food and fewer guests visiting our restaurants.</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objective of our security program is to prevent, detect and respond to security risks and threats to protect the confidentiality, integrity and availability of our information systems and our sensitive data. Our cybersecurity program approach is risk-based, using continuous threat modeling to help us identify, track and measure our progress to reduce security risk based on three pillars:</w:t>
      </w:r>
    </w:p>
    <w:p>
      <w:pPr>
        <w:spacing w:after="0" w:line="68"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Prevention, through planning and designing solutions to implement security controls. The security functions that support prevention efforts are aligned with security architecture, strategy and risk management activities;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and response activities, which enable us to discover and respond to cybersecurity events in a timely manner. When a potentially damaging or threatening cybersecurity event is detected, our security operations team, focused on delivering detection and response services, executes the appropriate cybersecurity incident response plan;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and compliance, through cross-functional engagement, good operational hygiene and consistent discipline. Ongoing stakeholder collaboration, communications and training within a well-defined policy framework aligned with industry standards is foundational for strong governance and effective compliance. As part of the policy framework, operating procedures are kept up-to-date to reflect the current state of execution and to drive investment and iterative improvements in the highest priority areas of the security program. See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xml:space="preserve"> below for additional detail.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program framework and foundation are based on common security standards and frameworks, including ISO/IEC 27001/2:2022 and NIST Cyber Resiliency Framework and Model, in alignment with PCI DSS, privacy laws and regulatory requirements.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and cybersecurity policy, standards, strategy, roadmap and processes are aligned with industry-recognized security risk management framework and practices, including detailed tasks, plans and initiatives, which are reviewed and updated periodically, and at least annually. Our program also incorporates incident response plans and notification protocols, to assess and manage security incidents and threats, including their materiality.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program uses layered security defenses, cyber resiliency and automation capabilities for our security functions and operations. Our cybersecurity roadmap outlines and defines the security initiatives, projects and tasks. Security investments and projects are discussed by the Security Steering Committee (“SSC”).</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engage with a range of third-party cybersecurity service providers, assessors and auditors to evaluate and enhance the effectiveness of our cybersecurity program. Services provided by these third parties include 24/7 security logging, network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endpoint monitoring, vulnerability scanning, penetration testing, security incident response tabletop exercises and security and compliance posture assessments. Vendor security monitoring is an important component of our cybersecurity program to ensure our vendors are securing and protecting our critical infrastructure, data, and information, integrated with our contract management process, including security addenda and vendor security risk assessments for new contracts and annual vendor security risk assessments for critical vendors.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security incident response plan provides guidelines and requirements for reasonable and consistent responses to security incidents to limit damage while preserving the confidentiality, integrity and availability of Company systems and information, and reducing recovery time and cost, including but not limited to, escalation of security incidents to appropriate team members for investigation and response and documenting the required steps for investigation and remediation taken during the security incident response. We perform an annual tabletop exercise led by third-party security experts with participation from executive management and technical internal teams.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and vendor partners are also trained to report any security events to the cybersecurity team, who will escalate and notify the legal team, senior executives, and Board of Directors as needed.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are not aware of any actively exploited security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is informed by legal and regulatory requirements and considerations. Cybersecurity risks are included as an integral part of our broader Enterprise Risk Management (“ERM”) program and reviewed regularly by internal stakeholders comprised of a cross-functional team to assess the risk level and strength of our mitigation strategies. Our cybersecurity risk assessment is performed regularly throughout the year, and may include:</w:t>
      </w:r>
    </w:p>
    <w:p>
      <w:pPr>
        <w:spacing w:after="0" w:line="7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program, risk and incidents reporting to the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risk reporting to the Enterprise Risk Committee, which includes the Company's Chief Executive Officer, Chief Financial Officer, Senior Vice President, Legal, General Counsel &amp; Secretary, Internal Audit, Chief Information Officer and Chief Information Security Officer ("CISO");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Security Steering Committee meetings with members from the Company's cybersecurity, ERM, Information Technology (“IT”), internal audit and legal teams.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CISO leads our cybersecurity team and is generally responsible for management of cybersecurity risk and the protection and defense of our networks and systems. Our CISO has 30 years of experience serving in various roles related to cybersecurity and information security. The SSC, chaired by our CISO, is comprised of executive level representatives from our IT, legal, enterprise risk management and internal audit teams and is responsible for oversight, evaluation and coordination of activities related to safeguards, security risk, controls, remediation activities, policy governance and other related security program activities.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overall risk management for the Company. The Audit Committee receives reports from the CISO regarding the cybersecurity program. The presented topics include, but are not limited to, the status of ongoing cybersecurity initiatives, incident reports and compliance with industry standards. Members of the Board of Directors also engage in ad hoc conversations with management on cybersecurity-related news events and discuss any updates to our cybersecurity risk management and strategy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the location and ownership type of Applebee's, IHOP, and Fuzzy's restaurants as of December 31, 2024:</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406"/>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0"/>
              </w:rPr>
              <w:t xml:space="preserve">Fuzzy's </w:t>
            </w:r>
            <w:r>
              <w:rPr>
                <w:rFonts w:ascii="Times New Roman" w:cs="Times New Roman" w:eastAsia="Times New Roman" w:hAnsi="Times New Roman"/>
                <w:sz w:val="23"/>
                <w:szCs w:val="23"/>
                <w:b w:val="1"/>
                <w:bCs w:val="1"/>
                <w:color w:val="auto"/>
                <w:w w:val="90"/>
                <w:vertAlign w:val="superscript"/>
              </w:rPr>
              <w:t>(a)</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100" w:type="dxa"/>
            <w:vAlign w:val="bottom"/>
          </w:tcPr>
          <w:p>
            <w:pPr>
              <w:spacing w:after="0"/>
              <w:rPr>
                <w:sz w:val="16"/>
                <w:szCs w:val="16"/>
                <w:color w:val="auto"/>
              </w:rPr>
            </w:pPr>
          </w:p>
        </w:tc>
        <w:tc>
          <w:tcPr>
            <w:tcW w:w="15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6"/>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tc>
        <w:tc>
          <w:tcPr>
            <w:tcW w:w="10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Alaska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Arkansas</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District of Columbia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Dakota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Dakota</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Vermont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Virginia</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Wyoming</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2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Domestic</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r>
    </w:tbl>
    <w:p>
      <w:pPr>
        <w:spacing w:after="0" w:line="200" w:lineRule="exact"/>
        <w:rPr>
          <w:sz w:val="20"/>
          <w:szCs w:val="20"/>
          <w:color w:val="auto"/>
        </w:rPr>
      </w:pPr>
    </w:p>
    <w:p>
      <w:pPr>
        <w:sectPr>
          <w:pgSz w:w="11900" w:h="16838" w:orient="portrait"/>
          <w:cols w:equalWidth="0" w:num="1">
            <w:col w:w="11140"/>
          </w:cols>
          <w:pgMar w:left="320" w:top="887" w:right="4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type w:val="continuous"/>
        </w:sectPr>
      </w:pPr>
    </w:p>
    <w:bookmarkStart w:id="29" w:name="page30"/>
    <w:bookmarkEnd w:id="29"/>
    <w:tbl>
      <w:tblPr>
        <w:tblLayout w:type="fixed"/>
        <w:tblInd w:w="460" w:type="dxa"/>
        <w:tblCellMar>
          <w:top w:w="0" w:type="dxa"/>
          <w:left w:w="0" w:type="dxa"/>
          <w:bottom w:w="0" w:type="dxa"/>
          <w:right w:w="0" w:type="dxa"/>
        </w:tblCellMar>
      </w:tblPr>
      <w:tr>
        <w:trPr>
          <w:trHeight w:val="406"/>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0"/>
              </w:rPr>
              <w:t xml:space="preserve">Fuzzy's </w:t>
            </w:r>
            <w:r>
              <w:rPr>
                <w:rFonts w:ascii="Times New Roman" w:cs="Times New Roman" w:eastAsia="Times New Roman" w:hAnsi="Times New Roman"/>
                <w:sz w:val="23"/>
                <w:szCs w:val="23"/>
                <w:b w:val="1"/>
                <w:bCs w:val="1"/>
                <w:color w:val="auto"/>
                <w:w w:val="90"/>
                <w:vertAlign w:val="superscript"/>
              </w:rPr>
              <w:t>(a)</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100" w:type="dxa"/>
            <w:vAlign w:val="bottom"/>
          </w:tcPr>
          <w:p>
            <w:pPr>
              <w:spacing w:after="0"/>
              <w:rPr>
                <w:sz w:val="16"/>
                <w:szCs w:val="16"/>
                <w:color w:val="auto"/>
              </w:rPr>
            </w:pPr>
          </w:p>
        </w:tc>
        <w:tc>
          <w:tcPr>
            <w:tcW w:w="15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Bahamas</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Bahrain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Dominican Republic</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Ecuador</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Guam</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Guatemala</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Honduras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Kuwait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Oman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Pakistan</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Panama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Peru</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Qatar</w:t>
            </w:r>
          </w:p>
        </w:tc>
        <w:tc>
          <w:tcPr>
            <w:tcW w:w="100" w:type="dxa"/>
            <w:vAlign w:val="bottom"/>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Saudi Arabia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Arab Emirates</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2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International</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37"/>
        </w:trPr>
        <w:tc>
          <w:tcPr>
            <w:tcW w:w="2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80" w:hanging="167"/>
        <w:spacing w:after="0" w:line="194" w:lineRule="auto"/>
        <w:tabs>
          <w:tab w:leader="none" w:pos="5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properties identified in this table generate revenue in our franchise, rental, financing and company restaurant operating segments.</w:t>
      </w:r>
    </w:p>
    <w:p>
      <w:pPr>
        <w:ind w:left="580" w:hanging="167"/>
        <w:spacing w:after="0" w:line="189" w:lineRule="auto"/>
        <w:tabs>
          <w:tab w:leader="none" w:pos="5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There are six IHOP restaurants in the U.S. state of Florida and five IHOP restaurants in Canada that have been sub-licensed by the area licensee in Florida and Canada, respectively.</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1,670 IHOP restaurants operated by franchisees, 52 were located on sites owned by us, 502 were located on sites leased by us from third parties and 1,116 were located on sites owned or leased by franchisees. All of the IHOP restaurants operated by area licensees, 1,565 of the franchisee-operated Applebee's restaurants and all the franchisee-operated Fuzzy's restaurants were located on sites owned or leased by the area licensees or the franchisees. We owned one site on which a franchisee-operated Applebee's restaurant was located and one franchisee-operated Applebee's restaurant was located on site leased by us from third parties. The 47 Applebee's restaurants we operated as of December 31, 2024 were located on sites leased by us from third parties.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Applebee's and Fuzzy's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occupy approximately 93,000 square feet for our principal corporate offices and restaurant support center located in Pasadena, California, under a lease expiring in August 2035. We also lease approximately 8,000 square feet of office space in Irving, Texas under a lease expiring in February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18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NYSE under the symbol “DIN”.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24, 2025, there were 185 holders of our common stock. This number does not include beneficial owners whose shares are held in street name by brokers and other nominees.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for information on dividends declared and paid in the fiscal years ended December 31, 2024, 2023 and 2022.</w:t>
      </w:r>
    </w:p>
    <w:p>
      <w:pPr>
        <w:sectPr>
          <w:pgSz w:w="11900" w:h="16838" w:orient="portrait"/>
          <w:cols w:equalWidth="0" w:num="1">
            <w:col w:w="11240"/>
          </w:cols>
          <w:pgMar w:left="320" w:top="1089" w:right="3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Company</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3040" w:type="dxa"/>
            <w:vAlign w:val="bottom"/>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60" w:type="dxa"/>
            <w:vAlign w:val="bottom"/>
            <w:vMerge w:val="continue"/>
          </w:tcPr>
          <w:p>
            <w:pPr>
              <w:spacing w:after="0"/>
              <w:rPr>
                <w:sz w:val="11"/>
                <w:szCs w:val="11"/>
                <w:color w:val="auto"/>
              </w:rPr>
            </w:pPr>
          </w:p>
        </w:tc>
        <w:tc>
          <w:tcPr>
            <w:tcW w:w="154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Period</w:t>
            </w:r>
          </w:p>
        </w:tc>
        <w:tc>
          <w:tcPr>
            <w:tcW w:w="3040" w:type="dxa"/>
            <w:vAlign w:val="bottom"/>
            <w:vMerge w:val="continue"/>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4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 or</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3040" w:type="dxa"/>
            <w:vAlign w:val="bottom"/>
          </w:tcPr>
          <w:p>
            <w:pPr>
              <w:jc w:val="center"/>
              <w:ind w:left="1388"/>
              <w:spacing w:after="0" w:line="202" w:lineRule="exact"/>
              <w:rPr>
                <w:sz w:val="20"/>
                <w:szCs w:val="20"/>
                <w:color w:val="auto"/>
              </w:rPr>
            </w:pPr>
            <w:r>
              <w:rPr>
                <w:rFonts w:ascii="Times New Roman" w:cs="Times New Roman" w:eastAsia="Times New Roman" w:hAnsi="Times New Roman"/>
                <w:sz w:val="14"/>
                <w:szCs w:val="14"/>
                <w:b w:val="1"/>
                <w:bCs w:val="1"/>
                <w:color w:val="auto"/>
                <w:w w:val="95"/>
              </w:rPr>
              <w:t>shares</w:t>
            </w:r>
            <w:r>
              <w:rPr>
                <w:rFonts w:ascii="Times New Roman" w:cs="Times New Roman" w:eastAsia="Times New Roman" w:hAnsi="Times New Roman"/>
                <w:sz w:val="18"/>
                <w:szCs w:val="18"/>
                <w:b w:val="1"/>
                <w:bCs w:val="1"/>
                <w:color w:val="auto"/>
                <w:w w:val="95"/>
                <w:vertAlign w:val="superscript"/>
              </w:rPr>
              <w:t>(a)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220"/>
        <w:spacing w:after="0" w:line="209"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220"/>
        <w:spacing w:after="0" w:line="221"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plans or programs</w:t>
      </w:r>
    </w:p>
    <w:p>
      <w:pPr>
        <w:spacing w:after="0" w:line="35" w:lineRule="exact"/>
        <w:rPr>
          <w:sz w:val="20"/>
          <w:szCs w:val="20"/>
          <w:color w:val="auto"/>
        </w:rPr>
      </w:pPr>
    </w:p>
    <w:p>
      <w:pPr>
        <w:sectPr>
          <w:pgSz w:w="11900" w:h="16838" w:orient="portrait"/>
          <w:cols w:equalWidth="0" w:num="2">
            <w:col w:w="8800" w:space="500"/>
            <w:col w:w="1940"/>
          </w:cols>
          <w:pgMar w:left="320" w:top="1089" w:right="3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 October 27, 2024</w:t>
            </w:r>
          </w:p>
        </w:tc>
        <w:tc>
          <w:tcPr>
            <w:tcW w:w="120" w:type="dxa"/>
            <w:vAlign w:val="bottom"/>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133,266,000</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2024 – November 24, 2024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133,266,000</w:t>
            </w: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25, 2024 – December 29, 2024</w:t>
            </w:r>
          </w:p>
        </w:tc>
        <w:tc>
          <w:tcPr>
            <w:tcW w:w="120" w:type="dxa"/>
            <w:vAlign w:val="bottom"/>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Pr>
          <w:p>
            <w:pPr>
              <w:spacing w:after="0"/>
              <w:rPr>
                <w:sz w:val="19"/>
                <w:szCs w:val="19"/>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133,266,000</w:t>
            </w:r>
          </w:p>
        </w:tc>
      </w:tr>
      <w:tr>
        <w:trPr>
          <w:trHeight w:val="22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tcPr>
          <w:p>
            <w:pPr>
              <w:spacing w:after="0"/>
              <w:rPr>
                <w:sz w:val="19"/>
                <w:szCs w:val="19"/>
                <w:color w:val="auto"/>
              </w:rPr>
            </w:pPr>
          </w:p>
        </w:tc>
        <w:tc>
          <w:tcPr>
            <w:tcW w:w="17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133,266,000</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5" w:lineRule="exact"/>
        <w:rPr>
          <w:sz w:val="20"/>
          <w:szCs w:val="20"/>
          <w:color w:val="auto"/>
        </w:rPr>
      </w:pPr>
    </w:p>
    <w:p>
      <w:pPr>
        <w:ind w:left="340" w:right="80" w:hanging="251"/>
        <w:spacing w:after="0" w:line="281" w:lineRule="auto"/>
        <w:tabs>
          <w:tab w:leader="none" w:pos="264"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graph below shows a comparison of the cumulative total stockholder return on our common stock with the cumulative total return on the Standard &amp; Poor's 500 Composite Index ("S&amp;P 500") and the Standard &amp; Poor's Composite 1500 Restaurants Index (“Restaurants Index”) over the five-year period ended December 31, 2024. The graph and table assume $100 was invested at the close of trading on the last day of trading in 2019 in our common stock and in each of the market indices, with reinvestment of all dividends. Stockholder returns over the indicated periods should not be considered indicative of future stock prices or stockholder returns.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Stockholder Return</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S&amp;P 500 and the Restaurants Index</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(Performance Results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163195</wp:posOffset>
            </wp:positionV>
            <wp:extent cx="5417820" cy="3642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4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4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4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S&amp;P Composite 1500 Restaurants </w:t>
            </w:r>
            <w:r>
              <w:rPr>
                <w:rFonts w:ascii="Times New Roman" w:cs="Times New Roman" w:eastAsia="Times New Roman" w:hAnsi="Times New Roman"/>
                <w:sz w:val="9"/>
                <w:szCs w:val="9"/>
                <w:color w:val="auto"/>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4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r>
    </w:tbl>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 w:lineRule="exact"/>
        <w:rPr>
          <w:sz w:val="20"/>
          <w:szCs w:val="20"/>
          <w:color w:val="auto"/>
        </w:rPr>
      </w:pPr>
    </w:p>
    <w:p>
      <w:pPr>
        <w:ind w:left="420" w:right="140" w:hanging="169"/>
        <w:spacing w:after="0" w:line="259" w:lineRule="auto"/>
        <w:tabs>
          <w:tab w:leader="none" w:pos="39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S&amp;P Composite 1500 Restaurants Index is a comprehensive restaurant industry index. In addition to the family dining and casual dining segments, the Index also includes the fast-casual and quick-service segments of the restaurant industry.</w:t>
      </w:r>
    </w:p>
    <w:p>
      <w:pPr>
        <w:spacing w:after="0" w:line="273" w:lineRule="exact"/>
        <w:rPr>
          <w:sz w:val="20"/>
          <w:szCs w:val="20"/>
          <w:color w:val="auto"/>
        </w:rPr>
      </w:pPr>
    </w:p>
    <w:p>
      <w:pPr>
        <w:ind w:left="180" w:firstLine="162"/>
        <w:spacing w:after="0" w:line="266" w:lineRule="auto"/>
        <w:rPr>
          <w:sz w:val="20"/>
          <w:szCs w:val="20"/>
          <w:color w:val="auto"/>
        </w:rPr>
      </w:pPr>
      <w:r>
        <w:rPr>
          <w:rFonts w:ascii="Times New Roman" w:cs="Times New Roman" w:eastAsia="Times New Roman" w:hAnsi="Times New Roman"/>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discussion provides analyses of our results of operations and reasons for material changes for 2024 as compared to 2023 and should be read together with the financial statements included in this Annual Report on Form 10-K. For a detailed discussion of year-to-year comparisons between fiscal 2023 and fiscal 2022,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31, 2023, filed with the SEC on February 28, 2024, which is hereby incorporated by reference.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 foot due to rounding.</w:t>
      </w:r>
    </w:p>
    <w:p>
      <w:pPr>
        <w:spacing w:after="0" w:line="40"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(“Dine Brands Global,” “we” or “our”). Through various subsidiaries (see Exhibit 21, Subsidiaries of Dine Brands Global, Inc.), we own and franchise the Applebee's Neighborhood Grill +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and we own and franchise the International House of Pancakes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In December 2022, we acquired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by area licensees and their sub-licensees (collectively, "area licensees") or by us.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Domestically, IHOP and Applebee's restaurants are located in 49 states and the District of Columbia, while Fuzzy's restaurants are located in 15 states. Internationally, IHOP restaurants are in two United States territories and 14 countries, while Applebee's restaurants are in two United States territories and 15 countries. With over 3,500 restaurants combined, we believe we are one of the largest full-service restaurant companies in the world. The June 2024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chain in the midscale family-style segment and Applebee's was one of the largest restaurant chains in the casual dining segment, in terms of United States system-wide sales during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2024, 2023, and 2022 fiscal year that ended December 29, 2024, December 31, 2023, and January 1,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of 2024 Results</w:t>
      </w:r>
    </w:p>
    <w:p>
      <w:pPr>
        <w:spacing w:after="0" w:line="216" w:lineRule="exact"/>
        <w:rPr>
          <w:sz w:val="20"/>
          <w:szCs w:val="20"/>
          <w:color w:val="auto"/>
        </w:rPr>
      </w:pPr>
    </w:p>
    <w:p>
      <w:pPr>
        <w:ind w:left="660" w:right="2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reported net income of $64.9 million, or $4.22 per diluted share, in 2024 compared to $97.2 million, or $6.22 per diluted share, in 2023 that was primarily due to lower gross profit;</w:t>
      </w:r>
    </w:p>
    <w:p>
      <w:pPr>
        <w:spacing w:after="0" w:line="78" w:lineRule="exact"/>
        <w:rPr>
          <w:rFonts w:ascii="Times New Roman" w:cs="Times New Roman" w:eastAsia="Times New Roman" w:hAnsi="Times New Roman"/>
          <w:sz w:val="22"/>
          <w:szCs w:val="22"/>
          <w:color w:val="auto"/>
        </w:rPr>
      </w:pPr>
    </w:p>
    <w:p>
      <w:pPr>
        <w:ind w:left="660" w:hanging="328"/>
        <w:spacing w:after="0" w:line="24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Applebee's reported system-wide sales were lower by 5.5% in 2024 driven by a 4.2% decrease in domestic same-restaurant sales and a 2.2% decrease in the number of effective restaurants;</w:t>
      </w:r>
    </w:p>
    <w:p>
      <w:pPr>
        <w:spacing w:after="0" w:line="7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IHOP's reported system-wide sales were slightly lower by 1.1% in 2024 driven by a 2.0% decrease in domestic same-restaurant sales offset by a 0.9% increase in effective franchise restaurants;</w:t>
      </w:r>
    </w:p>
    <w:p>
      <w:pPr>
        <w:spacing w:after="0" w:line="78" w:lineRule="exact"/>
        <w:rPr>
          <w:rFonts w:ascii="Times New Roman" w:cs="Times New Roman" w:eastAsia="Times New Roman" w:hAnsi="Times New Roman"/>
          <w:sz w:val="22"/>
          <w:szCs w:val="22"/>
          <w:color w:val="auto"/>
        </w:rPr>
      </w:pPr>
    </w:p>
    <w:p>
      <w:pPr>
        <w:ind w:left="660" w:right="2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Fuzzy's reported system-wide sales were lower by 14.7% driven by a 9.3% decrease in domestic same-restaurant sales and a 9.6% decrease in number of effective franchise restaurants;</w:t>
      </w:r>
    </w:p>
    <w:p>
      <w:pPr>
        <w:spacing w:after="0" w:line="5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combined system-wide sales of all brands declined to $8.0 billion, a 3.9% decrease compared to 2023;</w:t>
      </w:r>
    </w:p>
    <w:p>
      <w:pPr>
        <w:spacing w:after="0" w:line="76"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generated cash from operating activities of $108.2 million and adjusted free cash flow (cash provided by operating activities, plus receipts from notes and equipment contract receivables, less additions to property and equipment) of $106.4 million in 2024;</w:t>
      </w:r>
    </w:p>
    <w:p>
      <w:pPr>
        <w:spacing w:after="0" w:line="78"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returned approximately $43.4 million to our stockholders, comprised of $31.3 million in cash dividends and $12.1 million in the form of stock repurchases;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ind w:left="660" w:hanging="328"/>
        <w:spacing w:after="0" w:line="234"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acquired 56 Applebee's restaurants from franchisees and simultaneously refranchised nine to a different franchisee in November 2024 for a $1.8 million gain on sale of disposition of assets; and</w:t>
      </w:r>
    </w:p>
    <w:p>
      <w:pPr>
        <w:spacing w:after="0" w:line="5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incurred impairment charges of $7.1 million related to Fuzzy's goodwill in the fourth quarter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2024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Indicators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development/reduction and the change in total effective restaurants. Changes in both domestic same-restaurant sales and in the number of Applebee's, IHOP and Fuzzy's restaurants will impact our reported retail sales that drive franchise royalty revenues and, where applicable, rental payments under leases that partially may be based on a percentage of their sales. Net franchise restaurant development/reduction also impacts franchise revenues in the form of initial franchise fees and, in the case of IHOP and Fuzzy's restaurants, sales of proprietary products.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key performance indicators for the year ended December 31, 2024 were as follows: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5"/>
        </w:trPr>
        <w:tc>
          <w:tcPr>
            <w:tcW w:w="700" w:type="dxa"/>
            <w:vAlign w:val="bottom"/>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IHOP</w:t>
            </w:r>
          </w:p>
        </w:tc>
        <w:tc>
          <w:tcPr>
            <w:tcW w:w="80" w:type="dxa"/>
            <w:vAlign w:val="bottom"/>
          </w:tcPr>
          <w:p>
            <w:pPr>
              <w:spacing w:after="0"/>
              <w:rPr>
                <w:sz w:val="24"/>
                <w:szCs w:val="24"/>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Fuzzy's</w:t>
            </w:r>
          </w:p>
        </w:tc>
      </w:tr>
      <w:tr>
        <w:trPr>
          <w:trHeight w:val="223"/>
        </w:trPr>
        <w:tc>
          <w:tcPr>
            <w:tcW w:w="70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decrease in reported system-wide sales - 2024 vs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70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Decrease in domestic system-wide same-restaurant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00" w:type="dxa"/>
            <w:vAlign w:val="bottom"/>
          </w:tcPr>
          <w:p>
            <w:pPr>
              <w:spacing w:after="0"/>
              <w:rPr>
                <w:sz w:val="19"/>
                <w:szCs w:val="19"/>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franchise restaurant (reduction)/addition</w:t>
            </w:r>
            <w:r>
              <w:rPr>
                <w:rFonts w:ascii="Times New Roman" w:cs="Times New Roman" w:eastAsia="Times New Roman" w:hAnsi="Times New Roman"/>
                <w:sz w:val="9"/>
                <w:szCs w:val="9"/>
                <w:color w:val="auto"/>
              </w:rPr>
              <w:t>(1)</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global effective restaurants</w:t>
            </w:r>
            <w:r>
              <w:rPr>
                <w:rFonts w:ascii="Times New Roman" w:cs="Times New Roman" w:eastAsia="Times New Roman" w:hAnsi="Times New Roman"/>
                <w:sz w:val="9"/>
                <w:szCs w:val="9"/>
                <w:color w:val="auto"/>
              </w:rPr>
              <w:t>(2)</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bl>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60" w:hanging="228"/>
        <w:spacing w:after="0" w:line="211" w:lineRule="auto"/>
        <w:tabs>
          <w:tab w:leader="none" w:pos="5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year ended December 31, 2024.</w:t>
      </w:r>
    </w:p>
    <w:p>
      <w:pPr>
        <w:spacing w:after="0" w:line="4" w:lineRule="exact"/>
        <w:rPr>
          <w:rFonts w:ascii="Times New Roman" w:cs="Times New Roman" w:eastAsia="Times New Roman" w:hAnsi="Times New Roman"/>
          <w:sz w:val="19"/>
          <w:szCs w:val="19"/>
          <w:color w:val="auto"/>
          <w:vertAlign w:val="superscript"/>
        </w:rPr>
      </w:pPr>
    </w:p>
    <w:p>
      <w:pPr>
        <w:ind w:left="500" w:right="80" w:hanging="168"/>
        <w:spacing w:after="0" w:line="219" w:lineRule="auto"/>
        <w:tabs>
          <w:tab w:leader="none" w:pos="5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Change in the weighted average number of franchise, area license and company-operated restaurants open during the year ended December 31, 2024, compared to the weighted average number of those open during the same period of 2023.</w:t>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our financial summary for the years ended December 31, 2024 and 2023 is as follows:</w:t>
      </w:r>
    </w:p>
    <w:p>
      <w:pPr>
        <w:spacing w:after="0" w:line="3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Summary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i w:val="1"/>
                <w:iCs w:val="1"/>
                <w:color w:val="auto"/>
              </w:rPr>
              <w:t>Favorable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(Unfavorable)</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89,543</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(22,160)</w:t>
            </w:r>
          </w:p>
        </w:tc>
        <w:tc>
          <w:tcPr>
            <w:tcW w:w="120" w:type="dxa"/>
            <w:vAlign w:val="bottom"/>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111,703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(10,126)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(14,527)</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64,890</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(32,286)</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97,176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(2.00)</w:t>
            </w:r>
          </w:p>
        </w:tc>
        <w:tc>
          <w:tcPr>
            <w:tcW w:w="12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(in millions)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419"/>
        </w:trPr>
        <w:tc>
          <w:tcPr>
            <w:tcW w:w="7700" w:type="dxa"/>
            <w:vAlign w:val="bottom"/>
            <w:gridSpan w:val="8"/>
          </w:tcPr>
          <w:p>
            <w:pPr>
              <w:jc w:val="right"/>
              <w:ind w:right="619"/>
              <w:spacing w:after="0"/>
              <w:rPr>
                <w:sz w:val="20"/>
                <w:szCs w:val="20"/>
                <w:color w:val="auto"/>
              </w:rPr>
            </w:pPr>
            <w:r>
              <w:rPr>
                <w:rFonts w:ascii="Times New Roman" w:cs="Times New Roman" w:eastAsia="Times New Roman" w:hAnsi="Times New Roman"/>
                <w:sz w:val="18"/>
                <w:szCs w:val="18"/>
                <w:color w:val="auto"/>
                <w:w w:val="99"/>
              </w:rPr>
              <w:t>The primary reasons for the variances in income before income taxes are summarized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gross profit: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profit decrease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closure and impairment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General &amp; Administrative (“G&amp;A”)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(gain) loss on disposition of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interest expense,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income before income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in income before income taxes in fiscal 2024 compared to fiscal 2023 was due to the decrease in gross profit, the increase in closure and impairment charges and higher net interest expense, partially offset by a favorable change in gain/loss on disposition of assets and lower G&amp;A expenses. The decrease in gross profit in fiscal 2024 compared to fiscal 2023 was primarily due to decreases in restaurant system sales and the number of Applebee's and Fuzzy's effective restaurants, partially offset by the increase in the number of IHOP effective restaurants positively impacting franchise operations; and the decrease in rental operations primarily resulting from lease buyouts in the prior year. The increase in closure and impairment charges was primarily related to the impairment charge to Fuzzy's goodwill incurred in the fourth quarter of 2024. The increase in interest expense, net was primarily related to higher-rate securitized notes. The decrease in G&amp;A expenses was primarily attributable to costs related to the stopping of our IHOP Flip'd initiative in the prior year, a decrease in professional services, and a decrease in occupancy costs, partially offset by an increase in depreciation expense and organization restructuring costs. The favorable change in gain/loss on disposition of assets is due to the gains primarily attributable to the refranchising of nine Applebee's restaurants and the sale of one IHOP property in 2024 as compared to the prior year losses primarily related to the disposition of certain IHOP Flip'd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2024 effective tax rate of 27.5% applied to pretax book income was different than the statutory Federal income tax rate of 21% primarily due to state and local taxes and a lower tax deduction related to stock-based compensation. See </w:t>
      </w:r>
      <w:r>
        <w:rPr>
          <w:rFonts w:ascii="Times New Roman" w:cs="Times New Roman" w:eastAsia="Times New Roman" w:hAnsi="Times New Roman"/>
          <w:sz w:val="18"/>
          <w:szCs w:val="18"/>
          <w:i w:val="1"/>
          <w:iCs w:val="1"/>
          <w:color w:val="auto"/>
        </w:rPr>
        <w:t>Note 16 - Income Taxes,</w:t>
      </w:r>
      <w:r>
        <w:rPr>
          <w:rFonts w:ascii="Times New Roman" w:cs="Times New Roman" w:eastAsia="Times New Roman" w:hAnsi="Times New Roman"/>
          <w:sz w:val="18"/>
          <w:szCs w:val="18"/>
          <w:color w:val="auto"/>
        </w:rPr>
        <w:t xml:space="preserve"> of the Notes to the Consolidated Financial Statements included in this report, for reconciliations between our effective rate and the statutory Federal income tax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Data - System-wide Sales and Domestic Same-Restaurant Sales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each of the past three years the number of Global Effective Restaurants in the Applebee’s, IHOP and Fuzzy's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at Effective Restaurants presented below are based on internal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Applebee's Restaurant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IHOP Restaurant Data</w:t>
            </w:r>
          </w:p>
        </w:tc>
        <w:tc>
          <w:tcPr>
            <w:tcW w:w="32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176"/>
        </w:trPr>
        <w:tc>
          <w:tcPr>
            <w:tcW w:w="6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 license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restaurants</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IHOP 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08"/>
        </w:trPr>
        <w:tc>
          <w:tcPr>
            <w:tcW w:w="6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Fuzzy's Restaurant Data</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 (f)</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jc w:val="both"/>
        <w:ind w:left="340" w:hanging="332"/>
        <w:spacing w:after="0" w:line="261" w:lineRule="auto"/>
        <w:tabs>
          <w:tab w:leader="none" w:pos="33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consists of restaurants owned by franchisees and area licensees as well as those owned by the Company. Effective Restaurants do not include units operated as ghost kitchens (small kitchens with no store-front presence, used to fill off-premise orders).</w:t>
      </w:r>
    </w:p>
    <w:p>
      <w:pPr>
        <w:jc w:val="both"/>
        <w:ind w:left="340" w:hanging="332"/>
        <w:spacing w:after="0" w:line="262"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company-operated Applebee's and Fuzzy's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and Fuzzy's franchise restaurants, Applebee's and Fuzzy's company-operated restaurants, IHOP franchise restaurants and IHOP area license restaurants for the years ended December 31, 2024, 2023 and 2022 were as follows:</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gridSpan w:val="5"/>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retail sales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4,242.1</w:t>
            </w:r>
          </w:p>
        </w:tc>
        <w:tc>
          <w:tcPr>
            <w:tcW w:w="100" w:type="dxa"/>
            <w:vAlign w:val="bottom"/>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4,500.1</w:t>
            </w:r>
          </w:p>
        </w:tc>
        <w:tc>
          <w:tcPr>
            <w:tcW w:w="100" w:type="dxa"/>
            <w:vAlign w:val="bottom"/>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4,367.1</w:t>
            </w:r>
          </w:p>
        </w:tc>
        <w:tc>
          <w:tcPr>
            <w:tcW w:w="0" w:type="dxa"/>
            <w:vAlign w:val="bottom"/>
          </w:tcPr>
          <w:p>
            <w:pPr>
              <w:spacing w:after="0"/>
              <w:rPr>
                <w:sz w:val="1"/>
                <w:szCs w:val="1"/>
                <w:color w:val="auto"/>
              </w:rPr>
            </w:pPr>
          </w:p>
        </w:tc>
      </w:tr>
      <w:tr>
        <w:trPr>
          <w:trHeight w:val="19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Applebee's company-operated restaurants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3,229.1</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3,258.3</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0" w:type="dxa"/>
            <w:vAlign w:val="bottom"/>
          </w:tcPr>
          <w:p>
            <w:pPr>
              <w:spacing w:after="0"/>
              <w:rPr>
                <w:sz w:val="1"/>
                <w:szCs w:val="1"/>
                <w:color w:val="auto"/>
              </w:rPr>
            </w:pPr>
          </w:p>
        </w:tc>
      </w:tr>
      <w:tr>
        <w:trPr>
          <w:trHeight w:val="19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Fuzzy's franchise restaurant sales</w:t>
            </w:r>
            <w:r>
              <w:rPr>
                <w:rFonts w:ascii="Times New Roman" w:cs="Times New Roman" w:eastAsia="Times New Roman" w:hAnsi="Times New Roman"/>
                <w:sz w:val="18"/>
                <w:szCs w:val="18"/>
                <w:color w:val="auto"/>
                <w:vertAlign w:val="superscript"/>
              </w:rPr>
              <w:t>(f)</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Fuzzy's company-operated restaurants</w:t>
            </w:r>
            <w:r>
              <w:rPr>
                <w:rFonts w:ascii="Times New Roman" w:cs="Times New Roman" w:eastAsia="Times New Roman" w:hAnsi="Times New Roman"/>
                <w:sz w:val="18"/>
                <w:szCs w:val="18"/>
                <w:color w:val="auto"/>
                <w:vertAlign w:val="superscript"/>
              </w:rPr>
              <w:t>(f)</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7,961.4</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8,280.6</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period for all restaurants in that category.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6" w:name="page37"/>
    <w:bookmarkEnd w:id="36"/>
    <w:p>
      <w:pPr>
        <w:jc w:val="both"/>
        <w:ind w:left="340" w:hanging="332"/>
        <w:spacing w:after="0" w:line="26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period, for domestic restaurants that have been operated during both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sales percentage change for 2024 was impacted by the acquisition of 47 franchise restaurants in November 2024 now reported as company-operated.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acquired Fuzzy's on December 13, 2022; thus, no data is presented for 2022.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122555</wp:posOffset>
            </wp:positionV>
            <wp:extent cx="5357495"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74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4.7% for the three months ended December 31, 2024 and decreased 4.2% for the year ended December 31, 2024, as compared to the same respective periods of 2023. The decrease for the three months ended December 31, 2024 was primarily due to a decrease in traffic, offset by an increase in average check. The decrease for the year ended December 31, 2024 was primarily due to a decrease in traffic, offset by an increase in average check resulting from menu price increases by franchisees.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for the three and twelve months ended December 31, 2024 underperformed the casual dining segment of the restaurant industry (excluding Applebee's) as compared with the same respective periods of 2023. The casual dining segment experienced a higher increase in average customer check than Applebee's, contributing to the casual dining segment's stronger comp sales.</w:t>
      </w: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8"/>
        </w:trPr>
        <w:tc>
          <w:tcPr>
            <w:tcW w:w="3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882.5</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1,088.7</w:t>
            </w: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r>
    </w:tbl>
    <w:p>
      <w:pPr>
        <w:spacing w:after="0" w:line="58" w:lineRule="exact"/>
        <w:rPr>
          <w:sz w:val="20"/>
          <w:szCs w:val="20"/>
          <w:color w:val="auto"/>
        </w:rPr>
      </w:pPr>
    </w:p>
    <w:p>
      <w:pPr>
        <w:ind w:left="320" w:hanging="150"/>
        <w:spacing w:after="0"/>
        <w:tabs>
          <w:tab w:leader="none" w:pos="32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Applebee's off-premise sales dollars for the three and twelve months ended December 31, 2024 decreased as compared with the same respective periods of 2023, primarily due to our delivery service partners performing below our native channels.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577215</wp:posOffset>
            </wp:positionV>
            <wp:extent cx="5357495" cy="2468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3574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IHOP’s domestic same-restaurant sales decreased 2.8% for the three months ended December 31, 2024 and decreased 2.0% for the year ended December 31, 2024, as compared to the same respective periods of 2023. Most of the decline in both periods was due to a decrease in traffic, offset by an increase in average check. The increase in average check was primarily due to an increase in menu prices, partially offset by the introduction of promotional value deals in the fourth quarter.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data from Black Box, IHOP same-restaurant sales underperformed the family dining segment of the restaurant industry (excluding IHOP) for the three and twelve months ended December 31, 2024, as compared with the same respective periods of 2023. According to Black Box, the family dining segment also experienced increases in same-restaurant sales resulting from an increase in average customer check, partially offset by a decline in customer traffic.</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2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7"/>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8"/>
        </w:trPr>
        <w:tc>
          <w:tcPr>
            <w:tcW w:w="3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600.5</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627.4</w:t>
            </w:r>
          </w:p>
        </w:tc>
      </w:tr>
      <w:tr>
        <w:trPr>
          <w:trHeight w:val="229"/>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58"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w:t>
      </w:r>
    </w:p>
    <w:p>
      <w:pPr>
        <w:spacing w:after="0" w:line="181" w:lineRule="exact"/>
        <w:rPr>
          <w:sz w:val="20"/>
          <w:szCs w:val="20"/>
          <w:color w:val="auto"/>
        </w:rPr>
      </w:pPr>
    </w:p>
    <w:p>
      <w:pPr>
        <w:jc w:val="center"/>
        <w:ind w:right="80"/>
        <w:spacing w:after="0" w:line="438" w:lineRule="auto"/>
        <w:rPr>
          <w:sz w:val="20"/>
          <w:szCs w:val="20"/>
          <w:color w:val="auto"/>
        </w:rPr>
      </w:pPr>
      <w:r>
        <w:rPr>
          <w:rFonts w:ascii="Times New Roman" w:cs="Times New Roman" w:eastAsia="Times New Roman" w:hAnsi="Times New Roman"/>
          <w:sz w:val="18"/>
          <w:szCs w:val="18"/>
          <w:color w:val="auto"/>
        </w:rPr>
        <w:t xml:space="preserve">IHOP's off-premise sales dollars for the three and twelve months ended December 31, 2024 decreased as compared to the same respective periods of 2023. </w:t>
      </w:r>
      <w:r>
        <w:rPr>
          <w:rFonts w:ascii="Times New Roman" w:cs="Times New Roman" w:eastAsia="Times New Roman" w:hAnsi="Times New Roman"/>
          <w:sz w:val="18"/>
          <w:szCs w:val="18"/>
          <w:b w:val="1"/>
          <w:bCs w:val="1"/>
          <w:color w:val="auto"/>
        </w:rPr>
        <w:t>Domestic Same-Restaurant Sales - Fuzzy's</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Fuzzy's system-wide domestic same-restaurant sales decreased 10.3% for the three months ended December 31, 2024 and decreased 9.3% for the year ended December 31, 2024, as compared to the same respective periods of 2023. The decrease for the three months ended December 31, 2024 was primarily due to a decrease in traffic, and a modest decrease in average check. The decrease for the year ended December 31, 2024 was primarily due to a decrease in traffic, offset by an increase in average check resulting from the successful promotional food and beverage offerings and menu price increases by franchisees.</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on data from Black Box, Fuzzy's same-restaurant sales underperformed the fast casual segment of the restaurant industry (excluding Fuzzy's) for the three and twelve months ended December 31, 2024, as compared with the same respective periods of 2023. According to Black Box, the fast casual segment also experienced an increase in average customer check, partially offset by a decline in customer traffic.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Fuzzy's Off-Premise Sales Data</w:t>
            </w: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320" w:type="dxa"/>
            <w:vAlign w:val="bottom"/>
          </w:tcPr>
          <w:p>
            <w:pPr>
              <w:spacing w:after="0"/>
              <w:rPr>
                <w:sz w:val="19"/>
                <w:szCs w:val="19"/>
                <w:color w:val="auto"/>
              </w:rPr>
            </w:pPr>
          </w:p>
        </w:tc>
        <w:tc>
          <w:tcPr>
            <w:tcW w:w="1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41.2 %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39.4 %</w:t>
            </w:r>
          </w:p>
        </w:tc>
      </w:tr>
    </w:tbl>
    <w:p>
      <w:pPr>
        <w:spacing w:after="0" w:line="42"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Fuzzy's off-premise sales dollars and percentage of sales mix for the three and twelve months ended December 31, 2024 decreased as compared to the same respective periods of 2023, primarily due to changing guest behavior.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Our franchisees are independent businesses and their decisions to close restaurants, both temporarily and permanently, can be impacted by numerous factors that are outside of our control, including but not limited to, franchisees' agreements with their lenders and landlords.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Applebee's restaurants (domestic and international) open at December 31, 2024 declined 1.7% from the number open at December 31, 2023, as franchisees opened 17 new restaurants but closed 45 restaurants. The total number of IHOP restaurants (domestic and international) open at December 31, 2024 increased 0.6% from the number open at December 31, 2023, as IHOP franchisees and area licensees opened 48 restaurants and closed 38 restaurants, resulting in net development of 10 restaurants. The total number of Fuzzy's restaurants (domestic only) open at December 31, 2024 declined 11.4% from the number open at December 31, 2023, as franchisees opened three new restaurants but closed 18 restaurants.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the number of Applebee's and IHOP restaurants increased 8.5% from the number open at December 31, 2023. Franchisees of both brands opened 35 restaurants and closed 16, a net increase of 19 international restaurants. The international development activity is included in the total activity for each brand cited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tables present Applebee's, IHOP and Fuzzy's net restaurant development activity over the past three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Development Activity</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27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beginning of period</w:t>
            </w:r>
          </w:p>
        </w:tc>
        <w:tc>
          <w:tcPr>
            <w:tcW w:w="13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0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72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72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3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permanently closed:</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2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72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franchise restaurants permanently closed</w:t>
            </w:r>
          </w:p>
        </w:tc>
        <w:tc>
          <w:tcPr>
            <w:tcW w:w="13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27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(reduction)/addition</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Franchise restaurants acquired by the Company</w:t>
            </w:r>
          </w:p>
        </w:tc>
        <w:tc>
          <w:tcPr>
            <w:tcW w:w="17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Borders>
              <w:top w:val="single" w:sz="8" w:color="CCEEFF"/>
              <w:bottom w:val="single" w:sz="8" w:color="CCEEFF"/>
            </w:tcBorders>
            <w:vMerge w:val="continue"/>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94"/>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(reductions)/additions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27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Company restaurants</w:t>
            </w:r>
            <w:r>
              <w:rPr>
                <w:rFonts w:ascii="Times New Roman" w:cs="Times New Roman" w:eastAsia="Times New Roman" w:hAnsi="Times New Roman"/>
                <w:sz w:val="23"/>
                <w:szCs w:val="23"/>
                <w:color w:val="auto"/>
                <w:vertAlign w:val="superscript"/>
              </w:rPr>
              <w:t>(a)</w:t>
            </w:r>
          </w:p>
        </w:tc>
        <w:tc>
          <w:tcPr>
            <w:tcW w:w="272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30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72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Decrease in total Applebee's restaurants from prior year</w:t>
            </w:r>
          </w:p>
        </w:tc>
        <w:tc>
          <w:tcPr>
            <w:tcW w:w="13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5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Development Activity</w:t>
            </w:r>
          </w:p>
        </w:tc>
        <w:tc>
          <w:tcPr>
            <w:tcW w:w="1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3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Area license</w:t>
            </w:r>
          </w:p>
        </w:tc>
        <w:tc>
          <w:tcPr>
            <w:tcW w:w="3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720" w:type="dxa"/>
            <w:vAlign w:val="bottom"/>
            <w:gridSpan w:val="2"/>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vMerge w:val="continue"/>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Domestic franchise</w:t>
            </w:r>
          </w:p>
        </w:tc>
        <w:tc>
          <w:tcPr>
            <w:tcW w:w="3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50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336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18"/>
                <w:szCs w:val="18"/>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7"/>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 area license</w:t>
            </w:r>
          </w:p>
        </w:tc>
        <w:tc>
          <w:tcPr>
            <w:tcW w:w="14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permanently closed:</w:t>
            </w: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 franchise</w:t>
            </w: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Domestic area license</w:t>
            </w:r>
          </w:p>
        </w:tc>
        <w:tc>
          <w:tcPr>
            <w:tcW w:w="14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franchise/area license restaurants permanently closed</w:t>
            </w: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4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Area license</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4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vMerge w:val="restart"/>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vMerge w:val="continue"/>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Increase in total IHOP restaurants from prior year</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i w:val="1"/>
                <w:iCs w:val="1"/>
                <w:color w:val="auto"/>
              </w:rPr>
              <w:t>Fuzzy's Restaurant Development Activity</w:t>
            </w:r>
            <w:r>
              <w:rPr>
                <w:rFonts w:ascii="Times New Roman" w:cs="Times New Roman" w:eastAsia="Times New Roman" w:hAnsi="Times New Roman"/>
                <w:sz w:val="23"/>
                <w:szCs w:val="23"/>
                <w:color w:val="auto"/>
                <w:vertAlign w:val="superscript"/>
              </w:rPr>
              <w:t>(b)</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Fuzzy's restaurants, beginning of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permanently closed:</w:t>
            </w: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Fuzzy's restaurants, end of period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4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vMerge w:val="restart"/>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vMerge w:val="continue"/>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Decrease in total Fuzzy's restaurants from prior 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the Company acquired 56 Applebee's restaurants from franchisees and simultaneously refranchised nine to a different franchisee.</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acquired Fuzzy's on December 13, 2022, thus no data is presented for 2022.</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restaurant counts and activity presented above include 18 dual-branded international Applebee's and IHOP restaurants as of December 31, 2024, and seven dual-branded international Applebee's and IHOP restaurants as of December 31, 2023, which are separately counted in each of our brands' restaurant counts and activity. Dual-branded restaurants are defined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restaurants that reside in one location and operate two of our concepts under two separate franchise agreements. In addition, the restaurant counts and activity presented above do not include ghost kitchens (small kitchens with no store-front presence, used to fill off-premise orders).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these tables and temporarily closed restaurants are included in the summary counts at the beginning and end of each period shown. However, temporary closures are reflected in the weighted calculation of Global Effective Restaurants presented in the preceding Restaurant Data tables.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Applebee's, IHOP and Fuzzy's restaurants adversely impact our system-wide retail sales that drive our franchise royalty revenues as well as, in the case of IHOP and Fuzzy's restaurants, sales of each brand's proprietary products. Further, with certain restaurants, we own or lease the underlying property and sublease it to the applicable franchisee. Thus, our rental income also could be adversely affected due to our obligation to make rental or other payments for such properties.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Fiscal 2024, 2023 and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in the following section of this Form 10-K present information from our Consolidated Statements of Comprehensive Income for our 2024, 2023 and 2022 fiscal years. The discussion of year-to-year comparisons between fiscal 2024 and fiscal 2023 can be found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year-to-year comparisons between fiscal 2023 and fiscal 2022 as well as between fiscal 2022 and fiscal 2021,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31, 2023, which is hereby incorporated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Impacting Comparability of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Franchise Restaurants and Refranchising of Company-Operated Restaurants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acquired 56 Applebee's restaurants across Georgia, Texas, Arkansas, Illinois, Kentucky, Tennessee, Mississippi and Missouri from franchisees, of which nine in Texas were simultaneously refranchised to a different franchisee. We operated these remaining 47 restaurants for approximately six weeks in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currently intend to own and operate these restaurants for the near term, we will assess and monitor opportunities to refranchise these restaurants under favorable circumstances. From time to time, we may acquire a small number of restaurants from franchisees for a variety of reasons which is consistent with and should not be considered a change in our business strategy to operate as a highly franchised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Fuzzy's Goodwill and Tradename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a quantitative test for impairment of Fuzzy's goodwill and indefinite-lived intangible assets in the fourth quarter of 2024. As a result of performing the quantitative test, we recognized an impairment of Fuzzy's goodwill of $7.1 million.</w:t>
      </w:r>
    </w:p>
    <w:p>
      <w:pPr>
        <w:spacing w:after="0" w:line="108" w:lineRule="exact"/>
        <w:rPr>
          <w:sz w:val="20"/>
          <w:szCs w:val="20"/>
          <w:color w:val="auto"/>
        </w:rPr>
      </w:pPr>
    </w:p>
    <w:p>
      <w:pPr>
        <w:ind w:right="1200"/>
        <w:spacing w:after="0" w:line="470" w:lineRule="auto"/>
        <w:rPr>
          <w:sz w:val="20"/>
          <w:szCs w:val="20"/>
          <w:color w:val="auto"/>
        </w:rPr>
      </w:pPr>
      <w:r>
        <w:rPr>
          <w:rFonts w:ascii="Times New Roman" w:cs="Times New Roman" w:eastAsia="Times New Roman" w:hAnsi="Times New Roman"/>
          <w:sz w:val="18"/>
          <w:szCs w:val="18"/>
          <w:color w:val="auto"/>
        </w:rPr>
        <w:t xml:space="preserve">Refer to additional discussion of these impairments under the heading "Financial Review - Impairment of Goodwill and Intangible Assets." </w:t>
      </w:r>
      <w:r>
        <w:rPr>
          <w:rFonts w:ascii="Times New Roman" w:cs="Times New Roman" w:eastAsia="Times New Roman" w:hAnsi="Times New Roman"/>
          <w:sz w:val="18"/>
          <w:szCs w:val="18"/>
          <w:b w:val="1"/>
          <w:bCs w:val="1"/>
          <w:i w:val="1"/>
          <w:iCs w:val="1"/>
          <w:color w:val="auto"/>
        </w:rPr>
        <w:t>Financial Review</w:t>
      </w:r>
    </w:p>
    <w:p>
      <w:pPr>
        <w:spacing w:after="0" w:line="16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36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(20.4)</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44.0</w:t>
            </w:r>
          </w:p>
        </w:tc>
        <w:tc>
          <w:tcPr>
            <w:tcW w:w="80" w:type="dxa"/>
            <w:vAlign w:val="bottom"/>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(124.8)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(4.7)</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3.5</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(18.8)</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(78.3)</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Increase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2024 total revenue decreased $18.8 million compared to 2023, primarily due to the decrease in franchise and rental operations revenue, partially offset by an increase in company restaurant operations revenue. The decrease in franchise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operations revenue was primarily attributable to the decrease in domestic same-restaurant sales and the decrease in the number of Applebee's and Fuzzy's effective restaurants, partially offset by increases in the number of effective restaurants and proprietary product sales at IHOP. The decrease in rental operations revenue was primarily attributable to prior year lease buyouts and operating lease terminations. Company restaurant operations revenue increased primarily due to the operation of 47 Applebee's restaurants, as discussed above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4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3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(15.9)</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21.5</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4.0</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(21.4)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19.4</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Increase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2024 total gross profit decreased $21.4 million compared to 2023, primarily due to the decreases in franchise and rental operations gross profit resulting from the related revenue decreases cited above. In addition, franchise operations gross profit was partially impacted by the recognition of an advertising fund deficit.</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bl>
      <w:tblPr>
        <w:tblLayout w:type="fixed"/>
        <w:tblInd w:w="0" w:type="dxa"/>
        <w:tblCellMar>
          <w:top w:w="0" w:type="dxa"/>
          <w:left w:w="0" w:type="dxa"/>
          <w:bottom w:w="0" w:type="dxa"/>
          <w:right w:w="0" w:type="dxa"/>
        </w:tblCellMar>
      </w:tblPr>
      <w:tr>
        <w:trPr>
          <w:trHeight w:val="128"/>
        </w:trPr>
        <w:tc>
          <w:tcPr>
            <w:tcW w:w="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7"/>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2"/>
                <w:szCs w:val="22"/>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 Effective Franchise Restaurants:</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1,616</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i w:val="1"/>
                <w:iCs w:val="1"/>
                <w:color w:val="auto"/>
                <w:w w:val="99"/>
              </w:rPr>
              <w:t>(43)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1,659</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9"/>
              </w:rPr>
              <w:t>42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1,617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9"/>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1,753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5"/>
              </w:rPr>
              <w:t>n/a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Revenue: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revenue</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Gross Profit: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11.9</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segment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as % of total revenue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as % of franchise fees</w:t>
            </w:r>
            <w:r>
              <w:rPr>
                <w:rFonts w:ascii="Times New Roman" w:cs="Times New Roman" w:eastAsia="Times New Roman" w:hAnsi="Times New Roman"/>
                <w:sz w:val="9"/>
                <w:szCs w:val="9"/>
                <w:color w:val="auto"/>
              </w:rPr>
              <w:t>(2)(3)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77"/>
        </w:trPr>
        <w:tc>
          <w:tcPr>
            <w:tcW w:w="452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w w:val="99"/>
              </w:rPr>
              <w:t>_________________________________</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 w:right="420" w:hanging="172"/>
        <w:spacing w:after="0" w:line="228" w:lineRule="auto"/>
        <w:tabs>
          <w:tab w:leader="none" w:pos="15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a given fiscal period, adjusted to account for franchise and area license restaurants open for only a portion of the period.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franchise revenue excluding advertising.</w:t>
      </w:r>
    </w:p>
    <w:p>
      <w:pPr>
        <w:ind w:left="180" w:right="80" w:hanging="172"/>
        <w:spacing w:after="0" w:line="200" w:lineRule="auto"/>
        <w:tabs>
          <w:tab w:leader="none" w:pos="15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franchise revenue decreased $20.4 million in 2024 compared to 2023, due to the following changes:</w:t>
      </w:r>
    </w:p>
    <w:p>
      <w:pPr>
        <w:spacing w:after="0" w:line="158" w:lineRule="exact"/>
        <w:rPr>
          <w:sz w:val="20"/>
          <w:szCs w:val="20"/>
          <w:color w:val="auto"/>
        </w:rPr>
      </w:pPr>
    </w:p>
    <w:p>
      <w:pPr>
        <w:ind w:left="820" w:right="20" w:hanging="164"/>
        <w:spacing w:after="0" w:line="234" w:lineRule="auto"/>
        <w:tabs>
          <w:tab w:leader="none" w:pos="8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Advertising revenue decreased $10.4 million compared to 2023, due to the decreases in domestic same-restaurant sales and development activity as noted above.</w:t>
      </w:r>
    </w:p>
    <w:p>
      <w:pPr>
        <w:spacing w:after="0" w:line="24" w:lineRule="exact"/>
        <w:rPr>
          <w:rFonts w:ascii="Times New Roman" w:cs="Times New Roman" w:eastAsia="Times New Roman" w:hAnsi="Times New Roman"/>
          <w:sz w:val="22"/>
          <w:szCs w:val="22"/>
          <w:color w:val="auto"/>
        </w:rPr>
      </w:pPr>
    </w:p>
    <w:p>
      <w:pPr>
        <w:jc w:val="both"/>
        <w:ind w:left="820" w:hanging="164"/>
        <w:spacing w:after="0" w:line="239" w:lineRule="auto"/>
        <w:tabs>
          <w:tab w:leader="none" w:pos="8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Applebee's franchise revenue decreased $7.3 million compared to 2023 primarily due to the unfavorable impact on royalties of a 4.2% decrease in domestic same-restaurant sales and a decrease in the number of effective franchise restaurants, partially offset by an increase in accelerated franchise fee revenue recognition due to restaurant closures.</w:t>
      </w:r>
    </w:p>
    <w:p>
      <w:pPr>
        <w:spacing w:after="0" w:line="24" w:lineRule="exact"/>
        <w:rPr>
          <w:rFonts w:ascii="Times New Roman" w:cs="Times New Roman" w:eastAsia="Times New Roman" w:hAnsi="Times New Roman"/>
          <w:sz w:val="22"/>
          <w:szCs w:val="22"/>
          <w:color w:val="auto"/>
        </w:rPr>
      </w:pPr>
    </w:p>
    <w:p>
      <w:pPr>
        <w:ind w:left="820" w:hanging="164"/>
        <w:spacing w:after="0" w:line="242" w:lineRule="auto"/>
        <w:tabs>
          <w:tab w:leader="none" w:pos="8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Fuzzy's franchise revenue decreased $1.5 million compared to 2023 due to 9.3% decrease in same-restaurant sales and a decrease in the number of effective franchise restaurants, partially offset by an increase in termination fees.</w:t>
      </w:r>
    </w:p>
    <w:p>
      <w:pPr>
        <w:spacing w:after="0" w:line="22" w:lineRule="exact"/>
        <w:rPr>
          <w:rFonts w:ascii="Times New Roman" w:cs="Times New Roman" w:eastAsia="Times New Roman" w:hAnsi="Times New Roman"/>
          <w:sz w:val="22"/>
          <w:szCs w:val="22"/>
          <w:color w:val="auto"/>
        </w:rPr>
      </w:pPr>
    </w:p>
    <w:p>
      <w:pPr>
        <w:jc w:val="both"/>
        <w:ind w:left="820" w:hanging="164"/>
        <w:spacing w:after="0" w:line="239" w:lineRule="auto"/>
        <w:tabs>
          <w:tab w:leader="none" w:pos="8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 franchise revenue decreased $1.3 million, or 0.6%, compared to 2023, primarily due to a 2.0% decrease in domestic franchise same-restaurant sales and a decrease in licensing and virtual brand revenue, partially offset by an increase in proprietary product sales and an increase in the number of effective franchise restaurants.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2024 total franchise expenses decreased $4.5 million compared to 2023 due to changes in the following components:</w:t>
      </w:r>
    </w:p>
    <w:p>
      <w:pPr>
        <w:spacing w:after="0" w:line="158" w:lineRule="exact"/>
        <w:rPr>
          <w:sz w:val="20"/>
          <w:szCs w:val="20"/>
          <w:color w:val="auto"/>
        </w:rPr>
      </w:pPr>
    </w:p>
    <w:p>
      <w:pPr>
        <w:ind w:left="820" w:hanging="164"/>
        <w:spacing w:after="0" w:line="234" w:lineRule="auto"/>
        <w:tabs>
          <w:tab w:leader="none" w:pos="81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Advertising expenses decreased $5.7 million, primarily due to a corresponding decrease in advertising revenue partially offset the recognition of an advertising fund deficit in 2024.</w:t>
      </w:r>
    </w:p>
    <w:p>
      <w:pPr>
        <w:spacing w:after="0" w:line="24" w:lineRule="exact"/>
        <w:rPr>
          <w:rFonts w:ascii="Times New Roman" w:cs="Times New Roman" w:eastAsia="Times New Roman" w:hAnsi="Times New Roman"/>
          <w:sz w:val="22"/>
          <w:szCs w:val="22"/>
          <w:color w:val="auto"/>
        </w:rPr>
      </w:pPr>
    </w:p>
    <w:p>
      <w:pPr>
        <w:jc w:val="both"/>
        <w:ind w:left="820" w:hanging="164"/>
        <w:spacing w:after="0" w:line="239" w:lineRule="auto"/>
        <w:tabs>
          <w:tab w:leader="none" w:pos="81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 franchise expenses decreased $1.3 million compared to 2023, primarily due to a decrease in franchise IT support costs, a decrease in cost of proprietary sales, a decrease in virtual brand expense and a decrease in bad debt expense, partially offset by an increase in franchisor advertising contribution.</w:t>
      </w:r>
    </w:p>
    <w:p>
      <w:pPr>
        <w:spacing w:after="0" w:line="24" w:lineRule="exact"/>
        <w:rPr>
          <w:rFonts w:ascii="Times New Roman" w:cs="Times New Roman" w:eastAsia="Times New Roman" w:hAnsi="Times New Roman"/>
          <w:sz w:val="22"/>
          <w:szCs w:val="22"/>
          <w:color w:val="auto"/>
        </w:rPr>
      </w:pPr>
    </w:p>
    <w:p>
      <w:pPr>
        <w:ind w:left="820" w:hanging="164"/>
        <w:spacing w:after="0" w:line="234" w:lineRule="auto"/>
        <w:tabs>
          <w:tab w:leader="none" w:pos="81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Applebee's franchise expenses decreased $0.3 million compared to 2023 primarily due to a decrease in bad debt expense, partially offset by an increase in franchisor advertising contribution.</w:t>
      </w:r>
    </w:p>
    <w:p>
      <w:pPr>
        <w:spacing w:after="0" w:line="24" w:lineRule="exact"/>
        <w:rPr>
          <w:rFonts w:ascii="Times New Roman" w:cs="Times New Roman" w:eastAsia="Times New Roman" w:hAnsi="Times New Roman"/>
          <w:sz w:val="22"/>
          <w:szCs w:val="22"/>
          <w:color w:val="auto"/>
        </w:rPr>
      </w:pPr>
    </w:p>
    <w:p>
      <w:pPr>
        <w:ind w:left="820" w:hanging="164"/>
        <w:spacing w:after="0" w:line="234" w:lineRule="auto"/>
        <w:tabs>
          <w:tab w:leader="none" w:pos="81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Fuzzy's franchise expenses increased $2.8 million compared to 2023 primarily due to an increase in franchisor advertising contribution and an increase in bad debt expense.</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 and expense by brand for fiscal 2024, 2023 and 2022 were as follows: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2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advertising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c>
          <w:tcPr>
            <w:tcW w:w="12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Applebee's advertising revenue for 2024 decreased 4.9% compared to 2023, primarily due to a decrease of 4.1% in domestic franchise same-restaurant sales and a decrease in the number of effective franchise restaurants (note that advertising contributions to the NAF by company-operated restaurants are not reflected in this financial statement line item), partially offset by a $1.6 million increase due to favorable collectability. The decrease in Applebee's advertising expenses was lower than the decrease in advertising revenue primarily because of the recognition of an advertising fund deficit in 2024. IHOP's advertising revenue for 2024 decreased by 1.2%, compared to 2023, primarily due to the decrease of 2.0% in domestic franchise same-restaurant sales offset by an increase in the number of effective franchise restaurants. The increase in IHOP advertising expenses was greater than the increase in advertising revenue due to a prior year recognition of a deficit in the international advertising fund.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recovery of a previously recognized deficiency in advertising fee revenue compared to advertising expenditures, in the fourth quarter of our fiscal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i w:val="1"/>
                <w:iCs w:val="1"/>
                <w:color w:val="auto"/>
                <w:w w:val="98"/>
              </w:rPr>
              <w:t>(4.7)</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7"/>
              </w:rPr>
              <w:t>0.6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operations 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i w:val="1"/>
                <w:iCs w:val="1"/>
                <w:color w:val="auto"/>
                <w:w w:val="98"/>
              </w:rPr>
              <w:t>(4.1)</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profit as % of revenue</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___________________________________________________</w:t>
      </w:r>
    </w:p>
    <w:p>
      <w:pPr>
        <w:spacing w:after="0" w:line="25" w:lineRule="exact"/>
        <w:rPr>
          <w:sz w:val="20"/>
          <w:szCs w:val="20"/>
          <w:color w:val="auto"/>
        </w:rPr>
      </w:pPr>
    </w:p>
    <w:p>
      <w:pPr>
        <w:ind w:left="900" w:hanging="163"/>
        <w:spacing w:after="0"/>
        <w:tabs>
          <w:tab w:leader="none" w:pos="90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Percentages calculated on actual amounts, not rounded amounts shown above.</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Rental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Rental income includes revenue from operating leases and interest income from real estate leases. Rental expenses are costs of prime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and interest expense on prime finance leases on certain franchise restaurants.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Rental operations segment profit for the year ended December 31, 2024 decreased compared to the same period of the prior year primarily due to lease buyouts during the prior year and operating lease terminations.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 Operations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Company Restaurants</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27.5</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(43.6)</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w:t>
            </w:r>
            <w:r>
              <w:rPr>
                <w:rFonts w:ascii="Times New Roman" w:cs="Times New Roman" w:eastAsia="Times New Roman" w:hAnsi="Times New Roman"/>
                <w:sz w:val="10"/>
                <w:szCs w:val="10"/>
                <w:color w:val="auto"/>
              </w:rPr>
              <w:t>(1)</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n/a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weekly unit sales (in thousands)</w:t>
            </w:r>
            <w:r>
              <w:rPr>
                <w:rFonts w:ascii="Times New Roman" w:cs="Times New Roman" w:eastAsia="Times New Roman" w:hAnsi="Times New Roman"/>
                <w:sz w:val="10"/>
                <w:szCs w:val="10"/>
                <w:color w:val="auto"/>
              </w:rPr>
              <w:t>(1)</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n/a</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r>
              <w:rPr>
                <w:rFonts w:ascii="Times New Roman" w:cs="Times New Roman" w:eastAsia="Times New Roman" w:hAnsi="Times New Roman"/>
                <w:sz w:val="10"/>
                <w:szCs w:val="10"/>
                <w:color w:val="auto"/>
              </w:rPr>
              <w:t>(2)</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(124.8)</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r>
              <w:rPr>
                <w:rFonts w:ascii="Times New Roman" w:cs="Times New Roman" w:eastAsia="Times New Roman" w:hAnsi="Times New Roman"/>
                <w:sz w:val="10"/>
                <w:szCs w:val="10"/>
                <w:color w:val="auto"/>
              </w:rPr>
              <w:t>(2)</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119.6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___________________________________________________</w:t>
      </w:r>
    </w:p>
    <w:p>
      <w:pPr>
        <w:spacing w:after="0" w:line="10" w:lineRule="exact"/>
        <w:rPr>
          <w:sz w:val="20"/>
          <w:szCs w:val="20"/>
          <w:color w:val="auto"/>
        </w:rPr>
      </w:pPr>
    </w:p>
    <w:p>
      <w:pPr>
        <w:ind w:left="240" w:hanging="151"/>
        <w:spacing w:after="0"/>
        <w:tabs>
          <w:tab w:leader="none" w:pos="24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acquired Fuzzy's on December 13, 2022, thus no data is presented for 2022.</w:t>
      </w:r>
    </w:p>
    <w:p>
      <w:pPr>
        <w:spacing w:after="0" w:line="57" w:lineRule="exact"/>
        <w:rPr>
          <w:rFonts w:ascii="Times New Roman" w:cs="Times New Roman" w:eastAsia="Times New Roman" w:hAnsi="Times New Roman"/>
          <w:sz w:val="19"/>
          <w:szCs w:val="19"/>
          <w:color w:val="auto"/>
          <w:vertAlign w:val="superscript"/>
        </w:rPr>
      </w:pPr>
    </w:p>
    <w:p>
      <w:pPr>
        <w:ind w:left="260" w:right="80" w:hanging="171"/>
        <w:spacing w:after="0" w:line="207" w:lineRule="auto"/>
        <w:tabs>
          <w:tab w:leader="none" w:pos="257"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Company restaurant sales are retail sales at company-operated restaurants. Company restaurant expenses are operating expenses at company-operated restaurants and include food, beverage, labor, benefits, utilities, rent, depreciation and other operating costs.</w:t>
      </w:r>
    </w:p>
    <w:p>
      <w:pPr>
        <w:spacing w:after="0" w:line="10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time to time, we may acquire restaurants from franchisees that we subsequently refranchise. These restaurants may or may not be operated by us on a temporary basis until refranchised.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under “Events Impacting Comparability of Financial Information,” over the past two years we have entered into transactions impacting the company-operated restaurants of both brands. In October 2022, we sold 69 Applebee's restaurants in North Carolina and South Carolina to an Applebee's franchisee. In December 2022, we acquired Fuzzy's Taco Shop including three company-operated restaurants. In April 2023, we refranchised two of the three company-operated Fuzzy's restaurants. In November 2024, we acquired 56 Applebee's restaurants and simultaneously refranchised nine resulting in the operations of the 47 Applebee's company-operated restaurants across Georgia, Arkansas, Illinois, Kentucky, Tennessee,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Mississippi and Missouri. The table above reflects our operation of 47 Applebee's restaurants for six weeks in 2024, the operations of one Fuzzy's restaurant in 2024 and 2023, the operations of two additional Fuzzy's restaurants for four months in 2023, the operations of three Fuzzy's restaurants for two weeks in 2022 and the operations of 69 Applebee's restaurants for approximately ten months in 2022. As a result, comparisons of revenues and expenses between those years are not meaningful and the amount of gross profit and loss generated in any year was not significant.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held no acquired IHOP restaurants at or during the years ended December 31, 2024, 2023 and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Financing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 1.</w:t>
      </w:r>
    </w:p>
    <w:p>
      <w:pPr>
        <w:spacing w:after="0" w:line="29" w:lineRule="exact"/>
        <w:rPr>
          <w:sz w:val="20"/>
          <w:szCs w:val="20"/>
          <w:color w:val="auto"/>
        </w:rPr>
      </w:pPr>
    </w:p>
    <w:p>
      <w:pPr>
        <w:ind w:firstLine="8"/>
        <w:spacing w:after="0" w:line="260" w:lineRule="auto"/>
        <w:tabs>
          <w:tab w:leader="none" w:pos="10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Financing operations revenue primarily consists of interest income from the financing of IHOP equipment leases and franchise fees,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notes receivable from franchisees. Financing expenses are the cost of taxes related to IHOP equipment leases.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revenues decreased $0.8 million in 2024 compared to 2023. The decrease was primarily attributable to the continued amortization of the IHOP franchise fees and equipment lease portfolios.</w:t>
      </w:r>
    </w:p>
    <w:p>
      <w:pPr>
        <w:spacing w:after="0" w:line="200" w:lineRule="exact"/>
        <w:rPr>
          <w:sz w:val="20"/>
          <w:szCs w:val="20"/>
          <w:color w:val="auto"/>
        </w:rPr>
      </w:pP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w:t>
            </w:r>
          </w:p>
        </w:tc>
        <w:tc>
          <w:tcPr>
            <w:tcW w:w="10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for 2024 decreased 0.7% compared to 2023, primarily due to the stopping of the IHOP Flip'd initiative in the prior year as well as decreases in professional services fees and occupancy costs. This was partially offset by an increase in depreciation expense and organization restructuring costs in 2024.</w:t>
      </w:r>
    </w:p>
    <w:p>
      <w:pPr>
        <w:sectPr>
          <w:pgSz w:w="11900" w:h="16838" w:orient="portrait"/>
          <w:cols w:equalWidth="0" w:num="1">
            <w:col w:w="11240"/>
          </w:cols>
          <w:pgMar w:left="320" w:top="999" w:right="339" w:bottom="1440" w:gutter="0" w:footer="0" w:header="0"/>
        </w:sectPr>
      </w:pPr>
    </w:p>
    <w:p>
      <w:pPr>
        <w:spacing w:after="0" w:line="131"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i w:val="1"/>
          <w:iCs w:val="1"/>
          <w:color w:val="auto"/>
        </w:rPr>
        <w:t>Closure and Impairment Charges</w:t>
      </w: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Closure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-127635</wp:posOffset>
            </wp:positionV>
            <wp:extent cx="324040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40405" cy="14541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24040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40405"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Long-lived asset impairment</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Charges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i w:val="1"/>
                <w:iCs w:val="1"/>
                <w:color w:val="auto"/>
                <w:w w:val="98"/>
              </w:rPr>
              <w:t>(0.6)</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2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left="656"/>
              <w:spacing w:after="0"/>
              <w:rPr>
                <w:sz w:val="20"/>
                <w:szCs w:val="20"/>
                <w:color w:val="auto"/>
              </w:rPr>
            </w:pPr>
            <w:r>
              <w:rPr>
                <w:rFonts w:ascii="Times New Roman" w:cs="Times New Roman" w:eastAsia="Times New Roman" w:hAnsi="Times New Roman"/>
                <w:sz w:val="18"/>
                <w:szCs w:val="18"/>
                <w:i w:val="1"/>
                <w:iCs w:val="1"/>
                <w:color w:val="auto"/>
                <w:w w:val="98"/>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i w:val="1"/>
                <w:iCs w:val="1"/>
                <w:color w:val="auto"/>
                <w:w w:val="97"/>
              </w:rPr>
              <w:t>2.0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center"/>
              <w:ind w:left="656"/>
              <w:spacing w:after="0"/>
              <w:rPr>
                <w:sz w:val="20"/>
                <w:szCs w:val="20"/>
                <w:color w:val="auto"/>
              </w:rPr>
            </w:pPr>
            <w:r>
              <w:rPr>
                <w:rFonts w:ascii="Times New Roman" w:cs="Times New Roman" w:eastAsia="Times New Roman" w:hAnsi="Times New Roman"/>
                <w:sz w:val="18"/>
                <w:szCs w:val="18"/>
                <w:i w:val="1"/>
                <w:iCs w:val="1"/>
                <w:color w:val="auto"/>
                <w:w w:val="98"/>
              </w:rPr>
              <w:t>(5.7)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2" w:lineRule="exact"/>
        <w:rPr>
          <w:sz w:val="20"/>
          <w:szCs w:val="20"/>
          <w:color w:val="auto"/>
        </w:rPr>
      </w:pPr>
    </w:p>
    <w:p>
      <w:pPr>
        <w:sectPr>
          <w:pgSz w:w="11900" w:h="16838" w:orient="portrait"/>
          <w:cols w:equalWidth="0" w:num="2">
            <w:col w:w="3720" w:space="720"/>
            <w:col w:w="6800"/>
          </w:cols>
          <w:pgMar w:left="320" w:top="99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closure charges of $2.2 million for the year ended December 31, 2024 comprised of $1.5 million for revisions to existing closure reserves, including accretion, for approximately 21 IHOP restaurants closed prior to 2023, and $0.6 million related to the conversion of approximately 20,000 square feet of office space in the Leawood, Kansas restaurant support center to a remote work model in February 2024. The closure charges of $1.6 million for the year ended December 31, 2023 primarily comprised of revisions to existing closure reserves, including accretion, for approximately 40 IHOP restaurants closed prior to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assets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performed a quantitative assessment of the Fuzzy’s goodwill and tradename as of December 31, 2024, the annual testing date. For additional details regarding the methodology and assumptions utilized refer to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7 - Other Intangible Assets</w:t>
      </w:r>
      <w:r>
        <w:rPr>
          <w:rFonts w:ascii="Times New Roman" w:cs="Times New Roman" w:eastAsia="Times New Roman" w:hAnsi="Times New Roman"/>
          <w:sz w:val="18"/>
          <w:szCs w:val="18"/>
          <w:color w:val="auto"/>
        </w:rPr>
        <w:t xml:space="preserve"> of the Notes to the Consolidated Financial Statements for additional information. As a result of the quantitative assessment performed, the Company recognized a goodwill impairment of $7.1 million for the year ended December 31, 2024 was related to Fuzzy's goodwill. The long-lived asset impairment of $2.0 million for the year ended December 31, 2023 was comprised of $1.7 million related to the four IHOP subleased restaurants for which the carrying amount exceeded the undiscounted cash flows, $0.2 million related to the stopping of the IHOP Flip'd initiative, and $0.1 million related to two Fuzzy's company restaurants in Texas that were refranchised in April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6" w:name="page47"/>
    <w:bookmarkEnd w:id="46"/>
    <w:tbl>
      <w:tblPr>
        <w:tblLayout w:type="fixed"/>
        <w:tblInd w:w="42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i w:val="1"/>
                <w:iCs w:val="1"/>
                <w:color w:val="auto"/>
              </w:rPr>
              <w:t>(2.1)</w:t>
            </w:r>
          </w:p>
        </w:tc>
        <w:tc>
          <w:tcPr>
            <w:tcW w:w="120" w:type="dxa"/>
            <w:vAlign w:val="bottom"/>
            <w:vMerge w:val="continue"/>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95"/>
              <w:spacing w:after="0"/>
              <w:rPr>
                <w:sz w:val="20"/>
                <w:szCs w:val="20"/>
                <w:color w:val="auto"/>
              </w:rPr>
            </w:pPr>
            <w:r>
              <w:rPr>
                <w:rFonts w:ascii="Times New Roman" w:cs="Times New Roman" w:eastAsia="Times New Roman" w:hAnsi="Times New Roman"/>
                <w:sz w:val="18"/>
                <w:szCs w:val="18"/>
                <w:i w:val="1"/>
                <w:iCs w:val="1"/>
                <w:color w:val="auto"/>
                <w:w w:val="97"/>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i w:val="1"/>
                <w:iCs w:val="1"/>
                <w:color w:val="auto"/>
                <w:w w:val="97"/>
              </w:rPr>
              <w:t>5.6</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(2.5)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i w:val="1"/>
                <w:iCs w:val="1"/>
                <w:color w:val="auto"/>
                <w:w w:val="97"/>
              </w:rPr>
              <w:t>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i w:val="1"/>
                <w:iCs w:val="1"/>
                <w:color w:val="auto"/>
                <w:w w:val="97"/>
              </w:rPr>
              <w:t>3.6</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 and loss on extinguishment of debt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$2.1 million in 2024 compared to 2023, primarily due to the higher interest rate on our refinanced securitized notes as well as on our 2022-1 Variable Funding Senior Notes, Class A-1 (the "Credit Facility"), partially offset by the increase in interest income from improved yields. See the “</w:t>
      </w:r>
      <w:r>
        <w:rPr>
          <w:rFonts w:ascii="Times New Roman" w:cs="Times New Roman" w:eastAsia="Times New Roman" w:hAnsi="Times New Roman"/>
          <w:sz w:val="18"/>
          <w:szCs w:val="18"/>
          <w:i w:val="1"/>
          <w:iCs w:val="1"/>
          <w:color w:val="auto"/>
        </w:rPr>
        <w:t>Liquidity and Capital Resources of the Company</w:t>
      </w:r>
      <w:r>
        <w:rPr>
          <w:rFonts w:ascii="Times New Roman" w:cs="Times New Roman" w:eastAsia="Times New Roman" w:hAnsi="Times New Roman"/>
          <w:sz w:val="18"/>
          <w:szCs w:val="18"/>
          <w:color w:val="auto"/>
        </w:rPr>
        <w:t>” section for additional discussion related to borrowings under our Credit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12, 2022, the Company established a new revolving financing facility and the debt financing costs related to the previous credit facility were expensed for the year ended December 31, 2022. For additional details, please refer to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the Consolidated Financial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A-2-I Notes during the year ended December 31, 2023 and recognized a $1.7 million loss on extinguishment of debt from the write-off of the related remaining issuance costs. This loss was offset by a $1.7 million gain on extinguishment of debt from the purchase of $67.9 million of its 2019 Class A-2-I Notes under par value during the year ended December 31,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Amortization of intangible assets primarily relates to franchising rights arising from the November 2007 acquisition of Applebee's, acquired franchise rights arising from the December 2018 acquisition of 69 Applebee's restaurants from a former franchisee, franchising rights arising from the December 2022 acquisition of Fuzzy's, and acquired franchise rights arising from the November 2024 acquisition of 47 Applebee's restaurants from franchisees as discussed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Note 7 - Other Intangible Assets</w:t>
      </w:r>
      <w:r>
        <w:rPr>
          <w:rFonts w:ascii="Times New Roman" w:cs="Times New Roman" w:eastAsia="Times New Roman" w:hAnsi="Times New Roman"/>
          <w:sz w:val="18"/>
          <w:szCs w:val="18"/>
          <w:color w:val="auto"/>
        </w:rPr>
        <w:t>, in the Notes to the Consolidated Financial Statements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on disposition of assets for the year ended December 31, 2024 primarily related to the refranchising of nine Applebee's restaurants simultaneously acquired with 47 Applebee's restaurants from a franchisee and the sale of one IHOP property. The loss on disposition of assets for the year ended December 31, 2023 primarily related to the disposition of certain IHOP Flip'd assets.</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0"/>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vMerge w:val="continue"/>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(10.2)</w:t>
            </w:r>
          </w:p>
        </w:tc>
        <w:tc>
          <w:tcPr>
            <w:tcW w:w="12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19.2</w:t>
            </w:r>
          </w:p>
        </w:tc>
        <w:tc>
          <w:tcPr>
            <w:tcW w:w="100" w:type="dxa"/>
            <w:vAlign w:val="bottom"/>
            <w:vMerge w:val="continue"/>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16.3 %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will vary from period to period for two primary reasons: a change in pretax book income and a change in the effective tax rate. Changes in our pretax book income between 2024 and 2023 are addressed in the preceding sections of “</w:t>
      </w:r>
      <w:r>
        <w:rPr>
          <w:rFonts w:ascii="Times New Roman" w:cs="Times New Roman" w:eastAsia="Times New Roman" w:hAnsi="Times New Roman"/>
          <w:sz w:val="18"/>
          <w:szCs w:val="18"/>
          <w:i w:val="1"/>
          <w:iCs w:val="1"/>
          <w:color w:val="auto"/>
        </w:rPr>
        <w:t>Consolidated Results of Operations - Fiscal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and 2022.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fiscal year 2024 effective tax rate of 27.5% applied to pretax book income was different than the statutory Federal income tax rate of 21% primarily due to state and local taxes and a lower tax deduction related to stock-based compensation.</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fiscal year 2023 effective tax rate of 13.0% applied to pretax book income was different than the statutory Federal income tax rate of 21% primarily due to the conclusion of a state income tax audit settlement, resulting in an income tax benefit of $15.1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regards to future realization of deferred tax assets. We believe that the future realizability of benefits arising from foreign tax credit carryforwards and certain state net operating loss carryforwards does not meet the more-likely-than-not threshold. In recognition of this risk, there is a valuation allowance of $5.0 million as of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cash balances, net of revolving credit facility borrowings, at December 31, 2024, 2023 and 2022 were as follows:</w:t>
      </w:r>
    </w:p>
    <w:p>
      <w:pPr>
        <w:spacing w:after="0" w:line="179"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1"/>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we had contractual obligations to repay debt, make payments under operating leases, finance leases and financing obligations, and to purchase certain goods and services. Material cash requirements to satisfy these obligations were as follows:</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Due in Fiscal</w:t>
            </w:r>
          </w:p>
        </w:tc>
        <w:tc>
          <w:tcPr>
            <w:tcW w:w="10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Due Thereafter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Reference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4"/>
        </w:trPr>
        <w:tc>
          <w:tcPr>
            <w:tcW w:w="2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20" w:type="dxa"/>
            <w:vAlign w:val="bottom"/>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(interest)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9</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Financing Obligations</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11 - Commitments and Contingencies</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20" w:type="dxa"/>
            <w:vAlign w:val="bottom"/>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31" w:lineRule="auto"/>
        <w:tabs>
          <w:tab w:leader="none" w:pos="4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See referenced note of Notes to the Consolidated Financial Statements for additional information about the obligation.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 Commitments and Contingencies,</w:t>
      </w:r>
      <w:r>
        <w:rPr>
          <w:rFonts w:ascii="Times New Roman" w:cs="Times New Roman" w:eastAsia="Times New Roman" w:hAnsi="Times New Roman"/>
          <w:sz w:val="18"/>
          <w:szCs w:val="18"/>
          <w:color w:val="auto"/>
        </w:rPr>
        <w:t xml:space="preserve"> of the Notes to the Consolidated Financial Statements, for a description of the Company's lease guarantees.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the Consolidated Financial Statements, for additional detail on long-term debt, including the balances outstanding at December 31, 2024 and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2023.</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Credit Facility that allows for drawings up to $325 million of variable funding notes on a revolving basis and the issuance of letters of credit.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December 31, 2024, our leverage ratio was approximately 4.1x. Therefore, quarterly principal payments are not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December 31, 2024, there was no make-whole premium associated with voluntary prepayment of the 2019 Class A-2-II Notes. As of December 31, 2024, the make-whole premium associated with voluntary prepayment of the 2023 Class A-2 Notes was approximately $28.0 million. We also would be subject to a make-whole premium in the event of a mandatory prepayment required following certain rapid amortization events or certain asset dispositions. The mandatory make-whole premium requirements are considered embedded derivatives that must be bifurcated for separate valuation. We estimated the fair value of these derivatives to be immaterial as of December 31, 2024, based on the probability-weighted discounted cash flows associated with either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1.75x - Cash Flow Sweeping Event</w:t>
      </w:r>
    </w:p>
    <w:p>
      <w:pPr>
        <w:spacing w:after="0" w:line="13"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1.20x - Rapid Amortization Event</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1.20x - Manager Termination Event</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1.10x - Default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December 31, 2024 was approximately 3.4x.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time; (ii) the federal funds rate in effect from time to time plus 0.50%; and (iii) SOFR for a one-month tenor in effect at such time plus 0.50% plus (b) 2.00%.</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December 31, 2024. The amount of $0.6 million was pledged against the Credit Facility for outstanding letters of credit, leaving $224.4 million of the Credit Facility available for borrowing at December 31,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year ended December 31, 2024 was 7.78%.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years ended December 31, 2024 and 2023 were as follows:</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vMerge w:val="continue"/>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23"/>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 restaurants. Cash provided by operating activities decreased $23.0 million during the year ended December 31, 2024 compared to the same period of the prior year. This decrease was primarily attributable to the decrease in gross segment profit, partially offset by a decrease in G&amp;A expenses as discussed in the preceding sections of this MD&amp;A, as well as a decrease in working capital primarily due to tenant improvement reimbursements received in 2023 offset by timing of rental and other payments impacted by our fiscal year end dates.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Investing activities used net cash of $8.5 million for the year ended December 31, 2024 compared to using net cash of $30.1 million for the year ended December 31, 2023, a favorable change of $21.6 million. Net cash used in investing activities in the current year included the Company's acquisition of 56 Applebee's restaurants (see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xml:space="preserve"> of the Notes to the Consolidated Financial Statements) and the simultaneous refranchising and sale of nine of those Applebee's restaurants (see N</w:t>
      </w:r>
      <w:r>
        <w:rPr>
          <w:rFonts w:ascii="Times New Roman" w:cs="Times New Roman" w:eastAsia="Times New Roman" w:hAnsi="Times New Roman"/>
          <w:sz w:val="18"/>
          <w:szCs w:val="18"/>
          <w:i w:val="1"/>
          <w:iCs w:val="1"/>
          <w:color w:val="auto"/>
        </w:rPr>
        <w:t>ote 20 - Refranchising of Company-Operated Restaurants</w:t>
      </w:r>
      <w:r>
        <w:rPr>
          <w:rFonts w:ascii="Times New Roman" w:cs="Times New Roman" w:eastAsia="Times New Roman" w:hAnsi="Times New Roman"/>
          <w:sz w:val="18"/>
          <w:szCs w:val="18"/>
          <w:color w:val="auto"/>
        </w:rPr>
        <w:t xml:space="preserve"> of the Notes to the Consolidated Financial Statements) as well as proceeds from the sale of one IHOP property. In addition, capital expenditures compared to the same period of the prior year decreased $23.1 million and principal receipts from notes and equipment contracts receivables increased $2.9 million. The Company increased spending in information technology and other projects in fiscal year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timing of principal receipts from the Company's long-term receivables for equipment, real estate leases receivable, and other notes receivable from franchisees as of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Principal Receipts Due By Period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leases</w:t>
            </w:r>
            <w:r>
              <w:rPr>
                <w:rFonts w:ascii="Times New Roman" w:cs="Times New Roman" w:eastAsia="Times New Roman" w:hAnsi="Times New Roman"/>
                <w:sz w:val="23"/>
                <w:szCs w:val="23"/>
                <w:color w:val="auto"/>
                <w:vertAlign w:val="superscript"/>
              </w:rPr>
              <w:t>(1)</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34"/>
        </w:trPr>
        <w:tc>
          <w:tcPr>
            <w:tcW w:w="294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leases receivable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3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34"/>
        </w:trPr>
        <w:tc>
          <w:tcPr>
            <w:tcW w:w="29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ind w:left="160" w:hanging="152"/>
        <w:spacing w:after="0" w:line="200"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Equipment leases receivable extend through the year 2029.</w:t>
      </w: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 estate leases receivable extend through the year 2045.</w:t>
      </w:r>
    </w:p>
    <w:p>
      <w:pPr>
        <w:spacing w:after="0" w:line="1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notes receivable extend through the year 2031.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$51.7 million for the year ended December 31, 2024. The decrease in cash used by financing activities of $173.7 million was primarily due to the repayment and issuance of long-term debt of $159.8 million including payment of debt issuance costs during the year ended December 31, 2023 and a $14.1 million decrease in repurchases of common stock. There were no repayment or issuance of long-term debt during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(22.9)</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adjusted free cash flow in 2024 compared to 2023 was primarily due to the decrease in additions to property and equipment and the decrease in cash provided by operating activities which was discussed in preceding section of this MD&amp;A.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fiscal years ended December 31, 2024, 2023 and 2022, we declared and paid dividends on common stock as shown in </w:t>
      </w:r>
      <w:r>
        <w:rPr>
          <w:rFonts w:ascii="Times New Roman" w:cs="Times New Roman" w:eastAsia="Times New Roman" w:hAnsi="Times New Roman"/>
          <w:sz w:val="18"/>
          <w:szCs w:val="18"/>
          <w:i w:val="1"/>
          <w:iCs w:val="1"/>
          <w:color w:val="auto"/>
        </w:rPr>
        <w:t>Note 12 -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 of the Notes to the Consolidated Financial Statements included in this report. On February 20, 2025, our Board of Directors declared a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cash dividend of $0.51 per share of common stock, payable on April 4, 2025 to the stockholders of record as of the close of business on March 17, 2025.</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our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A summary of shares repurchased under the 2022 Repurchase Program, during the year ended December 31, 2024 and cumulatively, is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5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93"/>
        </w:trPr>
        <w:tc>
          <w:tcPr>
            <w:tcW w:w="5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5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1,865,399</w:t>
            </w:r>
          </w:p>
        </w:tc>
        <w:tc>
          <w:tcPr>
            <w:tcW w:w="12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bl>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included in this report for shares repurchased in fiscal 2024, 2023 and 2022.</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also repurchase shares owned and tendered by employees to satisfy tax withholding obligations on the vesting of restricted stock awards. Shares are deemed purchased at the closing price of our common stock on the vesting date. See </w:t>
      </w:r>
      <w:r>
        <w:rPr>
          <w:rFonts w:ascii="Times New Roman" w:cs="Times New Roman" w:eastAsia="Times New Roman" w:hAnsi="Times New Roman"/>
          <w:sz w:val="18"/>
          <w:szCs w:val="18"/>
          <w:i w:val="1"/>
          <w:iCs w:val="1"/>
          <w:color w:val="auto"/>
        </w:rPr>
        <w:t>Part II, Item 5 - Market for Registrant's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Related Stockholder Matters and Issuer Purchases of Equity Securities </w:t>
      </w:r>
      <w:r>
        <w:rPr>
          <w:rFonts w:ascii="Times New Roman" w:cs="Times New Roman" w:eastAsia="Times New Roman" w:hAnsi="Times New Roman"/>
          <w:sz w:val="18"/>
          <w:szCs w:val="18"/>
          <w:color w:val="auto"/>
        </w:rPr>
        <w:t>for detail on this stock repurchase activity during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prepare our consolidated financial statements in accordance with United States generally accepted accounting principles (“U.S. GAAP”). Our significant accounting policies are comprehensively described in </w:t>
      </w:r>
      <w:r>
        <w:rPr>
          <w:rFonts w:ascii="Times New Roman" w:cs="Times New Roman" w:eastAsia="Times New Roman" w:hAnsi="Times New Roman"/>
          <w:sz w:val="18"/>
          <w:szCs w:val="18"/>
          <w:i w:val="1"/>
          <w:iCs w:val="1"/>
          <w:color w:val="auto"/>
        </w:rPr>
        <w:t>Note 2 - Basis of Presentation and Significant Accounting Policies,</w:t>
      </w:r>
      <w:r>
        <w:rPr>
          <w:rFonts w:ascii="Times New Roman" w:cs="Times New Roman" w:eastAsia="Times New Roman" w:hAnsi="Times New Roman"/>
          <w:sz w:val="18"/>
          <w:szCs w:val="18"/>
          <w:color w:val="auto"/>
        </w:rPr>
        <w:t xml:space="preserve"> of the Notes to the Consolidated Financial Statements contained in Part II, Item 8 of this 10-K.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reported amounts of assets, liabilities, revenues, expenses and related disclosures.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are evaluated throughout the year to determine if indicators of impairment exist. Such indicators include, but are not limited to, events or circumstances such as a significant adverse change in our business, in the overall climate of the business, unanticipated competition, a loss of key personnel, adverse legal or regulatory developments or a significant decline in the market price of our common stock.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 Additionally, in any given year, we may elect to perform a quantitative assessment of impairment.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restaurant sales trends, future development plans, restaurant closures, cost of revenues, operating expenses, and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process of a quantitative test, if necessary, of the Applebee's and Fuzzy's tradename intangible asset, we primarily use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our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restaurants. There are numerous potential events that could reasonably be expected to negatively affect the forecast of system-wide sales, including a decrease in customers' disposable income available for discretionary spending or a decrease in the perceived wealth of customers, as well as unexpected events such as a global pandemic. As a result, our restaurants could experience a decline in sales and/or customer traffic as potential customers choose lower-cost alternatives (such as quick-service restaurants) or other alternatives to dining out.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 Any decreases in customer traffic or average customer check also could reduce the profitability of our company-operated restaurants. Significant increases in the discount rate also could adversely impact estimated fair values used in quantitative tests for impairment.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performed a quantitative test on Fuzzy's goodwill using the approach described above. We concluded it was more likely than not that the fair value of Fuzzy's goodwill did not exceed its respective carrying amount and recorded an impairment charge of $7.1 million during the year ended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 regular basis, we assess whether events or changes in circumstances have occurred that potentially indicate the carrying value of long-lived tangible assets (primarily assets related to properties and equipment leased or subleased to franchisees, including operating lease right-of-use assets recorded upon adoption of ASC 842)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its remaining lease life, and other factors which apply on a case-by-case basis. The analysis is performed at the individual restaurant level for indicators of impairment. Recoverability of the Company's assets is measured by comparing the assets' carrying value to the undiscounted cash flows expected to be generated over the assets' remaining useful life or remaining lease term, whichever is less. This assessment requires the use of estimates and assumptions as to future cash flows of individual restaurants and properties, which are subject to a high degree of judgment and are unique to each property. If assumptions as to future cash flows decrease in the future, we may be required to record impairment charges for these assets. See </w:t>
      </w:r>
      <w:r>
        <w:rPr>
          <w:rFonts w:ascii="Times New Roman" w:cs="Times New Roman" w:eastAsia="Times New Roman" w:hAnsi="Times New Roman"/>
          <w:sz w:val="18"/>
          <w:szCs w:val="18"/>
          <w:i w:val="1"/>
          <w:iCs w:val="1"/>
          <w:color w:val="auto"/>
        </w:rPr>
        <w:t>Note 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Closure and Long-lived Tangible Asset Impairment Charges, </w:t>
      </w:r>
      <w:r>
        <w:rPr>
          <w:rFonts w:ascii="Times New Roman" w:cs="Times New Roman" w:eastAsia="Times New Roman" w:hAnsi="Times New Roman"/>
          <w:sz w:val="18"/>
          <w:szCs w:val="18"/>
          <w:color w:val="auto"/>
        </w:rPr>
        <w:t>of the Notes to the Consolidated Financial Statements for additional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of long-lived tangible assets.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regular basis, we assess whether events or changes in circumstances have occurred that potentially indicate the carrying value of intangible assets with finite lives, primarily assets related to Applebee's franchise rights, may not be recoverable.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credit loss reserves in the following manner. We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that consider four components - historical losses, current conditions, reasonable and supportable forecasts and a reversion to history, if applicable.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allowance for credit losses is comprised of specific reserves related to individual franchisees. These reserves are subject to a high degree of judgment and are unique to each franchisee. Changes in circumstances relating to each franchisee may result in increases or decreases to the allowance for credit losses in the future. Since adoption of the CECL methodology, the portion of the allowance based on expected loss rates has not been a material component of the total allowance for credit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allocate the purchase price of acquired companies to the assets acquired and liabilities assumed based on estimated fair values at the acquisition date, with the excess of purchase price over the estimated fair value of the identifiable net assets acquired recorded as goodwill. The allocation of the purchase price requires us to make significant estimates and assumptions to determine the fair value of assets acquired and liabilities assumed and the related useful lives of the acquired assets, when applicable, as of the acquisition date.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Examples of assets we have acquired or may acquire in the future that required the use of critical estimates in valuations include, but are not limited to, tradenames and franchising rights. We engage third-party valuation specialists to assist in determining the fair value associated with our business combinations and related identifiable intangible assets. These estimates are inherently uncertain and unpredictable due to the sensitivity of the assumptions used, which may include, among others, the future expected cash flows and discount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the Current Fiscal Year</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accounting standards we adopted in fiscal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 Not Yet Adopted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newly issued accounting standards that may impact us in the future.</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significant majority of our long-term debt outstanding at December 31, 2024 was issued at fixed interest rates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We are only exposed to interest rate risk on borrowings we make under our Credit Facility, borrowings from which are subject to variable interest rates. In August 2022, we borrowed $100 million against the Credit Facility, all of which was outstanding at December 31, 2024. A 1% increase or decrease in interest rates would not have a material impact on any fees associated with the Credit Facility.</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We had no material amounts of derivative instruments at December 31, 2024 and did not hold any material amount of derivative instruments during the year ended December 31,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interest-earning cash, cash equivalents and restricted cash balances as of December 31, 2024, a 1% change in interest rates would change our annual interest income by approximately $2.5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brand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2024, 100% of Applebee's domestic franchise restaurants and 100%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2024, our outstanding guarantees for food product purchases were $2.8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Currency Exchange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minimal exposure to international currency exchange rate fluctuations. Revenue derived from all international country operations comprised less than 3% of total consolidated revenue for the year ended December 31, 2024, such that a hypothetical concurrent 10% adverse change in the currency of every international country in which our franchisees operate restaurants would have a negative impact of less than 0.3% of our consolidated revenue. We do not hold a material amount of cash and cash equivalents in currencies other than the U.S. Dollar.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Reference</w:t>
            </w:r>
          </w:p>
        </w:tc>
      </w:tr>
      <w:tr>
        <w:trPr>
          <w:trHeight w:val="175"/>
        </w:trPr>
        <w:tc>
          <w:tcPr>
            <w:tcW w:w="20" w:type="dxa"/>
            <w:vAlign w:val="bottom"/>
          </w:tcPr>
          <w:p>
            <w:pPr>
              <w:spacing w:after="0"/>
              <w:rPr>
                <w:sz w:val="15"/>
                <w:szCs w:val="15"/>
                <w:color w:val="auto"/>
              </w:rPr>
            </w:pPr>
          </w:p>
        </w:tc>
        <w:tc>
          <w:tcPr>
            <w:tcW w:w="516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w:t>
            </w:r>
          </w:p>
        </w:tc>
        <w:tc>
          <w:tcPr>
            <w:tcW w:w="2520" w:type="dxa"/>
            <w:vAlign w:val="bottom"/>
            <w:gridSpan w:val="2"/>
          </w:tcPr>
          <w:p>
            <w:pPr>
              <w:jc w:val="right"/>
              <w:ind w:right="2220"/>
              <w:spacing w:after="0" w:line="156" w:lineRule="exact"/>
              <w:rPr>
                <w:sz w:val="20"/>
                <w:szCs w:val="20"/>
                <w:color w:val="auto"/>
              </w:rPr>
            </w:pPr>
            <w:r>
              <w:rPr>
                <w:rFonts w:ascii="Times New Roman" w:cs="Times New Roman" w:eastAsia="Times New Roman" w:hAnsi="Times New Roman"/>
                <w:sz w:val="18"/>
                <w:szCs w:val="18"/>
                <w:color w:val="3051F2"/>
                <w:w w:val="96"/>
              </w:rPr>
              <w:t>:42</w:t>
            </w:r>
            <w:r>
              <w:rPr>
                <w:rFonts w:ascii="Times New Roman" w:cs="Times New Roman" w:eastAsia="Times New Roman" w:hAnsi="Times New Roman"/>
                <w:sz w:val="18"/>
                <w:szCs w:val="18"/>
                <w:u w:val="single" w:color="auto"/>
                <w:color w:val="0000FF"/>
                <w:w w:val="96"/>
              </w:rPr>
              <w: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3020" w:type="dxa"/>
            <w:vAlign w:val="bottom"/>
            <w:gridSpan w:val="3"/>
          </w:tcPr>
          <w:p>
            <w:pPr>
              <w:spacing w:after="0"/>
              <w:rPr>
                <w:sz w:val="17"/>
                <w:szCs w:val="17"/>
                <w:color w:val="auto"/>
              </w:rPr>
            </w:pPr>
          </w:p>
        </w:tc>
        <w:tc>
          <w:tcPr>
            <w:tcW w:w="2600" w:type="dxa"/>
            <w:vAlign w:val="bottom"/>
            <w:gridSpan w:val="3"/>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each of the three years in the period ended December 31, 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for each of the three years in the period ended December 31, 2024</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2024</w:t>
            </w:r>
          </w:p>
        </w:tc>
        <w:tc>
          <w:tcPr>
            <w:tcW w:w="1920" w:type="dxa"/>
            <w:vAlign w:val="bottom"/>
            <w:gridSpan w:val="2"/>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4260" w:type="dxa"/>
            <w:vAlign w:val="bottom"/>
            <w:gridSpan w:val="4"/>
          </w:tcPr>
          <w:p>
            <w:pPr>
              <w:spacing w:after="0"/>
              <w:rPr>
                <w:sz w:val="18"/>
                <w:szCs w:val="18"/>
                <w:color w:val="auto"/>
              </w:rPr>
            </w:pPr>
          </w:p>
        </w:tc>
        <w:tc>
          <w:tcPr>
            <w:tcW w:w="2600" w:type="dxa"/>
            <w:vAlign w:val="bottom"/>
            <w:gridSpan w:val="3"/>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98"/>
        </w:trPr>
        <w:tc>
          <w:tcPr>
            <w:tcW w:w="20" w:type="dxa"/>
            <w:vAlign w:val="bottom"/>
          </w:tcPr>
          <w:p>
            <w:pPr>
              <w:spacing w:after="0"/>
              <w:rPr>
                <w:sz w:val="24"/>
                <w:szCs w:val="24"/>
                <w:color w:val="auto"/>
              </w:rPr>
            </w:pPr>
          </w:p>
        </w:tc>
        <w:tc>
          <w:tcPr>
            <w:tcW w:w="3420" w:type="dxa"/>
            <w:vAlign w:val="bottom"/>
            <w:tcBorders>
              <w:top w:val="single" w:sz="8" w:color="0000FF"/>
            </w:tcBorders>
          </w:tcPr>
          <w:p>
            <w:pPr>
              <w:spacing w:after="0"/>
              <w:rPr>
                <w:sz w:val="24"/>
                <w:szCs w:val="24"/>
                <w:color w:val="auto"/>
              </w:rPr>
            </w:pPr>
          </w:p>
        </w:tc>
        <w:tc>
          <w:tcPr>
            <w:tcW w:w="4260" w:type="dxa"/>
            <w:vAlign w:val="bottom"/>
            <w:gridSpan w:val="4"/>
          </w:tcPr>
          <w:p>
            <w:pPr>
              <w:jc w:val="right"/>
              <w:ind w:right="1980"/>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Dine Brands Global, Inc. and Subsidiaries (the Company) as of December 29, 2024 and December 31, 2023, the related consolidated statements of comprehensive income, stockholders’ deficit and cash flows for each of the three years in the period ended December 29, 2024, and the related notes (collectively referred to as the “consolidated financial statements”). In our opinion, the consolidated financial statements present fairly, in all material respects, the financial position of the Company at December 29, 2024 and December 31, 2023, and the results of its operations and its cash flows for each of the three years in the period ended December 29, 2024, in conformity with U.S. generally accepted accounting principles.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29, 2024, based on criteria established in Internal Control-Integrated Framework issued by the Committee of Sponsoring Organizations of the Treadway Commission (2013 framework) and our report dated March 5, 2025 expressed an unqualified opinion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left="138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 Lived Intangible Assets Impairment Assessment</w:t>
      </w:r>
    </w:p>
    <w:p>
      <w:pPr>
        <w:spacing w:after="0" w:line="5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29, 2024, the Company’s goodwill and indefinite lived tradename intangible asset balances related to the Fuzzy’s</w:t>
      </w:r>
    </w:p>
    <w:p>
      <w:pPr>
        <w:spacing w:after="0" w:line="18" w:lineRule="exact"/>
        <w:rPr>
          <w:sz w:val="20"/>
          <w:szCs w:val="20"/>
          <w:color w:val="auto"/>
        </w:rPr>
      </w:pPr>
    </w:p>
    <w:p>
      <w:pPr>
        <w:jc w:val="both"/>
        <w:ind w:left="1700" w:hanging="1699"/>
        <w:spacing w:after="0" w:line="234" w:lineRule="auto"/>
        <w:tabs>
          <w:tab w:leader="none" w:pos="16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franchised restaurants reporting unit (Fuzzy’s franchise unit) were $7.1 million and $57.2 million, respectively. As discussed in Notes 2, 6 and 7 to the consolidated financial statements, goodwill and tradename are tested for impairment at least annually, and more frequently if the Company believes indicators of impairment exist or at management’s discretion. As a result of identifying impairment indicators, Management performed a quantitative impairment test of the Fuzzy’s franchise unit goodwill and tradename assets as of December 29, 2024. The impairment test concluded that the estimated fair value of the tradename exceeded the carrying value and the carrying value of the reporting unit exceeded the estimated fair value resulting in a goodwill impairment loss of $7.1 million.</w:t>
      </w:r>
    </w:p>
    <w:p>
      <w:pPr>
        <w:spacing w:after="0" w:line="160" w:lineRule="exact"/>
        <w:rPr>
          <w:sz w:val="20"/>
          <w:szCs w:val="20"/>
          <w:color w:val="auto"/>
        </w:rPr>
      </w:pPr>
    </w:p>
    <w:p>
      <w:pPr>
        <w:jc w:val="both"/>
        <w:ind w:left="1700"/>
        <w:spacing w:after="0" w:line="239" w:lineRule="auto"/>
        <w:rPr>
          <w:sz w:val="20"/>
          <w:szCs w:val="20"/>
          <w:color w:val="auto"/>
        </w:rPr>
      </w:pPr>
      <w:r>
        <w:rPr>
          <w:rFonts w:ascii="Times New Roman" w:cs="Times New Roman" w:eastAsia="Times New Roman" w:hAnsi="Times New Roman"/>
          <w:sz w:val="18"/>
          <w:szCs w:val="18"/>
          <w:color w:val="auto"/>
        </w:rPr>
        <w:t>Auditing management’s goodwill and tradename impairment tests was especially challenging and complex due to the significant estimation underlying the determination of fair values. In particular, the fair value estimates were sensitive to changes in the significant assumptions used under the income and market approaches utilized to determine the fair value of the Fuzzy’s franchise unit and the relief of royalty method utilized to determine the fair value of tradename. Significant assumptions made by management in estimating fair value of the Fuzzy’s franchise unit under the income and market approaches included future trends in royalty revenue, sales growth rates for royalty revenue and other franchise revenue, and the appropriate discount rate. Significant assumptions used to determine fair value of the tradename under the relief of royalty method included future trends in system-wide sales, system-wide sales growth rate, and royalty rate.</w:t>
      </w:r>
    </w:p>
    <w:p>
      <w:pPr>
        <w:spacing w:after="0" w:line="2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How We Addressed the </w:t>
      </w:r>
      <w:r>
        <w:rPr>
          <w:rFonts w:ascii="Times New Roman" w:cs="Times New Roman" w:eastAsia="Times New Roman" w:hAnsi="Times New Roman"/>
          <w:sz w:val="17"/>
          <w:szCs w:val="17"/>
          <w:color w:val="auto"/>
        </w:rPr>
        <w:t>We obtained an understanding, evaluated the design and tested the operating effectiveness of controls over the Company’s goodwill</w:t>
      </w:r>
      <w:r>
        <w:rPr>
          <w:rFonts w:ascii="Times New Roman" w:cs="Times New Roman" w:eastAsia="Times New Roman" w:hAnsi="Times New Roman"/>
          <w:sz w:val="17"/>
          <w:szCs w:val="17"/>
          <w:i w:val="1"/>
          <w:iCs w:val="1"/>
          <w:color w:val="auto"/>
        </w:rPr>
        <w:t xml:space="preserve"> Matter in Our Audit </w:t>
      </w:r>
      <w:r>
        <w:rPr>
          <w:rFonts w:ascii="Times New Roman" w:cs="Times New Roman" w:eastAsia="Times New Roman" w:hAnsi="Times New Roman"/>
          <w:sz w:val="17"/>
          <w:szCs w:val="17"/>
          <w:color w:val="auto"/>
        </w:rPr>
        <w:t>and tradename impairment tests, including controls over the review of the assumptions used and the accuracy of the underlying</w:t>
      </w:r>
    </w:p>
    <w:p>
      <w:pPr>
        <w:ind w:left="1700"/>
        <w:spacing w:after="0"/>
        <w:rPr>
          <w:sz w:val="20"/>
          <w:szCs w:val="20"/>
          <w:color w:val="auto"/>
        </w:rPr>
      </w:pPr>
      <w:r>
        <w:rPr>
          <w:rFonts w:ascii="Times New Roman" w:cs="Times New Roman" w:eastAsia="Times New Roman" w:hAnsi="Times New Roman"/>
          <w:sz w:val="18"/>
          <w:szCs w:val="18"/>
          <w:color w:val="auto"/>
        </w:rPr>
        <w:t>data.</w:t>
      </w:r>
    </w:p>
    <w:p>
      <w:pPr>
        <w:spacing w:after="0" w:line="165" w:lineRule="exact"/>
        <w:rPr>
          <w:sz w:val="20"/>
          <w:szCs w:val="20"/>
          <w:color w:val="auto"/>
        </w:rPr>
      </w:pPr>
    </w:p>
    <w:p>
      <w:pPr>
        <w:jc w:val="both"/>
        <w:ind w:left="1700"/>
        <w:spacing w:after="0" w:line="238" w:lineRule="auto"/>
        <w:rPr>
          <w:sz w:val="20"/>
          <w:szCs w:val="20"/>
          <w:color w:val="auto"/>
        </w:rPr>
      </w:pPr>
      <w:r>
        <w:rPr>
          <w:rFonts w:ascii="Times New Roman" w:cs="Times New Roman" w:eastAsia="Times New Roman" w:hAnsi="Times New Roman"/>
          <w:sz w:val="18"/>
          <w:szCs w:val="18"/>
          <w:color w:val="auto"/>
        </w:rPr>
        <w:t>Our testing of the Company’s impairment assessment included, among other procedures, evaluating the significant assumptions and data used in estimating fair values. For example, we compared the forecasted future sales growth rates to historical results and industry trends. We also performed sensitivity analyses on the significant assumptions used, agreed historical balances to accounting records, and recalculated management's estimates. Additionally, we involved our valuation specialists to assist with our evaluation of the methodology used and to assess whether assumptions such as discount rates and royalty rates were comparable to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58" w:name="page59"/>
    <w:bookmarkEnd w:id="58"/>
    <w:p>
      <w:pPr>
        <w:ind w:left="1400"/>
        <w:spacing w:after="0"/>
        <w:rPr>
          <w:sz w:val="20"/>
          <w:szCs w:val="20"/>
          <w:color w:val="auto"/>
        </w:rPr>
      </w:pPr>
      <w:r>
        <w:rPr>
          <w:rFonts w:ascii="Times New Roman" w:cs="Times New Roman" w:eastAsia="Times New Roman" w:hAnsi="Times New Roman"/>
          <w:sz w:val="18"/>
          <w:szCs w:val="18"/>
          <w:b w:val="1"/>
          <w:bCs w:val="1"/>
          <w:i w:val="1"/>
          <w:iCs w:val="1"/>
          <w:color w:val="auto"/>
        </w:rPr>
        <w:t>Measurement and Valuation of Allowance for Credit Losses</w:t>
      </w:r>
    </w:p>
    <w:p>
      <w:pPr>
        <w:spacing w:after="0" w:line="52" w:lineRule="exact"/>
        <w:rPr>
          <w:sz w:val="20"/>
          <w:szCs w:val="20"/>
          <w:color w:val="auto"/>
        </w:rPr>
      </w:pPr>
    </w:p>
    <w:p>
      <w:pPr>
        <w:ind w:left="20"/>
        <w:spacing w:after="0"/>
        <w:tabs>
          <w:tab w:leader="none" w:pos="17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of December 29, 2024, the Company‘s allowance for credit losses was $4.7 million against a gross accounts receivable balance</w:t>
      </w:r>
    </w:p>
    <w:p>
      <w:pPr>
        <w:spacing w:after="0" w:line="18" w:lineRule="exact"/>
        <w:rPr>
          <w:sz w:val="20"/>
          <w:szCs w:val="20"/>
          <w:color w:val="auto"/>
        </w:rPr>
      </w:pPr>
    </w:p>
    <w:p>
      <w:pPr>
        <w:jc w:val="both"/>
        <w:ind w:left="1720" w:hanging="1699"/>
        <w:spacing w:after="0" w:line="234" w:lineRule="auto"/>
        <w:tabs>
          <w:tab w:leader="none" w:pos="17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of $155.8 million. As discussed in Notes 2 and 4 to the consolidated financial statements, the Company’s gross receivables primarily consist of franchise-related accounts receivable, gift card receivables, notes receivable, equipment leases receivable, real estate leases receivable, and distributor receivables. The carrying amounts of the receivables, net of the allowance, represent the total amounts expected to be collected over the life of the receivables. Included in the allowance for credit losses are specific reserves against account balances due from franchisees which are deemed to be at risk for collection based on payment delinquency and a reserve for receivables that are not currently deemed at risk that is based on past events, current conditions, and expectations of the future effects of macroeconomic factors.</w:t>
      </w:r>
    </w:p>
    <w:p>
      <w:pPr>
        <w:spacing w:after="0" w:line="160" w:lineRule="exact"/>
        <w:rPr>
          <w:sz w:val="20"/>
          <w:szCs w:val="20"/>
          <w:color w:val="auto"/>
        </w:rPr>
      </w:pPr>
    </w:p>
    <w:p>
      <w:pPr>
        <w:jc w:val="both"/>
        <w:ind w:left="1720"/>
        <w:spacing w:after="0" w:line="250" w:lineRule="auto"/>
        <w:rPr>
          <w:sz w:val="20"/>
          <w:szCs w:val="20"/>
          <w:color w:val="auto"/>
        </w:rPr>
      </w:pPr>
      <w:r>
        <w:rPr>
          <w:rFonts w:ascii="Times New Roman" w:cs="Times New Roman" w:eastAsia="Times New Roman" w:hAnsi="Times New Roman"/>
          <w:sz w:val="18"/>
          <w:szCs w:val="18"/>
          <w:color w:val="auto"/>
        </w:rPr>
        <w:t>Auditing the allowance for credit losses was complex due to the judgmental nature and degree of subjectivity involved in evaluating management’s assessment of the collectability of receivables. Estimates of the amounts expected to be collected include assessments of franchisee financial health and creditworthiness.</w:t>
      </w:r>
    </w:p>
    <w:p>
      <w:pPr>
        <w:spacing w:after="0" w:line="13"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the Company’s controls over the</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allowance for credit losses process, including management’s review and approval of the model used to calculate the estimate and</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 evaluation of the completeness and accuracy of data inputs, assumptions, and outputs of the model.</w:t>
      </w:r>
    </w:p>
    <w:p>
      <w:pPr>
        <w:spacing w:after="0" w:line="165" w:lineRule="exact"/>
        <w:rPr>
          <w:sz w:val="20"/>
          <w:szCs w:val="20"/>
          <w:color w:val="auto"/>
        </w:rPr>
      </w:pPr>
    </w:p>
    <w:p>
      <w:pPr>
        <w:jc w:val="both"/>
        <w:ind w:left="1720"/>
        <w:spacing w:after="0" w:line="239" w:lineRule="auto"/>
        <w:rPr>
          <w:sz w:val="20"/>
          <w:szCs w:val="20"/>
          <w:color w:val="auto"/>
        </w:rPr>
      </w:pPr>
      <w:r>
        <w:rPr>
          <w:rFonts w:ascii="Times New Roman" w:cs="Times New Roman" w:eastAsia="Times New Roman" w:hAnsi="Times New Roman"/>
          <w:sz w:val="18"/>
          <w:szCs w:val="18"/>
          <w:color w:val="auto"/>
        </w:rPr>
        <w:t>Our audit procedures included, among others, validating the completeness of the identified at-risk receivables based on payment delinquency. We tested the completeness and accuracy of the underlying inputs considered in management’s model. We evaluated the reasonableness of the overall allowance estimate, inclusive of the assumptions, and performed sensitivity analyses on the significant assumptions used. We also reviewed subsequent events and transactions and considered whether they corroborated or contradicted the Company’s estimate 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$3,383 (2024) and $4,462 (2023)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115,218</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gift card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28,552</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12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0" w:type="dxa"/>
            <w:vAlign w:val="bottom"/>
          </w:tcPr>
          <w:p>
            <w:pPr>
              <w:spacing w:after="0"/>
              <w:rPr>
                <w:sz w:val="1"/>
                <w:szCs w:val="1"/>
                <w:color w:val="auto"/>
              </w:rPr>
            </w:pPr>
          </w:p>
        </w:tc>
      </w:tr>
      <w:tr>
        <w:trPr>
          <w:trHeight w:val="20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385,999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357,778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586,033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323,468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275,214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248,622</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156,134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$1,354 (2024) and $5,002 (2023)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35,873</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120" w:type="dxa"/>
            <w:vAlign w:val="bottom"/>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177,584</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29,081</w:t>
            </w:r>
          </w:p>
        </w:tc>
        <w:tc>
          <w:tcPr>
            <w:tcW w:w="12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0" w:type="dxa"/>
            <w:vAlign w:val="bottom"/>
          </w:tcPr>
          <w:p>
            <w:pPr>
              <w:spacing w:after="0"/>
              <w:rPr>
                <w:sz w:val="1"/>
                <w:szCs w:val="1"/>
                <w:color w:val="auto"/>
              </w:rPr>
            </w:pPr>
          </w:p>
        </w:tc>
      </w:tr>
      <w:tr>
        <w:trPr>
          <w:trHeight w:val="20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445,305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1,086,551</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1,084,502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54,572</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20" w:type="dxa"/>
            <w:vAlign w:val="bottom"/>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2,006,603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1,991,261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40,000,000 authorized; 2024 -24,756,637 issued, 15,273,210 outstanding; 2023 -</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24,870,529 issued, 15,344,768 outstanding</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Treasury stock, at cost; shares: 2024 - 9,483,427; 2023 - 9,525,761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120" w:type="dxa"/>
            <w:vAlign w:val="bottom"/>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12"/>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00"/>
          </w:cols>
          <w:pgMar w:left="340" w:top="88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revenues: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395,524</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405,569</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373,110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Advertising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289,328</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685,960</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706,365</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662,438</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sales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812,306</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831,068</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909,402</w:t>
            </w:r>
          </w:p>
        </w:tc>
        <w:tc>
          <w:tcPr>
            <w:tcW w:w="0" w:type="dxa"/>
            <w:vAlign w:val="bottom"/>
          </w:tcPr>
          <w:p>
            <w:pPr>
              <w:spacing w:after="0"/>
              <w:rPr>
                <w:sz w:val="1"/>
                <w:szCs w:val="1"/>
                <w:color w:val="auto"/>
              </w:rPr>
            </w:pPr>
          </w:p>
        </w:tc>
      </w:tr>
      <w:tr>
        <w:trPr>
          <w:trHeight w:val="206"/>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Advertising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287,063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franchise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43,892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339,856</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344,403</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321,908</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rental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84,008</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84,705</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85,033</w:t>
            </w:r>
          </w:p>
        </w:tc>
        <w:tc>
          <w:tcPr>
            <w:tcW w:w="0" w:type="dxa"/>
            <w:vAlign w:val="bottom"/>
          </w:tcPr>
          <w:p>
            <w:pPr>
              <w:spacing w:after="0"/>
              <w:rPr>
                <w:sz w:val="1"/>
                <w:szCs w:val="1"/>
                <w:color w:val="auto"/>
              </w:rPr>
            </w:pPr>
          </w:p>
        </w:tc>
      </w:tr>
      <w:tr>
        <w:trPr>
          <w:trHeight w:val="207"/>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rental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436,997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434,384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532,044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375,309</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396,684</w:t>
            </w: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377,358</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190,746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60,952</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64,878</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97,177</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62,975</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94,859</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8"/>
                <w:szCs w:val="18"/>
                <w:color w:val="auto"/>
              </w:rPr>
            </w:pPr>
          </w:p>
        </w:tc>
        <w:tc>
          <w:tcPr>
            <w:tcW w:w="17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0" w:type="dxa"/>
            <w:vAlign w:val="bottom"/>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3440" w:type="dxa"/>
            <w:vAlign w:val="bottom"/>
            <w:tcBorders>
              <w:bottom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Loss</w:t>
            </w: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0" w:type="dxa"/>
            <w:vAlign w:val="bottom"/>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17,163,946</w:t>
            </w:r>
          </w:p>
        </w:tc>
        <w:tc>
          <w:tcPr>
            <w:tcW w:w="10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80" w:type="dxa"/>
            <w:vAlign w:val="bottom"/>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7,828,329</w:t>
            </w:r>
          </w:p>
        </w:tc>
        <w:tc>
          <w:tcPr>
            <w:tcW w:w="8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8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1,737,697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(205,293)</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(39,189)</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(31,988)</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(31,769)</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0" w:type="dxa"/>
            <w:vAlign w:val="bottom"/>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15,599,239</w:t>
            </w: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(31,706)</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(31,525)</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 w:type="dxa"/>
            <w:vAlign w:val="bottom"/>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15,344,768</w:t>
            </w: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311,955</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(311,955)</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15,090</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(57,646)</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(31,284)</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(31,138)</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0" w:type="dxa"/>
            <w:vAlign w:val="bottom"/>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15,273,210</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8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9,483,427</w:t>
            </w:r>
          </w:p>
        </w:tc>
        <w:tc>
          <w:tcPr>
            <w:tcW w:w="8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1"/>
        </w:trPr>
        <w:tc>
          <w:tcPr>
            <w:tcW w:w="7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37,952</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w:t>
            </w: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w:t>
            </w: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w:t>
            </w: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(10,020)</w:t>
            </w: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07"/>
        </w:trPr>
        <w:tc>
          <w:tcPr>
            <w:tcW w:w="72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108,160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131,140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89,336</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(37,172)</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(35,318)</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17,028</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(78,264)</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07"/>
        </w:trPr>
        <w:tc>
          <w:tcPr>
            <w:tcW w:w="72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(80,904)</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 including revolving line of credit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(651,713)</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(38,768)</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Borrowings from revolving credit facility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(31,302)</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(31,715)</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(30,765)</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(120,452)</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payments of finance lease and financing obligations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w:t>
            </w: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13"/>
        </w:trPr>
        <w:tc>
          <w:tcPr>
            <w:tcW w:w="7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2"/>
        </w:trPr>
        <w:tc>
          <w:tcPr>
            <w:tcW w:w="7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(51,703)</w:t>
            </w:r>
          </w:p>
        </w:tc>
        <w:tc>
          <w:tcPr>
            <w:tcW w:w="1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(225,435)</w:t>
            </w:r>
          </w:p>
        </w:tc>
        <w:tc>
          <w:tcPr>
            <w:tcW w:w="1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(108,801)</w:t>
            </w:r>
          </w:p>
        </w:tc>
      </w:tr>
      <w:tr>
        <w:trPr>
          <w:trHeight w:val="207"/>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(100,369)</w:t>
            </w:r>
          </w:p>
        </w:tc>
      </w:tr>
      <w:tr>
        <w:trPr>
          <w:trHeight w:val="216"/>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1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425,353</w:t>
            </w:r>
          </w:p>
        </w:tc>
      </w:tr>
      <w:tr>
        <w:trPr>
          <w:trHeight w:val="212"/>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248,598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324,984</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64,599</w:t>
            </w:r>
          </w:p>
        </w:tc>
      </w:tr>
      <w:tr>
        <w:trPr>
          <w:trHeight w:val="222"/>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38,332</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28,409</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r>
      <w:tr>
        <w:trPr>
          <w:trHeight w:val="21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conversion of accounts receivable to notes receivable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2"/>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72" w:lineRule="exact"/>
        <w:rPr>
          <w:sz w:val="20"/>
          <w:szCs w:val="20"/>
          <w:color w:val="auto"/>
        </w:rPr>
      </w:pPr>
    </w:p>
    <w:p>
      <w:pPr>
        <w:jc w:val="both"/>
        <w:ind w:left="80"/>
        <w:spacing w:after="0" w:line="223" w:lineRule="auto"/>
        <w:rPr>
          <w:sz w:val="20"/>
          <w:szCs w:val="20"/>
          <w:color w:val="auto"/>
        </w:rPr>
      </w:pPr>
      <w:r>
        <w:rPr>
          <w:rFonts w:ascii="Times New Roman" w:cs="Times New Roman" w:eastAsia="Times New Roman" w:hAnsi="Times New Roman"/>
          <w:sz w:val="18"/>
          <w:szCs w:val="18"/>
          <w:color w:val="auto"/>
        </w:rPr>
        <w:t>The first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(“Dine Brands Global”). In December 2022, the Company acquired FTO Holding Company, LLC (“Fuzzy's”), which owns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concept and became a wholly-owned subsidiary of the Company.</w:t>
      </w:r>
    </w:p>
    <w:p>
      <w:pPr>
        <w:spacing w:after="0" w:line="90" w:lineRule="exact"/>
        <w:rPr>
          <w:sz w:val="20"/>
          <w:szCs w:val="20"/>
          <w:color w:val="auto"/>
        </w:rPr>
      </w:pPr>
    </w:p>
    <w:p>
      <w:pPr>
        <w:jc w:val="both"/>
        <w:ind w:left="80"/>
        <w:spacing w:after="0" w:line="223" w:lineRule="auto"/>
        <w:rPr>
          <w:sz w:val="20"/>
          <w:szCs w:val="20"/>
          <w:color w:val="auto"/>
        </w:rPr>
      </w:pPr>
      <w:r>
        <w:rPr>
          <w:rFonts w:ascii="Times New Roman" w:cs="Times New Roman" w:eastAsia="Times New Roman" w:hAnsi="Times New Roman"/>
          <w:sz w:val="18"/>
          <w:szCs w:val="18"/>
          <w:color w:val="auto"/>
        </w:rPr>
        <w:t>The Company owns, franchises and operates three restaurant concepts: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in the American full-service restaurant segment within the casual dining category of the restaurant industry;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family dining mid-scale full-service category of the restaurant industry; and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Mexican food segment within the fast-casual dining category of the restaurant industry.</w:t>
      </w:r>
    </w:p>
    <w:p>
      <w:pPr>
        <w:spacing w:after="0" w:line="22"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18"/>
          <w:szCs w:val="18"/>
          <w:color w:val="auto"/>
        </w:rPr>
        <w:t>As of December 31, 2024, there were 1,824 IHOP restaurants, of which 1,670 were subject to franchise agreements and 154 were subject to area license agreements. These IHOP restaurants were located in 49 states of the United States, the District of Columbia, two United States territories and 14 countries outside the United States. As of December 31, 2024, there were 1,614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of which 1,567 were subject to franchise agreements and 47 were company-operated. These Applebee's restaurants were located in 49 states of the United States, two United States territories and 15 countries outside the United States. As of December 31, 2024, the Company had 117 Fuzzy restaurants in 15 states of the United States, of which 116 were subject to franchise agreements and one was company-operated.</w:t>
      </w:r>
    </w:p>
    <w:p>
      <w:pPr>
        <w:spacing w:after="0" w:line="88"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References herein to Applebee's, IHOP and Fuzzy's restaurants are to these restaurant concepts, whether operated by franchisees, area licensees or the Company. Retail sales at restaurants that are owned by franchisees and area licensees are not attributable to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Dine Brands Global, Inc. and its wholly-owned subsidiaries. All intercompany accounts and transactions have been eliminated in consolidation. Certain amounts in the Consolidated Financial Statements and associated notes may not foot due to rounding.</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There were 52 calendar weeks in our 2024, 2023, and 2022 fiscal year that ended December 29, 2024, December 31, 2023, and January 1, 2023, respectively.</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purchase price allocation</w:t>
      </w:r>
    </w:p>
    <w:p>
      <w:pPr>
        <w:spacing w:after="0" w:line="3"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of acquired companies to the assets acquired and liabilities assumed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cash equivalents and restricted cash. At times, cash, cash equivalents and restricted cash balances may be in excess of FDIC insurance limits.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derived from revenues earned from franchisees and area licensees located primarily in the United States. Financing receivables arise from the financing of restaurant equipment, real estate leases or franchise fees with the Company by IHOP franchisees. The Company is subject to a concentration of credit risk with respect to receivables from franchisees that own a large number of Applebee's, IHOP or Fuzzy's restaurants. As of December 31, 2024, two franchisees (one Applebee's franchisee and one franchisee with cross-brand ownership) operated a combined total of 790 Applebee's and IHOP restaurants in the United States, which comprised 23.9% of the total Applebee's, IHOP and Fuzzy's franchise and area license restaurants in the United States. Revenues from these two franchisees represented 22.2%, 21.1%, and 18.8% of total consolidated revenue for the years ended December 31, 2024, 2023 and 2022, respectively. One franchisee represented 14.4%, 13.9%, and 12.5% of total consolidated revenue for the years ended December 31, 2024, 2023 and 2022, respectively. Receivables from these franchisees totaled $20.1 million and $19.7 million at December 31, 2024 and 2023,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The components of cash and cash equivalents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371"/>
        </w:trPr>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7"/>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4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and Fuzzy's franchisees pursuant to franchise agreements, usage of which was restricted to advertising activities. The components of current restricted cash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371"/>
        </w:trPr>
        <w:tc>
          <w:tcPr>
            <w:tcW w:w="6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7"/>
        </w:trPr>
        <w:tc>
          <w:tcPr>
            <w:tcW w:w="6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4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11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Non-current restricted cash of $19.5 million at December 31, 2024 and 2023, represents interest reserves set aside for the duration of the securitized debt. The required reserve is approximately one quarter's interest payment on the Company's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straight-line basis over their estimated useful lives or the lease term, if less. The general ranges of depreciable and amortizable lives are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18"/>
                <w:szCs w:val="18"/>
                <w:color w:val="auto"/>
              </w:rPr>
            </w:pPr>
          </w:p>
        </w:tc>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Depreciable Life</w:t>
            </w:r>
          </w:p>
        </w:tc>
      </w:tr>
      <w:tr>
        <w:trPr>
          <w:trHeight w:val="22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to 40 years</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10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primary lease term or between three to 40 years</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0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to five years</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0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to 10 years</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10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lease term or remaining primary lease term</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analysis is performed at the restaurant level for indicators of impairment. The Company tests for impairment using current and historical operating results and cash flows as well as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Continuing losses associated with an asset are an indicator of impairment.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Closure and Long-lived Tangible Asset Impairment Charges</w:t>
      </w:r>
      <w:r>
        <w:rPr>
          <w:rFonts w:ascii="Times New Roman" w:cs="Times New Roman" w:eastAsia="Times New Roman" w:hAnsi="Times New Roman"/>
          <w:sz w:val="18"/>
          <w:szCs w:val="18"/>
          <w:color w:val="auto"/>
        </w:rPr>
        <w:t>, of the Notes to the Consolidated Financial Statements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Applebee's franchising rights, Fuzzy's tradename and Fuzzy's franchising rights. Identifiable intangible assets with finite lives are amortized over the estimated useful lives using the straight-line method. Goodwill and intangible assets considered to have an indefinite life (primarily tradenames) are not subject to amortization. The determination of indefinite life is subject to reassessment if changes in facts and circumstances indicate the period of benefit has become finite.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Goodwill has been allocated to two reporting segments. The significant majority of the Company's goodwill resulted from the November 29, 2007 acquisition of Applebee's and was allocated between the franchise operations segment (“franchise segment”) and company restaurants operations segment (“company restaurants segment”). Smaller amounts of goodwill arising from other business combinations has been allocated to the franchise segment. In November 2024, the Company acquired 47 Applebee's restaurants and the goodwill arising from the acquisition have been allocated to the company restaurants segment. See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of the Notes to the Consolidated Financial Statements for additional information.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majority of its goodwill for impairment as of October 31 and the remaining as of December 31 of each year. In addition to the annual evaluation for impairment, goodwill and indefinite-lived intangible assets are evaluated more frequently if the Company believes indicators of impairment exist.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current and future income tax rates, the competitive environment, fluctuations in the market value of the Company's common stock, absolute and relative to peers, overall financial performance and results of past impairment tests. If, based on a review of the qualitative factors, the Company determines it is more-likely-than-not that the fair value is greater than the carrying value, the Company may bypass a quantitative test for impairment. Additionally, in any given year, the Company can elect to perform a quantitative assessment of impairment.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restaurant sales trends, future development plans, restaurant closures, cost of revenues, operating expenses, and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enter into business combinations. In accordance with Accounting Standards Codification (“ASC”) 805, Business Combinations, the Company applies the acquisition method for acquisitions that meet the definition of a business combination. Under the acquisition method, the Company estimates the fair value of the identifiable assets and liabilities of the acquired entity on the acquisition date. Acquired intangible assets are valued using different methods under the income approach, including but not limited to, the multi-period excess earnings method for tradenames and franchising rights and the relief of royalty method for recipes. The Company measures goodwill as the excess of consideration transferred over the net of the acquisition date fair values of the identifiable assets acquired and liabilities assumed. Goodwill is assigned to each reporting unit that is expected to benefit from the synergies of the business combination. Acquisition-related expenses and transaction costs associated with business combinations are expensed in the period incurred which is included in the General and administrative expenses line item of the Consolidated Statements of Comprehensive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recorded in four categories: franchise operations, company restaurant operations, rental operations and financing operations. Franchise revenue (which comprises most of the Company's revenues) and revenue from company-operated restaurants are recognized in accordance with ASC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Revenues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franchises the Applebee’s, IHOP and Fuzzy's restaurant concepts.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domestic franchise agreements require franchisees to purchase proprietary products, if applicable,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660" w:right="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revenues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(Continued)</w:t>
      </w:r>
    </w:p>
    <w:p>
      <w:pPr>
        <w:spacing w:after="0" w:line="232" w:lineRule="exact"/>
        <w:rPr>
          <w:rFonts w:ascii="Times New Roman" w:cs="Times New Roman" w:eastAsia="Times New Roman" w:hAnsi="Times New Roman"/>
          <w:sz w:val="16"/>
          <w:szCs w:val="16"/>
          <w:b w:val="1"/>
          <w:bCs w:val="1"/>
          <w:color w:val="auto"/>
        </w:rPr>
      </w:pPr>
    </w:p>
    <w:p>
      <w:pPr>
        <w:jc w:val="both"/>
        <w:ind w:left="660" w:right="20" w:hanging="328"/>
        <w:spacing w:after="0" w:line="257" w:lineRule="auto"/>
        <w:tabs>
          <w:tab w:leader="none" w:pos="6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a contract asset (unbilled receivable) or, once billed, accounts receivable, on the balance sheet;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sales of proprietary products (primarily pancake and waffle dry mix) is recognized in the period in which distributors ship the franchisee's order; recognition of revenue results in accounts receivable on the balance sheet.</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judgment with respect to collectability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Restaurant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judgments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 Revenues</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Rental operations revenues include revenues from operating leases and interest income from real estate leases. See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 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Revenues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operations revenues consist primarily of interest income from the financing of franchise fees and equipment leases, other notes receivable from franchisees and sales of equipment associated with refranchised IHOP restaurants. Interest income is recorded as earned.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administers gift card programs for each restaurant concept.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proceeds, net of costs, is remitted to the franchisee. The Company recognizes gift card breakage revenue only from gift cards redeemed at company-operated restaurants. Breakage revenue for gift cards estimated to be unredeemable at company-operated restaurants for the years ended December 31, 2024, 2023 and 2022 were $5.6 thousand, zero and $0.3 million,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allowance for credit losses is the Company's best estimate of the amount of probable credit losses incurred on existing receivables; however, changes in circumstances relating to receivables may result in changes to the allowance in the future. The Company determines the allowance based on historical losses, current conditions, and reasonable and supportable forecasts used in assessing the franchisee's or area licensee's ability to pay outstanding balances. The primary indicator of credit quality is delinquency, which is considered to be a receivable balance greater than 90 days past due. The Company continually reviews the allowance for credit losses. Past due balances and future obligations are reviewed individually for collectability. Account balances are charged against the allowance after all collection efforts have been exhausted and the potential for recovery is considered remote. See </w:t>
      </w:r>
      <w:r>
        <w:rPr>
          <w:rFonts w:ascii="Times New Roman" w:cs="Times New Roman" w:eastAsia="Times New Roman" w:hAnsi="Times New Roman"/>
          <w:sz w:val="18"/>
          <w:szCs w:val="18"/>
          <w:i w:val="1"/>
          <w:iCs w:val="1"/>
          <w:color w:val="auto"/>
        </w:rPr>
        <w:t>Note 4 -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Expected Credit Losses</w:t>
      </w:r>
      <w:r>
        <w:rPr>
          <w:rFonts w:ascii="Times New Roman" w:cs="Times New Roman" w:eastAsia="Times New Roman" w:hAnsi="Times New Roman"/>
          <w:sz w:val="18"/>
          <w:szCs w:val="18"/>
          <w:color w:val="auto"/>
        </w:rPr>
        <w:t>, of the Notes to the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leasing activities in accordance with accounting guidance for leases, as codified in ASC 842. In adopting ASC 842, the Company utilized expedients that allowed it to retain the classification, as either an operating lease or a finance lease, that was previously determined under prior accounting guidance for leases. The Company reassesses this classification upon renewal, extension or the modification of an existing lease agreement. The Company determines the appropriate classification upon entering into a new contract determined to contain a lease.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 In the case of operating leases acquired in a business combination, the operating lease assets are adjusted for any favorable or unfavorable lease terms.</w:t>
      </w:r>
    </w:p>
    <w:p>
      <w:pPr>
        <w:spacing w:after="0" w:line="7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lease agreements generally do not provide information to determine the implicit interest rate in the agreements. This requires the Company to estimate an incremental borrowing rate to be used in calculating operating lease liabilities as of the commencement or modification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an operating lease is recognized over the lease term on a straight-line basis. The lease term commences on the date the Company has the right to control the use of the leased property. Certain leases may contain provisions for rent holidays and fixed-step escalations in payments over the base lease term, as well as renewal periods. The effects of the holidays and fixed-step escalations are reflected in rent expense on a straight-line basis over the expected lease term. Differences between amounts paid and amounts expensed are recorded as a component of the right of use assets. Certain leases may include rent escalations based on inflation indexes and fair market value adjustments. Certain leases may contain contingent rental provisions that include a fixed base rent plus an additional percentage of the restaurant’s sales. Subsequent escalations subject to such an index and contingent rental payments are recognized as variable lease expense.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rental payments (as lessee) or receipts (as lessor)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real estate leases receivable are amortized using the implicit interest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related to the opening of new or relocated restaurants are charged to expense when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Advertising expense reflected in the Consolidated Statements of Comprehensive Income includes our contributions to the national advertising funds, local marketing advertising costs incurred by company-operated restaurants, and certain advertising costs incurred by the Company to benefit future franchise operations. Costs of advertising typically are expensed either as incurred or the first time the advertising takes place. 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expense included in company restaurant operations for the years ended December 31, 2024, 2023 and 2022 was $0.4 million, $0.1 million and $5.6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6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 intangible assets, which are measured at fair value if determined to be impaired. The Company has not elected to use fair value measurement for any assets or liabilities for which fair value measurement is not presently required.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the fair value of the Credit Facility approximates carrying value as it is based on the SOFR or prevailing benchmark rate. The fair values of the Company's long-term debt, excluding the Credit Facility, at December 31, 2024 and December 31,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11"/>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6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1,095.5</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1,085.8</w:t>
            </w:r>
          </w:p>
        </w:tc>
      </w:tr>
      <w:tr>
        <w:trPr>
          <w:trHeight w:val="21"/>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 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Income.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taxed on global intangible low-tax income ("GILTI") earned by certain foreign subsidiaries and recognizes the current tax on GILTI as an expense in the period the tax is incurred. The Company includes the current tax impact of GILTI in our effective tax rate.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upon examination by taxing authorities based on its 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(loss) per share is calculated using the two-class method prescribed in U.S. GAAP. Basic net income (loss) per share is computed by dividing the net income (loss) available to common stockholders for the period by the weighted average number of common shares outstanding during the period. Diluted net income (loss) per share is computed by dividing the net income (loss) available to common stockholders for the period by the weighted average number of common shares and potential shares of common stock outstanding during the period if their effect is dilutive. The Company uses the treasury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method to calculate the weighted average shares used in the diluted earnings per share calculation. Potentially dilutive common shares include the assumed exercise of stock options and assumed vesting of restricted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dividend declaration. Dividends declared in excess of retained earnings are recorded as a reduction of additional paid-in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Franchise Segment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franchise operations reportable segment consisted of 1,567 restaurants operated by Applebee's franchisees in the United States, two United States territories and 15 countries outside the United States; 1,824 restaurants operated by IHOP franchisees and area licensees in the United States, two United States territories and 14 countries outside the United States; and 116 restaurants operated by Fuzzy's franchisees in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operations expenses include advertising expense, the cost of proprietary products, bad debt expense, pre-opening training expenses and other franchise-related costs.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Company Restaurants Segment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acquisition of Fuzzy's in December 2022, the Company acquired three company Fuzzy's restaurants, and subsequently refranchised two of the restaurants in April 2023. During 2022, the Company operated 69 Applebee's restaurants that were acquired from a former franchisee in December 2018, and the 69 Applebee's company-operated restaurants were subsequently sold in October 2022. In November 2024, the Company acquired 56 Applebee's restaurants from franchisees and simultaneously sold and refranchised nine to a different franchisee. See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of the Notes to the Consolidated Financial Statements for additional information. As of December 31, 2024, the Company operated one Fuzzy's restaurant and 47 Applebee's restaurants.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Rental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of finance leases on franchisee-operated restaurants. The rental operations revenue and expenses are primarily generated by IHOP. Applebee's and Fuzzy's have no or an insignificant amount of rental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Segment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equipment leases and franchise fees, notes receivable from franchisees and sales of equipment associated with refranchised IHOP restaurants. Financing expenses are the cost of restaurant equipment.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and information used to assess segment performance that are regularly provided to the chief operating decision maker. The Company adopted ASU 2023-07 effective January 1, 2024, and applied the disclosure requirements retrospectively to all prior periods presented in the financial statements. Adoption of the standard did not have an impact on the Company's Consolidated Balance Sheets, Consolidated Statements of Comprehensive Income, or the Consolidated Statements of Cash Flows.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2024 that the Company reviewed and concluded was either not applicable to its operations or had no material effect on its consolidated financial statements in the current or future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is currently evaluating the impact of adopting this ASU on our disclosures.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public business entities to provide disaggregated disclosures, in the Notes to the Consolidated Financial Statements,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in our disclosures.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 for the years ended December 31, 2024, 2023 and 2022:</w:t>
      </w:r>
    </w:p>
    <w:p>
      <w:pPr>
        <w:spacing w:after="0" w:line="160"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fees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year ended December 31, 2024 were as follows:</w:t>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Deferred Franchise</w:t>
            </w:r>
          </w:p>
        </w:tc>
      </w:tr>
      <w:tr>
        <w:trPr>
          <w:trHeight w:val="162"/>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Revenue (short- and</w:t>
            </w:r>
          </w:p>
        </w:tc>
      </w:tr>
      <w:tr>
        <w:trPr>
          <w:trHeight w:val="214"/>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long-term)</w:t>
            </w:r>
          </w:p>
        </w:tc>
      </w:tr>
      <w:tr>
        <w:trPr>
          <w:trHeight w:val="186"/>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as revenue during the year ended December 31, 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deferred during the year ended December 31, 2024</w:t>
            </w: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1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deferred franchise revenue as of December 31, 2024 is expected to be recognized as follows:</w:t>
      </w:r>
    </w:p>
    <w:p>
      <w:pPr>
        <w:spacing w:after="0" w:line="151" w:lineRule="exact"/>
        <w:rPr>
          <w:sz w:val="20"/>
          <w:szCs w:val="20"/>
          <w:color w:val="auto"/>
        </w:rPr>
      </w:pPr>
    </w:p>
    <w:tbl>
      <w:tblPr>
        <w:tblLayout w:type="fixed"/>
        <w:tblInd w:w="250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5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balance of deferred franchise revenue is included as Other accrued expenses on the Consolidated Balance Sheets.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Current Expected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applying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reversion to history, if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Historical Losses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charge-off method. Historical loss rates are further adjusted by factors related to current conditions and forecasts of future economic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Conditions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restaurant unit-level economics.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Reasonable and Supportable Forecasts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Reversion to History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reversion to history was not required since the remaining average lives of the Company’s financial assets are not exceedingly lengthy.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 and from distributors related to the sale of proprietary products to franchisees through the Company's network of suppliers and distributors.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 Receivables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notes receivables in connection with the sale of IHOP and Applebee's company restaurants, franchise fees and other notes. The notes are typically collateralized by the franchise. The notes generally have a term from one to eight years and bear interest averaging 6.1% and 5.0% per annum at December 31, 2024 and 2023, respectively. During the year ended December 31, 2024, the Company wrote off $4.4 million of Applebee's notes receivable which were fully reserved as of December 31, 2023. The Company's remaining notes have reserves recorded against them amounting to $1.1 million as of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Leases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IHOP provided the financing for the leasing of the equipment. Equipment lease contracts are collateralized by the equipment in the restaurant. Equipment lease contracts are due in equal weekly installments, and bear interest averaging 9.5% and 9.6% per annum at December 31, 2024 and 2023, respectively. The term of an equipment lease contract typically coincides with the term of the corresponding restaurant building lease. The weighted average remaining life of the Company’s equipment leases is 2.6 years as of December 31, 2024. The estimated fair value of the equipment collateralizing these lease contracts are not deemed to be significant given the very seasoned and mature nature of this portfolio.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Leases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leases receivable also primarily relate to IHOP franchise development activity prior to 2003 when IHOP typically leased or purchased the restaurant site, built and equipped the restaurant, and then franchised the restaurant to a franchisee. IHOP provided the financing for leasing or subleasing the site. Real estate lease receivables at December 31, 2024, were comprised of 15 leases with a weighted average remaining life of 10.5 years, and relate to locations that IHOP is leasing from third parties and subleasing to franchisees. Where applicable, building leases and equipment contracts contain cross-default provisions wherein a default under one constitutes a default under 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receivables balances at December 31, 2024 and 2023 were as follows:</w:t>
      </w:r>
    </w:p>
    <w:p>
      <w:pPr>
        <w:spacing w:after="0" w:line="1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bl>
      <w:tblPr>
        <w:tblLayout w:type="fixed"/>
        <w:tblInd w:w="660" w:type="dxa"/>
        <w:tblCellMar>
          <w:top w:w="0" w:type="dxa"/>
          <w:left w:w="0" w:type="dxa"/>
          <w:bottom w:w="0" w:type="dxa"/>
          <w:right w:w="0" w:type="dxa"/>
        </w:tblCellMar>
      </w:tblPr>
      <w:tr>
        <w:trPr>
          <w:trHeight w:val="198"/>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24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The 2023 balance related to distributor receivables of $5.3 million has been reclassified from other receivables to accounts receivable to conform with the current year's presentation.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years ended December 31, 2024 and 2023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7"/>
              </w:rPr>
              <w:t xml:space="preserve">Other </w:t>
            </w:r>
            <w:r>
              <w:rPr>
                <w:rFonts w:ascii="Times New Roman" w:cs="Times New Roman" w:eastAsia="Times New Roman" w:hAnsi="Times New Roman"/>
                <w:sz w:val="18"/>
                <w:szCs w:val="18"/>
                <w:b w:val="1"/>
                <w:bCs w:val="1"/>
                <w:color w:val="auto"/>
                <w:w w:val="97"/>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 receivable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 (credit)</w:t>
            </w:r>
          </w:p>
        </w:tc>
        <w:tc>
          <w:tcPr>
            <w:tcW w:w="14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 (credit)</w:t>
            </w:r>
          </w:p>
        </w:tc>
        <w:tc>
          <w:tcPr>
            <w:tcW w:w="14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60" w:hanging="152"/>
        <w:spacing w:after="0" w:line="211" w:lineRule="auto"/>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gift card receivable and credit card receivable.</w:t>
      </w:r>
    </w:p>
    <w:p>
      <w:pPr>
        <w:spacing w:after="0" w:line="1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real estate leases receivables, equipment leases receivables, and other receivables (primarily consists of credit card receivables) are not delinquent.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and financing receivables at December 31, 2024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3"/>
                <w:szCs w:val="13"/>
                <w:color w:val="auto"/>
              </w:rPr>
            </w:pP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00" w:type="dxa"/>
            <w:vAlign w:val="bottom"/>
          </w:tcPr>
          <w:p>
            <w:pPr>
              <w:spacing w:after="0"/>
              <w:rPr>
                <w:sz w:val="13"/>
                <w:szCs w:val="13"/>
                <w:color w:val="auto"/>
              </w:rPr>
            </w:pPr>
          </w:p>
        </w:tc>
        <w:tc>
          <w:tcPr>
            <w:tcW w:w="14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Company does not place its financing receivables in non-accrual status.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Property and equipment by category at December 31, 2024 and 2023 were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21"/>
                <w:szCs w:val="21"/>
                <w:color w:val="auto"/>
              </w:rPr>
            </w:pPr>
          </w:p>
        </w:tc>
        <w:tc>
          <w:tcPr>
            <w:tcW w:w="620" w:type="dxa"/>
            <w:vAlign w:val="bottom"/>
            <w:tcBorders>
              <w:right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62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9"/>
                <w:szCs w:val="19"/>
                <w:color w:val="auto"/>
              </w:rPr>
            </w:pPr>
          </w:p>
        </w:tc>
        <w:tc>
          <w:tcPr>
            <w:tcW w:w="62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(325.9)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$28.6 million, $24.7 million and $27.4 million for the years ended December 31, 2024, 2023 and 2022, respectively.</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depreciation and amortization includes accumulated amortization for properties under finance leases in the amount of $41.3 million and $43.7 million at December 31,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majority of the Company's goodwill arose from the November 29, 2007 acquisition of Applebee's which was allocated between the franchise and company restaurants segments.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2024, 2023 and 2022 are as follows:</w:t>
      </w:r>
    </w:p>
    <w:p>
      <w:pPr>
        <w:spacing w:after="0" w:line="13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Franchise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Company Restaurants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 of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then remaining Applebee's company restaurants segment goodwill balance of $4.6 million was disposed of in connection with the refranchising and sale of the restaurant assets of 69 Applebee's company-operated restaurants. In December 2022, the addition to the franchise segment goodwill of $7.0 million arose from the acquisition of Fuzzy's and was increased by $0.1 million in 2023 in connection with a purchase price adjustment.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Company acquired 56 Applebee's restaurants from franchisees, of which nine were simultaneously refranchised and sold to a different franchisee. The Company has provisionally completed the purchase price allocation as described in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xml:space="preserve"> of the Notes to the Consolidated Financial Statements, and allocated $2.8 million of resulting goodwill to the company restaurants segment. The Company simultaneously allocated $1.2 million of this goodwill to the disposal group related to the refranchising and sale of the restaurant assets of the nine Applebee's company-operated restaurants. The remaining goodwill allocated to the company restaurants segment of $1.6 million is not deductible for federal income tax purposes and, therefore, has no associated tax benefit.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goodwill at December 31, 2024 and 2023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60" w:type="dxa"/>
            <w:vAlign w:val="bottom"/>
          </w:tcPr>
          <w:p>
            <w:pPr>
              <w:spacing w:after="0"/>
              <w:rPr>
                <w:sz w:val="11"/>
                <w:szCs w:val="11"/>
                <w:color w:val="auto"/>
              </w:rPr>
            </w:pPr>
          </w:p>
        </w:tc>
        <w:tc>
          <w:tcPr>
            <w:tcW w:w="8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80" w:type="dxa"/>
            <w:vAlign w:val="bottom"/>
          </w:tcPr>
          <w:p>
            <w:pPr>
              <w:spacing w:after="0"/>
              <w:rPr>
                <w:sz w:val="11"/>
                <w:szCs w:val="11"/>
                <w:color w:val="auto"/>
              </w:rPr>
            </w:pPr>
          </w:p>
        </w:tc>
        <w:tc>
          <w:tcPr>
            <w:tcW w:w="8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Segment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Company Restaurants Segment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assesses goodwill for impairment in accordance with its policy described in </w:t>
      </w:r>
      <w:r>
        <w:rPr>
          <w:rFonts w:ascii="Times New Roman" w:cs="Times New Roman" w:eastAsia="Times New Roman" w:hAnsi="Times New Roman"/>
          <w:sz w:val="18"/>
          <w:szCs w:val="18"/>
          <w:i w:val="1"/>
          <w:iCs w:val="1"/>
          <w:color w:val="auto"/>
        </w:rPr>
        <w:t>Note 2 - Basis of Presentation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tradenames for impairment annually in the fourth quarter of each year or on an interim basis if events or changes in circumstances between annual tests indicate a potential impairment.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Assessment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noted, the unfavorable trend in Fuzzy's same-restaurant sales experienced throughout the year, and a decrease in Fuzzy's revenue compared to the same period of the prior year. Based on these unfavorable developments, the Company determined that indicators of impairment existed and that a test of goodwill for impairment should be performed in the fourth quarter of 2024. In determining fair value, the Company utilized valuation</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techniques that maximize the use of observable inputs and minimize the use of unobservable inputs to the extent possible. The fair value technique used in this instance was classified as Level 3, where unobservable inputs are used when little or no market data is available.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performing the quantitative test of goodwill, the Company primarily used the income approach method of valuation that included the discounted cash flow method and the market approach that included the guideline public company method to determine the fair value of goodwill and intangible assets. Significant assumptions used to determine fair value under the discounted cash flow model included expected restaurant sales trends, future development plans, restaurant closures, cost of revenues, operating expenses, and an appropriate discount rate based on the Company's estimated cost of equity capital and after-tax cost of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of Fuzzy's goodwill of $7.1 million. The amount of goodwill impairment was determined as the amount by which the carrying amount of the goodwill exceeded the fair value of the Fuzzy's goodwill within the franchise segment as estimated in the impairment test.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the fourth quarter of fiscal 2024, the Company performed qualitative assessments of the remaining goodwill balance within the franchise segment in accordance with its accounting policies. The Company first assesses qualitatively whether it is more-likely-than-not that an impairment does not exist. Significant factors considered in this assessment include macro-economic conditions, market and industry conditions, cost considerations, the competitive environment, share price fluctuations, overall financial performance and results of past impairment tests. As result of the qualitative assessment, the Company concluded it was more likely than not that the fair values exceeded the respective carrying amounts and therefore, a quantitative test for the remaining goodwill balance within the franchise segment was not necessary.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Assessment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performed qualitative assessments of its goodwill in accordance with its accounting policies, and determined that it was more-likely-than-not that an impairment does not exist. Significant factors considered in this assessment include macro-economic conditions, market and industry conditions, cost considerations, the competitive environment, share price fluctuations, overall financial performance and results of past impairment tests.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elected to perform quantitative tests for impairment on the Applebee's goodwill.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performing the quantitative test of impairment, the fair value was substantially in excess of its respective carrying value as of the testing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Assessment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2022, the Company performed qualitative assessments of its goodwill in accordance with its accounting policies. The Company first assesses qualitatively whether it is more-likely-than-not that an impairment does not exist. Significant factors considered in this assessment include macro-economic conditions, market and industry conditions, cost considerations, the competitive environment, share price fluctuations, overall financial performance and results of past impairment tests. As result of the qualitative assessment, the Company concluded it was more likely than not that the fair values of each unit exceeded the respective carrying amounts and therefore, a quantitative test of impairment was not necessary.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significant majority of the Company's other intangible assets arose from the November 29, 2007 acquisition of Applebee's. Franchising rights, reacquired franchise rights, favorable leaseholds, and recipes, which is included in Other below, is subject to amortization. Changes in the carrying amounts for the years ended December 31, 2024, 2023 and 2022 are as follows:</w:t>
      </w:r>
    </w:p>
    <w:p>
      <w:pPr>
        <w:spacing w:after="0" w:line="8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Reacquired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Franchise Rights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Leaseholds</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Disposition</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Disposition</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2022, the Company acquired Fuzzy's and recorded $57.2 million of tradename, $14.8 million of franchising rights and $0.5 million of recipes as intangible assets. In October 2022, the $4.7 million disposition of assets was related to the refranchising and sale of the restaurant assets of 69 Applebee's company-operated restaurants. In November 2024, the Company acquired 56 Applebee's restaurants and simultaneously refranchised nine restaurants. The Company provisionally completed the purchase price allocation as described in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of the Notes to the Consolidated Financial Statements and recorded $0.3 million of reacquired franchise rights as an intangible asset and simultaneously disposed of $0.3 million of reacquired franchise rights related to the sale of the nine restaurants. Additions and impairment of other intangibles for the years ended December 31, 2024, 2023, and 2022 are individually insignificant.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amortization expense for the next five fiscal years are as follows:</w:t>
      </w:r>
    </w:p>
    <w:p>
      <w:pPr>
        <w:spacing w:after="0" w:line="140"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Franchising</w:t>
            </w:r>
          </w:p>
        </w:tc>
        <w:tc>
          <w:tcPr>
            <w:tcW w:w="100" w:type="dxa"/>
            <w:vAlign w:val="bottom"/>
          </w:tcPr>
          <w:p>
            <w:pPr>
              <w:spacing w:after="0"/>
              <w:rPr>
                <w:sz w:val="16"/>
                <w:szCs w:val="16"/>
                <w:color w:val="auto"/>
              </w:rPr>
            </w:pPr>
          </w:p>
        </w:tc>
        <w:tc>
          <w:tcPr>
            <w:tcW w:w="16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leaseholds</w:t>
            </w:r>
          </w:p>
        </w:tc>
        <w:tc>
          <w:tcPr>
            <w:tcW w:w="5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2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3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3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and the respective weighted average amortization period at December 31, 2024 and 2023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8"/>
        </w:trPr>
        <w:tc>
          <w:tcPr>
            <w:tcW w:w="1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Franchising rights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Favorable leaseholds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Other Intangible Assets (Continued)</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2024, the Company performed a qualitative assessment of the Applebee's tradename and a quantitative assessment of the Fuzzy's tradename and franchise rights and concluded the fair value exceeded the carrying amounts. In the fourth quarter of fiscal 2023, the Company performed a quantitative assessment of the Applebee's tradename and a qualitative assessment of the Fuzzy's tradename and franchise rights and concluded the fair value exceeded the carrying amounts.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December 31, 2024 and 2023 consists of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104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r>
      <w:tr>
        <w:trPr>
          <w:trHeight w:val="24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4.723% Fixed Rate Senior Secured Notes, Class A-2-II</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176"/>
        </w:trPr>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2022-1</w:t>
            </w:r>
          </w:p>
        </w:tc>
        <w:tc>
          <w:tcPr>
            <w:tcW w:w="7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Funding Senior Secured Notes, Class A-1, variable interest rate of 7.14% and 7.95% at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2023-1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7.824% Fixed Rate Senior Secured Notes, Class A-2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w:t>
            </w:r>
          </w:p>
        </w:tc>
      </w:tr>
      <w:tr>
        <w:trPr>
          <w:trHeight w:val="20"/>
        </w:trPr>
        <w:tc>
          <w:tcPr>
            <w:tcW w:w="10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2019 Class A-2-I Notes were voluntarily repaid in full on April 17, 2023, while the 2019 Class A-2-II Notes remain outstanding as of December 31, 2024.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the Consolidated Financial Statements included in the Company's Annual Report on Form 10-K for the year ended December 31, 2022.</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legal final maturity of the 2019 Class A-2-II Notes is June 2049, but rapid amortization will apply if the 2019 Class 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w:t>
      </w:r>
    </w:p>
    <w:p>
      <w:pPr>
        <w:spacing w:after="0" w:line="1" w:lineRule="exact"/>
        <w:rPr>
          <w:sz w:val="20"/>
          <w:szCs w:val="20"/>
          <w:color w:val="auto"/>
        </w:rPr>
      </w:pPr>
    </w:p>
    <w:p>
      <w:pPr>
        <w:jc w:val="both"/>
        <w:ind w:firstLine="8"/>
        <w:spacing w:after="0" w:line="255" w:lineRule="auto"/>
        <w:tabs>
          <w:tab w:leader="none" w:pos="2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leverage ratio was approximately 4.1x. As a result, quarterly principal payments on the 2019 Class A-2-II Notes of $1.5 million currently are not required. The Company may voluntarily repay the 2019 Class A-2-II Notes at any time without any associated make-whole premium.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2019-1 Variable Funding Senior Secured Notes, Class A-1 (the "Previous Credit Facility") allowed for drawings up to $225 million of variable funding notes on a revolving basis and the issuance of letters of credit. There were no outstanding borrowings since March 2021 under the Previous Credit Facility until its termination in August 2022.</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for borrowings under the Previous Credit Facility was the three-month LIBOR rate plus 2.15% for 60% of the advances and the commercial paper funding rate of our conduit investor plus 2.15% for 40% of the advances.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outstanding balance of the Credit Facility was $100 million. The amount of $0.6 million was pledged against the Credit Facility for outstanding letters of credit, leaving $224.4 million of the Credit Facility available for borrowing at December 31,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year ended December 31, 2024 was 7.78%.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leverage ratio was approximately 4.1x. As a result, quarterly principal payments on the 2023 Class A-2 Notes of $1.25 million currently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December 31, 2024, the make-whole premium associated with voluntary prepayment of the 2023 Class A-2 Notes was approximately $28.0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December 31, 2024,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as of September 5, 2018, as further amended and restated as of June 5, 2019 and as further amended and restated as of April 17, 2023, among the Co-Issuers and the Guarantors (collectively, the “Securitization Entities”), the Company, Applebee’s Services, Inc., International House of Pancakes, LLC and the Trustee, the Company will act as the manager with respect to substantially all of the assets of the Securitization Entities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within certain time frames, certain bankruptcy events, breaches of specified representations and warranties and certain judgments.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December 31, 2024 was approximately 3.4x.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$1.1 million and $0.7 million were included in interest expense for the years ended December 31, 2024 and 2023, respectively. As of December 31, 2024, unamortized debt issuance costs of $6.2 million are reported as a direct reduction of the 2023 Series Class A-2 Notes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$1.2 million, $1.2 million, and $0.4 million were included in interest expense for the years ended December 31, 2024, 2023, and 2022, respectively. As of December 31, 2024, unamortized debt issuance costs of $3.4 million related to the Credit Facility are classified as other non-current assets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$1.0 million, $1.6 million, and $2.4 million are included in interest expense for the years ended December 31, 2024, 2023 and 2022, respectively.</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A-2-I Notes during the year ended December 31, 2023 and wrote off the related remaining issuance costs of $1.7 million. As of December 31, 2024, unamortized debt issuance costs of $1.3 million are reported as a direct reduction of the 2019 Class A-2-II Notes in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costs incurred in connection with the Previous Credit Facility of $0.4 million were included in interest expense for the year ended December 31, 2022. In connection with the termination of the Previous Credit Facility in August 2022, the Company recognized as a loss on extinguishment of debt of $1.2 million, representing the remaining unamortized debt issuance costs associated with the Previous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Extinguishment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purchased of $67.9 million of its 2019 Class A-2-I Notes under par and recognized a $1.7 million gain on extinguishment of debt during the year ended December 31, 2023. In addition, the Company purchased $40 million of its 2019 Class A-2-I Notes under par and recognized a $1.4 million gain on extinguishment of debt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repayment of the 2019 Class A-2-I Notes, the Company recognized a loss on extinguishment of debt of $1.7 million, representing the remaining unamortized costs related to the 2019 Class A-2-I Notes, during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Long-term Debt</w:t>
      </w:r>
    </w:p>
    <w:p>
      <w:pPr>
        <w:spacing w:after="0" w:line="121" w:lineRule="exact"/>
        <w:rPr>
          <w:sz w:val="20"/>
          <w:szCs w:val="20"/>
          <w:color w:val="auto"/>
        </w:rPr>
      </w:pPr>
    </w:p>
    <w:p>
      <w:pPr>
        <w:ind w:left="660" w:right="20" w:hanging="328"/>
        <w:spacing w:after="0" w:line="261" w:lineRule="auto"/>
        <w:tabs>
          <w:tab w:leader="none" w:pos="6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 Notes is in June 2049, but it is anticipated that, unless repaid earlier, the 2019 Class A-2-II Notes will be repaid in June 2026.</w:t>
      </w:r>
    </w:p>
    <w:p>
      <w:pPr>
        <w:ind w:left="660" w:right="20" w:hanging="328"/>
        <w:spacing w:after="0" w:line="250" w:lineRule="auto"/>
        <w:tabs>
          <w:tab w:leader="none" w:pos="6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the 2023 Class A-2 Notes will be repaid in June 2029.</w:t>
      </w:r>
    </w:p>
    <w:p>
      <w:pPr>
        <w:ind w:left="660" w:hanging="328"/>
        <w:spacing w:after="0" w:line="250" w:lineRule="auto"/>
        <w:tabs>
          <w:tab w:leader="none" w:pos="6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hanging="328"/>
        <w:spacing w:after="0" w:line="250" w:lineRule="auto"/>
        <w:tabs>
          <w:tab w:leader="none" w:pos="6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$1.50 million ($6.0 million per annum) are required if the Company's leverage ratio is greater than 5.25x.</w:t>
      </w:r>
    </w:p>
    <w:p>
      <w:pPr>
        <w:ind w:left="660" w:hanging="328"/>
        <w:spacing w:after="0" w:line="260" w:lineRule="auto"/>
        <w:tabs>
          <w:tab w:leader="none" w:pos="6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12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 The proceeds received from the transaction were $337.2 million. The Master Lease calls for an initial term of twenty years and four, five-year options to extend the term.</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portion of the original Sale-Leaseback Transaction related to 162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$289.4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future minimum lease payments under financing obligations during the initial terms of the leases related to the sale-leaseback transactions are as follows:</w:t>
      </w:r>
    </w:p>
    <w:p>
      <w:pPr>
        <w:spacing w:after="0" w:line="88"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Pr>
          <w:p>
            <w:pPr>
              <w:spacing w:after="0"/>
              <w:rPr>
                <w:sz w:val="16"/>
                <w:szCs w:val="16"/>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financing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720" w:hanging="145"/>
        <w:spacing w:after="0" w:line="223" w:lineRule="auto"/>
        <w:tabs>
          <w:tab w:leader="none" w:pos="72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current maturities of finance lease and financing obligations on the consolidated balance sheets.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502 IHOP franchisee-operated restaurants and one Applebee's franchisee-operated restaurant are located; the Company (as lessor) subleases the property to the franchisees that operate those restaurants. The Company also leases property it owns to the franchisees that operate 52 IHOP restaurants and one Applebee's restaurant. The Company leases from a third party the real property on which one Fuzzy's company-operated restaurant is located. The Company also leases office space for its principal corporate office in Pasadena, California and a restaurant support center in Irving, Texas. The Company does not have a significant amount of non-real estate leases.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approximately 348 of the Company's leases met the sales levels that required variable rent payments to the Company (as lessor), based on a percentage of restaurant sales in 2024. Restaurants associated with approximately 46 of the Company's leases met the sales levels that required variable rent payments by the Company (as lessee), based on a percentage of restaurant sales in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2024, 2023, and 2022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cost</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1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December 31,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w w:val="96"/>
              </w:rPr>
              <w:t>Leases</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660" w:type="dxa"/>
            <w:vAlign w:val="bottom"/>
          </w:tcPr>
          <w:p>
            <w:pPr>
              <w:spacing w:after="0"/>
              <w:rPr>
                <w:sz w:val="21"/>
                <w:szCs w:val="21"/>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obligations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lease information is as follows:</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center"/>
              <w:ind w:left="65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3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2024 was 5.5 years for finance leases and 6.2 years for operating leases. The weighted average discount rate as of December 31, 2024 was 9.2% for finance leases and 6.1% for operating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made the following cash payments for leases:</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59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5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years ended December 31, 2024, 2023 and 2022 was as follows:</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8"/>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December 31, 2024 were as follows:</w:t>
      </w:r>
    </w:p>
    <w:p>
      <w:pPr>
        <w:spacing w:after="0" w:line="151" w:lineRule="exact"/>
        <w:rPr>
          <w:sz w:val="20"/>
          <w:szCs w:val="20"/>
          <w:color w:val="auto"/>
        </w:rPr>
      </w:pPr>
    </w:p>
    <w:tbl>
      <w:tblPr>
        <w:tblLayout w:type="fixed"/>
        <w:tblInd w:w="21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receivable at December 31, 2024, 2023 and 2022 was as follows:</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5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financing lease income</w:t>
            </w: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
        </w:trPr>
        <w:tc>
          <w:tcPr>
            <w:tcW w:w="5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December 31, 2024 were as follows:</w:t>
      </w:r>
    </w:p>
    <w:p>
      <w:pPr>
        <w:spacing w:after="0" w:line="151" w:lineRule="exact"/>
        <w:rPr>
          <w:sz w:val="20"/>
          <w:szCs w:val="20"/>
          <w:color w:val="auto"/>
        </w:rPr>
      </w:pPr>
    </w:p>
    <w:tbl>
      <w:tblPr>
        <w:tblLayout w:type="fixed"/>
        <w:tblInd w:w="22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income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the Company enters into commitments to purchase advertising and other items. Most of these agreements are fixed price purchase commitments. At December 31, 2024, the outstanding purchase commitments were $129.3 million, of which $77.7 million related to advertising commitments over the next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had potential continuing liability for lease payments. The Company had outstanding lease guarantees or was contingently liable for approximately $345.0 million and $402.1 million as of December 31, 2024 and 2023, respectively. These amounts represent the maximum potential liability of future payments under these leases. These leases have been assigned to the buyers and expire at the end of the respective lease terms, which range from 2025 through 2058. Excluding unexercised option periods, the Company's potential liability for future payments under these leases as of December 31, 2024 was $90.5 million. In the event of default, the indemnity and default clauses in our sale or assignment agreements govern our ability to pursue and recover damages incurred. No material liabilities for these guarantees have been recorded as of December 31, 2024.</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letters of credit, primarily to various insurance carriers to collateralize obligations for outstanding claims. As of December 31, 2024, the Company had approximately $0.6 million of unused letters of credit outstanding that reduce the Company's available borrowing under its 2022 Class A-1 Notes. These letters of credit expire on various dates in 2025 and are automatically renewed for an additional year if no cancellation notice is submitted.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2022 Repurchase Program and the 2019 Repurchase Program, during the years ended December 31, 2024, 2023 and 2022, and cumulatively for each program,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6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7"/>
        </w:trPr>
        <w:tc>
          <w:tcPr>
            <w:tcW w:w="6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269,621</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6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6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2019 Repurchase Program</w:t>
            </w:r>
          </w:p>
        </w:tc>
        <w:tc>
          <w:tcPr>
            <w:tcW w:w="16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2,344,804</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34"/>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Remaining dollar value of shares that may be repurchased </w:t>
            </w:r>
            <w:r>
              <w:rPr>
                <w:rFonts w:ascii="Times New Roman" w:cs="Times New Roman" w:eastAsia="Times New Roman" w:hAnsi="Times New Roman"/>
                <w:sz w:val="12"/>
                <w:szCs w:val="12"/>
                <w:color w:val="auto"/>
              </w:rPr>
              <w:t>(1)</w:t>
            </w:r>
          </w:p>
        </w:tc>
        <w:tc>
          <w:tcPr>
            <w:tcW w:w="16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 connection with the 2022 Repurchase Program, the 2019 Repurchase Program terminated effective April 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December 31, 2024, 2023 and 2022, the Company declared and paid dividends on common stock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40" w:type="dxa"/>
            <w:vAlign w:val="bottom"/>
          </w:tcPr>
          <w:p>
            <w:pPr>
              <w:spacing w:after="0"/>
              <w:rPr>
                <w:sz w:val="16"/>
                <w:szCs w:val="16"/>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20" w:type="dxa"/>
            <w:vAlign w:val="bottom"/>
          </w:tcPr>
          <w:p>
            <w:pPr>
              <w:spacing w:after="0"/>
              <w:rPr>
                <w:sz w:val="16"/>
                <w:szCs w:val="16"/>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3"/>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31"/>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93"/>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tcBorders>
              <w:right w:val="single" w:sz="8" w:color="CCEEFF"/>
            </w:tcBorders>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5, 2024</w:t>
            </w:r>
          </w:p>
        </w:tc>
        <w:tc>
          <w:tcPr>
            <w:tcW w:w="12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2024</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5, 2024</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8, 2024</w:t>
            </w:r>
          </w:p>
        </w:tc>
        <w:tc>
          <w:tcPr>
            <w:tcW w:w="12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2024</w:t>
            </w:r>
          </w:p>
        </w:tc>
        <w:tc>
          <w:tcPr>
            <w:tcW w:w="19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tcPr>
          <w:p>
            <w:pPr>
              <w:spacing w:after="0"/>
              <w:rPr>
                <w:sz w:val="21"/>
                <w:szCs w:val="21"/>
                <w:color w:val="auto"/>
              </w:rPr>
            </w:pP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right w:val="single" w:sz="8" w:color="CCEEFF"/>
            </w:tcBorders>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CCEEFF"/>
            </w:tcBorders>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40" w:type="dxa"/>
            <w:vAlign w:val="bottom"/>
          </w:tcPr>
          <w:p>
            <w:pPr>
              <w:spacing w:after="0"/>
              <w:rPr>
                <w:sz w:val="24"/>
                <w:szCs w:val="2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20" w:type="dxa"/>
            <w:vAlign w:val="bottom"/>
          </w:tcPr>
          <w:p>
            <w:pPr>
              <w:spacing w:after="0"/>
              <w:rPr>
                <w:sz w:val="24"/>
                <w:szCs w:val="2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1"/>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53"/>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6, 2023</w:t>
            </w:r>
          </w:p>
        </w:tc>
        <w:tc>
          <w:tcPr>
            <w:tcW w:w="12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2023</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11, 2023</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7, 2023</w:t>
            </w:r>
          </w:p>
        </w:tc>
        <w:tc>
          <w:tcPr>
            <w:tcW w:w="12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lef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lef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 2023</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2023</w:t>
            </w:r>
          </w:p>
        </w:tc>
        <w:tc>
          <w:tcPr>
            <w:tcW w:w="120" w:type="dxa"/>
            <w:vAlign w:val="bottom"/>
            <w:tcBorders>
              <w:right w:val="single" w:sz="8" w:color="CCEEFF"/>
            </w:tcBorders>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left w:val="single" w:sz="8" w:color="CCEEFF"/>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left w:val="single" w:sz="8" w:color="CCEEFF"/>
            </w:tcBorders>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40" w:type="dxa"/>
            <w:vAlign w:val="bottom"/>
          </w:tcPr>
          <w:p>
            <w:pPr>
              <w:spacing w:after="0"/>
              <w:rPr>
                <w:sz w:val="24"/>
                <w:szCs w:val="2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20" w:type="dxa"/>
            <w:vAlign w:val="bottom"/>
          </w:tcPr>
          <w:p>
            <w:pPr>
              <w:spacing w:after="0"/>
              <w:rPr>
                <w:sz w:val="24"/>
                <w:szCs w:val="2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3"/>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1"/>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53"/>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Borders>
              <w:right w:val="single" w:sz="8" w:color="CCEEFF"/>
            </w:tcBorders>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7, 2022</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12, 2022</w:t>
            </w:r>
          </w:p>
        </w:tc>
        <w:tc>
          <w:tcPr>
            <w:tcW w:w="120" w:type="dxa"/>
            <w:vAlign w:val="bottom"/>
            <w:tcBorders>
              <w:right w:val="single" w:sz="8" w:color="CCEEFF"/>
            </w:tcBorders>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8, 2022</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2022</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 2022</w:t>
            </w:r>
          </w:p>
        </w:tc>
        <w:tc>
          <w:tcPr>
            <w:tcW w:w="19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dividend equivalents paid on restricted stock units.</w:t>
      </w:r>
    </w:p>
    <w:p>
      <w:pPr>
        <w:spacing w:after="0" w:line="12"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2024 dividend of $7.8 million was paid on January 7, 2025.</w:t>
      </w:r>
    </w:p>
    <w:p>
      <w:pPr>
        <w:spacing w:after="0" w:line="7" w:lineRule="exact"/>
        <w:rPr>
          <w:rFonts w:ascii="Times New Roman" w:cs="Times New Roman" w:eastAsia="Times New Roman" w:hAnsi="Times New Roman"/>
          <w:sz w:val="12"/>
          <w:szCs w:val="12"/>
          <w:color w:val="auto"/>
        </w:rPr>
      </w:pPr>
    </w:p>
    <w:p>
      <w:pPr>
        <w:ind w:left="180" w:hanging="172"/>
        <w:spacing w:after="0" w:line="234" w:lineRule="auto"/>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2023 dividend of $7.7 million was paid on January 5, 2024.</w:t>
      </w: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2022 dividend of $8.0 million was paid on January 6, 2023.</w:t>
      </w: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2021 dividend of $6.9 million was paid on January 7, 2022.</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 All dividends declared during the fiscal years ended December 31, 2024, 2023 and 2022 were declared from retained earnings.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311,955 shares, 281,161 shares and 205,293 shares, respectively, during the years ended December 31, 2024, 2023 and 2022 at a total FIFO cost of $15.1 million, $13.5 million and $9.6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Long-lived Tangible Asset Impairment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long-lived tangible asset impairment charges for the years ended December 31, 2024, 2023 and 2022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6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80" w:type="dxa"/>
            <w:vAlign w:val="bottom"/>
          </w:tcPr>
          <w:p>
            <w:pPr>
              <w:spacing w:after="0"/>
              <w:rPr>
                <w:sz w:val="21"/>
                <w:szCs w:val="21"/>
                <w:color w:val="auto"/>
              </w:rPr>
            </w:pP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closure and long-lived tangible asset impairment charges</w:t>
            </w:r>
          </w:p>
        </w:tc>
        <w:tc>
          <w:tcPr>
            <w:tcW w:w="80" w:type="dxa"/>
            <w:vAlign w:val="bottom"/>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Charges</w:t>
      </w:r>
    </w:p>
    <w:p>
      <w:pPr>
        <w:spacing w:after="0" w:line="17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closure charges of $2.2 million for the year ended December 31, 2024 comprised of $1.5 million for revisions to existing closure reserves, including accretion, for approximately 21 IHOP restaurants closed prior to 2023, and $0.6 million related to the conversion of approximately 20,000 square feet of office space in the Leawood, Kansas restaurant support center to a remote work model in February 2024.</w:t>
      </w:r>
    </w:p>
    <w:p>
      <w:pPr>
        <w:spacing w:after="0" w:line="6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closure charges of $1.6 million for the year ended December 31, 2023 primarily related to revisions to existing closure reserves, including accretion, for approximately 40 restaurants closed prior to 2022. The closure charges of $1.7 million for the year ended December 31, 2022 comprised of $1.3 million for revisions to existing closure reserves, including accretion for approximately 40 restaurants closed prior to 2021 and $0.4 million related to three IHOP restaurants closed in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Tangible Asset Impairment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tangible asset impairment charges for the year ended December 31, 2024 were insignificant. The long-lived asset impairment of $2.0 million for the year ended December 31, 2023 primarily related to four IHOP subleased restaurants for which the carrying amount exceeded the future projected cash flows. The long-lived asset impairment of $1.4 million for the year ended December 31, 2022 primarily related to five IHOP subleased restaurants for which the carrying amount exceeded the future projected cash flows. The primary method of estimating fair value is based on a discounted cash flow analysis. The Company also considers factors such as sales trends, cash flow trends, remaining lease life and other factors which apply on a case-by-case basis. For locations owned by the Company, current purchase offers, if any, or valuations from independent third party sources are utilized, if available. The analysis is performed at the restaurant level for indicators of impairment. The impairment recorded represented the difference between the carrying value and the estimated fair value. The impairments primarily related to operating lease right-of-use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was amended and approved by stockholders on May 14, 2022 to permit the issuance of an additional 2,020,000 shares (subject to adjustment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defined in the 2019 Plan Amendment for shares that may become available from prior plans) of the Company’s common stock for incentive stock awards. The 2019 Plan will expire in May 2029.</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vested stock options issued under the 2011 Plan that are outstanding as of December 31, 2024.</w:t>
      </w:r>
    </w:p>
    <w:p>
      <w:pPr>
        <w:spacing w:after="0" w:line="68" w:lineRule="exact"/>
        <w:rPr>
          <w:sz w:val="20"/>
          <w:szCs w:val="20"/>
          <w:color w:val="auto"/>
        </w:rPr>
      </w:pPr>
    </w:p>
    <w:p>
      <w:pPr>
        <w:ind w:right="4980"/>
        <w:spacing w:after="0" w:line="438" w:lineRule="auto"/>
        <w:rPr>
          <w:sz w:val="20"/>
          <w:szCs w:val="20"/>
          <w:color w:val="auto"/>
        </w:rPr>
      </w:pPr>
      <w:r>
        <w:rPr>
          <w:rFonts w:ascii="Times New Roman" w:cs="Times New Roman" w:eastAsia="Times New Roman" w:hAnsi="Times New Roman"/>
          <w:sz w:val="18"/>
          <w:szCs w:val="18"/>
          <w:color w:val="auto"/>
        </w:rPr>
        <w:t xml:space="preserve">The 2019 Plan, 2016 Plan and the 2011 Plan are collectively referred to as the “Plans.”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either three years from the date of grant or in one-third increments over three years, as well as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 See </w:t>
      </w:r>
      <w:r>
        <w:rPr>
          <w:rFonts w:ascii="Times New Roman" w:cs="Times New Roman" w:eastAsia="Times New Roman" w:hAnsi="Times New Roman"/>
          <w:sz w:val="18"/>
          <w:szCs w:val="18"/>
          <w:i w:val="1"/>
          <w:iCs w:val="1"/>
          <w:color w:val="auto"/>
        </w:rPr>
        <w:t>Note 12, Stockholders' Deficit</w:t>
      </w:r>
      <w:r>
        <w:rPr>
          <w:rFonts w:ascii="Times New Roman" w:cs="Times New Roman" w:eastAsia="Times New Roman" w:hAnsi="Times New Roman"/>
          <w:sz w:val="18"/>
          <w:szCs w:val="18"/>
          <w:color w:val="auto"/>
        </w:rPr>
        <w:t>, of Notes to the Consolidated Financial Statements, for treasury shares utilized related to equity grants during the years ended December 31, 2024, 2023 and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55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5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restricted stock and restricted stock units of $15.2 million and $2.6 million related to stock options is expected to be recognized over a weighted average period of approximately 1.4 years for restricted stock and restricted stock units and 1.4 years for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in the years ended December 31, 2024, 2023 and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left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left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Borders>
              <w:left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2024, 2023 and 2022 is summarized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3"/>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111"/>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00" w:type="dxa"/>
            <w:vAlign w:val="bottom"/>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3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509,056</w:t>
            </w:r>
          </w:p>
        </w:tc>
        <w:tc>
          <w:tcPr>
            <w:tcW w:w="100" w:type="dxa"/>
            <w:vAlign w:val="bottom"/>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344,411</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line="203" w:lineRule="exact"/>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2023, and 2022 was zero, $1.1 million and $36.9 thousand,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options exercised under all stock-based payment arrangements for the years ended December 31, 2024, 2023 and 2022 was zero, $3.8 million and $0.2 million, respectively. The actual tax benefit realized for the tax deduction from option exercises under the stock-based payment arrangements totaled zero, $0.3 million and $9.2 thousand, respectively,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equity classified awards of restricted stock and restricted stock units for the years ended December 31, 2024, 2023 and 2022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(98,864)</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(165,533)</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421,459</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72,953</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in the past. These instruments are recorded as liabilities at fair value as of the respective period end.</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Cash-Settled Restricted</w:t>
            </w:r>
          </w:p>
        </w:tc>
      </w:tr>
      <w:tr>
        <w:trPr>
          <w:trHeight w:val="196"/>
        </w:trPr>
        <w:tc>
          <w:tcPr>
            <w:tcW w:w="6320" w:type="dxa"/>
            <w:vAlign w:val="bottom"/>
            <w:tcBorders>
              <w:bottom w:val="single" w:sz="8" w:color="CCEEFF"/>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 w:type="dxa"/>
            <w:vAlign w:val="bottom"/>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20" w:type="dxa"/>
            <w:vAlign w:val="bottom"/>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 w:type="dxa"/>
            <w:vAlign w:val="bottom"/>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liabilities outstanding related to cash-settled restricted stock units at December 31, 2024 and 2023. There was no stock-based compensation expense related to cash-settled restricted stock units for the year ended December 31, 2024 and December 31, 2023. For the year ended December 31, 2022, $0.2 million was included as stock-based compensation expense related to cash-settled restricted stock units.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granted cash long-term incentive awards to certain employees (“LTIP awards”). Annual LTIP awards vest over a three-year period and are determined using a multiplier from 0% to 200% of the target award based on the total stockholder return of the Company's common stock compared to the total stockholder returns of a peer group of companies. Though LTIP awards are only paid in cash, since the multiplier is primarily based on the price of the Company's common stock, the awards are considered stock-based compensation in accordance with U.S. GAAP and are classified as liabilities. The expense related to the LTIP awards included an expense of $0.2 million, a credit of $1.4 million and an expense of $1.2 million, for the years ended December 31, 2024, 2023 and 2022, respectively. At December 31, 2024 and 2023, a liability of $0.8 million and $0.7 million, respectively, was included as other non-current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and Investment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$3.4 million, $3.3 million and $3.3 million for the years ended December 31, 2024, 2023 and 2022,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2024, 2023 and 2022 was as follows: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8"/>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2"/>
        </w:trPr>
        <w:tc>
          <w:tcPr>
            <w:tcW w:w="7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provision for income taxes differs from the expected federal income tax rates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8"/>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Non-deductibility of goodwill</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Non-deductibility of officer's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other taxes, net of federal tax benefit</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audit settlement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deficiencies or (benefits)</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rates and state tax laws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0"/>
        </w:trPr>
        <w:tc>
          <w:tcPr>
            <w:tcW w:w="6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fiscal year 2024 effective tax rate of 27.5% applied to pretax book income was different than the statutory Federal income tax rate of 21% primarily due to state and local taxes and a lower tax deduction related to stock-based compensation.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fiscal year 2023 effective tax rate of 13.0% applied to pretax book income was different than the statutory Federal income tax rate of 21% primarily due to the conclusion of a state income tax settlement, resulting in a net income tax benefit of $15.1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fiscal year 2022 effective tax rate of 29.3% applied to pretax book income was different than the statutory Federal income tax rate of 21% due to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2021 and state or non-United States tax examinations by tax authorities for years before 2019. The Company believes that adequate reserves have been recorded relating to all matters contained in the tax periods open to examination.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(liabilities) at December 31, 2024 and 2023 consisted of the following components: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7"/>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4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attributes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franchise and equipment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and depreciation</w:t>
            </w:r>
            <w:r>
              <w:rPr>
                <w:rFonts w:ascii="Times New Roman" w:cs="Times New Roman" w:eastAsia="Times New Roman" w:hAnsi="Times New Roman"/>
                <w:sz w:val="10"/>
                <w:szCs w:val="10"/>
                <w:color w:val="auto"/>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4" w:lineRule="exact"/>
        <w:rPr>
          <w:sz w:val="20"/>
          <w:szCs w:val="20"/>
          <w:color w:val="auto"/>
        </w:rPr>
      </w:pPr>
    </w:p>
    <w:p>
      <w:pPr>
        <w:ind w:left="640" w:hanging="146"/>
        <w:spacing w:after="0"/>
        <w:tabs>
          <w:tab w:leader="none" w:pos="64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Primarily related to the 2007 Applebee's acquisition.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 considers new evidence, both positive and negative, that could impact management’s view with regards to future realization of deferred tax assets. Management believes that the future realizability of benefits arising from foreign tax credit carryforwards and certain state net operating loss carryforwards does not meet the more-likely-than-not threshold. In recognition of this risk, there is a valuation allowance of $5.0 million as of December 31, 2024.</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had gross operating loss carryforwards for state tax purposes of $113.7 million and $127.8 million as of December 31, 2024 and 2023, respectively. Certain net operating loss carryforwards will expire in 2029 if not utilized. The Company had income tax credit carryforwards of $7.5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$7.4 million as of December 31, 2024 and 2023, respectively. Certain income tax credit carryforwards will begin to expire in 2029 if not utilized.</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gross unrecognized tax benefit as of December 31, 2024 and 2023 was $2.5 million and $3.5 million, respectively, excluding interest, penalties and related income tax benefits. If recognized, these amounts would affect the Company's effective income tax rates.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estimates the unrecognized tax benefits may decrease over the upcoming 12 months by $0.2 million related to settlements with taxing authorities and/or statute of limitations expirations. For the remaining liability, due to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related to these tax matters, the Company is unable to make a reasonable estimate as to when cash settlement with a taxing authority will occur. A reconciliation of the beginning and ending amount of unrecognized tax benefits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6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6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January 1</w:t>
            </w: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1.9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and lapsing of statutes of limitations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accrued interest was $0.8 million, excluding any related income tax benefits. As of December 31, 2023, the accrued interest and penalties were $0.9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income per common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12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97,176</w:t>
            </w:r>
          </w:p>
        </w:tc>
        <w:tc>
          <w:tcPr>
            <w:tcW w:w="100" w:type="dxa"/>
            <w:vAlign w:val="bottom"/>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81,111</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62,975</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unvested participating restricted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 - income available to common shareholders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62,975</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0" w:type="dxa"/>
            <w:vAlign w:val="bottom"/>
          </w:tcPr>
          <w:p>
            <w:pPr>
              <w:spacing w:after="0"/>
              <w:rPr>
                <w:sz w:val="1"/>
                <w:szCs w:val="1"/>
                <w:color w:val="auto"/>
              </w:rPr>
            </w:pPr>
          </w:p>
        </w:tc>
      </w:tr>
      <w:tr>
        <w:trPr>
          <w:trHeight w:val="229"/>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5" w:name="page96"/>
    <w:bookmarkEnd w:id="9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executive officer is the Company's chief operating decision maker ("CODM"). The CODM uses each segments' revenue and operating profit to assess its performance.</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CODM uses revenue and operating profit for each segment primarily in the annual budget and forecasting process, and in the quarterly budget-to-actual analysis when making decisions about the allocation of operating and capital resources to each segment. The CODM also uses operating profit to assess the performance of each segment by comparing the results of each segment with one another and in determining the compensation of certain employees. The CODM does not consider asset information when evaluating operating segments, therefore total segment assets are not presented.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and a reconciliation of operating profit to income before income taxes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6"/>
                <w:szCs w:val="16"/>
                <w:b w:val="1"/>
                <w:bCs w:val="1"/>
                <w:color w:val="auto"/>
              </w:rPr>
              <w:t>Company</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521.9</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6"/>
                <w:szCs w:val="16"/>
                <w:b w:val="1"/>
                <w:bCs w:val="1"/>
                <w:color w:val="auto"/>
              </w:rPr>
              <w:t>Company</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530.3</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 (unallocated)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67" w:right="7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Franchise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6"/>
                <w:szCs w:val="16"/>
                <w:b w:val="1"/>
                <w:bCs w:val="1"/>
                <w:color w:val="auto"/>
              </w:rPr>
              <w:t>Company</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620.1</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reportable segment, the other segment item category includes: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Company Restaurants: Operating expenses at company-operated restaurants and include food, beverage, labor, benefits, utilities, rent and other operating costs.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Rental: Costs of operating leases and interest expense of finance leases on franchisee-operated restaurants.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Financing: Costs of restaurant equipment.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Fuzzy's Acquisition</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13, 2022, the Company purchased all of the issued and outstanding membership interests of Fuzzy’s for approximately $80 million in cash, pursuant to the Membership Interest Purchase Agreement, dated as of December 2, 2022, with Fuzzy’s becoming a wholly-owned subsidiary of the Company. Fuzzy’s is a dining company that develops, franchises and operates casual dining restaurants that offer a specialized menu of Baja-style Mexican food under the Fuzzy’s Taco Shop brand. The Company acquired Fuzzy’s as part of the Company’s goal to invest in a high growth concept to accelerate growth.</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reviewed the SEC guidance in Regulation S-X on the significance of an acquired business that determines if an acquired business is required to provide financial statements and pro forma statements if the business exceeds 20% significance to the Company. Based on the three required tests (asset, investment and income) that were performed by the Company, the acquisition was not deemed to be a significant acquisition, and therefore the required disclosures are limited 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Acquisition (Continued)</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The results of operations related to Fuzzy's have been included in the consolidated results of the Company subsequent to the acquisition date.</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Fuzzy’s has been accounted for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Company treated as the accounting acquirer, which requires that the assets acquired and liabilities assumed be recognized at their acquisition date fair value. The Company received a third-party actuarial valuation report to determine the fair value assigned to the assets acquired and liabilities assumed.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intangible assets acquired include franchising rights with a useful life of 20 years and a tradename with an indefinite useful life (see </w:t>
      </w:r>
      <w:r>
        <w:rPr>
          <w:rFonts w:ascii="Times New Roman" w:cs="Times New Roman" w:eastAsia="Times New Roman" w:hAnsi="Times New Roman"/>
          <w:sz w:val="18"/>
          <w:szCs w:val="18"/>
          <w:i w:val="1"/>
          <w:iCs w:val="1"/>
          <w:color w:val="auto"/>
        </w:rPr>
        <w:t>Note 7 -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fair value of franchising rights was estimated based on the estimated future cash flows to be generated from these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earnings expected to be generated by the franchising rights were forecasted over the estimated duration of the intangible asset. The earnings were then discounted to present value at a rate commensurate with the risk of the asset. The fair value of the tradename was based on the multi-period excess earnings method, a variation of the income approach, using cash flows (“excess earnings”) attributable only to the tradename intangible asset. These excess earnings were discounted to present value at a rate commensurate with the risk of the asset.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tangible personal property and other working capital assets and liabilities was assumed to approximate book value.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liabilities were calculated using the present value of lease payments not yet paid and operating lease assets were calculated based upon the operating lease liabilities adjusted for prepayments or accrued lease payments. The contractual rent payments were determined to approximate market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December 13, 2022:</w:t>
      </w:r>
    </w:p>
    <w:p>
      <w:pPr>
        <w:spacing w:after="0" w:line="151" w:lineRule="exact"/>
        <w:rPr>
          <w:sz w:val="20"/>
          <w:szCs w:val="20"/>
          <w:color w:val="auto"/>
        </w:rPr>
      </w:pPr>
    </w:p>
    <w:tbl>
      <w:tblPr>
        <w:tblLayout w:type="fixed"/>
        <w:tblInd w:w="17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and other non-current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agreements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acquired amounted to approximately $7.0 million. The acquisition goodwill arises from the expected synergies from combining the operations of the Company and Fuzzy’s. During the allowable allocation period in 2023, the Company recorded a $0.1 million purchase price adjustment.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Applebee's Restaurants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2024, the Company entered into a cooperation agreement with a former Applebee's franchisee to acquire 15 Applebee's restaurants across Tennessee, Arkansas, Illinois, Kentucky, Missouri, and Mississippi. The Company entered into the transaction to invest in the system, improve operations through innovation tests and create a blueprint for franchisee success and growth for the Company. The transaction was structured as a non-cash transaction, with no consideration transferred by the Company, resulting in a $0.6 million gain on bargain purchase, which is recognized in the general and administrative expenses in the Consolidated Statements of Comprehensive Income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Acquisition (Continued)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w:t>
      </w:r>
    </w:p>
    <w:p>
      <w:pPr>
        <w:spacing w:after="0" w:line="205" w:lineRule="exact"/>
        <w:rPr>
          <w:sz w:val="20"/>
          <w:szCs w:val="20"/>
          <w:color w:val="auto"/>
        </w:rPr>
      </w:pPr>
    </w:p>
    <w:tbl>
      <w:tblPr>
        <w:tblLayout w:type="fixed"/>
        <w:tblInd w:w="284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328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2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7"/>
              </w:rPr>
              <w:t>1.1</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13"/>
              <w:spacing w:after="0"/>
              <w:rPr>
                <w:sz w:val="20"/>
                <w:szCs w:val="20"/>
                <w:color w:val="auto"/>
              </w:rPr>
            </w:pPr>
            <w:r>
              <w:rPr>
                <w:rFonts w:ascii="Times New Roman" w:cs="Times New Roman" w:eastAsia="Times New Roman" w:hAnsi="Times New Roman"/>
                <w:sz w:val="18"/>
                <w:szCs w:val="18"/>
                <w:color w:val="auto"/>
                <w:w w:val="97"/>
              </w:rPr>
              <w:t>0.2</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7"/>
              </w:rPr>
              <w:t>1.3</w:t>
            </w: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98"/>
              </w:rPr>
              <w:t>(0.7)</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center"/>
              <w:ind w:left="1313"/>
              <w:spacing w:after="0"/>
              <w:rPr>
                <w:sz w:val="20"/>
                <w:szCs w:val="20"/>
                <w:color w:val="auto"/>
              </w:rPr>
            </w:pPr>
            <w:r>
              <w:rPr>
                <w:rFonts w:ascii="Times New Roman" w:cs="Times New Roman" w:eastAsia="Times New Roman" w:hAnsi="Times New Roman"/>
                <w:sz w:val="18"/>
                <w:szCs w:val="18"/>
                <w:color w:val="auto"/>
                <w:w w:val="97"/>
              </w:rPr>
              <w:t>0.6</w:t>
            </w:r>
          </w:p>
        </w:tc>
      </w:tr>
      <w:tr>
        <w:trPr>
          <w:trHeight w:val="21"/>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the Company entered into an Agreement for the Purchase and Sale of Assets with an Applebee's franchisee to acquire 41 Applebee's restaurants across Georgia and Texas for a total purchase price of $8.3 million. The Company entered into the transaction to invest in the system, improve operations through innovation tests and create a blueprint for franchisee success and growth for the Company. There were no significant indirect costs related to the transaction as of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recognized amount of assets acquired and liabilities assumed at the date of acquisition:</w:t>
      </w:r>
    </w:p>
    <w:p>
      <w:pPr>
        <w:spacing w:after="0" w:line="200" w:lineRule="exact"/>
        <w:rPr>
          <w:sz w:val="20"/>
          <w:szCs w:val="20"/>
          <w:color w:val="auto"/>
        </w:rPr>
      </w:pPr>
    </w:p>
    <w:p>
      <w:pPr>
        <w:spacing w:after="0" w:line="329" w:lineRule="exact"/>
        <w:rPr>
          <w:sz w:val="20"/>
          <w:szCs w:val="20"/>
          <w:color w:val="auto"/>
        </w:rPr>
      </w:pPr>
    </w:p>
    <w:tbl>
      <w:tblPr>
        <w:tblLayout w:type="fixed"/>
        <w:tblInd w:w="284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328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120" w:type="dxa"/>
            <w:vAlign w:val="bottom"/>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Off-market leases</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allocation is preliminary, subject to finalization of certain transition cut-off adjustments typical with transactions of this nature. There are no significant unresolved contingencies. The Company does not expect there will be material adjustments to the preliminary purchase price allocation.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 of these restaurants are included in the Company's consolidated results from the acquisition date. The Company has not presented pro forma results of the restaurants for periods prior to the acquisition because the business is not considered significant as measured by the amount of the Company's investment in and assets of the business relative to the Company's consolidated balance sheet and by the income before income taxes of the business relative to the Company's average consolidated income before income taxes for the most recent five-year period excluding loss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Refranchising of Company-Operated Restaurants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November 19, 2024, the Company completed the refranchising and sale of related restaurant assets of nine company-operated Applebee's restaurants in Texas to a franchisee. As part of the transaction, the Company entered into an asset purchase agreement and nine franchise agreements. The Company received cash of $1.4 million and a note receivable for $5.9 million. After derecognizing the assets sold, the Company recognized a gain of $1.8 million on the refranchising and sale of related restaurant assets during the year ended December 31, 2024 which is recognized in the (Gain) loss on disposition of assets in the Consolidated Statements of Comprehensive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February 21, 2025, our Board of Directors declared a first quarter 2025 cash dividend of $0.51 per share of common stock, payable on April 4, 2025 to the stockholders of record as of the close of business on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00" w:name="page101"/>
    <w:bookmarkEnd w:id="100"/>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December 29, 2024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our internal control over financial reporting was effective as of December 29, 2024.</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29, 2024 has been audited by Ernst &amp; Young LLP, an independent registered public accounting firm, as stated in their report that appears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Dine Brands Global,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Dine Brands Global, Inc. and Subsidiaries’ internal control over financial reporting as of December 29, 2024,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December 29, 2024, based on the COSO criteria</w:t>
      </w:r>
      <w:r>
        <w:rPr>
          <w:rFonts w:ascii="Times New Roman" w:cs="Times New Roman" w:eastAsia="Times New Roman" w:hAnsi="Times New Roman"/>
          <w:sz w:val="18"/>
          <w:szCs w:val="18"/>
          <w:b w:val="1"/>
          <w:bCs w:val="1"/>
          <w:color w:val="auto"/>
        </w:rPr>
        <w: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29, 2024 and December 31, 2023, the related consolidated statements of comprehensive income, stockholders’ deficit and cash flows for each of the three years in the period ended December 29, 2024, and the related notes and our report dated March 5, 2025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fiscal 2024 that has materially affected, or is reasonably likely to materially affect, our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2024, none of our directors or officers (as defined in Rule 16a-1(f) under the Exchange Act) adopted, modified, or terminated a Rule 10b5-1 trading plan or a non-Rule 10b5-1 trading arrangement for our securities (as defined in Item 408(c) of Regulation S-K).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 “Section 16(a) Beneficial Ownership Reporting Compliance,” “Information about our Executive Officers” and “Proposal One: Election of Directors” to be set forth in our Proxy Statement for the 2025 Annual Meeting of Shareholders (“2025 Proxy Statement”) is hereby incorporated by reference into this Item.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officers, employees and members of our Board of Directors that is reasonably designed to promote compliance with insider trading laws, rules and regulations, and applicable NYSE listing standards. A copy of our Insider Trading Policy is filed with this Annual Report on Form 10-K as Exhibit 19.</w:t>
      </w:r>
    </w:p>
    <w:p>
      <w:pPr>
        <w:spacing w:after="0" w:line="1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“Executive Compensation,” “Director Compensation” and "Compensation Committee Interlocks and Insider Participation" to be set forth in our 2025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included in the section entitled “Security Ownership of Certain Beneficial Owners and Management” and "Equity Compensation Plan Information" to be set forth in our 2025 Proxy Statement is hereby incorporated by reference into this Item. Please refer to </w:t>
      </w:r>
      <w:r>
        <w:rPr>
          <w:rFonts w:ascii="Times New Roman" w:cs="Times New Roman" w:eastAsia="Times New Roman" w:hAnsi="Times New Roman"/>
          <w:sz w:val="18"/>
          <w:szCs w:val="18"/>
          <w:i w:val="1"/>
          <w:iCs w:val="1"/>
          <w:color w:val="auto"/>
        </w:rPr>
        <w:t>Note 14 - Stock-Based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of the Notes to the Consolidated Financial Statements for a description of the Plans.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Governance—Certain Relationships and Related Person Transactions” and “Corporate Governance—Director Independence” to be set forth in our 2025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 entitled “Audit-Related Matters” to be set forth in our 2025 Proxy Statement is hereby incorporated by reference into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3" w:name="page104"/>
    <w:bookmarkEnd w:id="10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Consolidated Financial Statements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contained in Part II, Item 8 of this Annual Report on Form 10-K:</w:t>
      </w:r>
    </w:p>
    <w:p>
      <w:pPr>
        <w:spacing w:after="0" w:line="158" w:lineRule="exact"/>
        <w:rPr>
          <w:sz w:val="20"/>
          <w:szCs w:val="20"/>
          <w:color w:val="auto"/>
        </w:rPr>
      </w:pP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2024 and December 31, 2023.</w:t>
      </w:r>
    </w:p>
    <w:p>
      <w:pPr>
        <w:spacing w:after="0" w:line="9" w:lineRule="exact"/>
        <w:rPr>
          <w:rFonts w:ascii="Times New Roman" w:cs="Times New Roman" w:eastAsia="Times New Roman" w:hAnsi="Times New Roman"/>
          <w:sz w:val="18"/>
          <w:szCs w:val="18"/>
          <w:color w:val="auto"/>
        </w:rPr>
      </w:pPr>
    </w:p>
    <w:p>
      <w:pPr>
        <w:ind w:left="1140" w:right="3080" w:hanging="403"/>
        <w:spacing w:after="0" w:line="250" w:lineRule="auto"/>
        <w:tabs>
          <w:tab w:leader="none" w:pos="9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2024.</w:t>
      </w:r>
    </w:p>
    <w:p>
      <w:pPr>
        <w:ind w:left="1140" w:right="3280" w:hanging="403"/>
        <w:spacing w:after="0" w:line="250" w:lineRule="auto"/>
        <w:tabs>
          <w:tab w:leader="none" w:pos="9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each of the three years in the period ended December 31, 2024.</w:t>
      </w: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2024.</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required or applicable, or the required information is shown in the Consolidated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Securities and Exchange Commission and are incorporated herein by reference.</w:t>
      </w:r>
    </w:p>
    <w:p>
      <w:pPr>
        <w:spacing w:after="0" w:line="121" w:lineRule="exact"/>
        <w:rPr>
          <w:sz w:val="20"/>
          <w:szCs w:val="20"/>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121">
        <w:r>
          <w:rPr>
            <w:rFonts w:ascii="Times New Roman" w:cs="Times New Roman" w:eastAsia="Times New Roman" w:hAnsi="Times New Roman"/>
            <w:sz w:val="18"/>
            <w:szCs w:val="18"/>
            <w:u w:val="single" w:color="auto"/>
            <w:color w:val="3051F2"/>
          </w:rPr>
          <w:t>Amended and Restated Certificate of Incorporation of Dine Brands Global, Inc. (Exhibit 3.1 to Registrant’s Form 8-K filed on May 15,</w:t>
        </w:r>
      </w:hyperlink>
    </w:p>
    <w:p>
      <w:pPr>
        <w:spacing w:after="0" w:line="2" w:lineRule="exact"/>
        <w:rPr>
          <w:sz w:val="20"/>
          <w:szCs w:val="20"/>
          <w:color w:val="auto"/>
        </w:rPr>
      </w:pPr>
    </w:p>
    <w:p>
      <w:pPr>
        <w:ind w:left="1120"/>
        <w:spacing w:after="0"/>
        <w:rPr>
          <w:rFonts w:ascii="Times New Roman" w:cs="Times New Roman" w:eastAsia="Times New Roman" w:hAnsi="Times New Roman"/>
          <w:sz w:val="18"/>
          <w:szCs w:val="18"/>
          <w:u w:val="single" w:color="auto"/>
          <w:color w:val="3051F2"/>
        </w:rPr>
      </w:pPr>
      <w:hyperlink r:id="rId121">
        <w:r>
          <w:rPr>
            <w:rFonts w:ascii="Times New Roman" w:cs="Times New Roman" w:eastAsia="Times New Roman" w:hAnsi="Times New Roman"/>
            <w:sz w:val="18"/>
            <w:szCs w:val="18"/>
            <w:u w:val="single" w:color="auto"/>
            <w:color w:val="3051F2"/>
          </w:rPr>
          <w:t>2023 is incorporated herein by reference).</w:t>
        </w:r>
      </w:hyperlink>
    </w:p>
    <w:p>
      <w:pPr>
        <w:spacing w:after="0" w:line="7" w:lineRule="exact"/>
        <w:rPr>
          <w:sz w:val="20"/>
          <w:szCs w:val="20"/>
          <w:color w:val="auto"/>
        </w:rPr>
      </w:pPr>
    </w:p>
    <w:p>
      <w:pPr>
        <w:ind w:left="1120" w:right="80" w:hanging="26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3.2 </w:t>
      </w:r>
      <w:hyperlink r:id="rId122">
        <w:r>
          <w:rPr>
            <w:rFonts w:ascii="Times New Roman" w:cs="Times New Roman" w:eastAsia="Times New Roman" w:hAnsi="Times New Roman"/>
            <w:sz w:val="18"/>
            <w:szCs w:val="18"/>
            <w:u w:val="single" w:color="auto"/>
            <w:color w:val="3051F2"/>
          </w:rPr>
          <w:t>Amended and Restated Bylaws of Dine Brands Global, Inc. (Exhibit 3.1 to Registrant’s Form 8-K filed on September 8, 2023 is</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3051F2"/>
          </w:rPr>
          <w:t>incorporated herein by reference).</w:t>
        </w:r>
      </w:hyperlink>
    </w:p>
    <w:p>
      <w:pPr>
        <w:ind w:left="8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23">
        <w:r>
          <w:rPr>
            <w:rFonts w:ascii="Times New Roman" w:cs="Times New Roman" w:eastAsia="Times New Roman" w:hAnsi="Times New Roman"/>
            <w:sz w:val="18"/>
            <w:szCs w:val="18"/>
            <w:u w:val="single" w:color="auto"/>
            <w:color w:val="3051F2"/>
          </w:rPr>
          <w:t>Base Indenture, dated as of September 30, 2014, and amended and restated as of June 5, 2019, among Applebee’s Funding LLC and</w:t>
        </w:r>
      </w:hyperlink>
    </w:p>
    <w:p>
      <w:pPr>
        <w:spacing w:after="0" w:line="1" w:lineRule="exact"/>
        <w:rPr>
          <w:sz w:val="20"/>
          <w:szCs w:val="20"/>
          <w:color w:val="auto"/>
        </w:rPr>
      </w:pPr>
    </w:p>
    <w:p>
      <w:pPr>
        <w:ind w:left="1120" w:right="60"/>
        <w:spacing w:after="0" w:line="226" w:lineRule="auto"/>
        <w:rPr>
          <w:rFonts w:ascii="Times New Roman" w:cs="Times New Roman" w:eastAsia="Times New Roman" w:hAnsi="Times New Roman"/>
          <w:sz w:val="18"/>
          <w:szCs w:val="18"/>
          <w:u w:val="single" w:color="auto"/>
          <w:color w:val="3051F2"/>
        </w:rPr>
      </w:pPr>
      <w:hyperlink r:id="rId123">
        <w:r>
          <w:rPr>
            <w:rFonts w:ascii="Times New Roman" w:cs="Times New Roman" w:eastAsia="Times New Roman" w:hAnsi="Times New Roman"/>
            <w:sz w:val="18"/>
            <w:szCs w:val="18"/>
            <w:u w:val="single" w:color="auto"/>
            <w:color w:val="3051F2"/>
          </w:rPr>
          <w:t>IHOP Funding LLC, each as Co-Issuer, and Citibank, N.A., as Trustee and Securities Intermediary (Exhibit 4.1 to Registrant's Form 8-K</w:t>
        </w:r>
      </w:hyperlink>
      <w:r>
        <w:rPr>
          <w:rFonts w:ascii="Times New Roman" w:cs="Times New Roman" w:eastAsia="Times New Roman" w:hAnsi="Times New Roman"/>
          <w:sz w:val="18"/>
          <w:szCs w:val="18"/>
          <w:u w:val="single" w:color="auto"/>
          <w:color w:val="3051F2"/>
        </w:rPr>
        <w:t xml:space="preserve"> </w:t>
      </w:r>
      <w:hyperlink r:id="rId123">
        <w:r>
          <w:rPr>
            <w:rFonts w:ascii="Times New Roman" w:cs="Times New Roman" w:eastAsia="Times New Roman" w:hAnsi="Times New Roman"/>
            <w:sz w:val="18"/>
            <w:szCs w:val="18"/>
            <w:u w:val="single" w:color="auto"/>
            <w:color w:val="3051F2"/>
          </w:rPr>
          <w:t>filed on June 5, 2019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hyperlink r:id="rId124">
        <w:r>
          <w:rPr>
            <w:rFonts w:ascii="Times New Roman" w:cs="Times New Roman" w:eastAsia="Times New Roman" w:hAnsi="Times New Roman"/>
            <w:sz w:val="18"/>
            <w:szCs w:val="18"/>
            <w:u w:val="single" w:color="auto"/>
            <w:color w:val="3051F2"/>
          </w:rPr>
          <w:t>Series 2022-1 Supplemental Indenture, dated as of August 12, 2022, among Applebee’s Funding LLC and IHOP Funding LLC, each as</w:t>
        </w:r>
      </w:hyperlink>
    </w:p>
    <w:p>
      <w:pPr>
        <w:spacing w:after="0" w:line="1" w:lineRule="exact"/>
        <w:rPr>
          <w:sz w:val="20"/>
          <w:szCs w:val="20"/>
          <w:color w:val="auto"/>
        </w:rPr>
      </w:pPr>
    </w:p>
    <w:p>
      <w:pPr>
        <w:ind w:left="1120" w:right="80"/>
        <w:spacing w:after="0" w:line="226" w:lineRule="auto"/>
        <w:rPr>
          <w:rFonts w:ascii="Times New Roman" w:cs="Times New Roman" w:eastAsia="Times New Roman" w:hAnsi="Times New Roman"/>
          <w:sz w:val="18"/>
          <w:szCs w:val="18"/>
          <w:u w:val="single" w:color="auto"/>
          <w:color w:val="3051F2"/>
        </w:rPr>
      </w:pPr>
      <w:hyperlink r:id="rId124">
        <w:r>
          <w:rPr>
            <w:rFonts w:ascii="Times New Roman" w:cs="Times New Roman" w:eastAsia="Times New Roman" w:hAnsi="Times New Roman"/>
            <w:sz w:val="18"/>
            <w:szCs w:val="18"/>
            <w:u w:val="single" w:color="auto"/>
            <w:color w:val="3051F2"/>
          </w:rPr>
          <w:t>Co-Issuer, and Citibank, N.A., as Trustee and Securities Intermediary (Exhibit 4.2 to Registrant’s Form 8-K filed on August 12, 2022 is</w:t>
        </w:r>
      </w:hyperlink>
      <w:r>
        <w:rPr>
          <w:rFonts w:ascii="Times New Roman" w:cs="Times New Roman" w:eastAsia="Times New Roman" w:hAnsi="Times New Roman"/>
          <w:sz w:val="18"/>
          <w:szCs w:val="18"/>
          <w:u w:val="single" w:color="auto"/>
          <w:color w:val="3051F2"/>
        </w:rPr>
        <w:t xml:space="preserve"> </w:t>
      </w:r>
      <w:hyperlink r:id="rId124">
        <w:r>
          <w:rPr>
            <w:rFonts w:ascii="Times New Roman" w:cs="Times New Roman" w:eastAsia="Times New Roman" w:hAnsi="Times New Roman"/>
            <w:sz w:val="18"/>
            <w:szCs w:val="18"/>
            <w:u w:val="single" w:color="auto"/>
            <w:color w:val="3051F2"/>
          </w:rPr>
          <w:t>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125">
        <w:r>
          <w:rPr>
            <w:rFonts w:ascii="Times New Roman" w:cs="Times New Roman" w:eastAsia="Times New Roman" w:hAnsi="Times New Roman"/>
            <w:sz w:val="18"/>
            <w:szCs w:val="18"/>
            <w:u w:val="single" w:color="auto"/>
            <w:color w:val="3051F2"/>
          </w:rPr>
          <w:t>Second Amended and Restated Base Indenture, dated as of April 17, 2023, among Applebee’s Funding LLC and IHOP Funding LLC,</w:t>
        </w:r>
      </w:hyperlink>
    </w:p>
    <w:p>
      <w:pPr>
        <w:spacing w:after="0" w:line="1" w:lineRule="exact"/>
        <w:rPr>
          <w:sz w:val="20"/>
          <w:szCs w:val="20"/>
          <w:color w:val="auto"/>
        </w:rPr>
      </w:pPr>
    </w:p>
    <w:p>
      <w:pPr>
        <w:ind w:left="1120" w:right="80"/>
        <w:spacing w:after="0" w:line="226" w:lineRule="auto"/>
        <w:rPr>
          <w:rFonts w:ascii="Times New Roman" w:cs="Times New Roman" w:eastAsia="Times New Roman" w:hAnsi="Times New Roman"/>
          <w:sz w:val="18"/>
          <w:szCs w:val="18"/>
          <w:u w:val="single" w:color="auto"/>
          <w:color w:val="3051F2"/>
        </w:rPr>
      </w:pPr>
      <w:hyperlink r:id="rId125">
        <w:r>
          <w:rPr>
            <w:rFonts w:ascii="Times New Roman" w:cs="Times New Roman" w:eastAsia="Times New Roman" w:hAnsi="Times New Roman"/>
            <w:sz w:val="18"/>
            <w:szCs w:val="18"/>
            <w:u w:val="single" w:color="auto"/>
            <w:color w:val="3051F2"/>
          </w:rPr>
          <w:t>each as a Co-Issuer, and Citibank, N.A., as Trustee and Securities Intermediary (Exhibit 4.1 to Registrants Form 8-K filed on April 17,</w:t>
        </w:r>
      </w:hyperlink>
      <w:r>
        <w:rPr>
          <w:rFonts w:ascii="Times New Roman" w:cs="Times New Roman" w:eastAsia="Times New Roman" w:hAnsi="Times New Roman"/>
          <w:sz w:val="18"/>
          <w:szCs w:val="18"/>
          <w:u w:val="single" w:color="auto"/>
          <w:color w:val="3051F2"/>
        </w:rPr>
        <w:t xml:space="preserve"> </w:t>
      </w:r>
      <w:hyperlink r:id="rId125">
        <w:r>
          <w:rPr>
            <w:rFonts w:ascii="Times New Roman" w:cs="Times New Roman" w:eastAsia="Times New Roman" w:hAnsi="Times New Roman"/>
            <w:sz w:val="18"/>
            <w:szCs w:val="18"/>
            <w:u w:val="single" w:color="auto"/>
            <w:color w:val="3051F2"/>
          </w:rPr>
          <w:t>2023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hyperlink r:id="rId126">
        <w:r>
          <w:rPr>
            <w:rFonts w:ascii="Times New Roman" w:cs="Times New Roman" w:eastAsia="Times New Roman" w:hAnsi="Times New Roman"/>
            <w:sz w:val="18"/>
            <w:szCs w:val="18"/>
            <w:u w:val="single" w:color="auto"/>
            <w:color w:val="3051F2"/>
          </w:rPr>
          <w:t>Series 2023-1 Supplemental Indenture, dated April 17, 2023, among Applebee’s Funding LLC and IHOP Funding LLC, each as a Co-</w:t>
        </w:r>
      </w:hyperlink>
    </w:p>
    <w:p>
      <w:pPr>
        <w:spacing w:after="0" w:line="1" w:lineRule="exact"/>
        <w:rPr>
          <w:sz w:val="20"/>
          <w:szCs w:val="20"/>
          <w:color w:val="auto"/>
        </w:rPr>
      </w:pPr>
    </w:p>
    <w:p>
      <w:pPr>
        <w:ind w:left="1120" w:right="80"/>
        <w:spacing w:after="0" w:line="226" w:lineRule="auto"/>
        <w:rPr>
          <w:rFonts w:ascii="Times New Roman" w:cs="Times New Roman" w:eastAsia="Times New Roman" w:hAnsi="Times New Roman"/>
          <w:sz w:val="18"/>
          <w:szCs w:val="18"/>
          <w:u w:val="single" w:color="auto"/>
          <w:color w:val="3051F2"/>
        </w:rPr>
      </w:pPr>
      <w:hyperlink r:id="rId126">
        <w:r>
          <w:rPr>
            <w:rFonts w:ascii="Times New Roman" w:cs="Times New Roman" w:eastAsia="Times New Roman" w:hAnsi="Times New Roman"/>
            <w:sz w:val="18"/>
            <w:szCs w:val="18"/>
            <w:u w:val="single" w:color="auto"/>
            <w:color w:val="3051F2"/>
          </w:rPr>
          <w:t>Issuer, and Citibank, N.A., as Trustee and Securities Intermediary (Exhibit 4.2 to Registrants Form 8-K filed on April 17, 2023 is</w:t>
        </w:r>
      </w:hyperlink>
      <w:r>
        <w:rPr>
          <w:rFonts w:ascii="Times New Roman" w:cs="Times New Roman" w:eastAsia="Times New Roman" w:hAnsi="Times New Roman"/>
          <w:sz w:val="18"/>
          <w:szCs w:val="18"/>
          <w:u w:val="single" w:color="auto"/>
          <w:color w:val="3051F2"/>
        </w:rPr>
        <w:t xml:space="preserve"> </w:t>
      </w:r>
      <w:hyperlink r:id="rId126">
        <w:r>
          <w:rPr>
            <w:rFonts w:ascii="Times New Roman" w:cs="Times New Roman" w:eastAsia="Times New Roman" w:hAnsi="Times New Roman"/>
            <w:sz w:val="18"/>
            <w:szCs w:val="18"/>
            <w:u w:val="single" w:color="auto"/>
            <w:color w:val="3051F2"/>
          </w:rPr>
          <w:t>incorporated herein by reference).</w:t>
        </w:r>
      </w:hyperlink>
    </w:p>
    <w:p>
      <w:pPr>
        <w:ind w:left="1120" w:right="60" w:hanging="314"/>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4.5 </w:t>
      </w:r>
      <w:hyperlink r:id="rId127">
        <w:r>
          <w:rPr>
            <w:rFonts w:ascii="Times New Roman" w:cs="Times New Roman" w:eastAsia="Times New Roman" w:hAnsi="Times New Roman"/>
            <w:sz w:val="18"/>
            <w:szCs w:val="18"/>
            <w:u w:val="single" w:color="auto"/>
            <w:color w:val="3051F2"/>
          </w:rPr>
          <w:t>Description of Securities Registered Pursuant to Section 12 of the Securities Exchange Act of 1934 (Exhibit 4.3 to Registrant’s Form 10-</w:t>
        </w:r>
      </w:hyperlink>
      <w:hyperlink r:id="rId127">
        <w:r>
          <w:rPr>
            <w:rFonts w:ascii="Times New Roman" w:cs="Times New Roman" w:eastAsia="Times New Roman" w:hAnsi="Times New Roman"/>
            <w:sz w:val="18"/>
            <w:szCs w:val="18"/>
            <w:u w:val="single" w:color="auto"/>
            <w:color w:val="3051F2"/>
          </w:rPr>
          <w:t>K filed on February 24, 2020 is incorporated herein by reference)</w:t>
        </w:r>
      </w:hyperlink>
    </w:p>
    <w:p>
      <w:pPr>
        <w:spacing w:after="0" w:line="1" w:lineRule="exact"/>
        <w:rPr>
          <w:sz w:val="20"/>
          <w:szCs w:val="20"/>
          <w:color w:val="auto"/>
        </w:rPr>
      </w:pPr>
    </w:p>
    <w:p>
      <w:pPr>
        <w:ind w:left="1120" w:right="80" w:hanging="44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 </w:t>
      </w:r>
      <w:hyperlink r:id="rId128">
        <w:r>
          <w:rPr>
            <w:rFonts w:ascii="Times New Roman" w:cs="Times New Roman" w:eastAsia="Times New Roman" w:hAnsi="Times New Roman"/>
            <w:sz w:val="18"/>
            <w:szCs w:val="18"/>
            <w:u w:val="single" w:color="auto"/>
            <w:color w:val="3051F2"/>
          </w:rPr>
          <w:t>Dine Brands Global, Inc. 2019 Stock Incentive Plan, as amended (Appendix B to Registrant’s Definitive Proxy Statement with respect to</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3051F2"/>
          </w:rPr>
          <w:t>the 2022 Annual Meeting of Stockholders filed on March 30, 2022 is incorporated herein by reference).</w:t>
        </w:r>
      </w:hyperlink>
    </w:p>
    <w:p>
      <w:pPr>
        <w:spacing w:after="0" w:line="1" w:lineRule="exact"/>
        <w:rPr>
          <w:sz w:val="20"/>
          <w:szCs w:val="20"/>
          <w:color w:val="auto"/>
        </w:rPr>
      </w:pPr>
    </w:p>
    <w:p>
      <w:pPr>
        <w:ind w:left="1120" w:right="60" w:hanging="44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 </w:t>
      </w:r>
      <w:hyperlink r:id="rId129">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Ratable Vesting</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3051F2"/>
          </w:rPr>
          <w:t>(Exhibit 10.2 to Registrant’s Form 10-Q for the quarter ended June 30, 2019 is incorporated herein by reference).</w:t>
        </w:r>
      </w:hyperlink>
    </w:p>
    <w:p>
      <w:pPr>
        <w:spacing w:after="0" w:line="1" w:lineRule="exact"/>
        <w:rPr>
          <w:sz w:val="20"/>
          <w:szCs w:val="20"/>
          <w:color w:val="auto"/>
        </w:rPr>
      </w:pPr>
    </w:p>
    <w:p>
      <w:pPr>
        <w:ind w:left="1120" w:right="60" w:hanging="44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 </w:t>
      </w:r>
      <w:hyperlink r:id="rId130">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Cliff Vesting</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3051F2"/>
          </w:rPr>
          <w:t>(Exhibit 10.3 to Registrant’s Form 10-Q for the quarter ended June 30, 2019 is incorporated herein by reference).</w:t>
        </w:r>
      </w:hyperlink>
    </w:p>
    <w:p>
      <w:pPr>
        <w:spacing w:after="0" w:line="1" w:lineRule="exact"/>
        <w:rPr>
          <w:sz w:val="20"/>
          <w:szCs w:val="20"/>
          <w:color w:val="auto"/>
        </w:rPr>
      </w:pPr>
    </w:p>
    <w:p>
      <w:pPr>
        <w:ind w:left="1120" w:right="80" w:hanging="44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 </w:t>
      </w:r>
      <w:hyperlink r:id="rId131">
        <w:r>
          <w:rPr>
            <w:rFonts w:ascii="Times New Roman" w:cs="Times New Roman" w:eastAsia="Times New Roman" w:hAnsi="Times New Roman"/>
            <w:sz w:val="18"/>
            <w:szCs w:val="18"/>
            <w:u w:val="single" w:color="auto"/>
            <w:color w:val="3051F2"/>
          </w:rPr>
          <w:t>Dine Brands Global, Inc. 2019 Stock Incentive Plan Stock-Settled Restricted Stock Unit Agreement - Employees - Performance-Based</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3051F2"/>
          </w:rPr>
          <w:t>Vesting (Exhibit 10.4 to Registrant’s Form 10-Q for the quarter ended June 30, 2019 is incorporated herein by reference).</w:t>
        </w:r>
      </w:hyperlink>
    </w:p>
    <w:p>
      <w:pPr>
        <w:spacing w:after="0" w:line="1" w:lineRule="exact"/>
        <w:rPr>
          <w:sz w:val="20"/>
          <w:szCs w:val="20"/>
          <w:color w:val="auto"/>
        </w:rPr>
      </w:pPr>
    </w:p>
    <w:p>
      <w:pPr>
        <w:ind w:left="1120" w:right="60" w:hanging="440"/>
        <w:spacing w:after="0" w:line="245"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 </w:t>
      </w:r>
      <w:hyperlink r:id="rId132">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3051F2"/>
          </w:rPr>
          <w:t>Ratable Vesting (Exhibit 10.5 to Registrant’s Form 10-Q for the quarter ended June 30, 2019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7" w:right="439" w:bottom="1440" w:gutter="0" w:footer="0" w:header="0"/>
        </w:sectPr>
      </w:pPr>
    </w:p>
    <w:bookmarkStart w:id="104" w:name="page105"/>
    <w:bookmarkEnd w:id="104"/>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 </w:t>
      </w:r>
      <w:hyperlink r:id="rId134">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3051F2"/>
          </w:rPr>
          <w:t>Cliff Vesting (Exhibit 10.6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 </w:t>
      </w:r>
      <w:hyperlink r:id="rId135">
        <w:r>
          <w:rPr>
            <w:rFonts w:ascii="Times New Roman" w:cs="Times New Roman" w:eastAsia="Times New Roman" w:hAnsi="Times New Roman"/>
            <w:sz w:val="18"/>
            <w:szCs w:val="18"/>
            <w:u w:val="single" w:color="auto"/>
            <w:color w:val="3051F2"/>
          </w:rPr>
          <w:t>Dine Brands Global, Inc. 2019 Stock Incentive Plan Stock-Settled Restricted Stock Unit Agreement - Non-Employee Directors - 1-year</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3051F2"/>
          </w:rPr>
          <w:t>Cliff Vesting (Exhibit 10.7 to Registrant’s Form 10-Q for the quarter ended June 30, 2019 is incorporated herein by reference).</w:t>
        </w:r>
      </w:hyperlink>
    </w:p>
    <w:p>
      <w:pPr>
        <w:spacing w:after="0" w:line="10" w:lineRule="exact"/>
        <w:rPr>
          <w:sz w:val="20"/>
          <w:szCs w:val="20"/>
          <w:color w:val="auto"/>
        </w:rPr>
      </w:pPr>
    </w:p>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 </w:t>
      </w:r>
      <w:hyperlink r:id="rId136">
        <w:r>
          <w:rPr>
            <w:rFonts w:ascii="Times New Roman" w:cs="Times New Roman" w:eastAsia="Times New Roman" w:hAnsi="Times New Roman"/>
            <w:sz w:val="18"/>
            <w:szCs w:val="18"/>
            <w:u w:val="single" w:color="auto"/>
            <w:color w:val="3051F2"/>
          </w:rPr>
          <w:t>Dine Brands Global, Inc. 2019 Stock Incentive Plan Nonqualified Stock Option Agreement - Employees - 3-year Ratable Vesting (Exhibit</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3051F2"/>
          </w:rPr>
          <w:t>10.8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†10.9 </w:t>
      </w:r>
      <w:hyperlink r:id="rId137">
        <w:r>
          <w:rPr>
            <w:rFonts w:ascii="Times New Roman" w:cs="Times New Roman" w:eastAsia="Times New Roman" w:hAnsi="Times New Roman"/>
            <w:sz w:val="18"/>
            <w:szCs w:val="18"/>
            <w:u w:val="single" w:color="auto"/>
            <w:color w:val="3051F2"/>
          </w:rPr>
          <w:t>Dine Brands Global, Inc. 2019 Stock Incentive Plan Nonqualified Stock Option Agreement - International Employees - 3-year Ratable</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3051F2"/>
          </w:rPr>
          <w:t>Vesting (Exhibit 10.9 to Registrant’s Form 10-Q for the quarter ended June 30,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†10.10 </w:t>
      </w:r>
      <w:hyperlink r:id="rId138">
        <w:r>
          <w:rPr>
            <w:rFonts w:ascii="Times New Roman" w:cs="Times New Roman" w:eastAsia="Times New Roman" w:hAnsi="Times New Roman"/>
            <w:sz w:val="18"/>
            <w:szCs w:val="18"/>
            <w:u w:val="single" w:color="auto"/>
            <w:color w:val="3051F2"/>
          </w:rPr>
          <w:t>Dine Brands Global, Inc. 2019 Stock Incentive Plan Nonqualified Stock Option Agreement - Employees - Performance-Based Vesting</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3051F2"/>
          </w:rPr>
          <w:t>(Exhibit 10.10 to Registrant’s Form 10-Q for the quarter ended June 30, 2019 is incorporated herein by reference).</w:t>
        </w:r>
      </w:hyperlink>
    </w:p>
    <w:p>
      <w:pPr>
        <w:spacing w:after="0" w:line="10" w:lineRule="exact"/>
        <w:rPr>
          <w:sz w:val="20"/>
          <w:szCs w:val="20"/>
          <w:color w:val="auto"/>
        </w:rPr>
      </w:pPr>
    </w:p>
    <w:p>
      <w:pPr>
        <w:ind w:left="540" w:hanging="523"/>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†10.11 </w:t>
      </w:r>
      <w:hyperlink r:id="rId139">
        <w:r>
          <w:rPr>
            <w:rFonts w:ascii="Times New Roman" w:cs="Times New Roman" w:eastAsia="Times New Roman" w:hAnsi="Times New Roman"/>
            <w:sz w:val="18"/>
            <w:szCs w:val="18"/>
            <w:u w:val="single" w:color="auto"/>
            <w:color w:val="3051F2"/>
          </w:rPr>
          <w:t>Dine Brands Global, Inc. 2019 Stock Incentive Plan Performance Unit Award Agreement - Double Metric (Exhibit 10.11 to Registrant’s</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3051F2"/>
          </w:rPr>
          <w:t>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†10.12 </w:t>
      </w:r>
      <w:hyperlink r:id="rId140">
        <w:r>
          <w:rPr>
            <w:rFonts w:ascii="Times New Roman" w:cs="Times New Roman" w:eastAsia="Times New Roman" w:hAnsi="Times New Roman"/>
            <w:sz w:val="18"/>
            <w:szCs w:val="18"/>
            <w:u w:val="single" w:color="auto"/>
            <w:color w:val="3051F2"/>
          </w:rPr>
          <w:t>Dine Brands Global, Inc. 2019 Stock Incentive Plan Restricted Stock Award Agreement - Employees - 3-year Ratable Vesting (Exhibit</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3051F2"/>
          </w:rPr>
          <w:t>10.12 to Registrant’s 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†10.13 </w:t>
      </w:r>
      <w:hyperlink r:id="rId141">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(Exhibit 10.13</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3051F2"/>
          </w:rPr>
          <w:t>to Registrant’s Form 10-Q for the quarter ended June 30, 2019 is incorporated herein by reference).</w:t>
        </w:r>
      </w:hyperlink>
    </w:p>
    <w:p>
      <w:pPr>
        <w:spacing w:after="0" w:line="10"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†10.14 </w:t>
      </w:r>
      <w:hyperlink r:id="rId142">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with</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3051F2"/>
          </w:rPr>
          <w:t>Accelerated Vesting for Termination without Cause (Exhibit 10.14 to Registrant’s Form 10-Q for the quarter ended June 30, 2019 is</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3051F2"/>
        </w:rPr>
      </w:pPr>
      <w:hyperlink r:id="rId142">
        <w:r>
          <w:rPr>
            <w:rFonts w:ascii="Times New Roman" w:cs="Times New Roman" w:eastAsia="Times New Roman" w:hAnsi="Times New Roman"/>
            <w:sz w:val="18"/>
            <w:szCs w:val="18"/>
            <w:u w:val="single" w:color="auto"/>
            <w:color w:val="3051F2"/>
          </w:rPr>
          <w:t>incorporated herein by reference).</w:t>
        </w:r>
      </w:hyperlink>
    </w:p>
    <w:p>
      <w:pPr>
        <w:spacing w:after="0" w:line="7"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†10.15 </w:t>
      </w:r>
      <w:hyperlink r:id="rId143">
        <w:r>
          <w:rPr>
            <w:rFonts w:ascii="Times New Roman" w:cs="Times New Roman" w:eastAsia="Times New Roman" w:hAnsi="Times New Roman"/>
            <w:sz w:val="18"/>
            <w:szCs w:val="18"/>
            <w:u w:val="single" w:color="auto"/>
            <w:color w:val="3051F2"/>
          </w:rPr>
          <w:t>Dine Brands Global, Inc. 2019 Stock Incentive Plan Restricted Stock Award Agreement - Employees - 4-year Ratable Vesting (Exhibit</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3051F2"/>
          </w:rPr>
          <w:t>10.2 to Registrant’s Form 10-Q for the quarter ended June 30,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†10.16 </w:t>
      </w:r>
      <w:hyperlink r:id="rId144">
        <w:r>
          <w:rPr>
            <w:rFonts w:ascii="Times New Roman" w:cs="Times New Roman" w:eastAsia="Times New Roman" w:hAnsi="Times New Roman"/>
            <w:sz w:val="18"/>
            <w:szCs w:val="18"/>
            <w:u w:val="single" w:color="auto"/>
            <w:color w:val="3051F2"/>
          </w:rPr>
          <w:t>Dine Brands Global, Inc. 2016 Stock Incentive Plan (Exhibit 10.1 to Registrant’s Form 10-Q for the quarter ended March 31, 2018 is</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†10.17 </w:t>
      </w:r>
      <w:hyperlink r:id="rId145">
        <w:r>
          <w:rPr>
            <w:rFonts w:ascii="Times New Roman" w:cs="Times New Roman" w:eastAsia="Times New Roman" w:hAnsi="Times New Roman"/>
            <w:sz w:val="18"/>
            <w:szCs w:val="18"/>
            <w:u w:val="single" w:color="auto"/>
            <w:color w:val="3051F2"/>
          </w:rPr>
          <w:t>Dine Brands Global, Inc. 2016 Stock Incentive Plan Restricted Stock Agreement One-Fourth Annual Vesting - Employees (Exhibit 10.22</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†10.18 </w:t>
      </w:r>
      <w:hyperlink r:id="rId146">
        <w:r>
          <w:rPr>
            <w:rFonts w:ascii="Times New Roman" w:cs="Times New Roman" w:eastAsia="Times New Roman" w:hAnsi="Times New Roman"/>
            <w:sz w:val="18"/>
            <w:szCs w:val="18"/>
            <w:u w:val="single" w:color="auto"/>
            <w:color w:val="3051F2"/>
          </w:rPr>
          <w:t>Dine Brands Global, Inc. 2016 Stock Incentive Plan Restricted Stock Agreement One-Third Annual Vesting - Employees (Exhibit 10.23</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†10.19 </w:t>
      </w:r>
      <w:hyperlink r:id="rId147">
        <w:r>
          <w:rPr>
            <w:rFonts w:ascii="Times New Roman" w:cs="Times New Roman" w:eastAsia="Times New Roman" w:hAnsi="Times New Roman"/>
            <w:sz w:val="18"/>
            <w:szCs w:val="18"/>
            <w:u w:val="single" w:color="auto"/>
            <w:color w:val="3051F2"/>
          </w:rPr>
          <w:t>Dine Brands Global, Inc. 2016 Stock Incentive Plan Restricted Stock Agreement 25/25/50% Annual Vesting - Employees (Exhibit 10.17</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†10.20 </w:t>
      </w:r>
      <w:hyperlink r:id="rId148">
        <w:r>
          <w:rPr>
            <w:rFonts w:ascii="Times New Roman" w:cs="Times New Roman" w:eastAsia="Times New Roman" w:hAnsi="Times New Roman"/>
            <w:sz w:val="18"/>
            <w:szCs w:val="18"/>
            <w:u w:val="single" w:color="auto"/>
            <w:color w:val="3051F2"/>
          </w:rPr>
          <w:t>Dine Brands Global, Inc. 2016 Stock Incentive Plan Restricted Stock Agreement - Employees (Exhibit 10.18 to Registrant’s Form 10-Q</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†10.21 </w:t>
      </w:r>
      <w:hyperlink r:id="rId149">
        <w:r>
          <w:rPr>
            <w:rFonts w:ascii="Times New Roman" w:cs="Times New Roman" w:eastAsia="Times New Roman" w:hAnsi="Times New Roman"/>
            <w:sz w:val="18"/>
            <w:szCs w:val="18"/>
            <w:color w:val="3051F2"/>
          </w:rPr>
          <w:t>Dine Brands Global, Inc. 2016 Stock Incentive Plan Restricted Stock Agreement - Non-Employee Directors (Exhibit 10.19 to</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50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6315075" cy="8255"/>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†10.22 </w:t>
      </w:r>
      <w:hyperlink r:id="rId151">
        <w:r>
          <w:rPr>
            <w:rFonts w:ascii="Times New Roman" w:cs="Times New Roman" w:eastAsia="Times New Roman" w:hAnsi="Times New Roman"/>
            <w:sz w:val="18"/>
            <w:szCs w:val="18"/>
            <w:u w:val="single" w:color="auto"/>
            <w:color w:val="3051F2"/>
          </w:rPr>
          <w:t>Dine Brands Global, Inc. 2016 Stock Incentive Plan Restricted Stock Agreement - Employees - Specified Date Vesting (Exhibit 10.20 to</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†10.23 </w:t>
      </w:r>
      <w:hyperlink r:id="rId152">
        <w:r>
          <w:rPr>
            <w:rFonts w:ascii="Times New Roman" w:cs="Times New Roman" w:eastAsia="Times New Roman" w:hAnsi="Times New Roman"/>
            <w:sz w:val="18"/>
            <w:szCs w:val="18"/>
            <w:u w:val="single" w:color="auto"/>
            <w:color w:val="3051F2"/>
          </w:rPr>
          <w:t>Dine Brands Global, Inc. 2016 Stock Incentive Plan Restricted Stock Agreement - Employees - 50/50% Annual Vesting (Exhibit 10.21 to</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†10.24 </w:t>
      </w:r>
      <w:hyperlink r:id="rId153">
        <w:r>
          <w:rPr>
            <w:rFonts w:ascii="Times New Roman" w:cs="Times New Roman" w:eastAsia="Times New Roman" w:hAnsi="Times New Roman"/>
            <w:sz w:val="18"/>
            <w:szCs w:val="18"/>
            <w:u w:val="single" w:color="auto"/>
            <w:color w:val="3051F2"/>
          </w:rPr>
          <w:t>Dine Brands Global, Inc. 2016 Stock Incentive Plan Restricted Stock Agreement - Employees - Annual Vesting (Exhibit 10.24 to</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†10.25 </w:t>
      </w:r>
      <w:hyperlink r:id="rId154">
        <w:r>
          <w:rPr>
            <w:rFonts w:ascii="Times New Roman" w:cs="Times New Roman" w:eastAsia="Times New Roman" w:hAnsi="Times New Roman"/>
            <w:sz w:val="18"/>
            <w:szCs w:val="18"/>
            <w:u w:val="single" w:color="auto"/>
            <w:color w:val="3051F2"/>
          </w:rPr>
          <w:t>Dine Brands Global, Inc. 2016 Stock Incentive Plan Restricted Stock Agreement - Employees - 20/40/20/20 Vesting (Exhibit 10.1 to</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3051F2"/>
          </w:rPr>
          <w:t>Registrant’s Form 10-Q for the quarter ended June 30,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105" w:name="page106"/>
    <w:bookmarkEnd w:id="105"/>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†10.26 </w:t>
      </w:r>
      <w:hyperlink r:id="rId156">
        <w:r>
          <w:rPr>
            <w:rFonts w:ascii="Times New Roman" w:cs="Times New Roman" w:eastAsia="Times New Roman" w:hAnsi="Times New Roman"/>
            <w:sz w:val="18"/>
            <w:szCs w:val="18"/>
            <w:u w:val="single" w:color="auto"/>
            <w:color w:val="3051F2"/>
          </w:rPr>
          <w:t>Dine Brands Global, Inc. 2016 Stock Incentive Plan Stock-Settled RSU Agreement -Employees (Exhibit 10.8 to Registrant’s Form 10-Q</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†10.27 </w:t>
      </w:r>
      <w:hyperlink r:id="rId157">
        <w:r>
          <w:rPr>
            <w:rFonts w:ascii="Times New Roman" w:cs="Times New Roman" w:eastAsia="Times New Roman" w:hAnsi="Times New Roman"/>
            <w:sz w:val="18"/>
            <w:szCs w:val="18"/>
            <w:u w:val="single" w:color="auto"/>
            <w:color w:val="3051F2"/>
          </w:rPr>
          <w:t>Dine Brands Global, Inc. 2016 Stock Incentive Plan Stock-Settled RSU Agreement -Employees - Performance Based (Exhibit 10.5 to</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†10.28 </w:t>
      </w:r>
      <w:hyperlink r:id="rId158">
        <w:r>
          <w:rPr>
            <w:rFonts w:ascii="Times New Roman" w:cs="Times New Roman" w:eastAsia="Times New Roman" w:hAnsi="Times New Roman"/>
            <w:sz w:val="18"/>
            <w:szCs w:val="18"/>
            <w:u w:val="single" w:color="auto"/>
            <w:color w:val="3051F2"/>
          </w:rPr>
          <w:t>Dine Brands Global, Inc. 2016 Stock Incentive Plan Stock-Settled RSU Agreement - Non-Employee Directors - 1 Year Vesting. (Exhibit</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3051F2"/>
          </w:rPr>
          <w:t>10.21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†10.29 </w:t>
      </w:r>
      <w:hyperlink r:id="rId159">
        <w:r>
          <w:rPr>
            <w:rFonts w:ascii="Times New Roman" w:cs="Times New Roman" w:eastAsia="Times New Roman" w:hAnsi="Times New Roman"/>
            <w:sz w:val="18"/>
            <w:szCs w:val="18"/>
            <w:u w:val="single" w:color="auto"/>
            <w:color w:val="3051F2"/>
          </w:rPr>
          <w:t>Dine Brands Global, Inc. 2016 Stock Incentive Plan Stock-Settled RSU Agreement 50/50% Annual Vesting - International Employees</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3051F2"/>
          </w:rPr>
          <w:t>(Exhibit 10.6 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†10.30 </w:t>
      </w:r>
      <w:hyperlink r:id="rId160">
        <w:r>
          <w:rPr>
            <w:rFonts w:ascii="Times New Roman" w:cs="Times New Roman" w:eastAsia="Times New Roman" w:hAnsi="Times New Roman"/>
            <w:sz w:val="18"/>
            <w:szCs w:val="18"/>
            <w:u w:val="single" w:color="auto"/>
            <w:color w:val="3051F2"/>
          </w:rPr>
          <w:t>Dine Brands Global, Inc. 2016 Stock Incentive Plan Stock-Settled RSU Agreement - International Employees (Exhibit 10.7 to</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†10.31 </w:t>
      </w:r>
      <w:hyperlink r:id="rId161">
        <w:r>
          <w:rPr>
            <w:rFonts w:ascii="Times New Roman" w:cs="Times New Roman" w:eastAsia="Times New Roman" w:hAnsi="Times New Roman"/>
            <w:sz w:val="18"/>
            <w:szCs w:val="18"/>
            <w:u w:val="single" w:color="auto"/>
            <w:color w:val="3051F2"/>
          </w:rPr>
          <w:t>DineEquity, Inc. 2016 Stock Incentive Plan Stock-Settled RSU Agreement - Non-Employee Directors - 3 Year Vesting (Exhibit 10.8 to</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†10.32 </w:t>
      </w:r>
      <w:hyperlink r:id="rId162">
        <w:r>
          <w:rPr>
            <w:rFonts w:ascii="Times New Roman" w:cs="Times New Roman" w:eastAsia="Times New Roman" w:hAnsi="Times New Roman"/>
            <w:sz w:val="18"/>
            <w:szCs w:val="18"/>
            <w:u w:val="single" w:color="auto"/>
            <w:color w:val="3051F2"/>
          </w:rPr>
          <w:t>Dine Brands Global, Inc. 2016 Stock Incentive Plan Cash-Settled RSU Agreement - Employees (Exhibit 10.3 to Registrant’s Form 10-Q</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†10.33 </w:t>
      </w:r>
      <w:hyperlink r:id="rId163">
        <w:r>
          <w:rPr>
            <w:rFonts w:ascii="Times New Roman" w:cs="Times New Roman" w:eastAsia="Times New Roman" w:hAnsi="Times New Roman"/>
            <w:sz w:val="18"/>
            <w:szCs w:val="18"/>
            <w:color w:val="3051F2"/>
          </w:rPr>
          <w:t>Dine Brands Global, Inc. 2016 Stock Incentive Plan Cash-Settled RSU Agreement - Non-Employee Directors (Exhibit 10.2 to</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44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631444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†10.34 </w:t>
      </w:r>
      <w:hyperlink r:id="rId165">
        <w:r>
          <w:rPr>
            <w:rFonts w:ascii="Times New Roman" w:cs="Times New Roman" w:eastAsia="Times New Roman" w:hAnsi="Times New Roman"/>
            <w:sz w:val="18"/>
            <w:szCs w:val="18"/>
            <w:color w:val="3051F2"/>
          </w:rPr>
          <w:t>Dine Brands Global, Inc. 2016 Stock Incentive Plan Cash-Settled RSU Agreement - International Employees (Exhibit 10.4 to</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6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631698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†10.35 </w:t>
      </w:r>
      <w:hyperlink r:id="rId167">
        <w:r>
          <w:rPr>
            <w:rFonts w:ascii="Times New Roman" w:cs="Times New Roman" w:eastAsia="Times New Roman" w:hAnsi="Times New Roman"/>
            <w:sz w:val="18"/>
            <w:szCs w:val="18"/>
            <w:color w:val="3051F2"/>
          </w:rPr>
          <w:t>Dine Brands Global, Inc. 2016 Stock Incentive Plan Nonqualified Stock Option Agreement - Employees (Exhibit 10.9 to Registrant’s</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3051F2"/>
          </w:rPr>
          <w:t>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38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6313805" cy="8890"/>
                    </a:xfrm>
                    <a:prstGeom prst="rect">
                      <a:avLst/>
                    </a:prstGeom>
                    <a:noFill/>
                  </pic:spPr>
                </pic:pic>
              </a:graphicData>
            </a:graphic>
          </wp:anchor>
        </w:drawing>
      </w: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†10.36 </w:t>
      </w:r>
      <w:hyperlink r:id="rId169">
        <w:r>
          <w:rPr>
            <w:rFonts w:ascii="Times New Roman" w:cs="Times New Roman" w:eastAsia="Times New Roman" w:hAnsi="Times New Roman"/>
            <w:sz w:val="18"/>
            <w:szCs w:val="18"/>
            <w:u w:val="single" w:color="auto"/>
            <w:color w:val="3051F2"/>
          </w:rPr>
          <w:t>Dine Brands Global, Inc. 2016 Stock Incentive Plan Nonqualified Stock Option Agreement - Employees - Accelerated Retirement</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3051F2"/>
          </w:rPr>
          <w:t>Vesting (Exhibit 10.29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†10.37 </w:t>
      </w:r>
      <w:hyperlink r:id="rId170">
        <w:r>
          <w:rPr>
            <w:rFonts w:ascii="Times New Roman" w:cs="Times New Roman" w:eastAsia="Times New Roman" w:hAnsi="Times New Roman"/>
            <w:sz w:val="18"/>
            <w:szCs w:val="18"/>
            <w:u w:val="single" w:color="auto"/>
            <w:color w:val="3051F2"/>
          </w:rPr>
          <w:t>Dine Brands Global, Inc. 2016 Stock Incentive Plan Nonqualified Stock Option Agreement - Non-Employee Directors (Exhibit 10.11 to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†10.38 </w:t>
      </w:r>
      <w:hyperlink r:id="rId171">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(Exhibit 10.10 to</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†10.39 </w:t>
      </w:r>
      <w:hyperlink r:id="rId172">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 Accelerated</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3051F2"/>
          </w:rPr>
          <w:t>Retirement Vesting (Exhibit 10.32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†10.40 </w:t>
      </w:r>
      <w:hyperlink r:id="rId173">
        <w:r>
          <w:rPr>
            <w:rFonts w:ascii="Times New Roman" w:cs="Times New Roman" w:eastAsia="Times New Roman" w:hAnsi="Times New Roman"/>
            <w:sz w:val="18"/>
            <w:szCs w:val="18"/>
            <w:u w:val="single" w:color="auto"/>
            <w:color w:val="3051F2"/>
          </w:rPr>
          <w:t>Dine Brands Global, Inc. 2016 Stock Incentive Plan Nonqualified Stock Option Agreement - Employees - Performance Based (Exhibit</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3051F2"/>
          </w:rPr>
          <w:t>10.12 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†10.41 </w:t>
      </w:r>
      <w:hyperlink r:id="rId174">
        <w:r>
          <w:rPr>
            <w:rFonts w:ascii="Times New Roman" w:cs="Times New Roman" w:eastAsia="Times New Roman" w:hAnsi="Times New Roman"/>
            <w:sz w:val="18"/>
            <w:szCs w:val="18"/>
            <w:u w:val="single" w:color="auto"/>
            <w:color w:val="3051F2"/>
          </w:rPr>
          <w:t>Dine Brands Global, Inc. 2016 Stock Incentive Plan Performance Shares Agreement - Employees (Exhibit 10.15 to Registrant’s Form 10-</w:t>
        </w:r>
      </w:hyperlink>
      <w:hyperlink r:id="rId174">
        <w:r>
          <w:rPr>
            <w:rFonts w:ascii="Times New Roman" w:cs="Times New Roman" w:eastAsia="Times New Roman" w:hAnsi="Times New Roman"/>
            <w:sz w:val="18"/>
            <w:szCs w:val="18"/>
            <w:u w:val="single" w:color="auto"/>
            <w:color w:val="3051F2"/>
          </w:rPr>
          <w:t>Q for the quarter ended June 30, 2016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†10.42 </w:t>
      </w:r>
      <w:hyperlink r:id="rId175">
        <w:r>
          <w:rPr>
            <w:rFonts w:ascii="Times New Roman" w:cs="Times New Roman" w:eastAsia="Times New Roman" w:hAnsi="Times New Roman"/>
            <w:sz w:val="18"/>
            <w:szCs w:val="18"/>
            <w:u w:val="single" w:color="auto"/>
            <w:color w:val="3051F2"/>
          </w:rPr>
          <w:t>Dine Brands Global, Inc. 2016 Stock Incentive Plan Performance Shares Agreement 50% stock / 50% cash - Employees (Exhibit 10.16 to</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†10.43 </w:t>
      </w:r>
      <w:hyperlink r:id="rId176">
        <w:r>
          <w:rPr>
            <w:rFonts w:ascii="Times New Roman" w:cs="Times New Roman" w:eastAsia="Times New Roman" w:hAnsi="Times New Roman"/>
            <w:sz w:val="18"/>
            <w:szCs w:val="18"/>
            <w:u w:val="single" w:color="auto"/>
            <w:color w:val="3051F2"/>
          </w:rPr>
          <w:t>Dine Brands Global, Inc. 2016 Stock Incentive Plan Performance Award Agreement - Employees - Single Metric (Exhibit 10.15 to</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†10.44 </w:t>
      </w:r>
      <w:hyperlink r:id="rId177">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(Exhibit 10.16 to</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†10.45 </w:t>
      </w:r>
      <w:hyperlink r:id="rId178">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Accelerated</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3051F2"/>
          </w:rPr>
          <w:t>Retirement Vesting (Exhibit 10.38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†10.46 </w:t>
      </w:r>
      <w:hyperlink r:id="rId179">
        <w:r>
          <w:rPr>
            <w:rFonts w:ascii="Times New Roman" w:cs="Times New Roman" w:eastAsia="Times New Roman" w:hAnsi="Times New Roman"/>
            <w:sz w:val="18"/>
            <w:szCs w:val="18"/>
            <w:u w:val="single" w:color="auto"/>
            <w:color w:val="3051F2"/>
          </w:rPr>
          <w:t>Dine Brands Global, Inc. 2016 Stock Incentive Plan SAR Agreement - Employees (Exhibit 10.25 to Registrant’s Form 10-Q for the</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3051F2"/>
          </w:rPr>
          <w:t>quarter ended March 31,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106" w:name="page107"/>
    <w:bookmarkEnd w:id="106"/>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†10.47 </w:t>
      </w:r>
      <w:hyperlink r:id="rId181">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Cycle 10 (Exhibit</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3051F2"/>
          </w:rPr>
          <w:t>10.1 to Registrant’s Form 10-Q for the quarter ended March 31,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†10.48 </w:t>
      </w:r>
      <w:hyperlink r:id="rId182">
        <w:r>
          <w:rPr>
            <w:rFonts w:ascii="Times New Roman" w:cs="Times New Roman" w:eastAsia="Times New Roman" w:hAnsi="Times New Roman"/>
            <w:sz w:val="18"/>
            <w:szCs w:val="18"/>
            <w:u w:val="single" w:color="auto"/>
            <w:color w:val="3051F2"/>
          </w:rPr>
          <w:t>DineEquity, Inc. 2011 Stock Incentive Plan (Annex A to Registrant's Proxy Statement, filed on April 13, 2011 is incorporated herein by</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3051F2"/>
          </w:rPr>
          <w:t>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†10.49 </w:t>
      </w:r>
      <w:hyperlink r:id="rId183">
        <w:r>
          <w:rPr>
            <w:rFonts w:ascii="Times New Roman" w:cs="Times New Roman" w:eastAsia="Times New Roman" w:hAnsi="Times New Roman"/>
            <w:sz w:val="18"/>
            <w:szCs w:val="18"/>
            <w:u w:val="single" w:color="auto"/>
            <w:color w:val="3051F2"/>
          </w:rPr>
          <w:t>DineEquity, Inc. 2011 Stock Incentive Plan Nonqualified Stock Option Agreement (Employees) (Exhibit 10.10 to Registrant's Form 10-K</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3051F2"/>
          </w:rPr>
          <w:t>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†10.50 </w:t>
      </w:r>
      <w:hyperlink r:id="rId184">
        <w:r>
          <w:rPr>
            <w:rFonts w:ascii="Times New Roman" w:cs="Times New Roman" w:eastAsia="Times New Roman" w:hAnsi="Times New Roman"/>
            <w:sz w:val="18"/>
            <w:szCs w:val="18"/>
            <w:u w:val="single" w:color="auto"/>
            <w:color w:val="3051F2"/>
          </w:rPr>
          <w:t>DineEquity, Inc. 2011 Stock Incentive Plan Restricted Stock Award Agreement (Employees) (Exhibit 10.12 to Registrant's Form 10-K for</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3051F2"/>
          </w:rPr>
          <w:t>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†10.51 </w:t>
      </w:r>
      <w:hyperlink r:id="rId185">
        <w:r>
          <w:rPr>
            <w:rFonts w:ascii="Times New Roman" w:cs="Times New Roman" w:eastAsia="Times New Roman" w:hAnsi="Times New Roman"/>
            <w:sz w:val="18"/>
            <w:szCs w:val="18"/>
            <w:u w:val="single" w:color="auto"/>
            <w:color w:val="3051F2"/>
          </w:rPr>
          <w:t>DineEquity, Inc. 2011 Stock Incentive Plan Restricted Stock Award Agreement (1/4th Annual Vesting - Employees) (Exhibit 10.1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3051F2"/>
          </w:rPr>
          <w:t>Registrant's Form 10-Q for the quarter ended June 30, 2015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†10.52 </w:t>
      </w:r>
      <w:hyperlink r:id="rId186">
        <w:r>
          <w:rPr>
            <w:rFonts w:ascii="Times New Roman" w:cs="Times New Roman" w:eastAsia="Times New Roman" w:hAnsi="Times New Roman"/>
            <w:sz w:val="18"/>
            <w:szCs w:val="18"/>
            <w:u w:val="single" w:color="auto"/>
            <w:color w:val="3051F2"/>
          </w:rPr>
          <w:t>DineEquity, Inc. 2011 Stock Incentive Plan Stock-Settled Restricted Stock Unit Award Agreement (Employees) (Exhibit 10.15 to</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3051F2"/>
          </w:rPr>
          <w:t>Registrant's Form 10-K 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†10.53 </w:t>
      </w:r>
      <w:hyperlink r:id="rId187">
        <w:r>
          <w:rPr>
            <w:rFonts w:ascii="Times New Roman" w:cs="Times New Roman" w:eastAsia="Times New Roman" w:hAnsi="Times New Roman"/>
            <w:sz w:val="18"/>
            <w:szCs w:val="18"/>
            <w:u w:val="single" w:color="auto"/>
            <w:color w:val="3051F2"/>
          </w:rPr>
          <w:t>DineEquity, Inc. 2011 Stock Incentive Plan Stock-Settled Restricted Stock Unit Award Agreement (Non-Employee Directors)</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3051F2"/>
          </w:rPr>
          <w:t>(Exhibit 10.16 to Registrant's Form 10-K for the year ended December 31, 2011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†10.54 </w:t>
      </w:r>
      <w:hyperlink r:id="rId188">
        <w:r>
          <w:rPr>
            <w:rFonts w:ascii="Times New Roman" w:cs="Times New Roman" w:eastAsia="Times New Roman" w:hAnsi="Times New Roman"/>
            <w:sz w:val="18"/>
            <w:szCs w:val="18"/>
            <w:u w:val="single" w:color="auto"/>
            <w:color w:val="3051F2"/>
          </w:rPr>
          <w:t>DineEquity, Inc. 2011 Stock Incentive Plan Restricted Stock Award Agreement (Ratable Vesting - Employees) (Exhibit 10.19 to</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3051F2"/>
          </w:rPr>
          <w:t>Registrant’s Form 10-K for the year ended December 31, 2013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†10.55 </w:t>
      </w:r>
      <w:hyperlink r:id="rId189">
        <w:r>
          <w:rPr>
            <w:rFonts w:ascii="Times New Roman" w:cs="Times New Roman" w:eastAsia="Times New Roman" w:hAnsi="Times New Roman"/>
            <w:sz w:val="18"/>
            <w:szCs w:val="18"/>
            <w:u w:val="single" w:color="auto"/>
            <w:color w:val="3051F2"/>
          </w:rPr>
          <w:t>DineEquity, Inc. 2011 Stock Incentive Plan Stock-Settled Restricted Stock Unit Award Agreement (International Employees) (Exhibit</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3051F2"/>
          </w:rPr>
          <w:t>10.1 to Registrant’s Form 10-Q for the quarter ended September 30, 2014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†10.56 </w:t>
      </w:r>
      <w:hyperlink r:id="rId190">
        <w:r>
          <w:rPr>
            <w:rFonts w:ascii="Times New Roman" w:cs="Times New Roman" w:eastAsia="Times New Roman" w:hAnsi="Times New Roman"/>
            <w:sz w:val="18"/>
            <w:szCs w:val="18"/>
            <w:u w:val="single" w:color="auto"/>
            <w:color w:val="3051F2"/>
          </w:rPr>
          <w:t>IHOP Corp. 2001 Stock Incentive Plan Non-Qualified Stock Option Agreement (Exhibit 10.15 to Registrant's 2003 Form 10-K is</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†10.57 </w:t>
      </w:r>
      <w:hyperlink r:id="rId191">
        <w:r>
          <w:rPr>
            <w:rFonts w:ascii="Times New Roman" w:cs="Times New Roman" w:eastAsia="Times New Roman" w:hAnsi="Times New Roman"/>
            <w:sz w:val="18"/>
            <w:szCs w:val="18"/>
            <w:u w:val="single" w:color="auto"/>
            <w:color w:val="3051F2"/>
          </w:rPr>
          <w:t>IHOP Corp 2001 Stock Incentive Plan as amended and restated (Appendix A to Registrant's Proxy Statement, filed on April 17, 2008 is</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†10.58 </w:t>
      </w:r>
      <w:hyperlink r:id="rId192">
        <w:r>
          <w:rPr>
            <w:rFonts w:ascii="Times New Roman" w:cs="Times New Roman" w:eastAsia="Times New Roman" w:hAnsi="Times New Roman"/>
            <w:sz w:val="18"/>
            <w:szCs w:val="18"/>
            <w:u w:val="single" w:color="auto"/>
            <w:color w:val="3051F2"/>
          </w:rPr>
          <w:t>DineEquity, Inc. Senior Executive Incentive Plan as amended and restated (Annex A to Registrant's Proxy Statement, filed on April 5,</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3051F2"/>
          </w:rPr>
          <w:t>2012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†10.59 </w:t>
      </w:r>
      <w:hyperlink r:id="rId193">
        <w:r>
          <w:rPr>
            <w:rFonts w:ascii="Times New Roman" w:cs="Times New Roman" w:eastAsia="Times New Roman" w:hAnsi="Times New Roman"/>
            <w:sz w:val="18"/>
            <w:szCs w:val="18"/>
            <w:u w:val="single" w:color="auto"/>
            <w:color w:val="3051F2"/>
          </w:rPr>
          <w:t>Form of DineEquity, Inc. Indemnification Agreement (Exhibit 10.27 to Registrant's Form 10-K for the year ended December 31, 2011 is</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†10.60 </w:t>
      </w:r>
      <w:hyperlink r:id="rId194">
        <w:r>
          <w:rPr>
            <w:rFonts w:ascii="Times New Roman" w:cs="Times New Roman" w:eastAsia="Times New Roman" w:hAnsi="Times New Roman"/>
            <w:sz w:val="18"/>
            <w:szCs w:val="18"/>
            <w:u w:val="single" w:color="auto"/>
            <w:color w:val="3051F2"/>
          </w:rPr>
          <w:t>Dine Brands Global, Inc. Nonqualified Deferred Compensation Plan (Exhibit 10.53 to Registrant’s Form 10-K for the year ended</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3051F2"/>
          </w:rPr>
          <w:t>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†10.61 </w:t>
      </w:r>
      <w:hyperlink r:id="rId195">
        <w:r>
          <w:rPr>
            <w:rFonts w:ascii="Times New Roman" w:cs="Times New Roman" w:eastAsia="Times New Roman" w:hAnsi="Times New Roman"/>
            <w:sz w:val="18"/>
            <w:szCs w:val="18"/>
            <w:u w:val="single" w:color="auto"/>
            <w:color w:val="3051F2"/>
          </w:rPr>
          <w:t>Amendment to Dine Brands Global, Inc. Nonqualified Deferred Compensation Plan (Exhibit 10.54 to Registrant’s Form 10-K for the year</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3051F2"/>
          </w:rPr>
          <w:t>ended December 31, 2018 is incorporated herein by reference).</w:t>
        </w:r>
      </w:hyperlink>
    </w:p>
    <w:p>
      <w:pPr>
        <w:spacing w:after="0" w:line="10" w:lineRule="exact"/>
        <w:rPr>
          <w:sz w:val="20"/>
          <w:szCs w:val="20"/>
          <w:color w:val="auto"/>
        </w:rPr>
      </w:pPr>
    </w:p>
    <w:p>
      <w:pPr>
        <w:ind w:left="54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10.62 </w:t>
      </w:r>
      <w:hyperlink r:id="rId196">
        <w:r>
          <w:rPr>
            <w:rFonts w:ascii="Times New Roman" w:cs="Times New Roman" w:eastAsia="Times New Roman" w:hAnsi="Times New Roman"/>
            <w:sz w:val="18"/>
            <w:szCs w:val="18"/>
            <w:u w:val="single" w:color="auto"/>
            <w:color w:val="3051F2"/>
          </w:rPr>
          <w:t>Purchase Agreement, dated May 28, 2019, among the Registrant, certain subsidiaries of the Registrant, Barclays Capital Inc. and Credit</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3051F2"/>
          </w:rPr>
          <w:t>Suisse Securities (USA) LLC. (Exhibit 99.1 to the Registrant’s Form 8-K filed on May 28, 2019 is incorporated herein by reference).</w:t>
        </w:r>
      </w:hyperlink>
    </w:p>
    <w:p>
      <w:pPr>
        <w:spacing w:after="0" w:line="10" w:lineRule="exact"/>
        <w:rPr>
          <w:sz w:val="20"/>
          <w:szCs w:val="20"/>
          <w:color w:val="auto"/>
        </w:rPr>
      </w:pPr>
    </w:p>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10.63 </w:t>
      </w:r>
      <w:hyperlink r:id="rId197">
        <w:r>
          <w:rPr>
            <w:rFonts w:ascii="Times New Roman" w:cs="Times New Roman" w:eastAsia="Times New Roman" w:hAnsi="Times New Roman"/>
            <w:sz w:val="18"/>
            <w:szCs w:val="18"/>
            <w:u w:val="single" w:color="auto"/>
            <w:color w:val="3051F2"/>
          </w:rPr>
          <w:t>Class A-1 Note Purchase Agreement, dated August 12, 2022, among Applebee’s Funding LLC and IHOP Funding LLC, each a Co-</w:t>
        </w:r>
      </w:hyperlink>
      <w:hyperlink r:id="rId197">
        <w:r>
          <w:rPr>
            <w:rFonts w:ascii="Times New Roman" w:cs="Times New Roman" w:eastAsia="Times New Roman" w:hAnsi="Times New Roman"/>
            <w:sz w:val="18"/>
            <w:szCs w:val="18"/>
            <w:u w:val="single" w:color="auto"/>
            <w:color w:val="3051F2"/>
          </w:rPr>
          <w:t>Issuer, certain special-purpose, wholly-owned indirect subsidiaries of the Registrant, each as a Guarantor, the Registrant, as manager,</w:t>
        </w:r>
      </w:hyperlink>
    </w:p>
    <w:p>
      <w:pPr>
        <w:spacing w:after="0" w:line="2" w:lineRule="exact"/>
        <w:rPr>
          <w:sz w:val="20"/>
          <w:szCs w:val="20"/>
          <w:color w:val="auto"/>
        </w:rPr>
      </w:pPr>
    </w:p>
    <w:p>
      <w:pPr>
        <w:jc w:val="both"/>
        <w:ind w:left="540" w:right="20"/>
        <w:spacing w:after="0" w:line="218" w:lineRule="auto"/>
        <w:rPr>
          <w:rFonts w:ascii="Times New Roman" w:cs="Times New Roman" w:eastAsia="Times New Roman" w:hAnsi="Times New Roman"/>
          <w:sz w:val="18"/>
          <w:szCs w:val="18"/>
          <w:u w:val="single" w:color="auto"/>
          <w:color w:val="3051F2"/>
        </w:rPr>
      </w:pPr>
      <w:hyperlink r:id="rId197">
        <w:r>
          <w:rPr>
            <w:rFonts w:ascii="Times New Roman" w:cs="Times New Roman" w:eastAsia="Times New Roman" w:hAnsi="Times New Roman"/>
            <w:sz w:val="18"/>
            <w:szCs w:val="18"/>
            <w:u w:val="single" w:color="auto"/>
            <w:color w:val="3051F2"/>
          </w:rPr>
          <w:t>certain conduit investors, financial institutions and funding agents, Coöperatieve Rabobank U.A., New York Branch, as provider of letters</w:t>
        </w:r>
      </w:hyperlink>
      <w:r>
        <w:rPr>
          <w:rFonts w:ascii="Times New Roman" w:cs="Times New Roman" w:eastAsia="Times New Roman" w:hAnsi="Times New Roman"/>
          <w:sz w:val="18"/>
          <w:szCs w:val="18"/>
          <w:u w:val="single" w:color="auto"/>
          <w:color w:val="3051F2"/>
        </w:rPr>
        <w:t xml:space="preserve"> </w:t>
      </w:r>
      <w:hyperlink r:id="rId197">
        <w:r>
          <w:rPr>
            <w:rFonts w:ascii="Times New Roman" w:cs="Times New Roman" w:eastAsia="Times New Roman" w:hAnsi="Times New Roman"/>
            <w:sz w:val="18"/>
            <w:szCs w:val="18"/>
            <w:u w:val="single" w:color="auto"/>
            <w:color w:val="3051F2"/>
          </w:rPr>
          <w:t>of credit, swingline lender and administrative agent (Exhibit 10.1 to Registrant’s Form 8-K filed on August 12, 2022 is incorporated</w:t>
        </w:r>
      </w:hyperlink>
      <w:r>
        <w:rPr>
          <w:rFonts w:ascii="Times New Roman" w:cs="Times New Roman" w:eastAsia="Times New Roman" w:hAnsi="Times New Roman"/>
          <w:sz w:val="18"/>
          <w:szCs w:val="18"/>
          <w:u w:val="single" w:color="auto"/>
          <w:color w:val="3051F2"/>
        </w:rPr>
        <w:t xml:space="preserve"> </w:t>
      </w:r>
      <w:hyperlink r:id="rId197">
        <w:r>
          <w:rPr>
            <w:rFonts w:ascii="Times New Roman" w:cs="Times New Roman" w:eastAsia="Times New Roman" w:hAnsi="Times New Roman"/>
            <w:sz w:val="18"/>
            <w:szCs w:val="18"/>
            <w:u w:val="single" w:color="auto"/>
            <w:color w:val="3051F2"/>
          </w:rPr>
          <w:t>herein by reference).</w:t>
        </w:r>
      </w:hyperlink>
    </w:p>
    <w:p>
      <w:pPr>
        <w:spacing w:after="0" w:line="10" w:lineRule="exact"/>
        <w:rPr>
          <w:rFonts w:ascii="Times New Roman" w:cs="Times New Roman" w:eastAsia="Times New Roman" w:hAnsi="Times New Roman"/>
          <w:sz w:val="18"/>
          <w:szCs w:val="18"/>
          <w:u w:val="single" w:color="auto"/>
          <w:color w:val="3051F2"/>
        </w:rPr>
      </w:pPr>
    </w:p>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10.64 </w:t>
      </w:r>
      <w:hyperlink r:id="rId198">
        <w:r>
          <w:rPr>
            <w:rFonts w:ascii="Times New Roman" w:cs="Times New Roman" w:eastAsia="Times New Roman" w:hAnsi="Times New Roman"/>
            <w:sz w:val="18"/>
            <w:szCs w:val="18"/>
            <w:u w:val="single" w:color="auto"/>
            <w:color w:val="3051F2"/>
          </w:rPr>
          <w:t>Guarantee and Collateral Agreement, dated September 30, 2014, and amended and restated as of June 5, 2019, among certain special-</w:t>
        </w:r>
      </w:hyperlink>
      <w:hyperlink r:id="rId198">
        <w:r>
          <w:rPr>
            <w:rFonts w:ascii="Times New Roman" w:cs="Times New Roman" w:eastAsia="Times New Roman" w:hAnsi="Times New Roman"/>
            <w:sz w:val="18"/>
            <w:szCs w:val="18"/>
            <w:u w:val="single" w:color="auto"/>
            <w:color w:val="3051F2"/>
          </w:rPr>
          <w:t>purpose, wholly-owned indirect subsidiaries of the Registrant, each as guarantor, in favor of Citibank, N.A., as Trustee (Exhibit 10.2 to</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3051F2"/>
        </w:rPr>
      </w:pPr>
      <w:hyperlink r:id="rId198">
        <w:r>
          <w:rPr>
            <w:rFonts w:ascii="Times New Roman" w:cs="Times New Roman" w:eastAsia="Times New Roman" w:hAnsi="Times New Roman"/>
            <w:sz w:val="18"/>
            <w:szCs w:val="18"/>
            <w:u w:val="single" w:color="auto"/>
            <w:color w:val="3051F2"/>
          </w:rPr>
          <w:t>Registrant’s Form 8-K filed on June 5, 2019 is incorporated herein by reference).</w:t>
        </w:r>
      </w:hyperlink>
    </w:p>
    <w:p>
      <w:pPr>
        <w:spacing w:after="0" w:line="7" w:lineRule="exact"/>
        <w:rPr>
          <w:sz w:val="20"/>
          <w:szCs w:val="20"/>
          <w:color w:val="auto"/>
        </w:rPr>
      </w:pPr>
    </w:p>
    <w:p>
      <w:pPr>
        <w:jc w:val="right"/>
        <w:ind w:left="40" w:right="2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10.65 </w:t>
      </w:r>
      <w:hyperlink r:id="rId199">
        <w:r>
          <w:rPr>
            <w:rFonts w:ascii="Times New Roman" w:cs="Times New Roman" w:eastAsia="Times New Roman" w:hAnsi="Times New Roman"/>
            <w:sz w:val="18"/>
            <w:szCs w:val="18"/>
            <w:u w:val="single" w:color="auto"/>
            <w:color w:val="3051F2"/>
          </w:rPr>
          <w:t>Management Agreement, dated September 30, 2014, and amended and restated as of September 5, 2018, and further amended and</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3051F2"/>
          </w:rPr>
          <w:t>restated as of June 5, 2019, among Applebee’s Funding LLC and IHOP Funding LLC, each a Co-Issuer, other securitization entities party</w:t>
        </w:r>
      </w:hyperlink>
    </w:p>
    <w:p>
      <w:pPr>
        <w:jc w:val="both"/>
        <w:ind w:left="540"/>
        <w:spacing w:after="0" w:line="226" w:lineRule="auto"/>
        <w:rPr>
          <w:rFonts w:ascii="Times New Roman" w:cs="Times New Roman" w:eastAsia="Times New Roman" w:hAnsi="Times New Roman"/>
          <w:sz w:val="18"/>
          <w:szCs w:val="18"/>
          <w:u w:val="single" w:color="auto"/>
          <w:color w:val="3051F2"/>
        </w:rPr>
      </w:pPr>
      <w:hyperlink r:id="rId199">
        <w:r>
          <w:rPr>
            <w:rFonts w:ascii="Times New Roman" w:cs="Times New Roman" w:eastAsia="Times New Roman" w:hAnsi="Times New Roman"/>
            <w:sz w:val="18"/>
            <w:szCs w:val="18"/>
            <w:u w:val="single" w:color="auto"/>
            <w:color w:val="3051F2"/>
          </w:rPr>
          <w:t>thereto from time to time, the Registrant, Applebee’s Services, Inc. and International House of Pancakes, LLC as Sub-managers and</w:t>
        </w:r>
      </w:hyperlink>
      <w:r>
        <w:rPr>
          <w:rFonts w:ascii="Times New Roman" w:cs="Times New Roman" w:eastAsia="Times New Roman" w:hAnsi="Times New Roman"/>
          <w:sz w:val="18"/>
          <w:szCs w:val="18"/>
          <w:u w:val="single" w:color="auto"/>
          <w:color w:val="3051F2"/>
        </w:rPr>
        <w:t xml:space="preserve"> </w:t>
      </w:r>
      <w:hyperlink r:id="rId199">
        <w:r>
          <w:rPr>
            <w:rFonts w:ascii="Times New Roman" w:cs="Times New Roman" w:eastAsia="Times New Roman" w:hAnsi="Times New Roman"/>
            <w:sz w:val="18"/>
            <w:szCs w:val="18"/>
            <w:u w:val="single" w:color="auto"/>
            <w:color w:val="3051F2"/>
          </w:rPr>
          <w:t>Citibank, N.A., as Trustee (Exhibit 10.3 to Registrant’s Form 8-K filed on June 5, 2019 is incorporated herein by reference).</w:t>
        </w:r>
      </w:hyperlink>
    </w:p>
    <w:p>
      <w:pPr>
        <w:jc w:val="right"/>
        <w:ind w:left="4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10.66 </w:t>
      </w:r>
      <w:hyperlink r:id="rId200">
        <w:r>
          <w:rPr>
            <w:rFonts w:ascii="Times New Roman" w:cs="Times New Roman" w:eastAsia="Times New Roman" w:hAnsi="Times New Roman"/>
            <w:sz w:val="18"/>
            <w:szCs w:val="18"/>
            <w:u w:val="single" w:color="auto"/>
            <w:color w:val="3051F2"/>
          </w:rPr>
          <w:t>Amendment No. 1 to Management Agreement, dated November 21, 2019, among Applebee’s Funding LLC and IHOP Funding LLC,</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3051F2"/>
          </w:rPr>
          <w:t>other securitization entities party thereto from time to time, the Registrant, Applebee’s Services, Inc. and International House of</w:t>
        </w:r>
      </w:hyperlink>
    </w:p>
    <w:p>
      <w:pPr>
        <w:jc w:val="both"/>
        <w:ind w:left="540"/>
        <w:spacing w:after="0" w:line="218" w:lineRule="auto"/>
        <w:rPr>
          <w:rFonts w:ascii="Times New Roman" w:cs="Times New Roman" w:eastAsia="Times New Roman" w:hAnsi="Times New Roman"/>
          <w:sz w:val="18"/>
          <w:szCs w:val="18"/>
          <w:u w:val="single" w:color="auto"/>
          <w:color w:val="3051F2"/>
        </w:rPr>
      </w:pPr>
      <w:hyperlink r:id="rId200">
        <w:r>
          <w:rPr>
            <w:rFonts w:ascii="Times New Roman" w:cs="Times New Roman" w:eastAsia="Times New Roman" w:hAnsi="Times New Roman"/>
            <w:sz w:val="18"/>
            <w:szCs w:val="18"/>
            <w:u w:val="single" w:color="auto"/>
            <w:color w:val="3051F2"/>
          </w:rPr>
          <w:t>Pancakes, LLC. LLC, other securitization entities party thereto from time to time, the Registrant, Applebee’s Services, Inc. and</w:t>
        </w:r>
      </w:hyperlink>
      <w:r>
        <w:rPr>
          <w:rFonts w:ascii="Times New Roman" w:cs="Times New Roman" w:eastAsia="Times New Roman" w:hAnsi="Times New Roman"/>
          <w:sz w:val="18"/>
          <w:szCs w:val="18"/>
          <w:u w:val="single" w:color="auto"/>
          <w:color w:val="3051F2"/>
        </w:rPr>
        <w:t xml:space="preserve"> </w:t>
      </w:r>
      <w:hyperlink r:id="rId200">
        <w:r>
          <w:rPr>
            <w:rFonts w:ascii="Times New Roman" w:cs="Times New Roman" w:eastAsia="Times New Roman" w:hAnsi="Times New Roman"/>
            <w:sz w:val="18"/>
            <w:szCs w:val="18"/>
            <w:u w:val="single" w:color="auto"/>
            <w:color w:val="3051F2"/>
          </w:rPr>
          <w:t>International House of Pancakes, LLC (Exhibit 10.73 to Registrant's Form 10-K for the year ended December 31, 2019 is incorporated</w:t>
        </w:r>
      </w:hyperlink>
      <w:r>
        <w:rPr>
          <w:rFonts w:ascii="Times New Roman" w:cs="Times New Roman" w:eastAsia="Times New Roman" w:hAnsi="Times New Roman"/>
          <w:sz w:val="18"/>
          <w:szCs w:val="18"/>
          <w:u w:val="single" w:color="auto"/>
          <w:color w:val="3051F2"/>
        </w:rPr>
        <w:t xml:space="preserve"> </w:t>
      </w:r>
      <w:hyperlink r:id="rId200">
        <w:r>
          <w:rPr>
            <w:rFonts w:ascii="Times New Roman" w:cs="Times New Roman" w:eastAsia="Times New Roman" w:hAnsi="Times New Roman"/>
            <w:sz w:val="18"/>
            <w:szCs w:val="18"/>
            <w:u w:val="single" w:color="auto"/>
            <w:color w:val="3051F2"/>
          </w:rPr>
          <w:t>herein by reference).</w:t>
        </w:r>
      </w:hyperlink>
    </w:p>
    <w:p>
      <w:pPr>
        <w:spacing w:after="0" w:line="200" w:lineRule="exact"/>
        <w:rPr>
          <w:rFonts w:ascii="Times New Roman" w:cs="Times New Roman" w:eastAsia="Times New Roman" w:hAnsi="Times New Roman"/>
          <w:sz w:val="18"/>
          <w:szCs w:val="18"/>
          <w:u w:val="single" w:color="auto"/>
          <w:color w:val="3051F2"/>
        </w:rPr>
      </w:pPr>
    </w:p>
    <w:p>
      <w:pPr>
        <w:spacing w:after="0" w:line="200" w:lineRule="exact"/>
        <w:rPr>
          <w:rFonts w:ascii="Times New Roman" w:cs="Times New Roman" w:eastAsia="Times New Roman" w:hAnsi="Times New Roman"/>
          <w:sz w:val="18"/>
          <w:szCs w:val="18"/>
          <w:u w:val="single" w:color="auto"/>
          <w:color w:val="3051F2"/>
        </w:rPr>
      </w:pPr>
    </w:p>
    <w:p>
      <w:pPr>
        <w:spacing w:after="0" w:line="258" w:lineRule="exact"/>
        <w:rPr>
          <w:rFonts w:ascii="Times New Roman" w:cs="Times New Roman" w:eastAsia="Times New Roman" w:hAnsi="Times New Roman"/>
          <w:sz w:val="18"/>
          <w:szCs w:val="18"/>
          <w:u w:val="single" w:color="auto"/>
          <w:color w:val="3051F2"/>
        </w:rPr>
      </w:pPr>
    </w:p>
    <w:p>
      <w:pPr>
        <w:jc w:val="center"/>
        <w:ind w:right="4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u w:val="single" w:color="auto"/>
          <w:color w:val="3051F2"/>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107" w:name="page108"/>
    <w:bookmarkEnd w:id="107"/>
    <w:p>
      <w:pPr>
        <w:ind w:left="112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†10.67 </w:t>
      </w:r>
      <w:hyperlink r:id="rId202">
        <w:r>
          <w:rPr>
            <w:rFonts w:ascii="Times New Roman" w:cs="Times New Roman" w:eastAsia="Times New Roman" w:hAnsi="Times New Roman"/>
            <w:sz w:val="18"/>
            <w:szCs w:val="18"/>
            <w:u w:val="single" w:color="auto"/>
            <w:color w:val="3051F2"/>
          </w:rPr>
          <w:t>Employment Agreement dated as of November 13, 2020 by and between the Registrant and John W. Peyton (Exhibit 10.76 to Registrant's</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3051F2"/>
          </w:rPr>
          <w:t>Form 10-K for the year ended December 31, 2020 is incorporated herein by reference).</w:t>
        </w:r>
      </w:hyperlink>
    </w:p>
    <w:p>
      <w:pPr>
        <w:spacing w:after="0" w:line="10" w:lineRule="exact"/>
        <w:rPr>
          <w:sz w:val="20"/>
          <w:szCs w:val="20"/>
          <w:color w:val="auto"/>
        </w:rPr>
      </w:pPr>
    </w:p>
    <w:p>
      <w:pPr>
        <w:ind w:left="112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†10.68 </w:t>
      </w:r>
      <w:hyperlink r:id="rId203">
        <w:r>
          <w:rPr>
            <w:rFonts w:ascii="Times New Roman" w:cs="Times New Roman" w:eastAsia="Times New Roman" w:hAnsi="Times New Roman"/>
            <w:sz w:val="18"/>
            <w:szCs w:val="18"/>
            <w:u w:val="single" w:color="auto"/>
            <w:color w:val="3051F2"/>
          </w:rPr>
          <w:t>Nonqualified Stock Option Agreement, dated January 4, 2021, by and between the Registrant and John W. Peyton (Exhibit 10.1 to</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3051F2"/>
          </w:rPr>
          <w:t>Registrant’s Form 10-Q for the quarter ended March 31, 2021 is incorporated herein by reference)</w:t>
        </w:r>
      </w:hyperlink>
    </w:p>
    <w:p>
      <w:pPr>
        <w:spacing w:after="0" w:line="10" w:lineRule="exact"/>
        <w:rPr>
          <w:sz w:val="20"/>
          <w:szCs w:val="20"/>
          <w:color w:val="auto"/>
        </w:rPr>
      </w:pPr>
    </w:p>
    <w:p>
      <w:pPr>
        <w:ind w:left="112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†10.69 </w:t>
      </w:r>
      <w:hyperlink r:id="rId204">
        <w:r>
          <w:rPr>
            <w:rFonts w:ascii="Times New Roman" w:cs="Times New Roman" w:eastAsia="Times New Roman" w:hAnsi="Times New Roman"/>
            <w:sz w:val="18"/>
            <w:szCs w:val="18"/>
            <w:u w:val="single" w:color="auto"/>
            <w:color w:val="3051F2"/>
          </w:rPr>
          <w:t>Restricted Stock Unit Agreement, dated January 4, 2021, by and between the Registrant and John W. Peyton (Exhibit 10.2 to Registrant’s</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3051F2"/>
          </w:rPr>
          <w:t>Form 10-Q for the quarter ended March 31, 2021 is incorporated herein by reference)</w:t>
        </w:r>
      </w:hyperlink>
    </w:p>
    <w:p>
      <w:pPr>
        <w:spacing w:after="0" w:line="10" w:lineRule="exact"/>
        <w:rPr>
          <w:sz w:val="20"/>
          <w:szCs w:val="20"/>
          <w:color w:val="auto"/>
        </w:rPr>
      </w:pPr>
    </w:p>
    <w:p>
      <w:pPr>
        <w:ind w:left="112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†10.70 </w:t>
      </w:r>
      <w:hyperlink r:id="rId205">
        <w:r>
          <w:rPr>
            <w:rFonts w:ascii="Times New Roman" w:cs="Times New Roman" w:eastAsia="Times New Roman" w:hAnsi="Times New Roman"/>
            <w:sz w:val="18"/>
            <w:szCs w:val="18"/>
            <w:u w:val="single" w:color="auto"/>
            <w:color w:val="3051F2"/>
          </w:rPr>
          <w:t>Employment Agreement, dated May 10, 2021, by and between the Registrant and Vance Y. Chang (Exhibit 10.1 to Registrant’s Form 10-</w:t>
        </w:r>
      </w:hyperlink>
      <w:hyperlink r:id="rId205">
        <w:r>
          <w:rPr>
            <w:rFonts w:ascii="Times New Roman" w:cs="Times New Roman" w:eastAsia="Times New Roman" w:hAnsi="Times New Roman"/>
            <w:sz w:val="18"/>
            <w:szCs w:val="18"/>
            <w:u w:val="single" w:color="auto"/>
            <w:color w:val="3051F2"/>
          </w:rPr>
          <w:t>Q for the quarter ended June 30, 2021 is incorporated herein by reference)</w:t>
        </w:r>
      </w:hyperlink>
    </w:p>
    <w:p>
      <w:pPr>
        <w:spacing w:after="0" w:line="10" w:lineRule="exact"/>
        <w:rPr>
          <w:sz w:val="20"/>
          <w:szCs w:val="20"/>
          <w:color w:val="auto"/>
        </w:rPr>
      </w:pPr>
    </w:p>
    <w:p>
      <w:pPr>
        <w:ind w:left="112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†10.71 </w:t>
      </w:r>
      <w:hyperlink r:id="rId206">
        <w:r>
          <w:rPr>
            <w:rFonts w:ascii="Times New Roman" w:cs="Times New Roman" w:eastAsia="Times New Roman" w:hAnsi="Times New Roman"/>
            <w:sz w:val="18"/>
            <w:szCs w:val="18"/>
            <w:u w:val="single" w:color="auto"/>
            <w:color w:val="3051F2"/>
          </w:rPr>
          <w:t>Employment Agreement, dated effective March 9, 2022 by and between the Registrant and Jay D. Johns (Exhibit 10.2 to Registrant’s</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3051F2"/>
          </w:rPr>
          <w:t>Form 8-K filed on February 18, 2022 is incorporated herein by reference.)</w:t>
        </w:r>
      </w:hyperlink>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*†10.72 </w:t>
      </w:r>
      <w:r>
        <w:rPr>
          <w:rFonts w:ascii="Times New Roman" w:cs="Times New Roman" w:eastAsia="Times New Roman" w:hAnsi="Times New Roman"/>
          <w:sz w:val="18"/>
          <w:szCs w:val="18"/>
          <w:u w:val="single" w:color="auto"/>
          <w:color w:val="3051F2"/>
        </w:rPr>
        <w:t>Dine Brands Global, Inc. Executive Severance and Change in Control Plan, amended and restated effective as of February 19, 2025.</w:t>
      </w:r>
    </w:p>
    <w:p>
      <w:pPr>
        <w:spacing w:after="0" w:line="27" w:lineRule="exact"/>
        <w:rPr>
          <w:sz w:val="20"/>
          <w:szCs w:val="20"/>
          <w:color w:val="auto"/>
        </w:rPr>
      </w:pPr>
    </w:p>
    <w:p>
      <w:pPr>
        <w:jc w:val="right"/>
        <w:ind w:left="62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10.73 </w:t>
      </w:r>
      <w:hyperlink r:id="rId207">
        <w:r>
          <w:rPr>
            <w:rFonts w:ascii="Times New Roman" w:cs="Times New Roman" w:eastAsia="Times New Roman" w:hAnsi="Times New Roman"/>
            <w:sz w:val="18"/>
            <w:szCs w:val="18"/>
            <w:u w:val="single" w:color="auto"/>
            <w:color w:val="3051F2"/>
          </w:rPr>
          <w:t>Third Amended and Restated Management Agreement, dated as of April 17, 2023, among Applebee’s Funding LLC and IHOP Funding</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3051F2"/>
          </w:rPr>
          <w:t>LLC, each as a Co-Issuer, other securitization entities party thereto from time to time, the Corporation as the Manager, Applebee’s</w:t>
        </w:r>
      </w:hyperlink>
    </w:p>
    <w:p>
      <w:pPr>
        <w:ind w:left="1120" w:right="20"/>
        <w:spacing w:after="0" w:line="226" w:lineRule="auto"/>
        <w:rPr>
          <w:rFonts w:ascii="Times New Roman" w:cs="Times New Roman" w:eastAsia="Times New Roman" w:hAnsi="Times New Roman"/>
          <w:sz w:val="18"/>
          <w:szCs w:val="18"/>
          <w:u w:val="single" w:color="auto"/>
          <w:color w:val="3051F2"/>
        </w:rPr>
      </w:pPr>
      <w:hyperlink r:id="rId207">
        <w:r>
          <w:rPr>
            <w:rFonts w:ascii="Times New Roman" w:cs="Times New Roman" w:eastAsia="Times New Roman" w:hAnsi="Times New Roman"/>
            <w:sz w:val="18"/>
            <w:szCs w:val="18"/>
            <w:u w:val="single" w:color="auto"/>
            <w:color w:val="3051F2"/>
          </w:rPr>
          <w:t>Services, Inc. and International House of Pancakes, LLC as Sub-managers, and Citibank, N.A., as Trustee (Exhibit 10.1 to Registrants</w:t>
        </w:r>
      </w:hyperlink>
      <w:r>
        <w:rPr>
          <w:rFonts w:ascii="Times New Roman" w:cs="Times New Roman" w:eastAsia="Times New Roman" w:hAnsi="Times New Roman"/>
          <w:sz w:val="18"/>
          <w:szCs w:val="18"/>
          <w:u w:val="single" w:color="auto"/>
          <w:color w:val="3051F2"/>
        </w:rPr>
        <w:t xml:space="preserve"> </w:t>
      </w:r>
      <w:hyperlink r:id="rId207">
        <w:r>
          <w:rPr>
            <w:rFonts w:ascii="Times New Roman" w:cs="Times New Roman" w:eastAsia="Times New Roman" w:hAnsi="Times New Roman"/>
            <w:sz w:val="18"/>
            <w:szCs w:val="18"/>
            <w:u w:val="single" w:color="auto"/>
            <w:color w:val="3051F2"/>
          </w:rPr>
          <w:t>Form 8-K filed on April 17, 2023 is incorporated herein by reference).</w:t>
        </w:r>
      </w:hyperlink>
    </w:p>
    <w:p>
      <w:pPr>
        <w:ind w:left="112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†10.74 </w:t>
      </w:r>
      <w:hyperlink r:id="rId208">
        <w:r>
          <w:rPr>
            <w:rFonts w:ascii="Times New Roman" w:cs="Times New Roman" w:eastAsia="Times New Roman" w:hAnsi="Times New Roman"/>
            <w:sz w:val="18"/>
            <w:szCs w:val="18"/>
            <w:u w:val="single" w:color="auto"/>
            <w:color w:val="3051F2"/>
          </w:rPr>
          <w:t>Amendment to Employment Agreement dated as of May 15, 2023 by and between the Registrant and John W. Peyton (Exhibit 10.2 to</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3051F2"/>
          </w:rPr>
          <w:t>Registrants From 10-Q filed on August 3, 2023 is incorporated herein by reference).</w:t>
        </w:r>
      </w:hyperlink>
    </w:p>
    <w:p>
      <w:pPr>
        <w:spacing w:after="0" w:line="10" w:lineRule="exact"/>
        <w:rPr>
          <w:sz w:val="20"/>
          <w:szCs w:val="20"/>
          <w:color w:val="auto"/>
        </w:rPr>
      </w:pPr>
    </w:p>
    <w:p>
      <w:pPr>
        <w:ind w:left="112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10.75 </w:t>
      </w:r>
      <w:hyperlink r:id="rId209">
        <w:r>
          <w:rPr>
            <w:rFonts w:ascii="Times New Roman" w:cs="Times New Roman" w:eastAsia="Times New Roman" w:hAnsi="Times New Roman"/>
            <w:sz w:val="18"/>
            <w:szCs w:val="18"/>
            <w:u w:val="single" w:color="auto"/>
            <w:color w:val="3051F2"/>
          </w:rPr>
          <w:t>Purchase Agreement, dated March 29, 2023, among the Corporation, certain subsidiaries of the Corporation and Guggenheim Securities,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3051F2"/>
          </w:rPr>
          <w:t>LLC. (Exhibit 99.1 to the Registrant’s Form 8-K filed on March 29, 2023 is incorporated herein by reference).</w:t>
        </w:r>
      </w:hyperlink>
    </w:p>
    <w:p>
      <w:pPr>
        <w:spacing w:after="0" w:line="10" w:lineRule="exact"/>
        <w:rPr>
          <w:sz w:val="20"/>
          <w:szCs w:val="20"/>
          <w:color w:val="auto"/>
        </w:rPr>
      </w:pPr>
    </w:p>
    <w:p>
      <w:pPr>
        <w:ind w:left="500" w:right="20"/>
        <w:spacing w:after="0" w:line="284" w:lineRule="auto"/>
        <w:rPr>
          <w:sz w:val="20"/>
          <w:szCs w:val="20"/>
          <w:color w:val="auto"/>
        </w:rPr>
      </w:pPr>
      <w:r>
        <w:rPr>
          <w:rFonts w:ascii="Times New Roman" w:cs="Times New Roman" w:eastAsia="Times New Roman" w:hAnsi="Times New Roman"/>
          <w:sz w:val="17"/>
          <w:szCs w:val="17"/>
          <w:color w:val="auto"/>
        </w:rPr>
        <w:t xml:space="preserve">*†10.76 </w:t>
      </w:r>
      <w:r>
        <w:rPr>
          <w:rFonts w:ascii="Times New Roman" w:cs="Times New Roman" w:eastAsia="Times New Roman" w:hAnsi="Times New Roman"/>
          <w:sz w:val="17"/>
          <w:szCs w:val="17"/>
          <w:u w:val="single" w:color="auto"/>
          <w:color w:val="3051F2"/>
        </w:rPr>
        <w:t>Second Amendment to Employment Agreement dated as of February 28, 2025 by and between the Registrant and John W. Peyton</w:t>
      </w:r>
      <w:r>
        <w:rPr>
          <w:rFonts w:ascii="Times New Roman" w:cs="Times New Roman" w:eastAsia="Times New Roman" w:hAnsi="Times New Roman"/>
          <w:sz w:val="17"/>
          <w:szCs w:val="17"/>
          <w:color w:val="auto"/>
        </w:rPr>
        <w:t xml:space="preserve"> *†10.77 </w:t>
      </w:r>
      <w:r>
        <w:rPr>
          <w:rFonts w:ascii="Times New Roman" w:cs="Times New Roman" w:eastAsia="Times New Roman" w:hAnsi="Times New Roman"/>
          <w:sz w:val="17"/>
          <w:szCs w:val="17"/>
          <w:u w:val="single" w:color="auto"/>
          <w:color w:val="3051F2"/>
        </w:rPr>
        <w:t>Dine Brands Global, Inc. 2019 Stock Incentive Plan Performance Award Agreement - Employees - Cash Settled - Two-Year Performance.</w:t>
      </w:r>
    </w:p>
    <w:p>
      <w:pPr>
        <w:spacing w:after="0" w:line="1" w:lineRule="exact"/>
        <w:rPr>
          <w:sz w:val="20"/>
          <w:szCs w:val="20"/>
          <w:color w:val="auto"/>
        </w:rPr>
      </w:pPr>
    </w:p>
    <w:p>
      <w:pPr>
        <w:ind w:left="1120" w:hanging="620"/>
        <w:spacing w:after="0" w:line="234" w:lineRule="auto"/>
        <w:rPr>
          <w:sz w:val="20"/>
          <w:szCs w:val="20"/>
          <w:color w:val="auto"/>
        </w:rPr>
      </w:pPr>
      <w:r>
        <w:rPr>
          <w:rFonts w:ascii="Times New Roman" w:cs="Times New Roman" w:eastAsia="Times New Roman" w:hAnsi="Times New Roman"/>
          <w:sz w:val="18"/>
          <w:szCs w:val="18"/>
          <w:color w:val="auto"/>
        </w:rPr>
        <w:t xml:space="preserve">*†10.78 </w:t>
      </w:r>
      <w:r>
        <w:rPr>
          <w:rFonts w:ascii="Times New Roman" w:cs="Times New Roman" w:eastAsia="Times New Roman" w:hAnsi="Times New Roman"/>
          <w:sz w:val="18"/>
          <w:szCs w:val="18"/>
          <w:u w:val="single" w:color="auto"/>
          <w:color w:val="3051F2"/>
        </w:rPr>
        <w:t>Dine Brands Global, Inc. 2019 Stock Incentive Plan Performance Award Agreement - Employees - Cash-Settled - Three-Year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Performance.</w:t>
      </w:r>
    </w:p>
    <w:p>
      <w:pPr>
        <w:spacing w:after="0" w:line="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3051F2"/>
        </w:rPr>
        <w:t>Dine Brands Global, Inc. Insider Trading Policy, dated as of December 11, 2013.</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3051F2"/>
        </w:rPr>
        <w:t>Subsidiaries of Dine Brands Global, Inc.</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3051F2"/>
        </w:rPr>
        <w:t>Consent of Ernst &amp; Young LLP, Independent Registered Public Accounting Firm.</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3051F2"/>
        </w:rPr>
        <w:t>Certification of CEO pursuant to Rule 13a-14(a) of the Securities Exchange Act of 1934, as amended.</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3051F2"/>
        </w:rPr>
        <w:t>Certification of CFO pursuant to Rule 13a-14(a) of the Securities Exchange Act of 1934, as amended.</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3051F2"/>
        </w:rPr>
        <w:t>Certification of CEO pursuant to 18 U.S.C. Section 1350, as Adopted Pursuant to Section 906 of the Sarbanes-Oxley Act of 2002.</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3051F2"/>
        </w:rPr>
        <w:t>Certification of CFO pursuant to 18 U.S.C. Section 1350, as Adopted Pursuant to Section 906 of the Sarbanes-Oxley Act of 2002.</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3051F2"/>
        </w:rPr>
        <w:t>Dine Brands Global, Inc. Policy on Recoupment of Incentive Compensation</w:t>
      </w:r>
    </w:p>
    <w:p>
      <w:pPr>
        <w:spacing w:after="0" w:line="23" w:lineRule="exact"/>
        <w:rPr>
          <w:sz w:val="20"/>
          <w:szCs w:val="20"/>
          <w:color w:val="auto"/>
        </w:rPr>
      </w:pPr>
    </w:p>
    <w:p>
      <w:pPr>
        <w:ind w:left="1120" w:right="20" w:hanging="640"/>
        <w:spacing w:after="0" w:line="234"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7" w:lineRule="exact"/>
        <w:rPr>
          <w:sz w:val="20"/>
          <w:szCs w:val="20"/>
          <w:color w:val="auto"/>
        </w:rPr>
      </w:pPr>
    </w:p>
    <w:p>
      <w:pPr>
        <w:ind w:left="500" w:right="60" w:hanging="492"/>
        <w:spacing w:after="0" w:line="250" w:lineRule="auto"/>
        <w:tabs>
          <w:tab w:leader="none" w:pos="3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500" w:right="480" w:hanging="492"/>
        <w:spacing w:after="0" w:line="260" w:lineRule="auto"/>
        <w:tabs>
          <w:tab w:leader="none" w:pos="3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108" w:name="page109"/>
    <w:bookmarkEnd w:id="108"/>
    <w:p>
      <w:pPr>
        <w:ind w:left="500"/>
        <w:spacing w:after="0" w:line="261" w:lineRule="auto"/>
        <w:rPr>
          <w:sz w:val="20"/>
          <w:szCs w:val="20"/>
          <w:color w:val="auto"/>
        </w:rPr>
      </w:pPr>
      <w:r>
        <w:rPr>
          <w:rFonts w:ascii="Times New Roman" w:cs="Times New Roman" w:eastAsia="Times New Roman" w:hAnsi="Times New Roman"/>
          <w:sz w:val="18"/>
          <w:szCs w:val="18"/>
          <w:color w:val="auto"/>
        </w:rPr>
        <w:t>are deemed not filed for purposes of Section 18 of the Securities and Exchange Act of 1934, as amended, and otherwise are not subject to liability under those sections.</w:t>
      </w:r>
    </w:p>
    <w:p>
      <w:pPr>
        <w:ind w:left="260" w:hanging="252"/>
        <w:spacing w:after="0" w:line="236" w:lineRule="auto"/>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as confidential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109" w:name="page110"/>
    <w:bookmarkEnd w:id="10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5th day of March, 2025.</w:t>
      </w:r>
    </w:p>
    <w:p>
      <w:pPr>
        <w:spacing w:after="0" w:line="1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516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5th day of March,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40" w:type="dxa"/>
            <w:vAlign w:val="bottom"/>
          </w:tcPr>
          <w:p>
            <w:pPr>
              <w:spacing w:after="0"/>
              <w:rPr>
                <w:sz w:val="16"/>
                <w:szCs w:val="16"/>
                <w:color w:val="auto"/>
              </w:rPr>
            </w:pPr>
          </w:p>
        </w:tc>
        <w:tc>
          <w:tcPr>
            <w:tcW w:w="4680" w:type="dxa"/>
            <w:vAlign w:val="bottom"/>
            <w:gridSpan w:val="3"/>
          </w:tcPr>
          <w:p>
            <w:pPr>
              <w:ind w:left="33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W. Peyton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ALLISON HALL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Allison Hall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J. DAHL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J. Dahl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HOWARD M. BERK</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Howard M. Berk</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C. HYTER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C. Hyter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CAROLINE W. NAHAS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Caroline W. Nahas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DOUGLAS M. PASQUALE</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Douglas M. Pasquale</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MARTHA C. POULTER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Martha C. Poulter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MATT RYAN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Matt Ryan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ARTHUR F. STARRS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Arthur F. Starrs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LILIAN C. TOMOVICH</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Lilian C. Tomovich</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873"/>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160"/>
          </w:cols>
          <w:pgMar w:left="320" w:top="1049" w:right="4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AND CHANGE IN CONTROL PLAN</w:t>
      </w:r>
    </w:p>
    <w:p>
      <w:pPr>
        <w:spacing w:after="0" w:line="205" w:lineRule="exact"/>
        <w:rPr>
          <w:sz w:val="20"/>
          <w:szCs w:val="20"/>
          <w:color w:val="auto"/>
        </w:rPr>
      </w:pPr>
    </w:p>
    <w:p>
      <w:pPr>
        <w:jc w:val="both"/>
        <w:ind w:firstLine="8"/>
        <w:spacing w:after="0" w:line="233" w:lineRule="auto"/>
        <w:tabs>
          <w:tab w:leader="none" w:pos="21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This amended and restated Dine Brands Global, Inc. Executive Severance and Change in Control Plan, as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or as hereafter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is effective as of February 19, 2025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purpose of the Plan is to provide severance benefits under specified circumstances to eligible employees of Dine Brands Global, Inc. or its wholly-owned subsidiaries (collectively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who are in a position to contribute materially to the success of the Corporation. As consideration for severance benefits under this Plan, the Participant (as defined below) shall release the Corporation from any and all actions, suits, proceedings, claims and demands related to employment with the Corporation and to the termination of such employment by signing a waiver and release document in a form provided by the Corporation. Such document shall include a statement that benefits under this Plan are conditioned upon the Corporation’s receipt of a signed release. This Plan amends and restates in its entirety the Dine Brands Global, Inc. Executive Severance and Change in Control Plan originally effective January 1, 2022 (the “</w:t>
      </w:r>
      <w:r>
        <w:rPr>
          <w:rFonts w:ascii="Times New Roman" w:cs="Times New Roman" w:eastAsia="Times New Roman" w:hAnsi="Times New Roman"/>
          <w:sz w:val="22"/>
          <w:szCs w:val="22"/>
          <w:b w:val="1"/>
          <w:bCs w:val="1"/>
          <w:color w:val="auto"/>
        </w:rPr>
        <w:t>Original Effective Date</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the Plan, the following terms are defined as follows:</w:t>
      </w:r>
    </w:p>
    <w:p>
      <w:pPr>
        <w:spacing w:after="0" w:line="229"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fixed annual base salary (excluding bonuses and other benefits) paid to an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regularly each pay period for performing assigned job responsibilities.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as determined by the Corporation:</w:t>
      </w:r>
    </w:p>
    <w:p>
      <w:pPr>
        <w:spacing w:after="0" w:line="237" w:lineRule="exact"/>
        <w:rPr>
          <w:sz w:val="20"/>
          <w:szCs w:val="20"/>
          <w:color w:val="auto"/>
        </w:rPr>
      </w:pPr>
    </w:p>
    <w:p>
      <w:pPr>
        <w:ind w:left="1300" w:firstLine="4"/>
        <w:spacing w:after="0" w:line="258" w:lineRule="auto"/>
        <w:tabs>
          <w:tab w:leader="none" w:pos="155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failure by the Participant to substantially perform his or her duties with the Corporation (other than any such failure resulting from the Participant’s incapacity due to physical or mental illness);</w:t>
      </w:r>
    </w:p>
    <w:p>
      <w:pPr>
        <w:spacing w:after="0" w:line="185" w:lineRule="exact"/>
        <w:rPr>
          <w:rFonts w:ascii="Times New Roman" w:cs="Times New Roman" w:eastAsia="Times New Roman" w:hAnsi="Times New Roman"/>
          <w:sz w:val="22"/>
          <w:szCs w:val="22"/>
          <w:color w:val="auto"/>
        </w:rPr>
      </w:pPr>
    </w:p>
    <w:p>
      <w:pPr>
        <w:ind w:left="1300" w:firstLine="4"/>
        <w:spacing w:after="0" w:line="258" w:lineRule="auto"/>
        <w:tabs>
          <w:tab w:leader="none" w:pos="16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willful misconduct that is demonstrably and materially injurious to the Corporation, monetarily or otherwise;</w:t>
      </w:r>
    </w:p>
    <w:p>
      <w:pPr>
        <w:spacing w:after="0" w:line="185" w:lineRule="exact"/>
        <w:rPr>
          <w:rFonts w:ascii="Times New Roman" w:cs="Times New Roman" w:eastAsia="Times New Roman" w:hAnsi="Times New Roman"/>
          <w:sz w:val="22"/>
          <w:szCs w:val="22"/>
          <w:color w:val="auto"/>
        </w:rPr>
      </w:pPr>
    </w:p>
    <w:p>
      <w:pPr>
        <w:ind w:left="1300" w:firstLine="4"/>
        <w:spacing w:after="0" w:line="245" w:lineRule="auto"/>
        <w:tabs>
          <w:tab w:leader="none" w:pos="17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willful violation of the Corporation’s code of conduct or any policy applicable to the Participant;</w:t>
      </w:r>
    </w:p>
    <w:p>
      <w:pPr>
        <w:spacing w:after="0" w:line="199" w:lineRule="exact"/>
        <w:rPr>
          <w:rFonts w:ascii="Times New Roman" w:cs="Times New Roman" w:eastAsia="Times New Roman" w:hAnsi="Times New Roman"/>
          <w:sz w:val="22"/>
          <w:szCs w:val="22"/>
          <w:color w:val="auto"/>
        </w:rPr>
      </w:pPr>
    </w:p>
    <w:p>
      <w:pPr>
        <w:ind w:left="1300" w:firstLine="4"/>
        <w:spacing w:after="0" w:line="258" w:lineRule="auto"/>
        <w:tabs>
          <w:tab w:leader="none" w:pos="17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commission of such acts of dishonesty, fraud, misrepresentation or other acts of moral turpitude as would prevent the effective performance of the Participant’s duties; or</w:t>
      </w:r>
    </w:p>
    <w:p>
      <w:pPr>
        <w:spacing w:after="0" w:line="185"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conviction or plea of no contest to a felony or a crime of moral turpitude.</w:t>
      </w:r>
    </w:p>
    <w:p>
      <w:pPr>
        <w:spacing w:after="0" w:line="23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For purposes of this subsection b., no act, or failure to act, on the Participant’s part shall be deemed “willful” unless done, or omitted to be done, by the Participant not in good</w:t>
      </w:r>
    </w:p>
    <w:p>
      <w:pPr>
        <w:sectPr>
          <w:pgSz w:w="11900" w:h="16838" w:orient="portrait"/>
          <w:cols w:equalWidth="0" w:num="1">
            <w:col w:w="11240"/>
          </w:cols>
          <w:pgMar w:left="320" w:top="14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1"/>
          <w:szCs w:val="21"/>
          <w:color w:val="auto"/>
        </w:rPr>
        <w:t>faith and without the reasonable belief that the Participant’s action or omission was in the best interest of the Corporation.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be deemed to have occurred if:</w:t>
      </w:r>
    </w:p>
    <w:p>
      <w:pPr>
        <w:spacing w:after="0" w:line="237" w:lineRule="exact"/>
        <w:rPr>
          <w:sz w:val="20"/>
          <w:szCs w:val="20"/>
          <w:color w:val="auto"/>
        </w:rPr>
      </w:pPr>
    </w:p>
    <w:p>
      <w:pPr>
        <w:jc w:val="both"/>
        <w:ind w:left="640" w:firstLine="4"/>
        <w:spacing w:after="0"/>
        <w:tabs>
          <w:tab w:leader="none" w:pos="89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Securities and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(other than the Corporation; any trustee or other fiduciary holding securities under an employee benefit plan of the Corporation; or any company owned, directly or indirectly, by the stockholders of the Corporation in substantially the same proportions as their ownership of Stock of the Corporation) is or becomes after the Original Effective Date the “beneficial owner” (as defined in Rule 13d-3 under the Exchange Act),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w:t>
      </w:r>
    </w:p>
    <w:p>
      <w:pPr>
        <w:spacing w:after="0" w:line="203" w:lineRule="exact"/>
        <w:rPr>
          <w:rFonts w:ascii="Times New Roman" w:cs="Times New Roman" w:eastAsia="Times New Roman" w:hAnsi="Times New Roman"/>
          <w:sz w:val="22"/>
          <w:szCs w:val="22"/>
          <w:color w:val="auto"/>
        </w:rPr>
      </w:pPr>
    </w:p>
    <w:p>
      <w:pPr>
        <w:jc w:val="both"/>
        <w:ind w:left="640" w:firstLine="4"/>
        <w:spacing w:after="0" w:line="233" w:lineRule="auto"/>
        <w:tabs>
          <w:tab w:leader="none" w:pos="9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(not including any period prior to the Original Effective Date), individuals who at the beginning of such period constitute the Board of Directors of the Corporation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any new director (other than a director designated by a person who has entered into an agreement with the Corporation to effect a transaction described in subsections (i), (iii) or (iv) of this Section 2.c.) whose election by the Board or nomination for election by the Corporation’s stockholders was approved by a vote of at least two-thirds ( 2/3) of the directors then still in office who either were directors at the beginning of the period or whose election or nomination for election was previously so approved, cease for any reason to constitute at least a majority thereof; or</w:t>
      </w:r>
    </w:p>
    <w:p>
      <w:pPr>
        <w:spacing w:after="0" w:line="208" w:lineRule="exact"/>
        <w:rPr>
          <w:rFonts w:ascii="Times New Roman" w:cs="Times New Roman" w:eastAsia="Times New Roman" w:hAnsi="Times New Roman"/>
          <w:sz w:val="22"/>
          <w:szCs w:val="22"/>
          <w:color w:val="auto"/>
        </w:rPr>
      </w:pPr>
    </w:p>
    <w:p>
      <w:pPr>
        <w:jc w:val="both"/>
        <w:ind w:left="640" w:firstLine="4"/>
        <w:spacing w:after="0" w:line="23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Corporation with any other corporation, other than (A) a merger or consolidation which would result in the voting securities of the Corporation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Corporation, at least 75% of the combined voting power of the voting securities of the Corporation or such surviving entity outstanding immediately after such merger or consolidation or (B) a merger or consolidation effected to implement a recapitalization of the Corporation (or similar transaction) in which no person acquires more than 50% of the combined voting power of the Corporation’s then outstanding securities; or</w:t>
      </w:r>
    </w:p>
    <w:p>
      <w:pPr>
        <w:spacing w:after="0" w:line="206" w:lineRule="exact"/>
        <w:rPr>
          <w:rFonts w:ascii="Times New Roman" w:cs="Times New Roman" w:eastAsia="Times New Roman" w:hAnsi="Times New Roman"/>
          <w:sz w:val="22"/>
          <w:szCs w:val="22"/>
          <w:color w:val="auto"/>
        </w:rPr>
      </w:pPr>
    </w:p>
    <w:p>
      <w:pPr>
        <w:ind w:left="640" w:firstLine="4"/>
        <w:spacing w:after="0" w:line="258" w:lineRule="auto"/>
        <w:tabs>
          <w:tab w:leader="none" w:pos="10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Corporation approve a plan of complete liquidation of the Corporation or an agreement for the sale or disposition by the Corporation of all or substantially all of the Corporation’s assets;</w:t>
      </w:r>
    </w:p>
    <w:p>
      <w:pPr>
        <w:spacing w:after="0" w:line="185"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22"/>
          <w:szCs w:val="22"/>
          <w:color w:val="auto"/>
        </w:rPr>
        <w:t>provided, that with respect to any non-qualified deferred compensation that becomes payable on account of the Change in Control, the transaction or event</w:t>
      </w:r>
    </w:p>
    <w:p>
      <w:pPr>
        <w:sectPr>
          <w:pgSz w:w="11900" w:h="16838" w:orient="portrait"/>
          <w:cols w:equalWidth="0" w:num="1">
            <w:col w:w="10580"/>
          </w:cols>
          <w:pgMar w:left="980" w:top="1408" w:right="339" w:bottom="1440" w:gutter="0" w:footer="0" w:header="0"/>
        </w:sectPr>
      </w:pPr>
    </w:p>
    <w:bookmarkStart w:id="112" w:name="page113"/>
    <w:bookmarkEnd w:id="112"/>
    <w:p>
      <w:pPr>
        <w:jc w:val="both"/>
        <w:ind w:left="1292"/>
        <w:spacing w:after="0" w:line="244" w:lineRule="auto"/>
        <w:rPr>
          <w:sz w:val="20"/>
          <w:szCs w:val="20"/>
          <w:color w:val="auto"/>
        </w:rPr>
      </w:pPr>
      <w:r>
        <w:rPr>
          <w:rFonts w:ascii="Times New Roman" w:cs="Times New Roman" w:eastAsia="Times New Roman" w:hAnsi="Times New Roman"/>
          <w:sz w:val="22"/>
          <w:szCs w:val="22"/>
          <w:color w:val="auto"/>
        </w:rPr>
        <w:t>described in subsection i., ii., iii. or iv. also constitutes a “change in control event,” as defined in Treasury Regulation §1.409A-3(i)(5) if required in order for the payment not to violate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652"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of a Change in Control and ending 24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such Change in Control.</w:t>
      </w:r>
    </w:p>
    <w:p>
      <w:pPr>
        <w:spacing w:after="0" w:line="17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b w:val="1"/>
          <w:bCs w:val="1"/>
          <w:color w:val="auto"/>
        </w:rPr>
        <w:t xml:space="preserve">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 Severance Benefits</w:t>
      </w:r>
      <w:r>
        <w:rPr>
          <w:rFonts w:ascii="Times New Roman" w:cs="Times New Roman" w:eastAsia="Times New Roman" w:hAnsi="Times New Roman"/>
          <w:sz w:val="22"/>
          <w:szCs w:val="22"/>
          <w:color w:val="auto"/>
        </w:rPr>
        <w:t>” means the severance pay and benefits set forth in Section 5 of this Plan.</w:t>
      </w:r>
    </w:p>
    <w:p>
      <w:pPr>
        <w:spacing w:after="0" w:line="220" w:lineRule="exact"/>
        <w:rPr>
          <w:sz w:val="20"/>
          <w:szCs w:val="20"/>
          <w:color w:val="auto"/>
        </w:rPr>
      </w:pPr>
    </w:p>
    <w:p>
      <w:pPr>
        <w:jc w:val="both"/>
        <w:ind w:left="652"/>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f.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any employee without an employment contract (i) who serves as an officer of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title of Senior Vice President or higher, (ii) who is selected by the Compensation Committee of the Board of Directors of the Corporation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to be eligible for severance benefits under this Plan as a person in a position to contribute materially to the success of the Corporation and is notified of such participation in writing, or (iii) who is grandfathered into this Plan by virtue of being an officer in the Corporation prior to the Original Effective Date and who was notified before the Original Effective Date that this Plan shall apply to that individual.</w:t>
      </w:r>
    </w:p>
    <w:p>
      <w:pPr>
        <w:spacing w:after="0" w:line="202" w:lineRule="exact"/>
        <w:rPr>
          <w:sz w:val="20"/>
          <w:szCs w:val="20"/>
          <w:color w:val="auto"/>
        </w:rPr>
      </w:pPr>
    </w:p>
    <w:p>
      <w:pPr>
        <w:jc w:val="both"/>
        <w:ind w:left="652"/>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for voluntary termination of employment pursuant to Section 5 below means that the Corporation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materially breaches its obligations to pay any salary, benefit or bonus due to a Participant or otherwise materially breaches any material term of this Agreement, (ii) requires the Participant to relocate more than 50 miles from the Participant’s principal place of employment, (iii) assigns to the Participant any duties inconsistent with the Participant’s position with the Corporation or significantly and adversely alters the nature or status of the Participant’s responsibilities or the conditions of the Participant’s employment, or (iv) reduces the Participant’s Base Salary and/or target bonus opportunity, except for across-the-board reductions similarly affecting all management personnel of the Corporation and all management personnel of any corporation or other entity which is in control of the Corporation; and in the event of any of (i), (ii), (iii) or (iv), the Participant has given written notice to the Plan Administrator, as defined in Section 13, as to the details of the basis for such Good Reason within 30 days following the date on which the Participant alleges the event giving rise to such Good Reason occurred, the Corporation has failed to provide a reasonable cure within 30 days after its receipt of such notice and the effective date of the termination for Good Reason occurs within 90 days after the initial existence of the facts or circumstances constituting Good Reason.</w:t>
      </w:r>
    </w:p>
    <w:p>
      <w:pPr>
        <w:spacing w:after="0" w:line="20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b w:val="1"/>
          <w:bCs w:val="1"/>
          <w:color w:val="auto"/>
        </w:rPr>
        <w:t xml:space="preserve">h.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means the severance pay and benefits set forth in Section 4 of this Plan.</w:t>
      </w:r>
    </w:p>
    <w:p>
      <w:pPr>
        <w:spacing w:after="0" w:line="233" w:lineRule="exact"/>
        <w:rPr>
          <w:sz w:val="20"/>
          <w:szCs w:val="20"/>
          <w:color w:val="auto"/>
        </w:rPr>
      </w:pPr>
    </w:p>
    <w:p>
      <w:pPr>
        <w:jc w:val="both"/>
        <w:ind w:left="-8" w:firstLine="8"/>
        <w:spacing w:after="0"/>
        <w:tabs>
          <w:tab w:leader="none" w:pos="221"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Participation. </w:t>
      </w:r>
      <w:r>
        <w:rPr>
          <w:rFonts w:ascii="Times New Roman" w:cs="Times New Roman" w:eastAsia="Times New Roman" w:hAnsi="Times New Roman"/>
          <w:sz w:val="22"/>
          <w:szCs w:val="22"/>
          <w:color w:val="auto"/>
        </w:rPr>
        <w:t>Each Participant shall be eligible for severance benefits pursuant to, and subject to the terms of, Section 4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 below. For the avoidance doubt, an employee of the Corporation who would otherwise qualify as a Participant but who is entitled to severance benefits pursuant to a separate severance benefit arrangement, change in control severance</w:t>
      </w:r>
    </w:p>
    <w:p>
      <w:pPr>
        <w:sectPr>
          <w:pgSz w:w="11900" w:h="16838" w:orient="portrait"/>
          <w:cols w:equalWidth="0" w:num="1">
            <w:col w:w="11232"/>
          </w:cols>
          <w:pgMar w:left="328" w:top="1408" w:right="339" w:bottom="1440" w:gutter="0" w:footer="0" w:header="0"/>
        </w:sectPr>
      </w:pPr>
    </w:p>
    <w:bookmarkStart w:id="113" w:name="page114"/>
    <w:bookmarkEnd w:id="113"/>
    <w:p>
      <w:pPr>
        <w:spacing w:after="0" w:line="258" w:lineRule="auto"/>
        <w:rPr>
          <w:sz w:val="20"/>
          <w:szCs w:val="20"/>
          <w:color w:val="auto"/>
        </w:rPr>
      </w:pPr>
      <w:r>
        <w:rPr>
          <w:rFonts w:ascii="Times New Roman" w:cs="Times New Roman" w:eastAsia="Times New Roman" w:hAnsi="Times New Roman"/>
          <w:sz w:val="22"/>
          <w:szCs w:val="22"/>
          <w:color w:val="auto"/>
        </w:rPr>
        <w:t>agreement, employment agreement or other written agreement with the Corporation shall not be eligible for severance benefits under this Plan.</w:t>
      </w:r>
    </w:p>
    <w:p>
      <w:pPr>
        <w:spacing w:after="0" w:line="181" w:lineRule="exact"/>
        <w:rPr>
          <w:sz w:val="20"/>
          <w:szCs w:val="20"/>
          <w:color w:val="auto"/>
        </w:rPr>
      </w:pPr>
    </w:p>
    <w:p>
      <w:pPr>
        <w:jc w:val="both"/>
        <w:ind w:firstLine="8"/>
        <w:spacing w:after="0" w:line="232" w:lineRule="auto"/>
        <w:tabs>
          <w:tab w:leader="none" w:pos="21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Any Participant whose employment with the Corporation is involuntarily terminated by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without Cause, other than a termination that occurs within a Change in Control Period, shall be eligible for Severance Benefits under this Section 4, provided the Participant has returned a signed general release of all claims, substantially in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to the Corporation within the time period requested by the Corporation and has not revoked the Release within the time permitted under the terms of the Release or any applicable state and federal laws. The Release may be revised from time to time to comply with applicable law or to reflect changes made to the Corporation’s standard form of general release of all claims for all Participants. Regardless of whether a Participant signs and returns a Release, a Participant shall be entitled to receive (1) within 10 business days following the effective date of such Participant’s termination of employment (or such earlier date as required by applicable law) the payment of that portion of the Participant’s Base Salary accrued through the date of termination to the extent not previously paid, any annual bonus earned during the prior fiscal year but not yet paid to the Participant, any incurred but unreimbursed expenses owed to the Participant in accordance with the Corporation’s policy, and any accrued but unused vacation pay owed to the Participant in accordance with the Corporation’s policy (the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and (2) all amounts arising from the Participant’s participation in, or benefits under, any employee benefit plans, programs or arrangements, which amounts shall be payable in accordance with the terms and conditions of such employee benefit plans, programs or arrangements (the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jc w:val="both"/>
        <w:ind w:left="660" w:hanging="4"/>
        <w:spacing w:after="0" w:line="237" w:lineRule="auto"/>
        <w:tabs>
          <w:tab w:leader="none" w:pos="876"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The severance pay to which a Participant is eligible pursuant to this Section 4 shall be a payment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sum of (i) 12 months’ Base Salary and (ii) 100% of the Participant’s target annual bonus for the performance period during which the termination of employment occurs. The payment described in this Section 4.a. shall be paid to the eligible Participant in a lump sum within 30 days after the effective date of the Participant’s termination of employment, except to the extent payment is required to be delayed pursuant to Section 11, and provided that if such 30-day period straddles two consecutive calendar years, payment shall be made in the second of such years.</w:t>
      </w:r>
    </w:p>
    <w:p>
      <w:pPr>
        <w:spacing w:after="0" w:line="202" w:lineRule="exact"/>
        <w:rPr>
          <w:rFonts w:ascii="Times New Roman" w:cs="Times New Roman" w:eastAsia="Times New Roman" w:hAnsi="Times New Roman"/>
          <w:sz w:val="22"/>
          <w:szCs w:val="22"/>
          <w:b w:val="1"/>
          <w:bCs w:val="1"/>
          <w:color w:val="auto"/>
        </w:rPr>
      </w:pPr>
    </w:p>
    <w:p>
      <w:pPr>
        <w:jc w:val="both"/>
        <w:ind w:left="660" w:hanging="4"/>
        <w:spacing w:after="0" w:line="236" w:lineRule="auto"/>
        <w:tabs>
          <w:tab w:leader="none" w:pos="929"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Continued Benefits. </w:t>
      </w:r>
      <w:r>
        <w:rPr>
          <w:rFonts w:ascii="Times New Roman" w:cs="Times New Roman" w:eastAsia="Times New Roman" w:hAnsi="Times New Roman"/>
          <w:sz w:val="22"/>
          <w:szCs w:val="22"/>
          <w:color w:val="auto"/>
        </w:rPr>
        <w:t>In the event a Participant elects COBRA coverage, such coverage shall be provided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at the same cost that applies to similarly situated active employees of the Corporation for up to 12 months, or until Participant becomes eligible for benefits through another employer, whichever is earlier. To the extent that Participant becomes eligible for benefits through another employer during this time, Participant shall give prompt written notice to the Corporation, no later than 30 days after Participant becomes eligible for such benefits.</w:t>
      </w:r>
    </w:p>
    <w:p>
      <w:pPr>
        <w:spacing w:after="0" w:line="200" w:lineRule="exact"/>
        <w:rPr>
          <w:rFonts w:ascii="Times New Roman" w:cs="Times New Roman" w:eastAsia="Times New Roman" w:hAnsi="Times New Roman"/>
          <w:sz w:val="22"/>
          <w:szCs w:val="22"/>
          <w:b w:val="1"/>
          <w:bCs w:val="1"/>
          <w:color w:val="auto"/>
        </w:rPr>
      </w:pPr>
    </w:p>
    <w:p>
      <w:pPr>
        <w:jc w:val="both"/>
        <w:ind w:left="660" w:hanging="4"/>
        <w:spacing w:after="0" w:line="252" w:lineRule="auto"/>
        <w:tabs>
          <w:tab w:leader="none" w:pos="877" w:val="left"/>
        </w:tabs>
        <w:numPr>
          <w:ilvl w:val="1"/>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Accelerated Vesting of Equity and Long-Term Incentive Awards. </w:t>
      </w:r>
      <w:r>
        <w:rPr>
          <w:rFonts w:ascii="Times New Roman" w:cs="Times New Roman" w:eastAsia="Times New Roman" w:hAnsi="Times New Roman"/>
          <w:sz w:val="21"/>
          <w:szCs w:val="21"/>
          <w:color w:val="auto"/>
        </w:rPr>
        <w:t>Any unvested stock options, stock appreciation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restricted stock awards, restricted stock units and any other equity-based or long-term cash-based awards held by the Participant that are subject only to service or time-based vesting conditions (and not performance-based vesting conditions) and that would have vested during the 12-month period following the Participant’s termination will vest as of the day immediately preceding the effective date of the Participant’s termination of employment. Any unvested equity-</w:t>
      </w:r>
    </w:p>
    <w:p>
      <w:pPr>
        <w:sectPr>
          <w:pgSz w:w="11900" w:h="16838" w:orient="portrait"/>
          <w:cols w:equalWidth="0" w:num="1">
            <w:col w:w="11240"/>
          </w:cols>
          <w:pgMar w:left="320" w:top="1408" w:right="339" w:bottom="1440" w:gutter="0" w:footer="0" w:header="0"/>
        </w:sectPr>
      </w:pPr>
    </w:p>
    <w:bookmarkStart w:id="114" w:name="page115"/>
    <w:bookmarkEnd w:id="114"/>
    <w:p>
      <w:pPr>
        <w:jc w:val="both"/>
        <w:ind w:left="652"/>
        <w:spacing w:after="0" w:line="232" w:lineRule="auto"/>
        <w:rPr>
          <w:sz w:val="20"/>
          <w:szCs w:val="20"/>
          <w:color w:val="auto"/>
        </w:rPr>
      </w:pPr>
      <w:r>
        <w:rPr>
          <w:rFonts w:ascii="Times New Roman" w:cs="Times New Roman" w:eastAsia="Times New Roman" w:hAnsi="Times New Roman"/>
          <w:sz w:val="22"/>
          <w:szCs w:val="22"/>
          <w:color w:val="auto"/>
        </w:rPr>
        <w:t>based or long-term cash-based awards held by the Participant that are subject to any performance-based vesting conditions shall become vested on a prorated basis, based on the portion of the performance period that has elapsed prior to the date of termination, determined in accordance with the Corporation’s administrative practices, and shall be paid at the time such award would have been paid to the Participant had he or she remained employed through the end of the applicable performance period, based on actual performance during such performance period. Any stock options or stock appreciation rights held by the Participant shall remain exercisable until the earlier of 24 months after the date of termination or their original expiration date. Notwithstanding the foregoing, in the event an equity-based or long-term cash-based award agreement or the plan pursuant to which an equity-based or long-term cash-based award was granted provides for more favorable treatment of such awards upon a Change in Control or Participant’s termination of employment, nothing in this Plan is intended to limit the Participant’s right to such more favorable treatment as provided in such award agreement or plan, but this Plan shall supersede any less favorable vesting therein.</w:t>
      </w:r>
    </w:p>
    <w:p>
      <w:pPr>
        <w:spacing w:after="0" w:line="208" w:lineRule="exact"/>
        <w:rPr>
          <w:sz w:val="20"/>
          <w:szCs w:val="20"/>
          <w:color w:val="auto"/>
        </w:rPr>
      </w:pPr>
    </w:p>
    <w:p>
      <w:pPr>
        <w:jc w:val="both"/>
        <w:ind w:left="652"/>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d. Death of Participant. </w:t>
      </w:r>
      <w:r>
        <w:rPr>
          <w:rFonts w:ascii="Times New Roman" w:cs="Times New Roman" w:eastAsia="Times New Roman" w:hAnsi="Times New Roman"/>
          <w:sz w:val="22"/>
          <w:szCs w:val="22"/>
          <w:color w:val="auto"/>
        </w:rPr>
        <w:t>If a Participant dies after signing the Release and prior to receiving Severance Benefits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 or she is entitled pursuant to the Plan, payment shall be made to the beneficiary designated by the Participant to the Corporation or, in the event of no designation of beneficiary, then to the estate of the deceased Participant.</w:t>
      </w:r>
    </w:p>
    <w:p>
      <w:pPr>
        <w:spacing w:after="0" w:line="194" w:lineRule="exact"/>
        <w:rPr>
          <w:sz w:val="20"/>
          <w:szCs w:val="20"/>
          <w:color w:val="auto"/>
        </w:rPr>
      </w:pPr>
    </w:p>
    <w:p>
      <w:pPr>
        <w:jc w:val="both"/>
        <w:ind w:left="652"/>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 Outplacement Benefit. </w:t>
      </w:r>
      <w:r>
        <w:rPr>
          <w:rFonts w:ascii="Times New Roman" w:cs="Times New Roman" w:eastAsia="Times New Roman" w:hAnsi="Times New Roman"/>
          <w:sz w:val="22"/>
          <w:szCs w:val="22"/>
          <w:color w:val="auto"/>
        </w:rPr>
        <w:t>The Corporation shall provide standard outplacement services at the expense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from an outplacement firm selected by the Corporation. In order to receive outplacement services, the Participant must begin utilizing the services within 90 days of his or her date of termination.</w:t>
      </w:r>
    </w:p>
    <w:p>
      <w:pPr>
        <w:spacing w:after="0" w:line="181" w:lineRule="exact"/>
        <w:rPr>
          <w:sz w:val="20"/>
          <w:szCs w:val="20"/>
          <w:color w:val="auto"/>
        </w:rPr>
      </w:pPr>
    </w:p>
    <w:p>
      <w:pPr>
        <w:jc w:val="both"/>
        <w:ind w:left="-8" w:firstLine="8"/>
        <w:spacing w:after="0" w:line="235" w:lineRule="auto"/>
        <w:tabs>
          <w:tab w:leader="none" w:pos="20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Severance Benefits</w:t>
      </w:r>
      <w:r>
        <w:rPr>
          <w:rFonts w:ascii="Times New Roman" w:cs="Times New Roman" w:eastAsia="Times New Roman" w:hAnsi="Times New Roman"/>
          <w:sz w:val="22"/>
          <w:szCs w:val="22"/>
          <w:color w:val="auto"/>
        </w:rPr>
        <w:t>. Any Participant whose employment with the Corporation is involuntarily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Corporation without Cause or whose employment is voluntarily terminated by the Participant for Good Reason, in either case during a Change in Control Period, shall be eligible for the Change in Control Severance Benefits under this Section 5, provided the Participant has returned a signed Release to the Corporation within the time period requested by the Corporation and has not revoked the Release within the time permitted under the terms of the Release or any applicable state and federal laws. Change in Control Severance Benefits payable pursuant to this Section 5 shall be in lieu of any Severance Benefits which accrue under Section 4 of this Plan. Regardless of whether a Participant signs and returns a Release, such Participant shall be entitled to receive all Accrued Obligations and Other Benefits.</w:t>
      </w:r>
    </w:p>
    <w:p>
      <w:pPr>
        <w:spacing w:after="0" w:line="205" w:lineRule="exact"/>
        <w:rPr>
          <w:rFonts w:ascii="Times New Roman" w:cs="Times New Roman" w:eastAsia="Times New Roman" w:hAnsi="Times New Roman"/>
          <w:sz w:val="22"/>
          <w:szCs w:val="22"/>
          <w:b w:val="1"/>
          <w:bCs w:val="1"/>
          <w:color w:val="auto"/>
        </w:rPr>
      </w:pPr>
    </w:p>
    <w:p>
      <w:pPr>
        <w:jc w:val="both"/>
        <w:ind w:left="652" w:hanging="4"/>
        <w:spacing w:after="0" w:line="234" w:lineRule="auto"/>
        <w:tabs>
          <w:tab w:leader="none" w:pos="868"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The amount of severance pay for which a Participant is eligible hereunder shall be a payment equal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sum of (i) 24 months’ Base Salary and (ii) 200% of the Participant’s target annual bonus for the performance period during which the termination of employment occurs. Additionally, the Participant shall receive a payment equal to the Participant’s target annual bonus under the Corporation’s annual incentive plan for the then current fiscal year, prorated based on the portion of the performance period that has elapsed prior to the date of termination. The severance pay payable pursuant to this Section 5.a. shall be paid to an eligible Participant in a lump sum issued within 30 days after the effective date of the Participant’s termination of employment, except to the extent payment is required to be delayed pursuant to Section</w:t>
      </w:r>
    </w:p>
    <w:p>
      <w:pPr>
        <w:sectPr>
          <w:pgSz w:w="11900" w:h="16838" w:orient="portrait"/>
          <w:cols w:equalWidth="0" w:num="1">
            <w:col w:w="11232"/>
          </w:cols>
          <w:pgMar w:left="328" w:top="1408" w:right="339" w:bottom="1440" w:gutter="0" w:footer="0" w:header="0"/>
        </w:sectPr>
      </w:pPr>
    </w:p>
    <w:bookmarkStart w:id="115" w:name="page116"/>
    <w:bookmarkEnd w:id="115"/>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11, and provided that if such 30-day period straddles two consecutive calendar years, payment shall be made in the second of such years.</w:t>
      </w:r>
    </w:p>
    <w:p>
      <w:pPr>
        <w:spacing w:after="0" w:line="18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b. Continued Benefits. </w:t>
      </w:r>
      <w:r>
        <w:rPr>
          <w:rFonts w:ascii="Times New Roman" w:cs="Times New Roman" w:eastAsia="Times New Roman" w:hAnsi="Times New Roman"/>
          <w:sz w:val="22"/>
          <w:szCs w:val="22"/>
          <w:color w:val="auto"/>
        </w:rPr>
        <w:t>In the event the Participant elects COBRA coverage, the Corporation will pay the COBRA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premium cost for the Participant and such dependent(s) as are designated as of the separation date for 18 months, or until the Participant becomes eligible for benefits through another employer, whichever is earlier. To the extent that the Participant becomes eligible for benefits through another employer during this time, the Participant shall give prompt written notice to the Corporation, no later than 30 days after the Participant becomes eligible for such benefits.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 Accelerated Vesting of Equity and Long-Term Incentive Awards.</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Any unvested stock options, stock appreciation rights, restricted stock awards, restricted stock units, and other equity-based awards held by the Participant that are subject only to service and time based vesting conditions (and not performance-based vesting conditions) will vest as of the day immediately preceding the effective date of the termination of the Participant’s employment and, to the extent applicable, will become exercisable, and any restrictions or conditions on such equity-based awards shall immediately lapse and be deemed satisfied. Any stock options or stock appreciation rights held by the Participant shall remain exercisable until the earlier of 24 months after the date of termination or their original expiration date.</w:t>
      </w:r>
    </w:p>
    <w:p>
      <w:pPr>
        <w:spacing w:after="0" w:line="20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Upon the occurrence of a Change in Control, each Participant shall, with respect to all outstanding, unvested performance units and any other equity-based and long-term cash-based compensation awards subject to performance-based vesting criteria that are held by such Participant immediately prior to the Change in Control, be deemed to have satisfied any performance-based vesting criteria at the target level of performance, and following the Change in Control any such awards shall continue to vest based upon the time or service-based vesting criteria, if any, to which the award is subject. If the Participant’s employment terminates in accordance with the terms and conditions of this Section 5 after such Change in Control, such performance-based awards shall become immediately and fully vested, and shall be paid to the Participant not later than 30 days after the date of such termination.</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an equity-based or long-term cash-based award agreement or the plan pursuant to which an equity-based or long-term cash-based award was granted provides for more favorable treatment of such awards upon a Change in Control or Participant’s termination of employment, nothing in this Plan is intended to limit the Participant’s right to such more favorable treatment as provided in such award agreement or plan, but this Plan shall supersede any less favorable vesting therein.</w:t>
      </w:r>
    </w:p>
    <w:p>
      <w:pPr>
        <w:spacing w:after="0" w:line="18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d. Death of Participant. </w:t>
      </w:r>
      <w:r>
        <w:rPr>
          <w:rFonts w:ascii="Times New Roman" w:cs="Times New Roman" w:eastAsia="Times New Roman" w:hAnsi="Times New Roman"/>
          <w:sz w:val="22"/>
          <w:szCs w:val="22"/>
          <w:color w:val="auto"/>
        </w:rPr>
        <w:t>If a Participant dies after signing the Release and prior to receiving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Benefits to which he or she is entitled pursuant to the Plan, payment shall be made to the beneficiary designated by the Participant to the Corporation or, in the event of no designation of beneficiary, then to the estate of the deceased Participant.</w:t>
      </w:r>
    </w:p>
    <w:p>
      <w:pPr>
        <w:spacing w:after="0" w:line="199"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 Outplacement Benefit. </w:t>
      </w:r>
      <w:r>
        <w:rPr>
          <w:rFonts w:ascii="Times New Roman" w:cs="Times New Roman" w:eastAsia="Times New Roman" w:hAnsi="Times New Roman"/>
          <w:sz w:val="22"/>
          <w:szCs w:val="22"/>
          <w:color w:val="auto"/>
        </w:rPr>
        <w:t>The Corporation shall provide standard outplacement services at the expense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from an outplacement firm selected by the</w:t>
      </w:r>
    </w:p>
    <w:p>
      <w:pPr>
        <w:sectPr>
          <w:pgSz w:w="11900" w:h="16838" w:orient="portrait"/>
          <w:cols w:equalWidth="0" w:num="1">
            <w:col w:w="11240"/>
          </w:cols>
          <w:pgMar w:left="320" w:top="1408" w:right="339" w:bottom="1440" w:gutter="0" w:footer="0" w:header="0"/>
        </w:sectPr>
      </w:pPr>
    </w:p>
    <w:bookmarkStart w:id="116" w:name="page117"/>
    <w:bookmarkEnd w:id="116"/>
    <w:p>
      <w:pPr>
        <w:ind w:left="652" w:right="20"/>
        <w:spacing w:after="0" w:line="258" w:lineRule="auto"/>
        <w:rPr>
          <w:sz w:val="20"/>
          <w:szCs w:val="20"/>
          <w:color w:val="auto"/>
        </w:rPr>
      </w:pPr>
      <w:r>
        <w:rPr>
          <w:rFonts w:ascii="Times New Roman" w:cs="Times New Roman" w:eastAsia="Times New Roman" w:hAnsi="Times New Roman"/>
          <w:sz w:val="22"/>
          <w:szCs w:val="22"/>
          <w:color w:val="auto"/>
        </w:rPr>
        <w:t>Corporation. In order to receive outplacement services, the Participant must begin utilizing the services within 90 days of his or her date of termination.</w:t>
      </w:r>
    </w:p>
    <w:p>
      <w:pPr>
        <w:spacing w:after="0" w:line="181" w:lineRule="exact"/>
        <w:rPr>
          <w:sz w:val="20"/>
          <w:szCs w:val="20"/>
          <w:color w:val="auto"/>
        </w:rPr>
      </w:pPr>
    </w:p>
    <w:p>
      <w:pPr>
        <w:jc w:val="both"/>
        <w:ind w:left="-8" w:firstLine="8"/>
        <w:spacing w:after="0" w:line="236" w:lineRule="auto"/>
        <w:tabs>
          <w:tab w:leader="none" w:pos="20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Duplication of Benefits. </w:t>
      </w:r>
      <w:r>
        <w:rPr>
          <w:rFonts w:ascii="Times New Roman" w:cs="Times New Roman" w:eastAsia="Times New Roman" w:hAnsi="Times New Roman"/>
          <w:sz w:val="22"/>
          <w:szCs w:val="22"/>
          <w:color w:val="auto"/>
        </w:rPr>
        <w:t>This Plan supersedes any and all prior policies or practices in effect from time to time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separation or termination pay for the Participant. The acceptance of any Severance Benefits or Change in Control Severance Benefits under this Plan shall constitute a waiver of any severance pay or other severance benefits the Participant would have been entitled to under any prior policies or practices, any employment or other agreement between the Corporation and the Participant, and under any other severance policy of the Corporation.</w:t>
      </w:r>
    </w:p>
    <w:p>
      <w:pPr>
        <w:spacing w:after="0" w:line="200" w:lineRule="exact"/>
        <w:rPr>
          <w:rFonts w:ascii="Times New Roman" w:cs="Times New Roman" w:eastAsia="Times New Roman" w:hAnsi="Times New Roman"/>
          <w:sz w:val="22"/>
          <w:szCs w:val="22"/>
          <w:b w:val="1"/>
          <w:bCs w:val="1"/>
          <w:color w:val="auto"/>
        </w:rPr>
      </w:pPr>
    </w:p>
    <w:p>
      <w:pPr>
        <w:jc w:val="both"/>
        <w:ind w:left="-8" w:firstLine="8"/>
        <w:spacing w:after="0" w:line="252" w:lineRule="auto"/>
        <w:tabs>
          <w:tab w:leader="none" w:pos="248"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Funding. </w:t>
      </w:r>
      <w:r>
        <w:rPr>
          <w:rFonts w:ascii="Times New Roman" w:cs="Times New Roman" w:eastAsia="Times New Roman" w:hAnsi="Times New Roman"/>
          <w:sz w:val="21"/>
          <w:szCs w:val="21"/>
          <w:color w:val="auto"/>
        </w:rPr>
        <w:t>The Plan shall at all times be entirely unfunded and no provision shall at any time be made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segregating assets of the Corporation for payment of any Severance Benefits or Change in Control Severance Benefits hereunder. No Participant or other person shall have any interest in any particular assets of the Corporation by reason of the right to receive Severance Benefits or Change in Control Severance Benefits under the Plan and any such Participant or any other person shall have only the rights of a general unsecured creditor of the Corporation with respect to any rights under the Plan.</w:t>
      </w:r>
    </w:p>
    <w:p>
      <w:pPr>
        <w:spacing w:after="0" w:line="190" w:lineRule="exact"/>
        <w:rPr>
          <w:rFonts w:ascii="Times New Roman" w:cs="Times New Roman" w:eastAsia="Times New Roman" w:hAnsi="Times New Roman"/>
          <w:sz w:val="21"/>
          <w:szCs w:val="21"/>
          <w:b w:val="1"/>
          <w:bCs w:val="1"/>
          <w:color w:val="auto"/>
        </w:rPr>
      </w:pPr>
    </w:p>
    <w:p>
      <w:pPr>
        <w:ind w:left="-8" w:firstLine="8"/>
        <w:spacing w:after="0" w:line="262" w:lineRule="auto"/>
        <w:tabs>
          <w:tab w:leader="none" w:pos="221"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Taxation. </w:t>
      </w:r>
      <w:r>
        <w:rPr>
          <w:rFonts w:ascii="Times New Roman" w:cs="Times New Roman" w:eastAsia="Times New Roman" w:hAnsi="Times New Roman"/>
          <w:sz w:val="22"/>
          <w:szCs w:val="22"/>
          <w:color w:val="auto"/>
        </w:rPr>
        <w:t>All Severance Benefits and Change in Control Severance Benefits shall be subject to federal, state and local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deductions and withholding for the same.</w:t>
      </w:r>
    </w:p>
    <w:p>
      <w:pPr>
        <w:spacing w:after="0" w:line="176" w:lineRule="exact"/>
        <w:rPr>
          <w:rFonts w:ascii="Times New Roman" w:cs="Times New Roman" w:eastAsia="Times New Roman" w:hAnsi="Times New Roman"/>
          <w:sz w:val="22"/>
          <w:szCs w:val="22"/>
          <w:b w:val="1"/>
          <w:bCs w:val="1"/>
          <w:color w:val="auto"/>
        </w:rPr>
      </w:pPr>
    </w:p>
    <w:p>
      <w:pPr>
        <w:jc w:val="both"/>
        <w:ind w:left="-8" w:firstLine="8"/>
        <w:spacing w:after="0" w:line="249" w:lineRule="auto"/>
        <w:tabs>
          <w:tab w:leader="none" w:pos="208"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Non-Exclusivity of Rights. </w:t>
      </w:r>
      <w:r>
        <w:rPr>
          <w:rFonts w:ascii="Times New Roman" w:cs="Times New Roman" w:eastAsia="Times New Roman" w:hAnsi="Times New Roman"/>
          <w:sz w:val="21"/>
          <w:szCs w:val="21"/>
          <w:color w:val="auto"/>
        </w:rPr>
        <w:t>The terms of the Plan shall not prevent or limit the right of a Participant to receive any base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pension or welfare benefit, perquisite, bonus or other payment provided by the Corporation to the Participant, except for severance benefits under any other policy or arrangement and such other rights as the Participant may have specifically waived in writing. Amounts that are vested benefits or which the Participant is otherwise entitled to receive under any benefit policy or program provided by the Corporation shall be payable in accordance with the terms of such policy or program.</w:t>
      </w:r>
    </w:p>
    <w:p>
      <w:pPr>
        <w:spacing w:after="0" w:line="191" w:lineRule="exact"/>
        <w:rPr>
          <w:rFonts w:ascii="Times New Roman" w:cs="Times New Roman" w:eastAsia="Times New Roman" w:hAnsi="Times New Roman"/>
          <w:sz w:val="21"/>
          <w:szCs w:val="21"/>
          <w:b w:val="1"/>
          <w:bCs w:val="1"/>
          <w:color w:val="auto"/>
        </w:rPr>
      </w:pPr>
    </w:p>
    <w:p>
      <w:pPr>
        <w:jc w:val="both"/>
        <w:ind w:left="-8" w:firstLine="8"/>
        <w:spacing w:after="0" w:line="235" w:lineRule="auto"/>
        <w:tabs>
          <w:tab w:leader="none" w:pos="329"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This Plan may be amended or terminated by the Committee acting in its sole discretion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provided that unless the affected Participant consents to an amendment or termination in writing: (i) no Plan termination or amendment that adversely affects the rights of a Participant shall take effect until 12 months after the Corporation provides written notice of such termination or amendment to the affected Participant, (ii) the Plan shall not be terminated or amended in a manner that adversely affects the rights of a Participant during a Change in Control Period and (iii) no such termination or amendment shall adversely affect the rights of any individual who is then entitled to receive Severance Benefits or Change in Control Severance Benefits at the time of such amendment or termination. Severance Benefits and Change in Control Severance Benefits are not intended to be a vested right.</w:t>
      </w:r>
    </w:p>
    <w:p>
      <w:pPr>
        <w:spacing w:after="0" w:line="191" w:lineRule="exact"/>
        <w:rPr>
          <w:rFonts w:ascii="Times New Roman" w:cs="Times New Roman" w:eastAsia="Times New Roman" w:hAnsi="Times New Roman"/>
          <w:sz w:val="22"/>
          <w:szCs w:val="22"/>
          <w:b w:val="1"/>
          <w:bCs w:val="1"/>
          <w:color w:val="auto"/>
        </w:rPr>
      </w:pPr>
    </w:p>
    <w:p>
      <w:pPr>
        <w:jc w:val="both"/>
        <w:ind w:left="-8" w:firstLine="8"/>
        <w:spacing w:after="0" w:line="237" w:lineRule="auto"/>
        <w:tabs>
          <w:tab w:leader="none" w:pos="317"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IRC Section 409A. </w:t>
      </w:r>
      <w:r>
        <w:rPr>
          <w:rFonts w:ascii="Times New Roman" w:cs="Times New Roman" w:eastAsia="Times New Roman" w:hAnsi="Times New Roman"/>
          <w:sz w:val="22"/>
          <w:szCs w:val="22"/>
          <w:color w:val="auto"/>
        </w:rPr>
        <w:t>This Plan is intended to comply with the requirements of Section 409A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interpreted and construed consistently with such intent. The payments to a Participant pursuant to this Plan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w:t>
      </w:r>
    </w:p>
    <w:p>
      <w:pPr>
        <w:sectPr>
          <w:pgSz w:w="11900" w:h="16838" w:orient="portrait"/>
          <w:cols w:equalWidth="0" w:num="1">
            <w:col w:w="11232"/>
          </w:cols>
          <w:pgMar w:left="328" w:top="1408" w:right="339" w:bottom="1440" w:gutter="0" w:footer="0" w:header="0"/>
        </w:sectPr>
      </w:pPr>
    </w:p>
    <w:bookmarkStart w:id="117" w:name="page118"/>
    <w:bookmarkEnd w:id="117"/>
    <w:p>
      <w:pPr>
        <w:jc w:val="both"/>
        <w:spacing w:after="0" w:line="242" w:lineRule="auto"/>
        <w:rPr>
          <w:sz w:val="20"/>
          <w:szCs w:val="20"/>
          <w:color w:val="auto"/>
        </w:rPr>
      </w:pPr>
      <w:r>
        <w:rPr>
          <w:rFonts w:ascii="Times New Roman" w:cs="Times New Roman" w:eastAsia="Times New Roman" w:hAnsi="Times New Roman"/>
          <w:sz w:val="21"/>
          <w:szCs w:val="21"/>
          <w:color w:val="auto"/>
        </w:rPr>
        <w:t>§1.409A-2(b)(2). In the event the terms of this Plan would subject a Participant to taxes or penalties under Section 409A of the Code (“</w:t>
      </w:r>
      <w:r>
        <w:rPr>
          <w:rFonts w:ascii="Times New Roman" w:cs="Times New Roman" w:eastAsia="Times New Roman" w:hAnsi="Times New Roman"/>
          <w:sz w:val="21"/>
          <w:szCs w:val="21"/>
          <w:b w:val="1"/>
          <w:bCs w:val="1"/>
          <w:color w:val="auto"/>
        </w:rPr>
        <w:t>409A Penalties</w:t>
      </w:r>
      <w:r>
        <w:rPr>
          <w:rFonts w:ascii="Times New Roman" w:cs="Times New Roman" w:eastAsia="Times New Roman" w:hAnsi="Times New Roman"/>
          <w:sz w:val="21"/>
          <w:szCs w:val="21"/>
          <w:color w:val="auto"/>
        </w:rPr>
        <w:t>”), the Corporation and the Participant shall cooperate diligently to amend the terms of this Plan to avoid such 409A Penalties, to the extent possible; provided that in no event shall the Corporation be responsible for any 409A Penalties that arise in connection with any amounts payable under this Plan. To the extent any amounts under this Plan are payable by reference to a Participant’s “termination of employment,” such term shall be deemed to refer to the Participant’s “separation from service,” within the meaning of Section 409A of the Code. Notwithstanding any other provision in this Plan, if a Participant is a “specified employee,” as defined in Section 409A of the Code, as of the date of such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Plan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 Any reimbursement or advancement payable to a Participant pursuant to this Plan or otherwise shall be conditioned on the submission by the Participant of all expense reports reasonably required by the Corporation under any applicable expense reimbursement policy, and shall be paid to the Participant not later than the last day of the calendar year following the calendar year in which the Participant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Plan or otherwise shall not be subject to liquidation or exchange for any other benefit.</w:t>
      </w:r>
    </w:p>
    <w:p>
      <w:pPr>
        <w:spacing w:after="0" w:line="203" w:lineRule="exact"/>
        <w:rPr>
          <w:sz w:val="20"/>
          <w:szCs w:val="20"/>
          <w:color w:val="auto"/>
        </w:rPr>
      </w:pPr>
    </w:p>
    <w:p>
      <w:pPr>
        <w:jc w:val="both"/>
        <w:ind w:firstLine="8"/>
        <w:spacing w:after="0" w:line="242" w:lineRule="auto"/>
        <w:tabs>
          <w:tab w:leader="none" w:pos="337"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Parachute Payment Matters. </w:t>
      </w:r>
      <w:r>
        <w:rPr>
          <w:rFonts w:ascii="Times New Roman" w:cs="Times New Roman" w:eastAsia="Times New Roman" w:hAnsi="Times New Roman"/>
          <w:sz w:val="21"/>
          <w:szCs w:val="21"/>
          <w:color w:val="auto"/>
        </w:rPr>
        <w:t>Notwithstanding any other provision of this Plan, if by reason of Section 280G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payment or benefit received or to be received by a Participant in connection with a Change in Control or the termination of the Participant’s employment (whether payable pursuant to the terms of this Plan (“</w:t>
      </w:r>
      <w:r>
        <w:rPr>
          <w:rFonts w:ascii="Times New Roman" w:cs="Times New Roman" w:eastAsia="Times New Roman" w:hAnsi="Times New Roman"/>
          <w:sz w:val="21"/>
          <w:szCs w:val="21"/>
          <w:b w:val="1"/>
          <w:bCs w:val="1"/>
          <w:color w:val="auto"/>
        </w:rPr>
        <w:t>Plan Payments</w:t>
      </w:r>
      <w:r>
        <w:rPr>
          <w:rFonts w:ascii="Times New Roman" w:cs="Times New Roman" w:eastAsia="Times New Roman" w:hAnsi="Times New Roman"/>
          <w:sz w:val="21"/>
          <w:szCs w:val="21"/>
          <w:color w:val="auto"/>
        </w:rPr>
        <w:t>”) or any other plan, arrangements or agreement with the Corporation or an Affiliate (as defined below) (collectively with the Plan Payments, “</w:t>
      </w:r>
      <w:r>
        <w:rPr>
          <w:rFonts w:ascii="Times New Roman" w:cs="Times New Roman" w:eastAsia="Times New Roman" w:hAnsi="Times New Roman"/>
          <w:sz w:val="21"/>
          <w:szCs w:val="21"/>
          <w:b w:val="1"/>
          <w:bCs w:val="1"/>
          <w:color w:val="auto"/>
        </w:rPr>
        <w:t>Total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would not be deductible (in whole or part) by the Corporation, an Affiliate or other person making such payment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providing such benefit, then the Plan Payments shall be reduced and, if Plan Payments are reduced to zero, other Total Payments shall be reduced (first, by reducing payments to which Treas. Reg. § 1.280G-1 Q&amp;A 24(a) applies (“</w:t>
      </w:r>
      <w:r>
        <w:rPr>
          <w:rFonts w:ascii="Times New Roman" w:cs="Times New Roman" w:eastAsia="Times New Roman" w:hAnsi="Times New Roman"/>
          <w:sz w:val="21"/>
          <w:szCs w:val="21"/>
          <w:b w:val="1"/>
          <w:bCs w:val="1"/>
          <w:color w:val="auto"/>
        </w:rPr>
        <w:t>Full Value Payments</w:t>
      </w:r>
      <w:r>
        <w:rPr>
          <w:rFonts w:ascii="Times New Roman" w:cs="Times New Roman" w:eastAsia="Times New Roman" w:hAnsi="Times New Roman"/>
          <w:sz w:val="21"/>
          <w:szCs w:val="21"/>
          <w:color w:val="auto"/>
        </w:rPr>
        <w:t>”), and second, by reducing payments to which Treas. Reg. § 1.280G-1 Q&amp;A 24(c) applies; and, in each case, (i) reducing the payments furthest in time from the date of the Change in Control and (ii) in compliance with Section 409A of the Code) until no portion of the Total Payments is not deductible by reason of Section 280G of the Code, provided, however, that no such reduction shall be made unless the net after-tax benefit received by the Participant after such reduction would exceed the net after-tax benefit received by the Participant if no such reduction was made. The foregoing determination and all determinations under this Section</w:t>
      </w:r>
    </w:p>
    <w:p>
      <w:pPr>
        <w:spacing w:after="0" w:line="8" w:lineRule="exact"/>
        <w:rPr>
          <w:rFonts w:ascii="Times New Roman" w:cs="Times New Roman" w:eastAsia="Times New Roman" w:hAnsi="Times New Roman"/>
          <w:sz w:val="21"/>
          <w:szCs w:val="21"/>
          <w:b w:val="1"/>
          <w:bCs w:val="1"/>
          <w:color w:val="auto"/>
        </w:rPr>
      </w:pPr>
    </w:p>
    <w:p>
      <w:pPr>
        <w:jc w:val="both"/>
        <w:ind w:firstLine="8"/>
        <w:spacing w:after="0" w:line="233" w:lineRule="auto"/>
        <w:tabs>
          <w:tab w:leader="none" w:pos="27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made by the Accountants (as defined below). For purposes of this Section 12, “net after-tax benefit” shall mean (i) the Total Payments that would constitute “parachute payments” within the meaning of Section 280G of the Code, less (ii) the amount of all federal, state and local income taxes payable with respect to such payments calculated at the maximum marginal income tax rate for each year in which the foregoing shall be paid to the Participant (based on the rate in effect for such year as set forth in the Code as in</w:t>
      </w:r>
    </w:p>
    <w:p>
      <w:pPr>
        <w:sectPr>
          <w:pgSz w:w="11900" w:h="16838" w:orient="portrait"/>
          <w:cols w:equalWidth="0" w:num="1">
            <w:col w:w="11240"/>
          </w:cols>
          <w:pgMar w:left="320" w:top="1408" w:right="339" w:bottom="1440" w:gutter="0" w:footer="0" w:header="0"/>
        </w:sectPr>
      </w:pPr>
    </w:p>
    <w:bookmarkStart w:id="118" w:name="page119"/>
    <w:bookmarkEnd w:id="118"/>
    <w:p>
      <w:pPr>
        <w:jc w:val="both"/>
        <w:spacing w:after="0" w:line="230" w:lineRule="auto"/>
        <w:rPr>
          <w:sz w:val="20"/>
          <w:szCs w:val="20"/>
          <w:color w:val="auto"/>
        </w:rPr>
      </w:pPr>
      <w:r>
        <w:rPr>
          <w:rFonts w:ascii="Times New Roman" w:cs="Times New Roman" w:eastAsia="Times New Roman" w:hAnsi="Times New Roman"/>
          <w:sz w:val="22"/>
          <w:szCs w:val="22"/>
          <w:color w:val="auto"/>
        </w:rPr>
        <w:t>effect at the time of the first payment of the foregoing), less (iii) the amount of excise taxes imposed with respect to the payments and benefits described in (i) above by Section 4999 of the Code. For purposes of the foregoing determinations, (a) no portion of the Total Payments the receipt or enjoyment of which the Participant shall have effectively waived in writing prior to the date of payment of any Plan Payment shall be taken into account; (b) no portion of the Total Payments shall be taken into account which in the opinion of the Accountants does not constitute a “parachute payment” within the meaning of Section 280G(b)(2) of the Code (without regard to subsection (A)(ii) thereof); (c) the Plan Payments (and, thereafter, other Total Payments) shall be reduced only to the extent necessary so that the Total Payments in their entirety constitute reasonable compensation for services actually rendered within the meaning of Section 280G(b)(4) of the Code, in the opinion of the Accountants; and (d) the value of any non-cash benefit or any deferred payment or benefit included in the Total Payments shall be determined by the Accountants in accordance with the principles of Sections 280G(d)(3) and (4) of the Code. For purposes of this Section 12,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the Corporation’s successors, any Person whose actions result in a Change in Control or any company affiliated (or which, as a result of the completion of the transactions causing a Change in Control shall become affiliated) with the Corporation within the meaning of Section 1504 of the Code and “</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xml:space="preserve">” shall mean the Corporation’s independent certified public accountants serving immediately prior to the Change in Control, unless the Accountants are also serving as accountant or auditor for the individual, entity or group effecting the Change in Control, in which case the Corporation shall appoint another nationally recognized public accounting firm to make the determinations required hereunder (which accounting firm shall then be referred to as the Accountants hereunder). For purposes of making the determinations and calculations required herein, the Accountants may make reasonable assumptions and approximations concerning applicable taxes and may rely on reasonable, good faith interpretations concerning the application of Sections 280G and 4999 of the Code, provided that the Accountant’s determinations must be made on the basis of “substantial </w:t>
      </w:r>
      <w:r>
        <w:rPr>
          <w:rFonts w:ascii="Times New Roman" w:cs="Times New Roman" w:eastAsia="Times New Roman" w:hAnsi="Times New Roman"/>
          <w:sz w:val="19"/>
          <w:szCs w:val="19"/>
          <w:color w:val="auto"/>
        </w:rPr>
        <w:t>authority” (within the meaning of Section 6662 of the Code). All fees and expenses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Accountants shall be borne solely by the Corporation.</w:t>
      </w:r>
    </w:p>
    <w:p>
      <w:pPr>
        <w:spacing w:after="0" w:line="210"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4" w:lineRule="exact"/>
        <w:rPr>
          <w:rFonts w:ascii="Times New Roman" w:cs="Times New Roman" w:eastAsia="Times New Roman" w:hAnsi="Times New Roman"/>
          <w:sz w:val="22"/>
          <w:szCs w:val="22"/>
          <w:b w:val="1"/>
          <w:bCs w:val="1"/>
          <w:color w:val="auto"/>
        </w:rPr>
      </w:pPr>
    </w:p>
    <w:p>
      <w:pPr>
        <w:ind w:left="6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This Plan shall be interpreted and administered by the Chief Executive Officer of the Corporation (the “</w:t>
      </w:r>
      <w:r>
        <w:rPr>
          <w:rFonts w:ascii="Times New Roman" w:cs="Times New Roman" w:eastAsia="Times New Roman" w:hAnsi="Times New Roman"/>
          <w:sz w:val="22"/>
          <w:szCs w:val="22"/>
          <w:b w:val="1"/>
          <w:bCs w:val="1"/>
          <w:color w:val="auto"/>
        </w:rPr>
        <w:t>Plan</w:t>
      </w:r>
    </w:p>
    <w:p>
      <w:pPr>
        <w:spacing w:after="0" w:line="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who shall have complete authority, in his or her sole discretion subject to the express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prescribe, amend and rescind rules and regulations relating to this Plan and to make all other determinations necessary or advisable for the administration of this Plan; provided, however, that the Chief Executive Officer must receive approval from the Committee in order to authorize severance benefits outside of the terms of this Plan to the employees covered by this Plan. The Plan Administrator shall be the “administrator” and a “named fiduciary” under this Plan for purposes of the Employee Retirement Income Security Act of 1974, as amended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All questions arising in connection with the interpretation of this Plan or its administration shall be submitted to and determined by the Plan Administrator in an equitable and fair manner in accordance with the procedure for claims and appeals described in Section 13.c. hereof.</w:t>
      </w:r>
    </w:p>
    <w:p>
      <w:pPr>
        <w:spacing w:after="0" w:line="205"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b. The Plan Administrator may from time to time delegate any of his or her duties hereunder to such person or persons as the Plan Administrator may designate. The Plan Administrator is empowered, on behalf of this Plan, to engage accountants, legal counsel</w:t>
      </w:r>
    </w:p>
    <w:p>
      <w:pPr>
        <w:sectPr>
          <w:pgSz w:w="11900" w:h="16838" w:orient="portrait"/>
          <w:cols w:equalWidth="0" w:num="1">
            <w:col w:w="11240"/>
          </w:cols>
          <w:pgMar w:left="320" w:top="1408" w:right="339" w:bottom="1440" w:gutter="0" w:footer="0" w:header="0"/>
        </w:sectPr>
      </w:pPr>
    </w:p>
    <w:bookmarkStart w:id="119" w:name="page120"/>
    <w:bookmarkEnd w:id="119"/>
    <w:p>
      <w:pPr>
        <w:jc w:val="both"/>
        <w:ind w:left="652"/>
        <w:spacing w:after="0" w:line="251" w:lineRule="auto"/>
        <w:rPr>
          <w:sz w:val="20"/>
          <w:szCs w:val="20"/>
          <w:color w:val="auto"/>
        </w:rPr>
      </w:pPr>
      <w:r>
        <w:rPr>
          <w:rFonts w:ascii="Times New Roman" w:cs="Times New Roman" w:eastAsia="Times New Roman" w:hAnsi="Times New Roman"/>
          <w:sz w:val="21"/>
          <w:szCs w:val="21"/>
          <w:color w:val="auto"/>
        </w:rPr>
        <w:t>and such other persons as the Plan Administrator deems necessary advisable for the performance of his or her duties under this Plan. The functions of any such persons engaged by the Plan Administrator shall be limited to the specified services and duties for which they are engaged, and such persons shall have no other duties, obligations or responsibilities under this Plan. Such persons shall exercise no discretionary authority or discretionary control respecting the administration of this Plan. All reasonable fees and expenses of such persons shall be borne by the Corporation.</w:t>
      </w:r>
    </w:p>
    <w:p>
      <w:pPr>
        <w:spacing w:after="0" w:line="195" w:lineRule="exact"/>
        <w:rPr>
          <w:sz w:val="20"/>
          <w:szCs w:val="20"/>
          <w:color w:val="auto"/>
        </w:rPr>
      </w:pPr>
    </w:p>
    <w:p>
      <w:pPr>
        <w:jc w:val="both"/>
        <w:ind w:left="652"/>
        <w:spacing w:after="0" w:line="242" w:lineRule="auto"/>
        <w:rPr>
          <w:sz w:val="20"/>
          <w:szCs w:val="20"/>
          <w:color w:val="auto"/>
        </w:rPr>
      </w:pPr>
      <w:r>
        <w:rPr>
          <w:rFonts w:ascii="Times New Roman" w:cs="Times New Roman" w:eastAsia="Times New Roman" w:hAnsi="Times New Roman"/>
          <w:sz w:val="21"/>
          <w:szCs w:val="21"/>
          <w:color w:val="auto"/>
        </w:rPr>
        <w:t>c. Any Participant or other person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within 60 days of after receipt of such written claim, send a written notification to the Participant or other person Employee as to the disposition of such claim. In the event that such claim is denied in whole or in part, such written notification shall be written in a manner calculated to be understood by the claimant and shall (1) state the specific reason or reasons for the denial, (2) make specific reference to the pertinent Plan provisions on which the denial is based, (3) provide a description of any additional material or information necessary for the Participant to perfect the claim and an explanation of why such material or information is necessary, and (4) set forth the procedure by which the Participant or other person may appeal the denial of such claim. The Participant or other person (or his or her duly authorized representative) may request a review of the denial of any such claim or portion thereof by making application in writing to the Plan Administrator within 60 days after receipt of such denial. Such Participant or other person (or his or her duly authorized representative) may, upon written request to the Plan Administrator, review any documents pertinent to such claim, and submit in writing issues and comments in support of such claim. Within 60 days after receipt of a written appeal (unless special circumstances, such as the need to hold a hearing, require an extension of time but in no event more than 120 days after such receipt), the Plan Administrator shall notify the Participant or other person of the final decision with respect to such claim. Such final decision shall be in writing and shall include specific reasons for such decision, written in a manner calculated to be understood by the claimant, with specific references to the pertinent Plan provisions on which such decision is based.</w:t>
      </w:r>
    </w:p>
    <w:p>
      <w:pPr>
        <w:spacing w:after="0" w:line="203" w:lineRule="exact"/>
        <w:rPr>
          <w:sz w:val="20"/>
          <w:szCs w:val="20"/>
          <w:color w:val="auto"/>
        </w:rPr>
      </w:pPr>
    </w:p>
    <w:p>
      <w:pPr>
        <w:jc w:val="both"/>
        <w:ind w:left="-8" w:firstLine="8"/>
        <w:spacing w:after="0" w:line="249" w:lineRule="auto"/>
        <w:tabs>
          <w:tab w:leader="none" w:pos="329"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Non-Assignability. </w:t>
      </w:r>
      <w:r>
        <w:rPr>
          <w:rFonts w:ascii="Times New Roman" w:cs="Times New Roman" w:eastAsia="Times New Roman" w:hAnsi="Times New Roman"/>
          <w:sz w:val="21"/>
          <w:szCs w:val="21"/>
          <w:color w:val="auto"/>
        </w:rPr>
        <w:t>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8"/>
          <w:szCs w:val="18"/>
          <w:color w:val="auto"/>
        </w:rPr>
        <w:t>Benefits and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Severance Benefits pursuant to the Plan shall not be subject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manner to anticipation, alienation, sale, transfer, assignment, pledge, encumbrance or charge prior to actual receipt thereof by a Participant; and any attempt to so anticipate, alienate, sell, transfer, assign, pledge, encumber or charge prior to such receipt shall be void; and the Corporation shall not be liable in any manner for, or subject to, the debts, contracts, liabilities, engagements or torts of any person entitled to any Severance Benefits or Change in Control Severance Benefits under this Plan.</w:t>
      </w:r>
    </w:p>
    <w:p>
      <w:pPr>
        <w:spacing w:after="0" w:line="191" w:lineRule="exact"/>
        <w:rPr>
          <w:rFonts w:ascii="Times New Roman" w:cs="Times New Roman" w:eastAsia="Times New Roman" w:hAnsi="Times New Roman"/>
          <w:sz w:val="21"/>
          <w:szCs w:val="21"/>
          <w:b w:val="1"/>
          <w:bCs w:val="1"/>
          <w:color w:val="auto"/>
        </w:rPr>
      </w:pPr>
    </w:p>
    <w:p>
      <w:pPr>
        <w:jc w:val="both"/>
        <w:ind w:left="-8" w:firstLine="8"/>
        <w:spacing w:after="0" w:line="246" w:lineRule="auto"/>
        <w:tabs>
          <w:tab w:leader="none" w:pos="31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Nothing in the Plan shall be deemed to entitle a Participant to continued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and the rights of the Corporation to terminate the employment of a Participant shall continue as though the Plan were not in effect.</w:t>
      </w:r>
    </w:p>
    <w:p>
      <w:pPr>
        <w:spacing w:after="0" w:line="194" w:lineRule="exact"/>
        <w:rPr>
          <w:rFonts w:ascii="Times New Roman" w:cs="Times New Roman" w:eastAsia="Times New Roman" w:hAnsi="Times New Roman"/>
          <w:sz w:val="22"/>
          <w:szCs w:val="22"/>
          <w:b w:val="1"/>
          <w:bCs w:val="1"/>
          <w:color w:val="auto"/>
        </w:rPr>
      </w:pPr>
    </w:p>
    <w:p>
      <w:pPr>
        <w:ind w:left="332" w:hanging="332"/>
        <w:spacing w:after="0"/>
        <w:tabs>
          <w:tab w:leader="none" w:pos="33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ectPr>
          <w:pgSz w:w="11900" w:h="16838" w:orient="portrait"/>
          <w:cols w:equalWidth="0" w:num="1">
            <w:col w:w="11232"/>
          </w:cols>
          <w:pgMar w:left="328" w:top="1408" w:right="339" w:bottom="1440" w:gutter="0" w:footer="0" w:header="0"/>
        </w:sectPr>
      </w:pPr>
    </w:p>
    <w:bookmarkStart w:id="120" w:name="page121"/>
    <w:bookmarkEnd w:id="120"/>
    <w:p>
      <w:pPr>
        <w:jc w:val="both"/>
        <w:spacing w:after="0" w:line="244" w:lineRule="auto"/>
        <w:rPr>
          <w:sz w:val="20"/>
          <w:szCs w:val="20"/>
          <w:color w:val="auto"/>
        </w:rPr>
      </w:pPr>
      <w:r>
        <w:rPr>
          <w:rFonts w:ascii="Times New Roman" w:cs="Times New Roman" w:eastAsia="Times New Roman" w:hAnsi="Times New Roman"/>
          <w:sz w:val="22"/>
          <w:szCs w:val="22"/>
          <w:color w:val="auto"/>
        </w:rPr>
        <w:t>a. A Participant shall not be entitled to any severance pay, notice pay or other similar benefits except as provided in this Plan. Subject to the foregoing, all rights of a Participant under any employee benefit plan maintained by the Company shall be determined in accordance with provisions of such plan.</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 If the Corporation is obligated by law or contract to pay severance pay, notice pay or other similar benefits, or if the Corporation is obligated by law or by contract to provide advance notice or separation (“</w:t>
      </w:r>
      <w:r>
        <w:rPr>
          <w:rFonts w:ascii="Times New Roman" w:cs="Times New Roman" w:eastAsia="Times New Roman" w:hAnsi="Times New Roman"/>
          <w:sz w:val="22"/>
          <w:szCs w:val="22"/>
          <w:b w:val="1"/>
          <w:bCs w:val="1"/>
          <w:color w:val="auto"/>
        </w:rPr>
        <w:t>Notice Period</w:t>
      </w:r>
      <w:r>
        <w:rPr>
          <w:rFonts w:ascii="Times New Roman" w:cs="Times New Roman" w:eastAsia="Times New Roman" w:hAnsi="Times New Roman"/>
          <w:sz w:val="22"/>
          <w:szCs w:val="22"/>
          <w:color w:val="auto"/>
        </w:rPr>
        <w:t>”), then any Severance Benefits or Change in Control Severance Benefits hereunder shall be reduced by the amount of any such severance pay, notice pay or other similar benefits, as applicable, and by the amount of any severance pay, notice pay or other similar benefits received during any Notice Period.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 Any benefit payable to or for the benefit of a minor, an incompetent person or other person incapable of giving a receipt therefor shall be deemed paid when paid to such person’s guardian or to the party providing or reasonably appearing to provide for the care of such person, and such payment shall fully discharge the Employer, the Plan Administrator and all other parties with respect thereto.</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 This Plan shall be binding upon the heirs, executors, administrators, successors and assigns of the parties, including each Participant, present and future, and any successor to the Corporation. This Plan shall not be terminated by any merger or consolidation of the Company whereby the Company is or is not the surviving or resulting corporation or as a result of any transfer of all or substantially all of the assets of the Company. In the event of any such merger, consolidation or transfer of assets, the provisions of this Plan shall be binding upon the surviving or resulting corporation or the person or entity to which such assets are transferred.</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 The headings and captions herein are provided for reference and convenience only, shall not be considered part of this Plan and shall not be employed in the construction of this Plan.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 If any provision of this Plan shall be held invalid or unenforceable, such invalidity or unenforceability shall not affect any other provision hereof, and this Plan shall be construed and enforced as if such provision had not been included.</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 Any notice or other communication required or permitted pursuant to the terms hereof shall have been duly given when delivered or mailed by United States mail, first class, postage prepaid, addressed to the intended recipient at his, her or its last known address or by email to the recipient’s email address as set forth in the records of the Corporation.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 This Plan shall be administered on a calendar year basis.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This Plan shall be governed by, and construed and enforced in accordance with (1) ERISA and all applicable rules and regulations thereunder and (2) the internal laws of the State of California (without regard to principles of conflicts of laws) to the extent not preempted by Federal law, which shall otherwise control.</w:t>
      </w:r>
    </w:p>
    <w:p>
      <w:pPr>
        <w:sectPr>
          <w:pgSz w:w="11900" w:h="16838" w:orient="portrait"/>
          <w:cols w:equalWidth="0" w:num="1">
            <w:col w:w="10580"/>
          </w:cols>
          <w:pgMar w:left="980" w:top="140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SEVERANCE AGREEMENT AND GENERAL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Confidential Severance Agreement and General Release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_____________ is entered into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between _____________ (hereinafter referred to as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[Dine Brands Global, Inc. / International House of</w:t>
      </w:r>
    </w:p>
    <w:p>
      <w:pPr>
        <w:jc w:val="both"/>
        <w:spacing w:after="0" w:line="231" w:lineRule="auto"/>
        <w:rPr>
          <w:sz w:val="20"/>
          <w:szCs w:val="20"/>
          <w:color w:val="auto"/>
        </w:rPr>
      </w:pPr>
      <w:r>
        <w:rPr>
          <w:rFonts w:ascii="Times New Roman" w:cs="Times New Roman" w:eastAsia="Times New Roman" w:hAnsi="Times New Roman"/>
          <w:sz w:val="22"/>
          <w:szCs w:val="22"/>
          <w:color w:val="auto"/>
        </w:rPr>
        <w:t>Pancakes, LLC, / Applebee’s Services, Inc.], its parents, affiliates, and subsidiaries (hereinafter referred to as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Throughout this Agreement, Executive and the Corporation may be referred to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Executive has been employed by the Corporation. Executive's last day of employment by the Corporation will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 (the “</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Executive is a Participant in the Corporation’s Executive Severance and Change in Control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 Executive and the Corporation wish to enter into an Agreement to set forth all of the Separation Benefits payable pursuant to the terms of the Plan and to clarify and resolve any potential or actual disputes that may exist between them arising out of the employment relationship and termination thereof, and any continuing obligations of one Party to another following the end of the employment relationship.</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 In consideration of the Corporation’s agreement to pay Executive the Separation Benefits set forth herein, Executive agrees to waive any and all rights Executive may have in potential or actual actions, suits, proceedings, claims, and demands against the Corporation, directly or indirectly, except for those rights provided in this Agreement and Executive’s continuing right to enforce the terms and provisions of this Agreement against the Corporation.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E. The Corporation has advised Executive of Executive’s right to consult an attorney at Executive’s own expense prior to signing this Agreement and has provided Executive with 21 calendar days in which to consider this Agreement and seek legal assistance. Executive has either consulted an attorney of Executive’s choice or voluntarily elected not to consult legal counsel and understands that except for Executive’s rights preserved, and provided for above and elsewhere in this Agreement, Executive is waiving all potential or actual actions, suits, proceedings, claims, and demands against the Corporation and its agents.</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 This Agreement is not and should not be construed as an admission or statement by either Party that it or any other party has acted wrongfully or unlawfully. Both Parties expressly deny any wrongful or unlawful action and enter into this Agreement for the sole purpose of addressing any potential or actual issues between them.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G. The Effective Date of this Agreement is defined in Paragraph 11(d) herein. Each of the covenants and obligations set forth herein is contingent upon the occurrence of the Effective Date.</w:t>
      </w:r>
    </w:p>
    <w:p>
      <w:pPr>
        <w:sectPr>
          <w:pgSz w:w="11900" w:h="16838" w:orient="portrait"/>
          <w:cols w:equalWidth="0" w:num="1">
            <w:col w:w="11240"/>
          </w:cols>
          <w:pgMar w:left="320" w:top="140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mutual rights and obligations contained below, the Parties agree as follows:</w:t>
      </w:r>
    </w:p>
    <w:p>
      <w:pPr>
        <w:spacing w:after="0" w:line="205" w:lineRule="exact"/>
        <w:rPr>
          <w:sz w:val="20"/>
          <w:szCs w:val="20"/>
          <w:color w:val="auto"/>
        </w:rPr>
      </w:pPr>
    </w:p>
    <w:p>
      <w:pPr>
        <w:ind w:left="660" w:right="20" w:hanging="328"/>
        <w:spacing w:after="0" w:line="258"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Ending Date.</w:t>
      </w:r>
      <w:r>
        <w:rPr>
          <w:rFonts w:ascii="Times New Roman" w:cs="Times New Roman" w:eastAsia="Times New Roman" w:hAnsi="Times New Roman"/>
          <w:sz w:val="22"/>
          <w:szCs w:val="22"/>
          <w:color w:val="auto"/>
        </w:rPr>
        <w:t xml:space="preserve"> Executive’s employment with the Corporation will terminate effective on the Separation Date. Executive will have no further employment duties or responsibilities to the Corporation after the Separation Date.</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Benefits</w:t>
      </w:r>
      <w:r>
        <w:rPr>
          <w:rFonts w:ascii="Times New Roman" w:cs="Times New Roman" w:eastAsia="Times New Roman" w:hAnsi="Times New Roman"/>
          <w:sz w:val="22"/>
          <w:szCs w:val="22"/>
          <w:color w:val="auto"/>
        </w:rPr>
        <w:t>. In full satisfaction of Executive’s rights under the Plan and in exchange for the promises contained in this Agreement, and so long as Executive does not revoke this Agreement, Executive shall receive the following separation benefits under Section [4][5] of the Plan:</w:t>
      </w:r>
    </w:p>
    <w:p>
      <w:pPr>
        <w:spacing w:after="0" w:line="20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w:t>
      </w:r>
      <w:r>
        <w:rPr>
          <w:rFonts w:ascii="Times New Roman" w:cs="Times New Roman" w:eastAsia="Times New Roman" w:hAnsi="Times New Roman"/>
          <w:sz w:val="21"/>
          <w:szCs w:val="21"/>
          <w:color w:val="auto"/>
        </w:rPr>
        <w:t>: The Corporation shall pay to Executive the total sum of $____________, representing the sum of</w:t>
      </w:r>
    </w:p>
    <w:p>
      <w:pPr>
        <w:spacing w:after="0" w:line="25" w:lineRule="exact"/>
        <w:rPr>
          <w:rFonts w:ascii="Times New Roman" w:cs="Times New Roman" w:eastAsia="Times New Roman" w:hAnsi="Times New Roman"/>
          <w:sz w:val="21"/>
          <w:szCs w:val="21"/>
          <w:color w:val="auto"/>
        </w:rPr>
      </w:pPr>
    </w:p>
    <w:p>
      <w:pPr>
        <w:jc w:val="both"/>
        <w:ind w:left="1300" w:firstLine="4"/>
        <w:spacing w:after="0" w:line="230" w:lineRule="auto"/>
        <w:tabs>
          <w:tab w:leader="none" w:pos="1586"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 months of base salary [and] (ii) [___]% of Executive’s target annual bonus for the year in which the Separation Date occurs [and (iii) an amount equal to Executive’s target annual bonus target under the Corporation’s annual incentive plan for the then current fiscal year, prorated based on the portion of the performance period that has elapsed prior to the date of termination], less applicable tax, withholdings, and deductions required by law, as severance pay and in exchange for the promises, agreements, understandings, and releases contained in this Agreement. This sum will be paid as a lump sum through the Corporation's payroll within 30 days following the Effective Date, except to the extent payment is required to be delayed pursuant to Section 11 of the Plan, and provided that if such 30-day period straddles two consecutive calendar years, payment shall be made in the second of such years. Executive understands that, under applicable law, no Corporation match of 401(k) contributions can be made based on the severance pay.</w:t>
      </w:r>
    </w:p>
    <w:p>
      <w:pPr>
        <w:spacing w:after="0" w:line="211" w:lineRule="exact"/>
        <w:rPr>
          <w:rFonts w:ascii="Times New Roman" w:cs="Times New Roman" w:eastAsia="Times New Roman" w:hAnsi="Times New Roman"/>
          <w:sz w:val="22"/>
          <w:szCs w:val="22"/>
          <w:color w:val="auto"/>
        </w:rPr>
      </w:pPr>
    </w:p>
    <w:p>
      <w:pPr>
        <w:jc w:val="both"/>
        <w:ind w:left="1300" w:hanging="320"/>
        <w:spacing w:after="0" w:line="233" w:lineRule="auto"/>
        <w:tabs>
          <w:tab w:leader="none" w:pos="13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All of Executive’s benefits shall cease on Executive’s last day of work except that Executive’s medical, vision, and dental benefits coverage, if any, will end as of the last day of month in which the Separation Date occurs. In the event Executive elects COBRA coverage, the Corporation will pay the COBRA premium cost for Executive and such dependent(s) as are designated as of the Separation Date. Such coverage shall be provided to the Executive at the same cost that applies to similarly situated active employees of the Corporation for up to [___] months, or until Executive becomes eligible for benefits through another employer, whichever is earlier. To the extent that Executive becomes eligible for benefits through another employer during this time, Executive shall give prompt written notice to the Corporation, no later than 30 days after Executive becomes eligible for such benefits.</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8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Accelerated Vesting of Equity and Long-Term Incentive Awards</w:t>
      </w:r>
      <w:r>
        <w:rPr>
          <w:rFonts w:ascii="Times New Roman" w:cs="Times New Roman" w:eastAsia="Times New Roman" w:hAnsi="Times New Roman"/>
          <w:sz w:val="22"/>
          <w:szCs w:val="22"/>
          <w:color w:val="auto"/>
        </w:rPr>
        <w:t xml:space="preserve">. The stock options, stock appreciation rights, restricted stock awards, restricted stock units, and other equity-based or long-term cash-based awards held by Executive that are subject only to service or time-based vesting conditions (and not performance-based vesting conditions) [and that would have vested during the 12-month period following Executive’s termination], as set forth on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hereto, will vest as</w:t>
      </w:r>
    </w:p>
    <w:p>
      <w:pPr>
        <w:sectPr>
          <w:pgSz w:w="11900" w:h="16838" w:orient="portrait"/>
          <w:cols w:equalWidth="0" w:num="1">
            <w:col w:w="11240"/>
          </w:cols>
          <w:pgMar w:left="320" w:top="1404" w:right="339" w:bottom="1440" w:gutter="0" w:footer="0" w:header="0"/>
        </w:sectPr>
      </w:pPr>
    </w:p>
    <w:bookmarkStart w:id="123" w:name="page124"/>
    <w:bookmarkEnd w:id="123"/>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 xml:space="preserve">of the day immediately preceding the Separation Date. [The unvested equity-based or long-term cash-based awards held by Executive that are subject to performance-based vesting conditions, as set forth on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hereto, shall become vested on a prorated basis, based on the portion of the performance period that has elapsed prior to the Separation Date, determined in accordance with the Corporation’s administrative practices, and shall be paid at the time such award would have been paid to Executive had he or she remained employed through the end of the applicable performance period, based on actual performance during such performance period.] All stock options or stock appreciation rights held by Executive shall remain exercisable until the earlier of 24 months after the Separation Date or their original expiration date. Notwithstanding the foregoing, in the event an equity-based or long-term cash-based award agreement or the plan pursuant to which an equity-based or long-term cash-based award was granted provides for more favorable treatment of such awards upon a Change in Control or Executive’s termination of employment, nothing in this Agreement or the Plan is intended to limit Executive’s right to such more favorable treatment as provided in such award agreement or plan.</w:t>
      </w:r>
    </w:p>
    <w:p>
      <w:pPr>
        <w:spacing w:after="0" w:line="211" w:lineRule="exact"/>
        <w:rPr>
          <w:sz w:val="20"/>
          <w:szCs w:val="20"/>
          <w:color w:val="auto"/>
        </w:rPr>
      </w:pPr>
    </w:p>
    <w:p>
      <w:pPr>
        <w:jc w:val="both"/>
        <w:ind w:left="1300" w:right="20" w:hanging="320"/>
        <w:spacing w:after="0" w:line="244" w:lineRule="auto"/>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 Services</w:t>
      </w:r>
      <w:r>
        <w:rPr>
          <w:rFonts w:ascii="Times New Roman" w:cs="Times New Roman" w:eastAsia="Times New Roman" w:hAnsi="Times New Roman"/>
          <w:sz w:val="22"/>
          <w:szCs w:val="22"/>
          <w:color w:val="auto"/>
        </w:rPr>
        <w:t>: The Corporation shall provide standard outplacement services at the expense of the Corporation from an outplacement firm selected by the Corporation. In order to receive outplacement services, Executive must begin utilizing the services within 90 days of the Separation Date.</w:t>
      </w:r>
    </w:p>
    <w:p>
      <w:pPr>
        <w:spacing w:after="0" w:line="19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benefits described in (a) through (d) of this Paragraph constitute the “</w:t>
      </w:r>
      <w:r>
        <w:rPr>
          <w:rFonts w:ascii="Times New Roman" w:cs="Times New Roman" w:eastAsia="Times New Roman" w:hAnsi="Times New Roman"/>
          <w:sz w:val="22"/>
          <w:szCs w:val="22"/>
          <w:b w:val="1"/>
          <w:bCs w:val="1"/>
          <w:color w:val="auto"/>
        </w:rPr>
        <w:t>Separation Benefits</w:t>
      </w:r>
      <w:r>
        <w:rPr>
          <w:rFonts w:ascii="Times New Roman" w:cs="Times New Roman" w:eastAsia="Times New Roman" w:hAnsi="Times New Roman"/>
          <w:sz w:val="22"/>
          <w:szCs w:val="22"/>
          <w:color w:val="auto"/>
        </w:rPr>
        <w:t>” payable under the Plan. Executive agrees to indemnify and hold the Corporation harmless from and against any potential or actual actions, suits, proceedings, claims, and demands for any non-payment of taxes by Executive. In addition to the Separation Benefits set forth above, Executive will receive all Accrued Obligations and Other Benefits, as defined in the Plan, separate and apart from this Agreement.</w:t>
      </w:r>
    </w:p>
    <w:p>
      <w:pPr>
        <w:spacing w:after="0" w:line="205" w:lineRule="exact"/>
        <w:rPr>
          <w:sz w:val="20"/>
          <w:szCs w:val="20"/>
          <w:color w:val="auto"/>
        </w:rPr>
      </w:pPr>
    </w:p>
    <w:p>
      <w:pPr>
        <w:jc w:val="both"/>
        <w:ind w:left="660" w:hanging="328"/>
        <w:spacing w:after="0" w:line="239"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Consideration</w:t>
      </w:r>
      <w:r>
        <w:rPr>
          <w:rFonts w:ascii="Times New Roman" w:cs="Times New Roman" w:eastAsia="Times New Roman" w:hAnsi="Times New Roman"/>
          <w:sz w:val="22"/>
          <w:szCs w:val="22"/>
          <w:color w:val="auto"/>
        </w:rPr>
        <w:t>. The Parties hereto acknowledge and agree that Executive's right to be paid the Separation Benefits identified in Paragraph 2 is expressly conditioned on Executive signing this Agreement and not thereafter revoking this Agreement. The Parties further acknowledge and agree that the mutual promises and covenants contained herein constitute good, valid, and sufficient consideration for this Agreement.</w:t>
      </w:r>
    </w:p>
    <w:p>
      <w:pPr>
        <w:spacing w:after="0" w:line="207"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Unvested Equity</w:t>
      </w:r>
      <w:r>
        <w:rPr>
          <w:rFonts w:ascii="Times New Roman" w:cs="Times New Roman" w:eastAsia="Times New Roman" w:hAnsi="Times New Roman"/>
          <w:sz w:val="22"/>
          <w:szCs w:val="22"/>
          <w:color w:val="auto"/>
        </w:rPr>
        <w:t>. Except as set forth in Paragraph 2 above, Executive is not entitled to any unvested stock options, stock appreciation rights, restricted stock awards, restricted stock units, and any other equity or cash-based awards held by Executive as of the Separation Date.</w:t>
      </w:r>
    </w:p>
    <w:p>
      <w:pPr>
        <w:spacing w:after="0" w:line="186"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Corporation Property</w:t>
      </w:r>
      <w:r>
        <w:rPr>
          <w:rFonts w:ascii="Times New Roman" w:cs="Times New Roman" w:eastAsia="Times New Roman" w:hAnsi="Times New Roman"/>
          <w:sz w:val="22"/>
          <w:szCs w:val="22"/>
          <w:color w:val="auto"/>
        </w:rPr>
        <w:t>. Executive covenants, represents, and warrants to the Corporation that by the Separation Date, Executive will return to the Corporation any and all materials and property of the Corporation of any type whatsoever (including, without limitation, any vehicles and vehicles’ keys, mobile phones, office or other keys, access cards, identification badges, computer equipment, correspondence, tangible proprietary information or intellectual property, documents, records, notes, contracts, and other confidential or proprietary materials) that are in Executive's possession or control.</w:t>
      </w:r>
    </w:p>
    <w:p>
      <w:pPr>
        <w:sectPr>
          <w:pgSz w:w="11900" w:h="16838" w:orient="portrait"/>
          <w:cols w:equalWidth="0" w:num="1">
            <w:col w:w="11240"/>
          </w:cols>
          <w:pgMar w:left="320" w:top="1408" w:right="339" w:bottom="1440" w:gutter="0" w:footer="0" w:header="0"/>
        </w:sectPr>
      </w:pPr>
    </w:p>
    <w:bookmarkStart w:id="124" w:name="page125"/>
    <w:bookmarkEnd w:id="124"/>
    <w:p>
      <w:pPr>
        <w:spacing w:after="0" w:line="212" w:lineRule="exact"/>
        <w:rPr>
          <w:sz w:val="20"/>
          <w:szCs w:val="20"/>
          <w:color w:val="auto"/>
        </w:rPr>
      </w:pPr>
    </w:p>
    <w:p>
      <w:pPr>
        <w:ind w:left="652" w:hanging="328"/>
        <w:spacing w:after="0"/>
        <w:tabs>
          <w:tab w:leader="none" w:pos="65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33" w:lineRule="exact"/>
        <w:rPr>
          <w:rFonts w:ascii="Times New Roman" w:cs="Times New Roman" w:eastAsia="Times New Roman" w:hAnsi="Times New Roman"/>
          <w:sz w:val="22"/>
          <w:szCs w:val="22"/>
          <w:color w:val="auto"/>
        </w:rPr>
      </w:pPr>
    </w:p>
    <w:p>
      <w:pPr>
        <w:jc w:val="both"/>
        <w:ind w:left="-8" w:firstLine="8"/>
        <w:spacing w:after="0" w:line="231" w:lineRule="auto"/>
        <w:tabs>
          <w:tab w:leader="none" w:pos="29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during the term of Executive’s employment with the Corporation, Executive has had access to material intellectual property, trade secrets, proprietary, and confidential information of the Corporation including, but not limited to, information concerning the Corporation’s services; products; product formulas; recipes; business models; marketing; employees; franchisees; technology; consultants and experts; customer, dealer, vendor, and partner data including history, usage, pricing, preferences, incentives, and rebate data for each; business plans, records, and affairs; business partners; methods of doing business; merchandising concepts, strategies, and plans; financial matters; pricing information; trade secrets; and suppliers, as well as other information including, but not limited to, information learned by Executive from employees, contractors, or agents of the Corporation through inspection of the Corporation's premises or financial statements, or that relates to the Corporation's products, services, packaging, designs, business plans, business opportunities, customers, dealers, clients, consultants, experts, finances, research, development, know-how, personnel, litigation, workouts, or third-party confidential information disclosed to Executive by the Corporation, together with any material prepared by Executive which contains or otherwise relates to such information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Notwithstanding the forgoing, the following information shall be excluded from the above-referenced definition of Confidential Information: any item of Confidential Information which: (i) was publicly known at the time of its disclosure by the Corporation to Executive; (ii) was already in the Executive’s possession at the time of its disclosure by the Corporation to Executive; (iii) was lawfully received by Executive from a third party without violation of any obligation of confidentiality to the Corporation; (iv) becomes publicly known through no fault of the Executive; (v) is approved for Executive’s disclosure by written authorization of the Corporation; or (vi) is required to be disclosed pursuant to any applicable law, rule, regulation, or order of a court.</w:t>
      </w:r>
    </w:p>
    <w:p>
      <w:pPr>
        <w:spacing w:after="0" w:line="207" w:lineRule="exact"/>
        <w:rPr>
          <w:rFonts w:ascii="Times New Roman" w:cs="Times New Roman" w:eastAsia="Times New Roman" w:hAnsi="Times New Roman"/>
          <w:sz w:val="22"/>
          <w:szCs w:val="22"/>
          <w:color w:val="auto"/>
        </w:rPr>
      </w:pPr>
    </w:p>
    <w:p>
      <w:pPr>
        <w:jc w:val="both"/>
        <w:ind w:left="-8" w:firstLine="656"/>
        <w:spacing w:after="0" w:line="238" w:lineRule="auto"/>
        <w:tabs>
          <w:tab w:leader="none" w:pos="986"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represents, warrants, and covenants that Executive shall not use or disclose any Confidential Information and shall refrain from any action or conduct which might reasonably or foreseeably be expected to compromise the confidentiality or proprietary nature of Confidential Information. Further, Executive hereby represents, warrants, and covenants that Executive will not use Confidential Information in a manner that is adverse to the interests of the Corporation or in any manner not otherwise sanctioned by law, without prior written approval of the Corporation in each instance.</w:t>
      </w:r>
    </w:p>
    <w:p>
      <w:pPr>
        <w:spacing w:after="0" w:line="203" w:lineRule="exact"/>
        <w:rPr>
          <w:rFonts w:ascii="Times New Roman" w:cs="Times New Roman" w:eastAsia="Times New Roman" w:hAnsi="Times New Roman"/>
          <w:sz w:val="22"/>
          <w:szCs w:val="22"/>
          <w:color w:val="auto"/>
        </w:rPr>
      </w:pPr>
    </w:p>
    <w:p>
      <w:pPr>
        <w:jc w:val="both"/>
        <w:ind w:left="-8" w:firstLine="656"/>
        <w:spacing w:after="0" w:line="233" w:lineRule="auto"/>
        <w:tabs>
          <w:tab w:leader="none" w:pos="97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breach of the covenants in this Paragraph 6 will irreparably harm the Corporation for which the Corporation may not have an adequate remedy at law. As such, Executive agrees that the Corporation shall be entitled to any proper injunction including, but not limited to, temporary, preliminary, final injunctions, temporary restraining orders, and temporary protective orders, to enforce said covenants in the event of breach or threatened breach by Executive, in addition to any other remedies available to the Corporation at law or in equity. Executive further agrees that no bond or other security shall be required in obtaining such equitable relief and hereby agrees to comply with an order of a court of competent jurisdiction, issuing such injunction and ordering specific performance thereof. The covenants contained in this Agreement are independent of any other obligations between the Parties, and the existence of any other claim or cause of action against the Corporation is not a defense to enforcement of said covenants by injunction.</w:t>
      </w:r>
    </w:p>
    <w:p>
      <w:pPr>
        <w:sectPr>
          <w:pgSz w:w="11900" w:h="16838" w:orient="portrait"/>
          <w:cols w:equalWidth="0" w:num="1">
            <w:col w:w="11232"/>
          </w:cols>
          <w:pgMar w:left="328" w:top="1440" w:right="339" w:bottom="1440" w:gutter="0" w:footer="0" w:header="0"/>
        </w:sectPr>
      </w:pPr>
    </w:p>
    <w:bookmarkStart w:id="125" w:name="page126"/>
    <w:bookmarkEnd w:id="125"/>
    <w:p>
      <w:pPr>
        <w:spacing w:after="0" w:line="212" w:lineRule="exact"/>
        <w:rPr>
          <w:sz w:val="20"/>
          <w:szCs w:val="20"/>
          <w:color w:val="auto"/>
        </w:rPr>
      </w:pPr>
    </w:p>
    <w:p>
      <w:pPr>
        <w:ind w:left="652" w:hanging="328"/>
        <w:spacing w:after="0"/>
        <w:tabs>
          <w:tab w:leader="none" w:pos="65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Separation Agreement; Non-Disparagement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 w:firstLine="8"/>
        <w:spacing w:after="0" w:line="239" w:lineRule="auto"/>
        <w:tabs>
          <w:tab w:leader="none" w:pos="31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keep the terms of this Agreement (including, but not limited to, the Separation Benefits) completely confidential and that Executive will not disclose any information concerning this Agreement or its terms to anyone other than Executive’s immediate family, legal counsel, and/or financial advisors, who will be informed of and bound by this confidentiality clause, or in response to a subpoena issued by a court of competent jurisdiction or as otherwise required by law.</w:t>
      </w:r>
    </w:p>
    <w:p>
      <w:pPr>
        <w:spacing w:after="0" w:line="207"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disparage the Corporation, its officers, directors, independent contractors, and employees.</w:t>
      </w:r>
    </w:p>
    <w:p>
      <w:pPr>
        <w:spacing w:after="0" w:line="219" w:lineRule="exact"/>
        <w:rPr>
          <w:rFonts w:ascii="Times New Roman" w:cs="Times New Roman" w:eastAsia="Times New Roman" w:hAnsi="Times New Roman"/>
          <w:sz w:val="22"/>
          <w:szCs w:val="22"/>
          <w:color w:val="auto"/>
        </w:rPr>
      </w:pPr>
    </w:p>
    <w:p>
      <w:pPr>
        <w:ind w:left="-8" w:firstLine="656"/>
        <w:spacing w:after="0" w:line="258" w:lineRule="auto"/>
        <w:tabs>
          <w:tab w:leader="none" w:pos="947"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respond to requests for information from prospective employers by stating Executive's dates of employment and position held.</w:t>
      </w:r>
    </w:p>
    <w:p>
      <w:pPr>
        <w:spacing w:after="0" w:line="185" w:lineRule="exact"/>
        <w:rPr>
          <w:rFonts w:ascii="Times New Roman" w:cs="Times New Roman" w:eastAsia="Times New Roman" w:hAnsi="Times New Roman"/>
          <w:sz w:val="22"/>
          <w:szCs w:val="22"/>
          <w:color w:val="auto"/>
        </w:rPr>
      </w:pPr>
    </w:p>
    <w:p>
      <w:pPr>
        <w:jc w:val="both"/>
        <w:ind w:left="-8" w:firstLine="656"/>
        <w:spacing w:after="0" w:line="236" w:lineRule="auto"/>
        <w:tabs>
          <w:tab w:leader="none" w:pos="959"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prevents Executive from discussing or disclosing information about unlawful acts in the workplace, such as harassment, discrimination, or retaliation or any other conduct that Executive has reason to believe is unlawful (“</w:t>
      </w:r>
      <w:r>
        <w:rPr>
          <w:rFonts w:ascii="Times New Roman" w:cs="Times New Roman" w:eastAsia="Times New Roman" w:hAnsi="Times New Roman"/>
          <w:sz w:val="22"/>
          <w:szCs w:val="22"/>
          <w:b w:val="1"/>
          <w:bCs w:val="1"/>
          <w:color w:val="auto"/>
        </w:rPr>
        <w:t>Underlying Claim</w:t>
      </w:r>
      <w:r>
        <w:rPr>
          <w:rFonts w:ascii="Times New Roman" w:cs="Times New Roman" w:eastAsia="Times New Roman" w:hAnsi="Times New Roman"/>
          <w:sz w:val="22"/>
          <w:szCs w:val="22"/>
          <w:color w:val="auto"/>
        </w:rPr>
        <w:t>”) unless: (1) the purpose of this Agreement is to resolve an Underlying Claim that has been filed by Executive in court, before an administrative agency, in an alternative dispute resolution forum, or through the Corporation’s internal complaint process; and (2) Executive was given notice and an opportunity to retain an attorney or was represented by an attorney.</w:t>
      </w:r>
    </w:p>
    <w:p>
      <w:pPr>
        <w:spacing w:after="0" w:line="208" w:lineRule="exact"/>
        <w:rPr>
          <w:rFonts w:ascii="Times New Roman" w:cs="Times New Roman" w:eastAsia="Times New Roman" w:hAnsi="Times New Roman"/>
          <w:sz w:val="22"/>
          <w:szCs w:val="22"/>
          <w:color w:val="auto"/>
        </w:rPr>
      </w:pPr>
    </w:p>
    <w:p>
      <w:pPr>
        <w:jc w:val="both"/>
        <w:ind w:left="652" w:hanging="328"/>
        <w:spacing w:after="0" w:line="249" w:lineRule="auto"/>
        <w:tabs>
          <w:tab w:leader="none" w:pos="652"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of Claims</w:t>
      </w:r>
      <w:r>
        <w:rPr>
          <w:rFonts w:ascii="Times New Roman" w:cs="Times New Roman" w:eastAsia="Times New Roman" w:hAnsi="Times New Roman"/>
          <w:sz w:val="21"/>
          <w:szCs w:val="21"/>
          <w:color w:val="auto"/>
        </w:rPr>
        <w:t>. Executive expressly waives any and all claims against the Corporation and releases it including, without limitation, each of its officers, directors, partners, members, stockholders, managers, employees, consultants, agents, insurers, attorneys, parent and subsidiary corporations, and representatives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Releasees</w:t>
      </w:r>
      <w:r>
        <w:rPr>
          <w:rFonts w:ascii="Times New Roman" w:cs="Times New Roman" w:eastAsia="Times New Roman" w:hAnsi="Times New Roman"/>
          <w:sz w:val="21"/>
          <w:szCs w:val="21"/>
          <w:color w:val="auto"/>
        </w:rPr>
        <w:t>"), from any and all claims, demands, lawsuits, causes of action, obligations, and liabilities of whatever kind,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Executive may have or thinks Executive may have against the Corporation Releasees or any of them based upon events or facts arising at any time on or before the Effective Date of this Agreement including, but not limited to, claims that relate to Executive’s employment, compensation, and/or the separation of employment with the Corporation. Executive agrees this General Release of claims includes, but is not limited to, claims for breach of any implied or express contract or covenant; claims for promissory estoppel; claims of entitlement to any pay; claims of wrongful denial of insurance and employee benefits; claims for wrongful termination, public policy violations, defamation, invasion of privacy, fraud, misrepresentation, emotional distress, or other common law or tort matters; claims of harassment, retaliation, or discrimination based on age, race, color, religion, sex, national origin, ancestry, physical or mental disability, legally protected medical condition, genetic information, marital or family status, sexual orientation, gender identity or expression, union activity, military status or veteran status, or any other status protected by law; claims based upon the California or United States Constitutions; any claims based on alleged restrictions on the Corporation’s right to terminate, not to hire or promote employees, or on the Corporation’s ability to change an employee’s compensation or other terms and conditions of employment; and claims based on any federal, state, or local law including,</w:t>
      </w:r>
    </w:p>
    <w:p>
      <w:pPr>
        <w:sectPr>
          <w:pgSz w:w="11900" w:h="16838" w:orient="portrait"/>
          <w:cols w:equalWidth="0" w:num="1">
            <w:col w:w="11232"/>
          </w:cols>
          <w:pgMar w:left="328" w:top="1440" w:right="339" w:bottom="1440" w:gutter="0" w:footer="0" w:header="0"/>
        </w:sectPr>
      </w:pPr>
    </w:p>
    <w:bookmarkStart w:id="126" w:name="page127"/>
    <w:bookmarkEnd w:id="126"/>
    <w:p>
      <w:pPr>
        <w:jc w:val="both"/>
        <w:ind w:left="328"/>
        <w:spacing w:after="0" w:line="239" w:lineRule="auto"/>
        <w:rPr>
          <w:sz w:val="20"/>
          <w:szCs w:val="20"/>
          <w:color w:val="auto"/>
        </w:rPr>
      </w:pPr>
      <w:r>
        <w:rPr>
          <w:rFonts w:ascii="Times New Roman" w:cs="Times New Roman" w:eastAsia="Times New Roman" w:hAnsi="Times New Roman"/>
          <w:sz w:val="22"/>
          <w:szCs w:val="22"/>
          <w:color w:val="auto"/>
        </w:rPr>
        <w:t>without limitation: Title VII of the Civil Rights Act of 1964, as amended; the Civil Rights Act of 1991; the Equal Pay Act, 29 U.S.C. § 206(d)(1); the Americans with Disabilities Act; the Americans with Disabilities Act Amendments Act; the Labor Management Relations Act; the Family and Medical Leave Act; the Employee Retirement Income Security Act; the Worker Adjustment and Retraining Notification Act (“</w:t>
      </w:r>
      <w:r>
        <w:rPr>
          <w:rFonts w:ascii="Times New Roman" w:cs="Times New Roman" w:eastAsia="Times New Roman" w:hAnsi="Times New Roman"/>
          <w:sz w:val="22"/>
          <w:szCs w:val="22"/>
          <w:b w:val="1"/>
          <w:bCs w:val="1"/>
          <w:color w:val="auto"/>
        </w:rPr>
        <w:t>WARN</w:t>
      </w:r>
      <w:r>
        <w:rPr>
          <w:rFonts w:ascii="Times New Roman" w:cs="Times New Roman" w:eastAsia="Times New Roman" w:hAnsi="Times New Roman"/>
          <w:sz w:val="22"/>
          <w:szCs w:val="22"/>
          <w:color w:val="auto"/>
        </w:rPr>
        <w:t>”); the California WARN Act; the California Fair Employment and Housing Act; the California Labor Code; the California Family Rights Act, the California Constitution; the California Industrial Welfare Commission Wage Orders; and the California Government Code, as well as any amendments to those laws. Executive expressly understands that among the various claims and rights being waived by Executive in this Agreement are those arising under the Age Discrimination in Employment Act (“ADEA”), as amended, and in that regard, Executive specifically acknowledges that Executive has read and understands the provisions of Paragraph 11 below before signing this Agreement.</w:t>
      </w:r>
    </w:p>
    <w:p>
      <w:pPr>
        <w:spacing w:after="0" w:line="208" w:lineRule="exact"/>
        <w:rPr>
          <w:sz w:val="20"/>
          <w:szCs w:val="20"/>
          <w:color w:val="auto"/>
        </w:rPr>
      </w:pPr>
    </w:p>
    <w:p>
      <w:pPr>
        <w:jc w:val="both"/>
        <w:ind w:left="328" w:hanging="328"/>
        <w:spacing w:after="0" w:line="250" w:lineRule="auto"/>
        <w:tabs>
          <w:tab w:leader="none" w:pos="32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Exclusions From General Release/Additional Protections</w:t>
      </w:r>
      <w:r>
        <w:rPr>
          <w:rFonts w:ascii="Times New Roman" w:cs="Times New Roman" w:eastAsia="Times New Roman" w:hAnsi="Times New Roman"/>
          <w:sz w:val="21"/>
          <w:szCs w:val="21"/>
          <w:color w:val="auto"/>
        </w:rPr>
        <w:t>. Excluded from the General Release above are: (i) rights and claims which cannot be waived by law including claims for Workers’ Compensation, unemployment compensation, and accrued and vested retirement benefits; (ii) claims arising after the Effective Date of this Agreement; and (iii) claims for breach of the Agreement. Neither the General Release above nor anything else in this Agreement limits Executive’s rights to file a charge with an administrative agency (such as the U.S. Equal Employment Opportunity Commission), provide information to an administrative agency, or participate in an agency investigation. The exclusions and protections contained in this Paragraph 9 override any language to the contrary in any other part of this Agreement. Executive is, however, waiving all rights to receive money or other individual relief in connection with an administrative charge or investigation, regardless of whether that charge or investigation was initiated by Executive, on Executive’s behalf, on behalf of a group or class to which Executive purportedly belongs, or otherwise, provided, however, that Executive may accept bounty money properly awarded by the U.S. Securities and Exchange Commission.</w:t>
      </w:r>
    </w:p>
    <w:p>
      <w:pPr>
        <w:spacing w:after="0" w:line="203" w:lineRule="exact"/>
        <w:rPr>
          <w:rFonts w:ascii="Times New Roman" w:cs="Times New Roman" w:eastAsia="Times New Roman" w:hAnsi="Times New Roman"/>
          <w:sz w:val="21"/>
          <w:szCs w:val="21"/>
          <w:color w:val="auto"/>
        </w:rPr>
      </w:pPr>
    </w:p>
    <w:p>
      <w:pPr>
        <w:jc w:val="both"/>
        <w:ind w:left="328" w:hanging="328"/>
        <w:spacing w:after="0"/>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Unknown Claims</w:t>
      </w:r>
      <w:r>
        <w:rPr>
          <w:rFonts w:ascii="Times New Roman" w:cs="Times New Roman" w:eastAsia="Times New Roman" w:hAnsi="Times New Roman"/>
          <w:sz w:val="22"/>
          <w:szCs w:val="22"/>
          <w:color w:val="auto"/>
        </w:rPr>
        <w:t>. It is the intention of Executive and the Corporation that this Agreement is a General Release which shall be effective as a bar to each and every claim, demand, or cause of action it releases. Executive recognizes that Executive may have some claim, demand, or cause of action against the Corporation that Executive is totally unaware and unsuspecting of which Executive is giving up by execution of the General Release. It is the intention of the Executive in executing this Agreement that it will deprive Executive of each such claim, demand, or cause of action and prevent Executive from asserting it against the Corporation. In furtherance of this intention, Executive expressly waives any rights or benefits conferred by the provisions of Section 1542 of the Civil Code of the State of California (and/or other similar provision(s) of any other jurisdiction), which provides as follows:</w:t>
      </w:r>
    </w:p>
    <w:p>
      <w:pPr>
        <w:spacing w:after="0" w:line="200" w:lineRule="exact"/>
        <w:rPr>
          <w:sz w:val="20"/>
          <w:szCs w:val="20"/>
          <w:color w:val="auto"/>
        </w:rPr>
      </w:pPr>
    </w:p>
    <w:p>
      <w:pPr>
        <w:jc w:val="both"/>
        <w:ind w:left="968"/>
        <w:spacing w:after="0" w:line="246"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his/her settlement with the debtor or released party.”</w:t>
      </w:r>
    </w:p>
    <w:p>
      <w:pPr>
        <w:sectPr>
          <w:pgSz w:w="11900" w:h="16838" w:orient="portrait"/>
          <w:cols w:equalWidth="0" w:num="1">
            <w:col w:w="10908"/>
          </w:cols>
          <w:pgMar w:left="652" w:top="1408" w:right="339" w:bottom="1440" w:gutter="0" w:footer="0" w:header="0"/>
        </w:sectPr>
      </w:pPr>
    </w:p>
    <w:bookmarkStart w:id="127" w:name="page128"/>
    <w:bookmarkEnd w:id="127"/>
    <w:p>
      <w:pPr>
        <w:spacing w:after="0" w:line="212" w:lineRule="exact"/>
        <w:rPr>
          <w:sz w:val="20"/>
          <w:szCs w:val="20"/>
          <w:color w:val="auto"/>
        </w:rPr>
      </w:pPr>
    </w:p>
    <w:p>
      <w:pPr>
        <w:ind w:left="328" w:right="20" w:hanging="328"/>
        <w:spacing w:after="0" w:line="258" w:lineRule="auto"/>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Revocation</w:t>
      </w:r>
      <w:r>
        <w:rPr>
          <w:rFonts w:ascii="Times New Roman" w:cs="Times New Roman" w:eastAsia="Times New Roman" w:hAnsi="Times New Roman"/>
          <w:sz w:val="22"/>
          <w:szCs w:val="22"/>
          <w:color w:val="auto"/>
        </w:rPr>
        <w:t>. In compliance with the Older Workers Benefit Protection Act (P.L. 101-433), Executive does hereby acknowledge and agree as follows:</w:t>
      </w:r>
    </w:p>
    <w:p>
      <w:pPr>
        <w:spacing w:after="0" w:line="198" w:lineRule="exact"/>
        <w:rPr>
          <w:rFonts w:ascii="Times New Roman" w:cs="Times New Roman" w:eastAsia="Times New Roman" w:hAnsi="Times New Roman"/>
          <w:sz w:val="22"/>
          <w:szCs w:val="22"/>
          <w:color w:val="auto"/>
        </w:rPr>
      </w:pPr>
    </w:p>
    <w:p>
      <w:pPr>
        <w:ind w:left="328" w:right="240" w:hanging="4"/>
        <w:spacing w:after="0" w:line="248" w:lineRule="auto"/>
        <w:tabs>
          <w:tab w:leader="none" w:pos="62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this Agreement does not purport to waive rights or claims that may arise from acts or events occurring after the date that this Agreement is executed by the Parties;</w:t>
      </w:r>
    </w:p>
    <w:p>
      <w:pPr>
        <w:ind w:left="328" w:right="20" w:hanging="4"/>
        <w:spacing w:after="0" w:line="231" w:lineRule="auto"/>
        <w:tabs>
          <w:tab w:leader="none" w:pos="63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this Agreement specifically applies to any rights or claims Executive may have against the Corporation under the federal Age Discrimination in Employment Act of 1967, as amended;</w:t>
      </w:r>
    </w:p>
    <w:p>
      <w:pPr>
        <w:spacing w:after="0" w:line="204" w:lineRule="exact"/>
        <w:rPr>
          <w:rFonts w:ascii="Times New Roman" w:cs="Times New Roman" w:eastAsia="Times New Roman" w:hAnsi="Times New Roman"/>
          <w:sz w:val="22"/>
          <w:szCs w:val="22"/>
          <w:color w:val="auto"/>
        </w:rPr>
      </w:pPr>
    </w:p>
    <w:p>
      <w:pPr>
        <w:ind w:left="608" w:hanging="284"/>
        <w:spacing w:after="0"/>
        <w:tabs>
          <w:tab w:leader="none" w:pos="60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consideration provided for in this Agreement is in addition to that to which Executive is already entitled;</w:t>
      </w:r>
    </w:p>
    <w:p>
      <w:pPr>
        <w:spacing w:after="0" w:line="233" w:lineRule="exact"/>
        <w:rPr>
          <w:rFonts w:ascii="Times New Roman" w:cs="Times New Roman" w:eastAsia="Times New Roman" w:hAnsi="Times New Roman"/>
          <w:sz w:val="22"/>
          <w:szCs w:val="22"/>
          <w:color w:val="auto"/>
        </w:rPr>
      </w:pPr>
    </w:p>
    <w:p>
      <w:pPr>
        <w:jc w:val="both"/>
        <w:ind w:left="328" w:hanging="4"/>
        <w:spacing w:after="0" w:line="244" w:lineRule="auto"/>
        <w:tabs>
          <w:tab w:leader="none" w:pos="64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this Agreement shall be revocable by Executive for a 7-day period following execution of this Agreement by Executive. Accordingly, this Agreement shall not become effective or enforceable until the expiration of the 7-day revocation period has occurred without a revocation by Executive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w:t>
      </w:r>
    </w:p>
    <w:p>
      <w:pPr>
        <w:spacing w:after="0" w:line="200" w:lineRule="exact"/>
        <w:rPr>
          <w:rFonts w:ascii="Times New Roman" w:cs="Times New Roman" w:eastAsia="Times New Roman" w:hAnsi="Times New Roman"/>
          <w:sz w:val="22"/>
          <w:szCs w:val="22"/>
          <w:color w:val="auto"/>
        </w:rPr>
      </w:pPr>
    </w:p>
    <w:p>
      <w:pPr>
        <w:jc w:val="both"/>
        <w:ind w:left="328" w:hanging="4"/>
        <w:spacing w:after="0" w:line="233" w:lineRule="auto"/>
        <w:tabs>
          <w:tab w:leader="none" w:pos="62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Executive, having carefully read this Agreement and knowing the contents hereof, freely and voluntarily consents to all the terms and conditions herein, understands the final and binding effect of this Agreement, has been advised of Executive’s right to and has been given a chance to consult with and review this Agreement with an attorney of Executive’s choice prior to signing this Agreement, and has been given a period of 21 days within which to consider whether to sign this Agreement. In the event that Executive chooses to waive this 21-day period, Executive acknowledges that Executive was given a reasonable period of time within which to consider this Agreement and that Executive’s waiver was made freely and voluntarily and without duress or any coercion by any other person, including anyone at the Corporation or the Corporation Releasees.</w:t>
      </w:r>
    </w:p>
    <w:p>
      <w:pPr>
        <w:spacing w:after="0" w:line="208" w:lineRule="exact"/>
        <w:rPr>
          <w:rFonts w:ascii="Times New Roman" w:cs="Times New Roman" w:eastAsia="Times New Roman" w:hAnsi="Times New Roman"/>
          <w:sz w:val="22"/>
          <w:szCs w:val="22"/>
          <w:color w:val="auto"/>
        </w:rPr>
      </w:pPr>
    </w:p>
    <w:p>
      <w:pPr>
        <w:jc w:val="both"/>
        <w:ind w:left="328" w:hanging="328"/>
        <w:spacing w:after="0" w:line="241" w:lineRule="auto"/>
        <w:tabs>
          <w:tab w:leader="none" w:pos="3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Moneys Owed</w:t>
      </w:r>
      <w:r>
        <w:rPr>
          <w:rFonts w:ascii="Times New Roman" w:cs="Times New Roman" w:eastAsia="Times New Roman" w:hAnsi="Times New Roman"/>
          <w:sz w:val="22"/>
          <w:szCs w:val="22"/>
          <w:color w:val="auto"/>
        </w:rPr>
        <w:t>. The Parties acknowledge and agree that the Corporation has paid Executive or shall pay Executive all wages or salary earned, including any accrued but unused or unpaid vacation pay, according to the Corporation’s policy and eligibility requirements, business expenses, and other benefits, if any, to which Executive was entitled during employment through the Separation Date. Executive shall provide the Corporation with final expense report(s) no later than 7 days before the Separation Date, and the Corporation shall reimburse Executive for such expenses, in accordance with the Corporation’s policy. Executive is entitled to this payment regardless of whether Executive signs this Agreement.</w:t>
      </w:r>
    </w:p>
    <w:p>
      <w:pPr>
        <w:spacing w:after="0" w:line="206" w:lineRule="exact"/>
        <w:rPr>
          <w:rFonts w:ascii="Times New Roman" w:cs="Times New Roman" w:eastAsia="Times New Roman" w:hAnsi="Times New Roman"/>
          <w:sz w:val="22"/>
          <w:szCs w:val="22"/>
          <w:color w:val="auto"/>
        </w:rPr>
      </w:pPr>
    </w:p>
    <w:p>
      <w:pPr>
        <w:jc w:val="both"/>
        <w:ind w:left="328" w:hanging="328"/>
        <w:spacing w:after="0" w:line="241" w:lineRule="auto"/>
        <w:tabs>
          <w:tab w:leader="none" w:pos="3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payments made under this Agreement are intended to comply with Section 409A of the Internal Revenue Code of 1986, as amended, and applicable guidance issued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Payments made under this Agreement will be interpreted and construed, to the extent possible, to be distributed in the short-term deferral period, as defined under Treasury Regulation Section 1.409A-1(b)(4), or the separation pay exemption, as provided in Treasury Regulation Section 1.409A-1(b)(9). For purposes of this Agreement, the phrase “</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 means the date in which</w:t>
      </w:r>
    </w:p>
    <w:p>
      <w:pPr>
        <w:sectPr>
          <w:pgSz w:w="11900" w:h="16838" w:orient="portrait"/>
          <w:cols w:equalWidth="0" w:num="1">
            <w:col w:w="10908"/>
          </w:cols>
          <w:pgMar w:left="652" w:top="1440" w:right="339" w:bottom="1440" w:gutter="0" w:footer="0" w:header="0"/>
        </w:sectPr>
      </w:pPr>
    </w:p>
    <w:bookmarkStart w:id="128" w:name="page129"/>
    <w:bookmarkEnd w:id="128"/>
    <w:p>
      <w:pPr>
        <w:jc w:val="both"/>
        <w:ind w:left="328"/>
        <w:spacing w:after="0" w:line="253" w:lineRule="auto"/>
        <w:rPr>
          <w:sz w:val="20"/>
          <w:szCs w:val="20"/>
          <w:color w:val="auto"/>
        </w:rPr>
      </w:pPr>
      <w:r>
        <w:rPr>
          <w:rFonts w:ascii="Times New Roman" w:cs="Times New Roman" w:eastAsia="Times New Roman" w:hAnsi="Times New Roman"/>
          <w:sz w:val="21"/>
          <w:szCs w:val="21"/>
          <w:color w:val="auto"/>
        </w:rPr>
        <w:t>Executive’s “separation from service,” as defined in Treasury Regulation Section 1.409A-1(h), occurred. For purposes of this Agreement, each payment made and benefits provided under this Agreement is hereby designated as a separate payment and will not collectively be treated as a single payment, as provided in Treasury Regulation Section 1.409A-2(b)</w:t>
      </w:r>
    </w:p>
    <w:p>
      <w:pPr>
        <w:spacing w:after="0" w:line="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(2)(iii). Section 11 of the Plan is hereby incorporated herein by reference.</w:t>
      </w:r>
    </w:p>
    <w:p>
      <w:pPr>
        <w:spacing w:after="0" w:line="223" w:lineRule="exact"/>
        <w:rPr>
          <w:sz w:val="20"/>
          <w:szCs w:val="20"/>
          <w:color w:val="auto"/>
        </w:rPr>
      </w:pPr>
    </w:p>
    <w:p>
      <w:pPr>
        <w:jc w:val="both"/>
        <w:ind w:left="328" w:hanging="328"/>
        <w:spacing w:after="0" w:line="244"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xml:space="preserve"> Executive represents and warrants that Executive has made no assignment or other transfer and covenants that Executive will make no assignment or other transfer of any interest in any Claim which Executive may have against the Corporation Releasees, or any of them.</w:t>
      </w:r>
    </w:p>
    <w:p>
      <w:pPr>
        <w:spacing w:after="0" w:line="213" w:lineRule="exact"/>
        <w:rPr>
          <w:rFonts w:ascii="Times New Roman" w:cs="Times New Roman" w:eastAsia="Times New Roman" w:hAnsi="Times New Roman"/>
          <w:sz w:val="22"/>
          <w:szCs w:val="22"/>
          <w:color w:val="auto"/>
        </w:rPr>
      </w:pPr>
    </w:p>
    <w:p>
      <w:pPr>
        <w:jc w:val="both"/>
        <w:ind w:left="328" w:hanging="328"/>
        <w:spacing w:after="0" w:line="253" w:lineRule="auto"/>
        <w:tabs>
          <w:tab w:leader="none" w:pos="32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of Released Parties</w:t>
      </w:r>
      <w:r>
        <w:rPr>
          <w:rFonts w:ascii="Times New Roman" w:cs="Times New Roman" w:eastAsia="Times New Roman" w:hAnsi="Times New Roman"/>
          <w:sz w:val="21"/>
          <w:szCs w:val="21"/>
          <w:color w:val="auto"/>
        </w:rPr>
        <w:t>. Executive agrees to indemnify and hold harmless the Corporation Releasees, and each of them, against any loss, claim, demand, damages, expenses, or any other liability whatsoever, including reasonable attorneys’ fees and costs resulting from: (a) any breach of this release by Executive or Executive’s successors in interest;</w:t>
      </w:r>
    </w:p>
    <w:p>
      <w:pPr>
        <w:spacing w:after="0" w:line="2" w:lineRule="exact"/>
        <w:rPr>
          <w:rFonts w:ascii="Times New Roman" w:cs="Times New Roman" w:eastAsia="Times New Roman" w:hAnsi="Times New Roman"/>
          <w:sz w:val="21"/>
          <w:szCs w:val="21"/>
          <w:color w:val="auto"/>
        </w:rPr>
      </w:pPr>
    </w:p>
    <w:p>
      <w:pPr>
        <w:jc w:val="both"/>
        <w:ind w:left="328"/>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any assignment or transfer, or attempted assignment or transfer, of any claims released hereunder; or (c) any action or proceeding brought by Executive or Executive’s successors in interest, or any other, if such action or proceeding arises out of, is based upon, or is related to any claims, demands, or causes of action released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indemnification provision shall not apply to any challenge by Executive of the release of claims under the ADEA, Title VII, or similar discrimination laws, and any right of the released Parties to recover reasonable attorneys’ fees and/or expenses for such breach shall be governed by applicable law. It is the intention of the Parties that this indemnity does not require payment as a condition precedent to recovery by any of the Corporation Releasees under this indemnity</w:t>
      </w:r>
    </w:p>
    <w:p>
      <w:pPr>
        <w:spacing w:after="0" w:line="213" w:lineRule="exact"/>
        <w:rPr>
          <w:rFonts w:ascii="Times New Roman" w:cs="Times New Roman" w:eastAsia="Times New Roman" w:hAnsi="Times New Roman"/>
          <w:sz w:val="21"/>
          <w:szCs w:val="21"/>
          <w:color w:val="auto"/>
        </w:rPr>
      </w:pPr>
    </w:p>
    <w:p>
      <w:pPr>
        <w:jc w:val="both"/>
        <w:ind w:left="328" w:hanging="328"/>
        <w:spacing w:after="0" w:line="244"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On-the-Job Injury</w:t>
      </w:r>
      <w:r>
        <w:rPr>
          <w:rFonts w:ascii="Times New Roman" w:cs="Times New Roman" w:eastAsia="Times New Roman" w:hAnsi="Times New Roman"/>
          <w:sz w:val="22"/>
          <w:szCs w:val="22"/>
          <w:color w:val="auto"/>
        </w:rPr>
        <w:t>. Executive represents and warrants that Executive has not experienced a job-related illness or injury during employment with the Corporation for which Executive has not already filed a claim and that Executive has disclosed to the Corporation any pending or previously filed claim relating to an on-the-job injury or illness.</w:t>
      </w:r>
    </w:p>
    <w:p>
      <w:pPr>
        <w:spacing w:after="0" w:line="209" w:lineRule="exact"/>
        <w:rPr>
          <w:rFonts w:ascii="Times New Roman" w:cs="Times New Roman" w:eastAsia="Times New Roman" w:hAnsi="Times New Roman"/>
          <w:sz w:val="22"/>
          <w:szCs w:val="22"/>
          <w:color w:val="auto"/>
        </w:rPr>
      </w:pPr>
    </w:p>
    <w:p>
      <w:pPr>
        <w:jc w:val="both"/>
        <w:ind w:left="328" w:hanging="328"/>
        <w:spacing w:after="0" w:line="251" w:lineRule="auto"/>
        <w:tabs>
          <w:tab w:leader="none" w:pos="32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Executive agrees to cooperate fully with the Corporation and its subsidiaries and affiliates in the defense or prosecution of any claims or actions now in existence or which may be brought in the future against or on behalf of the Corporation or its subsidiaries or affiliates which relate to events or occurrences that transpired while Executive was employed by the Corporation; and in connection with any investigation or review by any federal, state, or local regulatory, quasi-regulatory, or self-governing authority (including, without limitation, the Securities and Exchange Commission) as any such investigation or review relates to events or occurrences that transpired while Executive was employed by the Corporation. Executive’s full cooperation shall include, but not be limited to, being available to meet and speak with officers or employees of the Corporation and/or its counsel at reasonable times and locations, executing accurate and truthful documents, appearing at the Corporation’s request as a witness at depositions, trials, or other proceedings without the necessity of a subpoena, with reasonable advance notice, providing truthful testimony and taking such other actions as may reasonably be requested by of the Corporation and/or its counsel to effectuate the foregoing. In</w:t>
      </w:r>
    </w:p>
    <w:p>
      <w:pPr>
        <w:sectPr>
          <w:pgSz w:w="11900" w:h="16838" w:orient="portrait"/>
          <w:cols w:equalWidth="0" w:num="1">
            <w:col w:w="10908"/>
          </w:cols>
          <w:pgMar w:left="652" w:top="1408" w:right="339" w:bottom="1440" w:gutter="0" w:footer="0" w:header="0"/>
        </w:sectPr>
      </w:pPr>
    </w:p>
    <w:bookmarkStart w:id="129" w:name="page130"/>
    <w:bookmarkEnd w:id="129"/>
    <w:p>
      <w:pPr>
        <w:jc w:val="both"/>
        <w:ind w:left="328"/>
        <w:spacing w:after="0" w:line="255" w:lineRule="auto"/>
        <w:rPr>
          <w:sz w:val="20"/>
          <w:szCs w:val="20"/>
          <w:color w:val="auto"/>
        </w:rPr>
      </w:pPr>
      <w:r>
        <w:rPr>
          <w:rFonts w:ascii="Times New Roman" w:cs="Times New Roman" w:eastAsia="Times New Roman" w:hAnsi="Times New Roman"/>
          <w:sz w:val="21"/>
          <w:szCs w:val="21"/>
          <w:color w:val="auto"/>
        </w:rPr>
        <w:t>requesting such services, the Corporation will consider other commitments that Executive may have at the time of the request, and Executive’s availability and obligations under this Paragraph shall in all instances reasonably be subject to Executive’s other commitments. The Corporation agrees to reimburse Executive for any reasonable, out-of-pocket travel, hotel, and meal expenses incurred in connection with Executive’s performance of obligations pursuant to this Paragraph for which Executive has obtained prior written approval from the Corporation, and the Corporation shall pay Executive $150 per hour for any services performed by Executive at the request of the Corporation pursuant to this Paragraph.</w:t>
      </w:r>
    </w:p>
    <w:p>
      <w:pPr>
        <w:spacing w:after="0" w:line="185" w:lineRule="exact"/>
        <w:rPr>
          <w:sz w:val="20"/>
          <w:szCs w:val="20"/>
          <w:color w:val="auto"/>
        </w:rPr>
      </w:pPr>
    </w:p>
    <w:p>
      <w:pPr>
        <w:jc w:val="both"/>
        <w:ind w:left="328" w:hanging="328"/>
        <w:spacing w:after="0" w:line="239" w:lineRule="auto"/>
        <w:tabs>
          <w:tab w:leader="none" w:pos="3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Truthful Testimony; Notice of Request for Testimony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Nothing in this Agreement is intended to or shall preclude either Party from providing testimony that such Party reasonably and in good faith believes to be truthful in response to a valid subpoena, court order, regulatory request, or other judicial, administrative, or legal process or otherwise as required by law. Executive shall notify the Corporation in writing as promptly as practicable after receiving any such request of the anticipated testimony and at least 10 days prior to providing such testimony (or, if such notice is not possible under the circumstances, with as much prior notice as is possible) to afford the Corporation a reasonable opportunity to challenge the subpoena, court order, or similar legal process. Moreover, nothing in this Agreement shall be construed or applied so as to limit any person from providing candid statements that such Party reasonably and in good faith believes to be truthful to any governmental or regulatory body or any self-regulatory organization.</w:t>
      </w:r>
    </w:p>
    <w:p>
      <w:pPr>
        <w:spacing w:after="0" w:line="220" w:lineRule="exact"/>
        <w:rPr>
          <w:rFonts w:ascii="Times New Roman" w:cs="Times New Roman" w:eastAsia="Times New Roman" w:hAnsi="Times New Roman"/>
          <w:sz w:val="22"/>
          <w:szCs w:val="22"/>
          <w:color w:val="auto"/>
        </w:rPr>
      </w:pPr>
    </w:p>
    <w:p>
      <w:pPr>
        <w:jc w:val="both"/>
        <w:ind w:left="328" w:hanging="328"/>
        <w:spacing w:after="0"/>
        <w:tabs>
          <w:tab w:leader="none" w:pos="3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a period of two years following the Separation Date, Executive will not, directly or indirectly, whether as owner, partner, shareholder, consultant, agent, employee, co-venturer, or otherwise, or through any other “person” (which, for the purposes of this Paragraph, shall mean an individual, a corporation, a partnership, an association, a joint-stock company, a trust, any unincorporated organization, or a government or political subdivision thereof): (1) solicit, encourage, or assist any employee of the Corporation or any affiliate of the Corporation to terminate his or her relationship with the Corporation or any affiliate of the Corporation; or (2) request or cause customers, suppliers, or other parties with whom the Corporation or any of its affiliates has a business relationship to cancel or terminate any such business relationship with the Corporation or any of its affiliates.</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53" w:lineRule="auto"/>
        <w:tabs>
          <w:tab w:leader="none" w:pos="32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Indemnification</w:t>
      </w:r>
      <w:r>
        <w:rPr>
          <w:rFonts w:ascii="Times New Roman" w:cs="Times New Roman" w:eastAsia="Times New Roman" w:hAnsi="Times New Roman"/>
          <w:sz w:val="21"/>
          <w:szCs w:val="21"/>
          <w:color w:val="auto"/>
        </w:rPr>
        <w:t>. It is understood between the Parties that Executive has not relied upon any representation, express or implied, made by the Corporation or any of its representatives as to the tax consequences of this Agreement and that Executive releases the Corporation Releasees from any and all liability in connection with any such tax consequences. The Corporation’s payments to Executive described above in Paragraph 2 represent a compromise of any and all of Executive’s known or unknown claims against the Corporation Releasees. Executive agrees that any liability for state or federal income tax payments or penalties arising from said payments shall be Executive’s sole responsibility. Executive agrees to indemnify and to hold harmless the Corporation Releasees from any and all actions, claims, or demands brought by any tax or other authority based upon Executive’s tax obligations arising from payments to be made</w:t>
      </w:r>
    </w:p>
    <w:p>
      <w:pPr>
        <w:sectPr>
          <w:pgSz w:w="11900" w:h="16838" w:orient="portrait"/>
          <w:cols w:equalWidth="0" w:num="1">
            <w:col w:w="10908"/>
          </w:cols>
          <w:pgMar w:left="652" w:top="1408" w:right="339" w:bottom="1440" w:gutter="0" w:footer="0" w:header="0"/>
        </w:sectPr>
      </w:pPr>
    </w:p>
    <w:bookmarkStart w:id="130" w:name="page131"/>
    <w:bookmarkEnd w:id="130"/>
    <w:p>
      <w:pPr>
        <w:jc w:val="both"/>
        <w:ind w:left="328"/>
        <w:spacing w:after="0" w:line="250" w:lineRule="auto"/>
        <w:rPr>
          <w:sz w:val="20"/>
          <w:szCs w:val="20"/>
          <w:color w:val="auto"/>
        </w:rPr>
      </w:pPr>
      <w:r>
        <w:rPr>
          <w:rFonts w:ascii="Times New Roman" w:cs="Times New Roman" w:eastAsia="Times New Roman" w:hAnsi="Times New Roman"/>
          <w:sz w:val="22"/>
          <w:szCs w:val="22"/>
          <w:color w:val="auto"/>
        </w:rPr>
        <w:t>pursuant to this Agreement, and Executive agrees specifically to reimburse the Corporation for any taxes, interest, and penalties paid by the Corporation and for the costs, legal fees, and any other expenses incurred by the Corporation as a result of any such actions, claims, or demands.</w:t>
      </w:r>
    </w:p>
    <w:p>
      <w:pPr>
        <w:spacing w:after="0" w:line="195" w:lineRule="exact"/>
        <w:rPr>
          <w:sz w:val="20"/>
          <w:szCs w:val="20"/>
          <w:color w:val="auto"/>
        </w:rPr>
      </w:pPr>
    </w:p>
    <w:p>
      <w:pPr>
        <w:jc w:val="both"/>
        <w:ind w:left="328" w:hanging="328"/>
        <w:spacing w:after="0" w:line="238"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xml:space="preserve">. Except for an action for injunctive relief to enforce the terms of this Agreement, any dispute concerning the application of this Agreement, and any other dispute from time to time between Executive and the Corporation, shall be settled by arbitration, to take place in Los Angeles, California before an arbitrator selected by the Parties. Any arbitration shall be in accordance with and under the auspices and rules of the Judicial Arbitration and Mediation Services, Inc. (“JAMS”) for the resolution of disputes. The arbitration shall be held in accordance with the JAMS then current Arbitration Rules &amp; Procedures (and no other JAMS rules), which currently are available at </w:t>
      </w:r>
      <w:r>
        <w:rPr>
          <w:rFonts w:ascii="Times New Roman" w:cs="Times New Roman" w:eastAsia="Times New Roman" w:hAnsi="Times New Roman"/>
          <w:sz w:val="22"/>
          <w:szCs w:val="22"/>
          <w:color w:val="0563C1"/>
        </w:rPr>
        <w:t>https://www.jamsadr.com/rules-comprehensive-arbitration/</w:t>
      </w:r>
      <w:r>
        <w:rPr>
          <w:rFonts w:ascii="Times New Roman" w:cs="Times New Roman" w:eastAsia="Times New Roman" w:hAnsi="Times New Roman"/>
          <w:sz w:val="22"/>
          <w:szCs w:val="22"/>
          <w:color w:val="000000"/>
        </w:rPr>
        <w:t>. Unless otherwise provided by law, the Parties will each share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50% of the arbitration costs and fees. The decision of the arbitrator shall be final and conclusive, and the Parties waive the right to trial de novo or appeal.</w:t>
      </w:r>
    </w:p>
    <w:p>
      <w:pPr>
        <w:spacing w:after="0" w:line="226" w:lineRule="exact"/>
        <w:rPr>
          <w:rFonts w:ascii="Times New Roman" w:cs="Times New Roman" w:eastAsia="Times New Roman" w:hAnsi="Times New Roman"/>
          <w:sz w:val="22"/>
          <w:szCs w:val="22"/>
          <w:color w:val="auto"/>
        </w:rPr>
      </w:pPr>
    </w:p>
    <w:p>
      <w:pPr>
        <w:jc w:val="both"/>
        <w:ind w:left="328" w:hanging="328"/>
        <w:spacing w:after="0" w:line="244"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This Agreement shall be binding upon each Party and its and his or her heirs, administrators, representatives, executors, successors, and assigns and shall inure to the benefit of the Corporation Releasees and each of them and to their heirs, administrators, representatives, executors, successors, and assigns.</w:t>
      </w:r>
    </w:p>
    <w:p>
      <w:pPr>
        <w:spacing w:after="0" w:line="213" w:lineRule="exact"/>
        <w:rPr>
          <w:rFonts w:ascii="Times New Roman" w:cs="Times New Roman" w:eastAsia="Times New Roman" w:hAnsi="Times New Roman"/>
          <w:sz w:val="22"/>
          <w:szCs w:val="22"/>
          <w:color w:val="auto"/>
        </w:rPr>
      </w:pPr>
    </w:p>
    <w:p>
      <w:pPr>
        <w:jc w:val="both"/>
        <w:ind w:left="328" w:hanging="328"/>
        <w:spacing w:after="0" w:line="241"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 Interpretation</w:t>
      </w:r>
      <w:r>
        <w:rPr>
          <w:rFonts w:ascii="Times New Roman" w:cs="Times New Roman" w:eastAsia="Times New Roman" w:hAnsi="Times New Roman"/>
          <w:sz w:val="22"/>
          <w:szCs w:val="22"/>
          <w:color w:val="auto"/>
        </w:rPr>
        <w:t>. The language of this Agreement shall not be construed for or against any particular Party. The Paragraph headings are inserted as a matter of convenience and in no way define, limit, or describe the scope of such Paragraph or affect the interpretation of this Agreement. The invalidity or enforceability, in whole or in part, of any provision of this Agreement will not affect the validity or enforceability of any other provision. In the event of a conflict or inconsistency between the terms of this Agreement and any other agreement between the Parties, the terms of this Agreement shall control.</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41"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Agreement/Survival</w:t>
      </w:r>
      <w:r>
        <w:rPr>
          <w:rFonts w:ascii="Times New Roman" w:cs="Times New Roman" w:eastAsia="Times New Roman" w:hAnsi="Times New Roman"/>
          <w:sz w:val="22"/>
          <w:szCs w:val="22"/>
          <w:color w:val="auto"/>
        </w:rPr>
        <w:t>. Executive acknowledges that no promises or representations other than those set forth in this Agreement have been made to Executive to induce Executive to sign this Agreement and that Executive only has relied on promises expressly stated herein. This Agreement sets forth the entire understanding between Executive and the Corporation and supersedes any prior agreements or understandings, express or implied, pertaining to the terms of Executive’s employment with the Corporation and the termination of the employment relationship. The provisions of this Agreement shall survive the Separation Date and the termination of Executive’s employment.</w:t>
      </w:r>
    </w:p>
    <w:p>
      <w:pPr>
        <w:spacing w:after="0" w:line="217" w:lineRule="exact"/>
        <w:rPr>
          <w:rFonts w:ascii="Times New Roman" w:cs="Times New Roman" w:eastAsia="Times New Roman" w:hAnsi="Times New Roman"/>
          <w:sz w:val="22"/>
          <w:szCs w:val="22"/>
          <w:color w:val="auto"/>
        </w:rPr>
      </w:pPr>
    </w:p>
    <w:p>
      <w:pPr>
        <w:ind w:left="328" w:right="20" w:hanging="328"/>
        <w:spacing w:after="0" w:line="258"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shall be governed by, and construed and enforced in accordance with, the internal laws of the State of California, without regard to its conflict of laws provisions.</w:t>
      </w:r>
    </w:p>
    <w:p>
      <w:pPr>
        <w:sectPr>
          <w:pgSz w:w="11900" w:h="16838" w:orient="portrait"/>
          <w:cols w:equalWidth="0" w:num="1">
            <w:col w:w="10908"/>
          </w:cols>
          <w:pgMar w:left="652" w:top="1408" w:right="339" w:bottom="1440" w:gutter="0" w:footer="0" w:header="0"/>
        </w:sectPr>
      </w:pPr>
    </w:p>
    <w:bookmarkStart w:id="131" w:name="page132"/>
    <w:bookmarkEnd w:id="131"/>
    <w:p>
      <w:pPr>
        <w:ind w:left="660" w:hanging="328"/>
        <w:spacing w:after="0" w:line="258"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purported waiver of a breach or default will be valid unless specifically stated in writing by the waiving Party. No such waiver waives any subsequent breach or default of the same or any other term in this Agreement.</w:t>
      </w:r>
    </w:p>
    <w:p>
      <w:pPr>
        <w:spacing w:after="0" w:line="198"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Further Amendment</w:t>
      </w:r>
      <w:r>
        <w:rPr>
          <w:rFonts w:ascii="Times New Roman" w:cs="Times New Roman" w:eastAsia="Times New Roman" w:hAnsi="Times New Roman"/>
          <w:sz w:val="22"/>
          <w:szCs w:val="22"/>
          <w:color w:val="auto"/>
        </w:rPr>
        <w:t>. No amendment or modification of this Agreement will be binding unless executed in writing by the Parties or their permitted successors or assigns. No course of conduct or course of performance under this Agreement or any other agreement between the Parties will be deemed to amend or modify this Agreement.</w:t>
      </w:r>
    </w:p>
    <w:p>
      <w:pPr>
        <w:spacing w:after="0" w:line="194" w:lineRule="exact"/>
        <w:rPr>
          <w:rFonts w:ascii="Times New Roman" w:cs="Times New Roman" w:eastAsia="Times New Roman" w:hAnsi="Times New Roman"/>
          <w:sz w:val="22"/>
          <w:szCs w:val="22"/>
          <w:color w:val="auto"/>
        </w:rPr>
      </w:pPr>
    </w:p>
    <w:p>
      <w:pPr>
        <w:jc w:val="both"/>
        <w:ind w:left="660" w:hanging="328"/>
        <w:spacing w:after="0" w:line="241"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xml:space="preserve"> Executive acknowledges and agrees that Executive is solely responsible for paying any attorneys’ fees and costs that Executive has incurred in connection with this matter. The Parties also agree that execution of this Agreement does not make Executive the “substantially prevailing party” or “prevailing party” under any statute or regulation, and Executive agrees not to seek an award of attorneys’ fees or costs from the Corporation in any forum. However, should legal action be necessary to enforce or interpret this Agreement, the prevailing party shall be entitled to reasonable attorneys’ fees and costs.</w:t>
      </w:r>
    </w:p>
    <w:p>
      <w:pPr>
        <w:spacing w:after="0" w:line="203"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any electronic means, each of which shall be deemed an original and all of which, when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right="300" w:hanging="3598"/>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INCLUDES THE RELEASE OF ALL KNOWN AND UNKNOWN CLAIMS.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have executed this Agreement, consisting of 11 pages, including this page, as of the dates indicated below.</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 [Dine Brands International, Inc. / Applebee’s Services, Inc. /</w:t>
      </w:r>
    </w:p>
    <w:p>
      <w:pPr>
        <w:spacing w:after="0" w:line="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International House Of Pancakes, LLC] the “Corporation”</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Its: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w:t>
      </w:r>
    </w:p>
    <w:p>
      <w:pPr>
        <w:spacing w:after="0" w:line="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_______________ the “Executive”</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w:t>
      </w:r>
    </w:p>
    <w:p>
      <w:pPr>
        <w:sectPr>
          <w:pgSz w:w="11900" w:h="16838" w:orient="portrait"/>
          <w:cols w:equalWidth="0" w:num="1">
            <w:col w:w="11240"/>
          </w:cols>
          <w:pgMar w:left="320" w:top="140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EMPLOYMENT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Second Amendment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is made effective as of February 28, 2025, by and between Dine Brands Global,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John W. Peyton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as an amendment to the Employment Agreement between the parties effective November 13, 2020, as amended by that certain Amendment between the parties effective May 15, 2023 (together,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mutually desire to amend the Employment Agreement as set forth herein.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terms and conditions hereof, the Corporation and the Executive hereby agree as follows:</w:t>
      </w:r>
    </w:p>
    <w:p>
      <w:pPr>
        <w:spacing w:after="0" w:line="167" w:lineRule="exact"/>
        <w:rPr>
          <w:sz w:val="20"/>
          <w:szCs w:val="20"/>
          <w:color w:val="auto"/>
        </w:rPr>
      </w:pPr>
    </w:p>
    <w:p>
      <w:pPr>
        <w:ind w:firstLine="656"/>
        <w:spacing w:after="0" w:line="275"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Section 14(b)(iii)</w:t>
      </w:r>
      <w:r>
        <w:rPr>
          <w:rFonts w:ascii="Times New Roman" w:cs="Times New Roman" w:eastAsia="Times New Roman" w:hAnsi="Times New Roman"/>
          <w:sz w:val="22"/>
          <w:szCs w:val="22"/>
          <w:color w:val="auto"/>
        </w:rPr>
        <w:t>. Effective February 28, 2025, Clause (iii) of Subsection b. of Section 14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is hereby amended to read as follows:</w:t>
      </w:r>
    </w:p>
    <w:p>
      <w:pPr>
        <w:spacing w:after="0" w:line="153" w:lineRule="exact"/>
        <w:rPr>
          <w:sz w:val="20"/>
          <w:szCs w:val="20"/>
          <w:color w:val="auto"/>
        </w:rPr>
      </w:pPr>
    </w:p>
    <w:p>
      <w:pPr>
        <w:jc w:val="both"/>
        <w:ind w:left="660" w:right="660" w:firstLine="644"/>
        <w:spacing w:after="0" w:line="249" w:lineRule="auto"/>
        <w:tabs>
          <w:tab w:leader="none" w:pos="189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stock options, stock appreciation rights, restricted stock awards, restricted stock units and any other equity-based or long-term cash-based awards held by the Executive, other than the Make-Good RSUs and Make-Good Option, that are subject only to service or time based vesting conditions (and not performance-based vesting conditions) and that would have vested during the 24-month period following the Executive’s termination will vest as of the day immediately preceding the effective date of termination. Notwithstanding the foregoing, in the event an equity-based or long-term cash-based award agreement or the plan pursuant to which an equity-based or long-term cash-based award was granted provides for more favorable treatment of such awards upon a Change in Control or the Executive’s termination of employment, nothing in this Agreement is intended to limit the Executive’s right to such more favorable treatment as provided in such award agreement or plan, but this Agreement shall supersede any less favorable vesting therein,</w:t>
      </w:r>
    </w:p>
    <w:p>
      <w:pPr>
        <w:spacing w:after="0" w:line="179" w:lineRule="exact"/>
        <w:rPr>
          <w:rFonts w:ascii="Times New Roman" w:cs="Times New Roman" w:eastAsia="Times New Roman" w:hAnsi="Times New Roman"/>
          <w:sz w:val="22"/>
          <w:szCs w:val="22"/>
          <w:color w:val="auto"/>
        </w:rPr>
      </w:pPr>
    </w:p>
    <w:p>
      <w:pPr>
        <w:ind w:right="20" w:firstLine="656"/>
        <w:spacing w:after="0" w:line="275"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Section 14(b)(iv)</w:t>
      </w:r>
      <w:r>
        <w:rPr>
          <w:rFonts w:ascii="Times New Roman" w:cs="Times New Roman" w:eastAsia="Times New Roman" w:hAnsi="Times New Roman"/>
          <w:sz w:val="22"/>
          <w:szCs w:val="22"/>
          <w:color w:val="auto"/>
        </w:rPr>
        <w:t>. Effective February 28, 2025, the following language is added to the 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Clause (iv) of Subsection b. of Section 15 of the Employment Agreement:</w:t>
      </w:r>
    </w:p>
    <w:p>
      <w:pPr>
        <w:spacing w:after="0" w:line="153" w:lineRule="exact"/>
        <w:rPr>
          <w:sz w:val="20"/>
          <w:szCs w:val="20"/>
          <w:color w:val="auto"/>
        </w:rPr>
      </w:pPr>
    </w:p>
    <w:p>
      <w:pPr>
        <w:jc w:val="both"/>
        <w:ind w:left="660" w:right="740"/>
        <w:spacing w:after="0" w:line="268" w:lineRule="auto"/>
        <w:rPr>
          <w:sz w:val="20"/>
          <w:szCs w:val="20"/>
          <w:color w:val="auto"/>
        </w:rPr>
      </w:pPr>
      <w:r>
        <w:rPr>
          <w:rFonts w:ascii="Times New Roman" w:cs="Times New Roman" w:eastAsia="Times New Roman" w:hAnsi="Times New Roman"/>
          <w:sz w:val="21"/>
          <w:szCs w:val="21"/>
          <w:color w:val="auto"/>
        </w:rPr>
        <w:t>Notwithstanding the foregoing, in the event an equity-based or long-term cash-based award agreement or the plan pursuant to which an equity-based or long-term cash-based award was granted provides for more favorable treatment of such awards upon a Change in Control or the Executive’s termination of employment, nothing in this Agreement is intended to limit the Executive’s right to such more favorable treatment as provided in such award agreement or plan, but this Agreement shall supersede any less favorable vesting therein,</w:t>
      </w:r>
    </w:p>
    <w:p>
      <w:pPr>
        <w:spacing w:after="0" w:line="160" w:lineRule="exact"/>
        <w:rPr>
          <w:sz w:val="20"/>
          <w:szCs w:val="20"/>
          <w:color w:val="auto"/>
        </w:rPr>
      </w:pPr>
    </w:p>
    <w:p>
      <w:pPr>
        <w:ind w:firstLine="656"/>
        <w:spacing w:after="0" w:line="275"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Section 15(c)</w:t>
      </w:r>
      <w:r>
        <w:rPr>
          <w:rFonts w:ascii="Times New Roman" w:cs="Times New Roman" w:eastAsia="Times New Roman" w:hAnsi="Times New Roman"/>
          <w:sz w:val="22"/>
          <w:szCs w:val="22"/>
          <w:color w:val="auto"/>
        </w:rPr>
        <w:t>. Effective February 28, 2025, Subsection c. of Section 15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hereby amended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|US-DOCS\157479950.1||</w:t>
      </w:r>
    </w:p>
    <w:p>
      <w:pPr>
        <w:sectPr>
          <w:pgSz w:w="11900" w:h="16838" w:orient="portrait"/>
          <w:cols w:equalWidth="0" w:num="1">
            <w:col w:w="11240"/>
          </w:cols>
          <w:pgMar w:left="320" w:top="1417" w:right="339" w:bottom="1440" w:gutter="0" w:footer="0" w:header="0"/>
        </w:sectPr>
      </w:pPr>
    </w:p>
    <w:bookmarkStart w:id="133" w:name="page134"/>
    <w:bookmarkEnd w:id="133"/>
    <w:p>
      <w:pPr>
        <w:jc w:val="both"/>
        <w:ind w:left="4" w:right="640" w:firstLine="644"/>
        <w:spacing w:after="0" w:line="247" w:lineRule="auto"/>
        <w:tabs>
          <w:tab w:leader="none" w:pos="128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stock options, stock appreciation rights, restricted stock awards, restricted stock units, and other equity-based or long-term cash-based awards held by the Executive (including, without limitation, the Make-Good RSUs and the Make-Good Option) that are subject only to service or time-based vesting conditions (and not performance-based vesting conditions) will vest as of the day immediately preceding the effective date of termination and, to the extent applicable, will become exercisable, and any restrictions or conditions on such equity-based awards shall immediately lapse and be deemed satisfied. Any stock options or stock appreciation rights held by the Executive shall remain exercisable until the earlier of 24 months after the date of termination or their original expiration date. Notwithstanding the foregoing, in the event an equity-based or long-term cash-based award agreement or the plan pursuant to which an equity-based or long-term cash-based award was granted provides for more favorable treatment of such awards upon a Change in Control or the Executive’s termination of employment, nothing in this Agreement is intended to limit the Executive’s right to such more favorable treatment as provided in such award agreement or plan, but this Agreement shall supersede any less favorable vesting therein.</w:t>
      </w:r>
    </w:p>
    <w:p>
      <w:pPr>
        <w:spacing w:after="0" w:line="215" w:lineRule="exact"/>
        <w:rPr>
          <w:rFonts w:ascii="Times New Roman" w:cs="Times New Roman" w:eastAsia="Times New Roman" w:hAnsi="Times New Roman"/>
          <w:sz w:val="22"/>
          <w:szCs w:val="22"/>
          <w:color w:val="auto"/>
        </w:rPr>
      </w:pPr>
    </w:p>
    <w:p>
      <w:pPr>
        <w:ind w:left="-656" w:firstLine="656"/>
        <w:spacing w:after="0" w:line="287" w:lineRule="auto"/>
        <w:tabs>
          <w:tab w:leader="none" w:pos="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of Section 15(d)</w:t>
      </w:r>
      <w:r>
        <w:rPr>
          <w:rFonts w:ascii="Times New Roman" w:cs="Times New Roman" w:eastAsia="Times New Roman" w:hAnsi="Times New Roman"/>
          <w:sz w:val="22"/>
          <w:szCs w:val="22"/>
          <w:color w:val="auto"/>
        </w:rPr>
        <w:t>. Effective February 28, 2025, Subsection d. of Section 15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hereby amended to read as follows:</w:t>
      </w:r>
    </w:p>
    <w:p>
      <w:pPr>
        <w:spacing w:after="0" w:line="141" w:lineRule="exact"/>
        <w:rPr>
          <w:sz w:val="20"/>
          <w:szCs w:val="20"/>
          <w:color w:val="auto"/>
        </w:rPr>
      </w:pPr>
    </w:p>
    <w:p>
      <w:pPr>
        <w:jc w:val="both"/>
        <w:ind w:left="324" w:right="640"/>
        <w:spacing w:after="0" w:line="247" w:lineRule="auto"/>
        <w:rPr>
          <w:sz w:val="20"/>
          <w:szCs w:val="20"/>
          <w:color w:val="auto"/>
        </w:rPr>
      </w:pPr>
      <w:r>
        <w:rPr>
          <w:rFonts w:ascii="Times New Roman" w:cs="Times New Roman" w:eastAsia="Times New Roman" w:hAnsi="Times New Roman"/>
          <w:sz w:val="22"/>
          <w:szCs w:val="22"/>
          <w:color w:val="auto"/>
        </w:rPr>
        <w:t>Upon the occurrence of a Change in Control, the Executive shall, with respect to all outstanding, unvested performance units and any other equity-based and long-term cash-based compensation awards subject to performance-based vesting criteria that are held by the Executive immediately prior to the Change in Control, be deemed to have satisfied any performance-based vesting criteria at the target level of performance, and following the Change in Control any such awards shall continue to vest based upon the time or service-based vesting criteria, if any, to which the award is subject. If the Executive’s employment terminates in accordance with the terms and conditions of this Section 15 after a Change in Control, such performance-based awards shall become immediately and fully vested, and shall be paid to the Executive not later than 30 days after the date of such termination. Notwithstanding the foregoing, in the event an equity-based or long-term cash-based award agreement or the plan pursuant to which an equity-based or long-term cash-based award was granted provides for more favorable treatment of such awards upon a Change in Control or the Executive’s termination of employment, nothing in this Agreement is intended to limit the Executive’s right to such more favorable treatment as provided in such award agreement or plan, but this Agreement shall supersede any less favorable vesting therein.</w:t>
      </w:r>
    </w:p>
    <w:p>
      <w:pPr>
        <w:spacing w:after="0" w:line="212" w:lineRule="exact"/>
        <w:rPr>
          <w:sz w:val="20"/>
          <w:szCs w:val="20"/>
          <w:color w:val="auto"/>
        </w:rPr>
      </w:pPr>
    </w:p>
    <w:p>
      <w:pPr>
        <w:jc w:val="both"/>
        <w:ind w:left="-656" w:firstLine="656"/>
        <w:spacing w:after="0" w:line="265"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The Employment Agreement, as amended by this Second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of the parties and supersedes all prior agreements or understandings, whether written or oral, with respect to the subject matter hereof and all</w:t>
      </w:r>
    </w:p>
    <w:p>
      <w:pPr>
        <w:sectPr>
          <w:pgSz w:w="11900" w:h="16838" w:orient="portrait"/>
          <w:cols w:equalWidth="0" w:num="1">
            <w:col w:w="10584"/>
          </w:cols>
          <w:pgMar w:left="976" w:top="1421" w:right="339" w:bottom="1440" w:gutter="0" w:footer="0" w:header="0"/>
        </w:sectPr>
      </w:pPr>
    </w:p>
    <w:bookmarkStart w:id="134" w:name="page135"/>
    <w:bookmarkEnd w:id="134"/>
    <w:p>
      <w:pPr>
        <w:jc w:val="both"/>
        <w:spacing w:after="0" w:line="256" w:lineRule="auto"/>
        <w:rPr>
          <w:sz w:val="20"/>
          <w:szCs w:val="20"/>
          <w:color w:val="auto"/>
        </w:rPr>
      </w:pPr>
      <w:r>
        <w:rPr>
          <w:rFonts w:ascii="Times New Roman" w:cs="Times New Roman" w:eastAsia="Times New Roman" w:hAnsi="Times New Roman"/>
          <w:sz w:val="22"/>
          <w:szCs w:val="22"/>
          <w:color w:val="auto"/>
        </w:rPr>
        <w:t>agreements, acknowledgments, designations and directions of the Executive made or given under any Corporation policy statement or benefit program. Except as expressly amended herein, all other terms and conditions of the Employment Agreement shall remain unmodified and in full force and effect. No terms, conditions, warranties, other than those contained herein, and no amendments or modifications hereto shall be binding unless made in writing and signed by the parties hereto.</w:t>
      </w:r>
    </w:p>
    <w:p>
      <w:pPr>
        <w:spacing w:after="0" w:line="172" w:lineRule="exact"/>
        <w:rPr>
          <w:sz w:val="20"/>
          <w:szCs w:val="20"/>
          <w:color w:val="auto"/>
        </w:rPr>
      </w:pPr>
    </w:p>
    <w:p>
      <w:pPr>
        <w:jc w:val="both"/>
        <w:ind w:firstLine="656"/>
        <w:spacing w:after="0" w:line="253" w:lineRule="auto"/>
        <w:tabs>
          <w:tab w:leader="none" w:pos="105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Second Amendment shall extend to and be binding upon and inure to the benefit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their respective heirs, representatives, successors and assigns. This Second Amendment may not be assigned by the Executive, but may be assigned by the Corporation to any person or entity that succeeds to the ownership or operation of the business in which the Executive is primarily employed by the Corporation.</w:t>
      </w:r>
    </w:p>
    <w:p>
      <w:pPr>
        <w:spacing w:after="0" w:line="188" w:lineRule="exact"/>
        <w:rPr>
          <w:rFonts w:ascii="Times New Roman" w:cs="Times New Roman" w:eastAsia="Times New Roman" w:hAnsi="Times New Roman"/>
          <w:sz w:val="22"/>
          <w:szCs w:val="22"/>
          <w:color w:val="auto"/>
        </w:rPr>
      </w:pPr>
    </w:p>
    <w:p>
      <w:pPr>
        <w:ind w:firstLine="656"/>
        <w:spacing w:after="0" w:line="299" w:lineRule="auto"/>
        <w:tabs>
          <w:tab w:leader="none" w:pos="103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No purported waiver of a breach or default will be valid unless specifically stated in writing by the waiving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No such waiver waives any subsequent breach or default of the same or any other terms in this Second Amendment.</w:t>
      </w:r>
    </w:p>
    <w:p>
      <w:pPr>
        <w:spacing w:after="0" w:line="127" w:lineRule="exact"/>
        <w:rPr>
          <w:rFonts w:ascii="Times New Roman" w:cs="Times New Roman" w:eastAsia="Times New Roman" w:hAnsi="Times New Roman"/>
          <w:sz w:val="21"/>
          <w:szCs w:val="21"/>
          <w:color w:val="auto"/>
        </w:rPr>
      </w:pPr>
    </w:p>
    <w:p>
      <w:pPr>
        <w:jc w:val="both"/>
        <w:ind w:firstLine="656"/>
        <w:spacing w:after="0" w:line="259" w:lineRule="auto"/>
        <w:tabs>
          <w:tab w:leader="none" w:pos="114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Second Amendment may be executed in any number of counterparts and by any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each of which shall be deemed an original and all of which, when taken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21" w:right="339" w:bottom="1440" w:gutter="0" w:footer="0" w:header="0"/>
        </w:sectPr>
      </w:pPr>
    </w:p>
    <w:bookmarkStart w:id="135" w:name="page136"/>
    <w:bookmarkEnd w:id="135"/>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and the Executive have executed this Second Amendment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73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Dine Brands Global, Inc.:</w:t>
            </w:r>
          </w:p>
        </w:tc>
        <w:tc>
          <w:tcPr>
            <w:tcW w:w="1360" w:type="dxa"/>
            <w:vAlign w:val="bottom"/>
          </w:tcPr>
          <w:p>
            <w:pPr>
              <w:spacing w:after="0"/>
              <w:rPr>
                <w:sz w:val="24"/>
                <w:szCs w:val="24"/>
                <w:color w:val="auto"/>
              </w:rPr>
            </w:pPr>
          </w:p>
        </w:tc>
      </w:tr>
      <w:tr>
        <w:trPr>
          <w:trHeight w:val="433"/>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John W. Peyton</w:t>
            </w:r>
          </w:p>
        </w:tc>
        <w:tc>
          <w:tcPr>
            <w:tcW w:w="734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/s/ Christine K. Son</w:t>
            </w:r>
          </w:p>
        </w:tc>
        <w:tc>
          <w:tcPr>
            <w:tcW w:w="13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79"/>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W. Peyton</w:t>
            </w:r>
          </w:p>
        </w:tc>
        <w:tc>
          <w:tcPr>
            <w:tcW w:w="73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Name: Christine K Son</w:t>
            </w:r>
          </w:p>
        </w:tc>
        <w:tc>
          <w:tcPr>
            <w:tcW w:w="136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2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Title:   Senior Vice President, Legal,</w:t>
            </w:r>
          </w:p>
        </w:tc>
        <w:tc>
          <w:tcPr>
            <w:tcW w:w="13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4"/>
              </w:rPr>
              <w:t>General</w:t>
            </w:r>
          </w:p>
        </w:tc>
      </w:tr>
      <w:tr>
        <w:trPr>
          <w:trHeight w:val="282"/>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40" w:type="dxa"/>
            <w:vAlign w:val="bottom"/>
            <w:gridSpan w:val="2"/>
          </w:tcPr>
          <w:p>
            <w:pPr>
              <w:ind w:left="1320"/>
              <w:spacing w:after="0"/>
              <w:rPr>
                <w:sz w:val="20"/>
                <w:szCs w:val="20"/>
                <w:color w:val="auto"/>
              </w:rPr>
            </w:pPr>
            <w:r>
              <w:rPr>
                <w:rFonts w:ascii="Times New Roman" w:cs="Times New Roman" w:eastAsia="Times New Roman" w:hAnsi="Times New Roman"/>
                <w:sz w:val="22"/>
                <w:szCs w:val="22"/>
                <w:color w:val="auto"/>
              </w:rPr>
              <w:t>Counsel and Secretary</w:t>
            </w:r>
          </w:p>
        </w:tc>
        <w:tc>
          <w:tcPr>
            <w:tcW w:w="1360" w:type="dxa"/>
            <w:vAlign w:val="bottom"/>
          </w:tcPr>
          <w:p>
            <w:pPr>
              <w:spacing w:after="0"/>
              <w:rPr>
                <w:sz w:val="24"/>
                <w:szCs w:val="24"/>
                <w:color w:val="auto"/>
              </w:rPr>
            </w:pPr>
          </w:p>
        </w:tc>
      </w:tr>
    </w:tbl>
    <w:p>
      <w:pPr>
        <w:sectPr>
          <w:pgSz w:w="11900" w:h="16838" w:orient="portrait"/>
          <w:cols w:equalWidth="0" w:num="1">
            <w:col w:w="11120"/>
          </w:cols>
          <w:pgMar w:left="320" w:top="1421" w:right="4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PERFORMANCE AWARD AGREEMENT </w:t>
      </w:r>
      <w:r>
        <w:rPr>
          <w:rFonts w:ascii="Times New Roman" w:cs="Times New Roman" w:eastAsia="Times New Roman" w:hAnsi="Times New Roman"/>
          <w:sz w:val="22"/>
          <w:szCs w:val="22"/>
          <w:color w:val="auto"/>
        </w:rPr>
        <w:t>(the “Agreement”) is entered into as of ___________, by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DINE BRANDS GLOBAL, INC.</w:t>
      </w:r>
      <w:r>
        <w:rPr>
          <w:rFonts w:ascii="Times New Roman" w:cs="Times New Roman" w:eastAsia="Times New Roman" w:hAnsi="Times New Roman"/>
          <w:sz w:val="22"/>
          <w:szCs w:val="22"/>
          <w:color w:val="auto"/>
        </w:rPr>
        <w:t>, a Delaware corporation (the “Company”), and ___________, an employee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(the “Participant”).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capitalized terms not defined herein shall have their respective meanings set forth in the Plan.</w:t>
      </w: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foregoing and of the mutual covenants set forth herein and other good and valuable consideration, the parties hereto agree as follows:</w:t>
      </w:r>
    </w:p>
    <w:p>
      <w:pPr>
        <w:spacing w:after="0" w:line="144" w:lineRule="exact"/>
        <w:rPr>
          <w:sz w:val="20"/>
          <w:szCs w:val="20"/>
          <w:color w:val="auto"/>
        </w:rPr>
      </w:pPr>
    </w:p>
    <w:p>
      <w:pPr>
        <w:jc w:val="both"/>
        <w:ind w:firstLine="656"/>
        <w:spacing w:after="0" w:line="213" w:lineRule="auto"/>
        <w:tabs>
          <w:tab w:leader="none" w:pos="129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 OF PERFORMANCE UNITS</w:t>
      </w:r>
      <w:r>
        <w:rPr>
          <w:rFonts w:ascii="Times New Roman" w:cs="Times New Roman" w:eastAsia="Times New Roman" w:hAnsi="Times New Roman"/>
          <w:sz w:val="22"/>
          <w:szCs w:val="22"/>
          <w:color w:val="auto"/>
        </w:rPr>
        <w:t xml:space="preserve">. Subject to the attainment of the performance goal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Participant is entitled to that number of performance units (“Performance Units”)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subject to the terms and conditions of this Agreement. Each Performance Unit shall have a value of $1.00. Within sixty (60) days following the end of the Performance Period, the Committee shall determine the total number of Performance Units payable pursuant to the Award in accordance with the Performance Unit matrix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the Committee’s determination of the applicable performance level. For purposes of this Agreement, the “Performance Period” means the two-year performance period beginning on January 1, 2025 and ending on December 31, 2026.</w:t>
      </w:r>
    </w:p>
    <w:p>
      <w:pPr>
        <w:spacing w:after="0" w:line="15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AND SETTLEMENT OF PERFORMANCE UNITS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7" w:lineRule="auto"/>
        <w:tabs>
          <w:tab w:leader="none" w:pos="1252"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Service Vesting</w:t>
      </w:r>
      <w:r>
        <w:rPr>
          <w:rFonts w:ascii="Times New Roman" w:cs="Times New Roman" w:eastAsia="Times New Roman" w:hAnsi="Times New Roman"/>
          <w:sz w:val="22"/>
          <w:szCs w:val="22"/>
          <w:color w:val="auto"/>
        </w:rPr>
        <w:t xml:space="preserve">. Except as provided in Sections 2(b), 2(c) and 2(d) below, subject to the Participant’s continuous employment with the Company through the last day of the Performance Period and subject to the certification by the Committee of the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78"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xml:space="preserve">. Except as provided in Section 2(c), if the Participant’s employment with the Company terminates due to Disability or death prior to the last day of the Performance Period, the Participant shall remain eligible to vest in such number of the Performance Units earned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if such termination occurs prior to the last day of the Performance Period but more than twenty-four (24) months following a Change in Control,</w:t>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25" w:lineRule="auto"/>
        <w:rPr>
          <w:sz w:val="20"/>
          <w:szCs w:val="20"/>
          <w:color w:val="auto"/>
        </w:rPr>
      </w:pPr>
      <w:r>
        <w:rPr>
          <w:rFonts w:ascii="Times New Roman" w:cs="Times New Roman" w:eastAsia="Times New Roman" w:hAnsi="Times New Roman"/>
          <w:sz w:val="22"/>
          <w:szCs w:val="22"/>
          <w:color w:val="auto"/>
        </w:rPr>
        <w:t>the CIC Eligible Performance Units), which number of Performance Units shall be prorated based on the portion of the Performance Period that has elapsed prior to the date of termination, at which time such prorated, earned Performance Units will be considered Vested Units.</w:t>
      </w:r>
    </w:p>
    <w:p>
      <w:pPr>
        <w:spacing w:after="0" w:line="153" w:lineRule="exact"/>
        <w:rPr>
          <w:sz w:val="20"/>
          <w:szCs w:val="20"/>
          <w:color w:val="auto"/>
        </w:rPr>
      </w:pPr>
    </w:p>
    <w:p>
      <w:pPr>
        <w:jc w:val="both"/>
        <w:ind w:firstLine="656"/>
        <w:spacing w:after="0" w:line="208" w:lineRule="auto"/>
        <w:tabs>
          <w:tab w:leader="none" w:pos="1239"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Upon the occurrence of a Change in Control prior to the last day of the Performance Period, a number of Performance Units shall be deemed “CIC Eligible Performance Units” as of the date of the Change in Control as is equal to the Target Number of Performance Units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Following the Change in Control, the CIC Eligible Performance Units shall continue to vest based upon the Participant’s continuous employment through the last day of the Performance Period, except as provided in this Section 2(c) or Sections 2(b) or 2(d). If the Participant’s employment with the Company is terminated within a period of twenty-four (24) months following the Change in Control (i) by the Company other than for Cause, (ii) by the Participant for Good Reason, (iii) by the Participant by reason of Retirement or (iv) due to Disability or death, the CIC Eligible Performance Units shall become immediately and fully vested and thereafter be considered Vested Units, and shall be paid to the Participant not later than thirty (30) days after the date of such termination. If the Participant’s employment terminated prior to the Change in Control due to Retirement, death or Disability, as described in Sections 2(b) and 2(d), then the CIC Eligible Performance Units (as prorated as provided in Section 2(b)) shall become immediately and fully vested as of the date of the Change in Control and be paid to the Participant not later than thirty (30) days after the date of such Change in Control. In the event of a Change in Control following the last day of the Performance Period but prior to the certification by the Committee of the performance levels achieved, such certification shall occur no later than the date of the Change in Control and the resulting Vested Units shall be paid to the Participant not later than thirty (30) days after the date of such Change in Control.</w:t>
      </w:r>
    </w:p>
    <w:p>
      <w:pPr>
        <w:spacing w:after="0" w:line="164"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51"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Except as provided in Section 2(c), if the Participant’s employment with or service to the Company terminates by reason of Retirement prior to the last day of the Performance Period, the Participant shall remain eligible to vest in such number of the Performance Units earned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if such termination occurs prior to the last day of the Performance Period but more than twenty-four (24) months following a Change in Control, the CIC Eligible Performance Units), at which time such earned Performance Units will be considered Vested Units.</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52"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Unvested Units</w:t>
      </w:r>
      <w:r>
        <w:rPr>
          <w:rFonts w:ascii="Times New Roman" w:cs="Times New Roman" w:eastAsia="Times New Roman" w:hAnsi="Times New Roman"/>
          <w:sz w:val="22"/>
          <w:szCs w:val="22"/>
          <w:color w:val="auto"/>
        </w:rPr>
        <w:t>. Except as set forth in Sections 2(b), 2(c) and 2(d), upon the termination of the Participant’s employment, any then Unvested Units held by the Participant shall be forfeited and canceled as of the date of such termination.</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55"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The Vested Units shall be settled by the delivery of a cash payment equal to $1.00 times the number of Vested Units to the Participant within 2½ months after the last day of the Performance Period or, if earlier, in accordance with Section 2(c).</w:t>
      </w:r>
    </w:p>
    <w:p>
      <w:pPr>
        <w:spacing w:after="0" w:line="152" w:lineRule="exact"/>
        <w:rPr>
          <w:sz w:val="20"/>
          <w:szCs w:val="20"/>
          <w:color w:val="auto"/>
        </w:rPr>
      </w:pPr>
    </w:p>
    <w:p>
      <w:pPr>
        <w:jc w:val="both"/>
        <w:ind w:firstLine="656"/>
        <w:spacing w:after="0" w:line="211" w:lineRule="auto"/>
        <w:tabs>
          <w:tab w:leader="none" w:pos="129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w:t>
      </w:r>
    </w:p>
    <w:p>
      <w:pPr>
        <w:sectPr>
          <w:pgSz w:w="11900" w:h="16838" w:orient="portrait"/>
          <w:cols w:equalWidth="0" w:num="1">
            <w:col w:w="11240"/>
          </w:cols>
          <w:pgMar w:left="320" w:top="1394" w:right="339" w:bottom="1440" w:gutter="0" w:footer="0" w:header="0"/>
        </w:sectPr>
      </w:pPr>
    </w:p>
    <w:bookmarkStart w:id="138" w:name="page139"/>
    <w:bookmarkEnd w:id="138"/>
    <w:p>
      <w:pPr>
        <w:spacing w:after="0" w:line="236" w:lineRule="auto"/>
        <w:rPr>
          <w:sz w:val="20"/>
          <w:szCs w:val="20"/>
          <w:color w:val="auto"/>
        </w:rPr>
      </w:pPr>
      <w:r>
        <w:rPr>
          <w:rFonts w:ascii="Times New Roman" w:cs="Times New Roman" w:eastAsia="Times New Roman" w:hAnsi="Times New Roman"/>
          <w:sz w:val="22"/>
          <w:szCs w:val="22"/>
          <w:color w:val="auto"/>
        </w:rPr>
        <w:t>assign, pledge, hypothecate, encumber or otherwise dispose of the Award, the Award and all rights thereunder shall immediately become null and void.</w:t>
      </w:r>
    </w:p>
    <w:p>
      <w:pPr>
        <w:spacing w:after="0" w:line="150" w:lineRule="exact"/>
        <w:rPr>
          <w:sz w:val="20"/>
          <w:szCs w:val="20"/>
          <w:color w:val="auto"/>
        </w:rPr>
      </w:pPr>
    </w:p>
    <w:p>
      <w:pPr>
        <w:jc w:val="both"/>
        <w:ind w:firstLine="656"/>
        <w:spacing w:after="0" w:line="208"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64"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This Award shall not entitle the Participant to any privileges of ownership of shares of Common Stock.</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FAILURE TO ENFORCE NOT A WAIVER</w:t>
      </w:r>
      <w:r>
        <w:rPr>
          <w:rFonts w:ascii="Times New Roman" w:cs="Times New Roman" w:eastAsia="Times New Roman" w:hAnsi="Times New Roman"/>
          <w:sz w:val="22"/>
          <w:szCs w:val="22"/>
          <w:color w:val="auto"/>
        </w:rPr>
        <w:t>. The failure of the Company to enforce at any time any provision of this Agreement shall in no way be construed to be a waiver of such provision or of any other provision hereof.</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The Plan is hereby incorporated by reference and made a part hereof, and the Award and this Agreement are subject to all terms and conditions of the Plan.</w:t>
      </w:r>
    </w:p>
    <w:p>
      <w:pPr>
        <w:spacing w:after="0" w:line="150"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ectPr>
          <w:pgSz w:w="11900" w:h="16838" w:orient="portrait"/>
          <w:cols w:equalWidth="0" w:num="1">
            <w:col w:w="11240"/>
          </w:cols>
          <w:pgMar w:left="320" w:top="1394" w:right="339" w:bottom="1440" w:gutter="0" w:footer="0" w:header="0"/>
        </w:sectPr>
      </w:pPr>
    </w:p>
    <w:bookmarkStart w:id="139" w:name="page140"/>
    <w:bookmarkEnd w:id="139"/>
    <w:p>
      <w:pPr>
        <w:jc w:val="both"/>
        <w:ind w:left="-656" w:firstLine="656"/>
        <w:spacing w:after="0" w:line="225" w:lineRule="auto"/>
        <w:tabs>
          <w:tab w:leader="none" w:pos="632"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xml:space="preserve">. The Board may amend the Plan as it shall deem advisable, subject to any requirement of stockholder approval required by applicable law, rule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may impair the rights of the Participant without the consent of the Participant.</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25" w:lineRule="auto"/>
        <w:tabs>
          <w:tab w:leader="none" w:pos="6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18" w:lineRule="auto"/>
        <w:tabs>
          <w:tab w:leader="none" w:pos="640" w:val="left"/>
        </w:tabs>
        <w:numPr>
          <w:ilvl w:val="0"/>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 Each payment hereunder shall constitute a “separately identified” amount within the meaning of Treasury Regulation §1.409A-2(b)(2).</w:t>
      </w:r>
    </w:p>
    <w:p>
      <w:pPr>
        <w:spacing w:after="0" w:line="162" w:lineRule="exact"/>
        <w:rPr>
          <w:rFonts w:ascii="Times New Roman" w:cs="Times New Roman" w:eastAsia="Times New Roman" w:hAnsi="Times New Roman"/>
          <w:sz w:val="21"/>
          <w:szCs w:val="21"/>
          <w:color w:val="010000"/>
        </w:rPr>
      </w:pPr>
    </w:p>
    <w:p>
      <w:pPr>
        <w:ind w:left="-656" w:right="20" w:firstLine="656"/>
        <w:spacing w:after="0" w:line="236" w:lineRule="auto"/>
        <w:tabs>
          <w:tab w:leader="none" w:pos="6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shall constitute one and the same instrument.</w:t>
      </w:r>
    </w:p>
    <w:p>
      <w:pPr>
        <w:spacing w:after="0" w:line="150" w:lineRule="exact"/>
        <w:rPr>
          <w:rFonts w:ascii="Times New Roman" w:cs="Times New Roman" w:eastAsia="Times New Roman" w:hAnsi="Times New Roman"/>
          <w:sz w:val="22"/>
          <w:szCs w:val="22"/>
          <w:color w:val="010000"/>
        </w:rPr>
      </w:pPr>
    </w:p>
    <w:p>
      <w:pPr>
        <w:jc w:val="both"/>
        <w:ind w:left="-656" w:firstLine="656"/>
        <w:spacing w:after="0" w:line="217" w:lineRule="auto"/>
        <w:tabs>
          <w:tab w:leader="none" w:pos="64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AWARDS SUBJECT TO CLAWBACK</w:t>
      </w:r>
      <w:r>
        <w:rPr>
          <w:rFonts w:ascii="Times New Roman" w:cs="Times New Roman" w:eastAsia="Times New Roman" w:hAnsi="Times New Roman"/>
          <w:sz w:val="22"/>
          <w:szCs w:val="22"/>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52"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meanings set forth below:</w:t>
      </w:r>
    </w:p>
    <w:p>
      <w:pPr>
        <w:spacing w:after="0" w:line="179" w:lineRule="exact"/>
        <w:rPr>
          <w:sz w:val="20"/>
          <w:szCs w:val="20"/>
          <w:color w:val="auto"/>
        </w:rPr>
      </w:pPr>
    </w:p>
    <w:p>
      <w:pPr>
        <w:jc w:val="both"/>
        <w:ind w:left="-656" w:firstLine="656"/>
        <w:spacing w:after="0" w:line="217" w:lineRule="auto"/>
        <w:tabs>
          <w:tab w:leader="none" w:pos="623"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w:t>
      </w:r>
    </w:p>
    <w:p>
      <w:pPr>
        <w:sectPr>
          <w:pgSz w:w="11900" w:h="16838" w:orient="portrait"/>
          <w:cols w:equalWidth="0" w:num="1">
            <w:col w:w="10584"/>
          </w:cols>
          <w:pgMar w:left="976" w:top="139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the Participant’s duties; or (iv) the Participant’s conviction or plea of no contest to a felony or a crime of moral turpitude.</w:t>
      </w:r>
    </w:p>
    <w:p>
      <w:pPr>
        <w:spacing w:after="0" w:line="179" w:lineRule="exact"/>
        <w:rPr>
          <w:sz w:val="20"/>
          <w:szCs w:val="20"/>
          <w:color w:val="auto"/>
        </w:rPr>
      </w:pPr>
    </w:p>
    <w:p>
      <w:pPr>
        <w:jc w:val="both"/>
        <w:ind w:firstLine="656"/>
        <w:spacing w:after="0" w:line="220" w:lineRule="auto"/>
        <w:tabs>
          <w:tab w:leader="none" w:pos="1291"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39" w:val="left"/>
        </w:tabs>
        <w:numPr>
          <w:ilvl w:val="0"/>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ninety (90) days after the initial existence of the facts or circumstances constituting Good Reason.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4" w:right="339" w:bottom="1440" w:gutter="0" w:footer="0" w:header="0"/>
        </w:sectPr>
      </w:pPr>
    </w:p>
    <w:bookmarkStart w:id="141" w:name="page142"/>
    <w:bookmarkEnd w:id="14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Performance Award Agreement on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4114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John W. Peyton</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321945</wp:posOffset>
            </wp:positionV>
            <wp:extent cx="548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311150</wp:posOffset>
            </wp:positionV>
            <wp:extent cx="5486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311150</wp:posOffset>
            </wp:positionV>
            <wp:extent cx="5486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City/State/Zip</w:t>
      </w:r>
    </w:p>
    <w:p>
      <w:pPr>
        <w:sectPr>
          <w:pgSz w:w="11900" w:h="16838" w:orient="portrait"/>
          <w:cols w:equalWidth="0" w:num="1">
            <w:col w:w="11120"/>
          </w:cols>
          <w:pgMar w:left="320" w:top="1421" w:right="459" w:bottom="1440" w:gutter="0" w:footer="0" w:header="0"/>
        </w:sectPr>
      </w:pPr>
    </w:p>
    <w:bookmarkStart w:id="142" w:name="page143"/>
    <w:bookmarkEnd w:id="14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911860</wp:posOffset>
            </wp:positionV>
            <wp:extent cx="534924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ind w:left="93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Number of Performance Units (the “Target Award”): 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Number of Performance Units (the “Maximum Award”): ________</w:t>
      </w:r>
    </w:p>
    <w:p>
      <w:pPr>
        <w:spacing w:after="0" w:line="247" w:lineRule="exact"/>
        <w:rPr>
          <w:sz w:val="20"/>
          <w:szCs w:val="20"/>
          <w:color w:val="auto"/>
        </w:rPr>
      </w:pPr>
    </w:p>
    <w:p>
      <w:pPr>
        <w:ind w:left="340" w:right="500" w:hanging="332"/>
        <w:spacing w:after="0" w:line="263" w:lineRule="auto"/>
        <w:tabs>
          <w:tab w:leader="none" w:pos="3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Development Performance</w:t>
      </w:r>
      <w:r>
        <w:rPr>
          <w:rFonts w:ascii="Times New Roman" w:cs="Times New Roman" w:eastAsia="Times New Roman" w:hAnsi="Times New Roman"/>
          <w:sz w:val="22"/>
          <w:szCs w:val="22"/>
          <w:color w:val="auto"/>
        </w:rPr>
        <w:t>. A number of Performance Units shall be earned based on Cumulative Net Development achievement relative to the Cumulative Net Development Target during the Performance Period in accordance with the matrix below.</w:t>
      </w:r>
    </w:p>
    <w:p>
      <w:pPr>
        <w:spacing w:after="0" w:line="188" w:lineRule="exact"/>
        <w:rPr>
          <w:sz w:val="20"/>
          <w:szCs w:val="20"/>
          <w:color w:val="auto"/>
        </w:rPr>
      </w:pPr>
    </w:p>
    <w:tbl>
      <w:tblPr>
        <w:tblLayout w:type="fixed"/>
        <w:tblInd w:w="350" w:type="dxa"/>
        <w:tblCellMar>
          <w:top w:w="0" w:type="dxa"/>
          <w:left w:w="0" w:type="dxa"/>
          <w:bottom w:w="0" w:type="dxa"/>
          <w:right w:w="0" w:type="dxa"/>
        </w:tblCellMar>
      </w:tblPr>
      <w:tr>
        <w:trPr>
          <w:trHeight w:val="216"/>
        </w:trPr>
        <w:tc>
          <w:tcPr>
            <w:tcW w:w="28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Performance</w:t>
            </w:r>
          </w:p>
        </w:tc>
        <w:tc>
          <w:tcPr>
            <w:tcW w:w="2940" w:type="dxa"/>
            <w:vAlign w:val="bottom"/>
            <w:tcBorders>
              <w:top w:val="single" w:sz="8" w:color="auto"/>
              <w:right w:val="single" w:sz="8" w:color="auto"/>
            </w:tcBorders>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Payout</w:t>
            </w:r>
          </w:p>
        </w:tc>
        <w:tc>
          <w:tcPr>
            <w:tcW w:w="4500" w:type="dxa"/>
            <w:vAlign w:val="bottom"/>
            <w:tcBorders>
              <w:top w:val="single" w:sz="8" w:color="auto"/>
              <w:right w:val="single" w:sz="8" w:color="auto"/>
            </w:tcBorders>
          </w:tcPr>
          <w:p>
            <w:pPr>
              <w:ind w:left="540"/>
              <w:spacing w:after="0" w:line="216" w:lineRule="exact"/>
              <w:rPr>
                <w:sz w:val="20"/>
                <w:szCs w:val="20"/>
                <w:color w:val="auto"/>
              </w:rPr>
            </w:pPr>
            <w:r>
              <w:rPr>
                <w:rFonts w:ascii="Times New Roman" w:cs="Times New Roman" w:eastAsia="Times New Roman" w:hAnsi="Times New Roman"/>
                <w:sz w:val="22"/>
                <w:szCs w:val="22"/>
                <w:b w:val="1"/>
                <w:bCs w:val="1"/>
                <w:color w:val="auto"/>
              </w:rPr>
              <w:t>Cumulative Net Development for the</w:t>
            </w:r>
          </w:p>
        </w:tc>
        <w:tc>
          <w:tcPr>
            <w:tcW w:w="0" w:type="dxa"/>
            <w:vAlign w:val="bottom"/>
          </w:tcPr>
          <w:p>
            <w:pPr>
              <w:spacing w:after="0"/>
              <w:rPr>
                <w:sz w:val="1"/>
                <w:szCs w:val="1"/>
                <w:color w:val="auto"/>
              </w:rPr>
            </w:pPr>
          </w:p>
        </w:tc>
      </w:tr>
      <w:tr>
        <w:trPr>
          <w:trHeight w:val="283"/>
        </w:trPr>
        <w:tc>
          <w:tcPr>
            <w:tcW w:w="28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940" w:type="dxa"/>
            <w:vAlign w:val="bottom"/>
            <w:tcBorders>
              <w:bottom w:val="single" w:sz="8" w:color="auto"/>
              <w:right w:val="single" w:sz="8" w:color="auto"/>
            </w:tcBorders>
            <w:vMerge w:val="continue"/>
          </w:tcPr>
          <w:p>
            <w:pPr>
              <w:spacing w:after="0"/>
              <w:rPr>
                <w:sz w:val="24"/>
                <w:szCs w:val="24"/>
                <w:color w:val="auto"/>
              </w:rPr>
            </w:pPr>
          </w:p>
        </w:tc>
        <w:tc>
          <w:tcPr>
            <w:tcW w:w="4500" w:type="dxa"/>
            <w:vAlign w:val="bottom"/>
            <w:tcBorders>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0" w:type="dxa"/>
            <w:vAlign w:val="bottom"/>
          </w:tcPr>
          <w:p>
            <w:pPr>
              <w:spacing w:after="0"/>
              <w:rPr>
                <w:sz w:val="1"/>
                <w:szCs w:val="1"/>
                <w:color w:val="auto"/>
              </w:rPr>
            </w:pPr>
          </w:p>
        </w:tc>
      </w:tr>
      <w:tr>
        <w:trPr>
          <w:trHeight w:val="397"/>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Below Threshold</w:t>
            </w:r>
          </w:p>
        </w:tc>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0%</w:t>
            </w: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 xml:space="preserve">&lt; </w:t>
            </w:r>
            <w:r>
              <w:rPr>
                <w:rFonts w:ascii="Times New Roman" w:cs="Times New Roman" w:eastAsia="Times New Roman" w:hAnsi="Times New Roman"/>
                <w:sz w:val="22"/>
                <w:szCs w:val="22"/>
                <w:color w:val="auto"/>
              </w:rPr>
              <w:t>50% of Cumulative Net Development Target</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940" w:type="dxa"/>
            <w:vAlign w:val="bottom"/>
            <w:tcBorders>
              <w:bottom w:val="single" w:sz="8" w:color="auto"/>
              <w:right w:val="single" w:sz="8" w:color="auto"/>
            </w:tcBorders>
            <w:vMerge w:val="continue"/>
          </w:tcPr>
          <w:p>
            <w:pPr>
              <w:spacing w:after="0"/>
              <w:rPr>
                <w:sz w:val="10"/>
                <w:szCs w:val="10"/>
                <w:color w:val="auto"/>
              </w:rPr>
            </w:pPr>
          </w:p>
        </w:tc>
        <w:tc>
          <w:tcPr>
            <w:tcW w:w="4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Threshold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50%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 of Cumulative Net Development Target</w:t>
            </w:r>
          </w:p>
        </w:tc>
        <w:tc>
          <w:tcPr>
            <w:tcW w:w="0" w:type="dxa"/>
            <w:vAlign w:val="bottom"/>
          </w:tcPr>
          <w:p>
            <w:pPr>
              <w:spacing w:after="0"/>
              <w:rPr>
                <w:sz w:val="1"/>
                <w:szCs w:val="1"/>
                <w:color w:val="auto"/>
              </w:rPr>
            </w:pPr>
          </w:p>
        </w:tc>
      </w:tr>
      <w:tr>
        <w:trPr>
          <w:trHeight w:val="263"/>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100%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 of Cumulative Net Development Target</w:t>
            </w:r>
          </w:p>
        </w:tc>
        <w:tc>
          <w:tcPr>
            <w:tcW w:w="0" w:type="dxa"/>
            <w:vAlign w:val="bottom"/>
          </w:tcPr>
          <w:p>
            <w:pPr>
              <w:spacing w:after="0"/>
              <w:rPr>
                <w:sz w:val="1"/>
                <w:szCs w:val="1"/>
                <w:color w:val="auto"/>
              </w:rPr>
            </w:pPr>
          </w:p>
        </w:tc>
      </w:tr>
      <w:tr>
        <w:trPr>
          <w:trHeight w:val="26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Maximum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200%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200% of Cumulative Net Development Target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The payout shall be interpolated on a linear basis between 50% and 200% of the Target Number of Performance Units to the extent the Cumulative Net Development of the Company is greater than 50% of the Cumulative Net Development Target and less than 200% of the Cumulative Net Development Target.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no event will more than the Maximum Number of Performance Units vest pursuant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Award: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Net Development</w:t>
      </w:r>
      <w:r>
        <w:rPr>
          <w:rFonts w:ascii="Times New Roman" w:cs="Times New Roman" w:eastAsia="Times New Roman" w:hAnsi="Times New Roman"/>
          <w:sz w:val="22"/>
          <w:szCs w:val="22"/>
          <w:color w:val="auto"/>
        </w:rPr>
        <w:t>” means the cumulative Net Development for each of the two years in the Performance Period.</w:t>
      </w:r>
    </w:p>
    <w:p>
      <w:pPr>
        <w:spacing w:after="0" w:line="26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Net Development Target</w:t>
      </w:r>
      <w:r>
        <w:rPr>
          <w:rFonts w:ascii="Times New Roman" w:cs="Times New Roman" w:eastAsia="Times New Roman" w:hAnsi="Times New Roman"/>
          <w:sz w:val="22"/>
          <w:szCs w:val="22"/>
          <w:color w:val="auto"/>
        </w:rPr>
        <w:t>” means the sum of the budgeted Net Development for the two fiscal years in the Performance Period. The Net Development budget for each fiscal year in the Performance Period shall be set by the Committee no later than March 15 of the applicable</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71" w:lineRule="auto"/>
        <w:rPr>
          <w:sz w:val="20"/>
          <w:szCs w:val="20"/>
          <w:color w:val="auto"/>
        </w:rPr>
      </w:pPr>
      <w:r>
        <w:rPr>
          <w:rFonts w:ascii="Times New Roman" w:cs="Times New Roman" w:eastAsia="Times New Roman" w:hAnsi="Times New Roman"/>
          <w:sz w:val="22"/>
          <w:szCs w:val="22"/>
          <w:color w:val="auto"/>
        </w:rPr>
        <w:t xml:space="preserve">fiscal year.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deemed amended to include such Cumulative Net Development Target for the Performance Period as and when determined by the Committee.</w:t>
      </w:r>
    </w:p>
    <w:p>
      <w:pPr>
        <w:spacing w:after="0" w:line="18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Development</w:t>
      </w:r>
      <w:r>
        <w:rPr>
          <w:rFonts w:ascii="Times New Roman" w:cs="Times New Roman" w:eastAsia="Times New Roman" w:hAnsi="Times New Roman"/>
          <w:sz w:val="22"/>
          <w:szCs w:val="22"/>
          <w:color w:val="auto"/>
        </w:rPr>
        <w:t>” means, for each fiscal year the number of new restaurant starts globally across all brands during the fiscal year, less any restaurant closings.</w:t>
      </w:r>
    </w:p>
    <w:p>
      <w:pPr>
        <w:sectPr>
          <w:pgSz w:w="11900" w:h="16838" w:orient="portrait"/>
          <w:cols w:equalWidth="0" w:num="1">
            <w:col w:w="10940"/>
          </w:cols>
          <w:pgMar w:left="320" w:top="1421" w:right="6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AWARD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PERFORMANCE AWARD AGREEMENT </w:t>
      </w:r>
      <w:r>
        <w:rPr>
          <w:rFonts w:ascii="Times New Roman" w:cs="Times New Roman" w:eastAsia="Times New Roman" w:hAnsi="Times New Roman"/>
          <w:sz w:val="22"/>
          <w:szCs w:val="22"/>
          <w:color w:val="auto"/>
        </w:rPr>
        <w:t>(the “Agreement”) is entered into as of ___________, by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DINE BRANDS GLOBAL, INC.</w:t>
      </w:r>
      <w:r>
        <w:rPr>
          <w:rFonts w:ascii="Times New Roman" w:cs="Times New Roman" w:eastAsia="Times New Roman" w:hAnsi="Times New Roman"/>
          <w:sz w:val="22"/>
          <w:szCs w:val="22"/>
          <w:color w:val="auto"/>
        </w:rPr>
        <w:t>, a Delaware corporation (the “Company”), and ___________, an employee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(the “Participant”).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capitalized terms not defined herein shall have their respective meanings set forth in the Plan.</w:t>
      </w: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foregoing and of the mutual covenants set forth herein and other good and valuable consideration, the parties hereto agree as follows:</w:t>
      </w:r>
    </w:p>
    <w:p>
      <w:pPr>
        <w:spacing w:after="0" w:line="144" w:lineRule="exact"/>
        <w:rPr>
          <w:sz w:val="20"/>
          <w:szCs w:val="20"/>
          <w:color w:val="auto"/>
        </w:rPr>
      </w:pPr>
    </w:p>
    <w:p>
      <w:pPr>
        <w:jc w:val="both"/>
        <w:ind w:firstLine="656"/>
        <w:spacing w:after="0" w:line="213" w:lineRule="auto"/>
        <w:tabs>
          <w:tab w:leader="none" w:pos="129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GRANT OF PERFORMANCE UNITS</w:t>
      </w:r>
      <w:r>
        <w:rPr>
          <w:rFonts w:ascii="Times New Roman" w:cs="Times New Roman" w:eastAsia="Times New Roman" w:hAnsi="Times New Roman"/>
          <w:sz w:val="22"/>
          <w:szCs w:val="22"/>
          <w:color w:val="auto"/>
        </w:rPr>
        <w:t xml:space="preserve">. Subject to the attainment of the performance goal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Participant is entitled to that number of performance units (“Performance Units”)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subject to the terms and conditions of this Agreement. Each Performance Unit shall have a value of $1.00. Within sixty (60) days following the end of the Performance Period, the Committee shall determine the total number of Performance Units payable pursuant to the Award in accordance with the Performance Unit matrix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the Committee’s determination of the applicable performance level. For purposes of this Agreement, the “Performance Period” means the three-year performance period beginning on January 1, 2025 and ending on December 31, 2027.</w:t>
      </w:r>
    </w:p>
    <w:p>
      <w:pPr>
        <w:spacing w:after="0" w:line="15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AND SETTLEMENT OF PERFORMANCE UNITS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7" w:lineRule="auto"/>
        <w:tabs>
          <w:tab w:leader="none" w:pos="1252"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Service Vesting</w:t>
      </w:r>
      <w:r>
        <w:rPr>
          <w:rFonts w:ascii="Times New Roman" w:cs="Times New Roman" w:eastAsia="Times New Roman" w:hAnsi="Times New Roman"/>
          <w:sz w:val="22"/>
          <w:szCs w:val="22"/>
          <w:color w:val="auto"/>
        </w:rPr>
        <w:t xml:space="preserve">. Except as provided in Sections 2(b), 2(c) and 2(d) below, subject to the Participant’s continuous employment with the Company through the last day of the Performance Period and subject to the certification by the Committee of the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78"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xml:space="preserve">. Except as provided in Section 2(c), if the Participant’s employment with the Company terminates due to Disability or death prior to the last day of the Performance Period, the Participant shall remain eligible to vest in such number of the Performance Units earned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if such termination occurs prior to the last day of the Performance Period but more than twenty-four (24) months following a Change in Control,</w:t>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25" w:lineRule="auto"/>
        <w:rPr>
          <w:sz w:val="20"/>
          <w:szCs w:val="20"/>
          <w:color w:val="auto"/>
        </w:rPr>
      </w:pPr>
      <w:r>
        <w:rPr>
          <w:rFonts w:ascii="Times New Roman" w:cs="Times New Roman" w:eastAsia="Times New Roman" w:hAnsi="Times New Roman"/>
          <w:sz w:val="22"/>
          <w:szCs w:val="22"/>
          <w:color w:val="auto"/>
        </w:rPr>
        <w:t>the CIC Eligible Performance Units), which number of Performance Units shall be prorated based on the portion of the Performance Period that has elapsed prior to the date of termination, at which time such prorated, earned Performance Units will be considered Vested Units.</w:t>
      </w:r>
    </w:p>
    <w:p>
      <w:pPr>
        <w:spacing w:after="0" w:line="153" w:lineRule="exact"/>
        <w:rPr>
          <w:sz w:val="20"/>
          <w:szCs w:val="20"/>
          <w:color w:val="auto"/>
        </w:rPr>
      </w:pPr>
    </w:p>
    <w:p>
      <w:pPr>
        <w:jc w:val="both"/>
        <w:ind w:firstLine="656"/>
        <w:spacing w:after="0" w:line="208" w:lineRule="auto"/>
        <w:tabs>
          <w:tab w:leader="none" w:pos="1239"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Upon the occurrence of a Change in Control prior to the last day of the Performance Period, a number of Performance Units shall be deemed “CIC Eligible Performance Units” as of the date of the Change in Control as is equal to the Target Number of Performance Units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Following the Change in Control, the CIC Eligible Performance Units shall continue to vest based upon the Participant’s continuous employment through the last day of the Performance Period, except as provided in this Section 2(c) or Sections 2(b) or 2(d). If the Participant’s employment with the Company is terminated within a period of twenty-four (24) months following the Change in Control (i) by the Company other than for Cause, (ii) by the Participant for Good Reason, (iii) by the Participant by reason of Retirement or (iv) due to Disability or death, the CIC Eligible Performance Units shall become immediately and fully vested and thereafter be considered Vested Units, and shall be paid to the Participant not later than thirty (30) days after the date of such termination. If the Participant’s employment terminated prior to the Change in Control due to Retirement, death or Disability, as described in Sections 2(b) and 2(d), then the CIC Eligible Performance Units (as prorated as provided in Section 2(b)) shall become immediately and fully vested as of the date of the Change in Control and be paid to the Participant not later than thirty (30) days after the date of such Change in Control. In the event of a Change in Control following the last day of the Performance Period but prior to the certification by the Committee of the performance levels achieved, such certification shall occur no later than the date of the Change in Control and the resulting Vested Units shall be paid to the Participant not later than thirty (30) days after the date of such Change in Control.</w:t>
      </w:r>
    </w:p>
    <w:p>
      <w:pPr>
        <w:spacing w:after="0" w:line="164" w:lineRule="exact"/>
        <w:rPr>
          <w:rFonts w:ascii="Times New Roman" w:cs="Times New Roman" w:eastAsia="Times New Roman" w:hAnsi="Times New Roman"/>
          <w:sz w:val="22"/>
          <w:szCs w:val="22"/>
          <w:color w:val="010000"/>
        </w:rPr>
      </w:pPr>
    </w:p>
    <w:p>
      <w:pPr>
        <w:jc w:val="both"/>
        <w:ind w:firstLine="656"/>
        <w:spacing w:after="0" w:line="215" w:lineRule="auto"/>
        <w:tabs>
          <w:tab w:leader="none" w:pos="1251"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Except as provided in Section 2(c), if the Participant’s employment with or service to the Company terminates by reason of Retirement prior to the last day of the Performance Period, the Participant shall remain eligible to vest in such number of the Performance Units earned at the end of the Performance Period based on the actual performance levels achieved,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if such termination occurs prior to the last day of the Performance Period but more than twenty-four (24) months following a Change in Control, the CIC Eligible Performance Units), at which time such earned Performance Units will be considered Vested Units.</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52"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Unvested Units</w:t>
      </w:r>
      <w:r>
        <w:rPr>
          <w:rFonts w:ascii="Times New Roman" w:cs="Times New Roman" w:eastAsia="Times New Roman" w:hAnsi="Times New Roman"/>
          <w:sz w:val="22"/>
          <w:szCs w:val="22"/>
          <w:color w:val="auto"/>
        </w:rPr>
        <w:t>. Except as set forth in Sections 2(b), 2(c) and 2(d), upon the termination of the Participant’s employment, any then Unvested Units held by the Participant shall be forfeited and canceled as of the date of such termination.</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55"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Settlement of Vested Units</w:t>
      </w:r>
      <w:r>
        <w:rPr>
          <w:rFonts w:ascii="Times New Roman" w:cs="Times New Roman" w:eastAsia="Times New Roman" w:hAnsi="Times New Roman"/>
          <w:sz w:val="22"/>
          <w:szCs w:val="22"/>
          <w:color w:val="auto"/>
        </w:rPr>
        <w:t>. The Vested Units shall be settled by the delivery of a cash payment equal to $1.00 times the number of Vested Units to the Participant within 2½ months after the last day of the Performance Period or, if earlier, in accordance with Section 2(c).</w:t>
      </w:r>
    </w:p>
    <w:p>
      <w:pPr>
        <w:spacing w:after="0" w:line="153" w:lineRule="exact"/>
        <w:rPr>
          <w:sz w:val="20"/>
          <w:szCs w:val="20"/>
          <w:color w:val="auto"/>
        </w:rPr>
      </w:pPr>
    </w:p>
    <w:p>
      <w:pPr>
        <w:jc w:val="both"/>
        <w:ind w:firstLine="656"/>
        <w:spacing w:after="0" w:line="211" w:lineRule="auto"/>
        <w:tabs>
          <w:tab w:leader="none" w:pos="1296"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NON-TRANSFERABILITY OF AWARD</w:t>
      </w:r>
      <w:r>
        <w:rPr>
          <w:rFonts w:ascii="Times New Roman" w:cs="Times New Roman" w:eastAsia="Times New Roman" w:hAnsi="Times New Roman"/>
          <w:sz w:val="22"/>
          <w:szCs w:val="22"/>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w:t>
      </w:r>
    </w:p>
    <w:p>
      <w:pPr>
        <w:sectPr>
          <w:pgSz w:w="11900" w:h="16838" w:orient="portrait"/>
          <w:cols w:equalWidth="0" w:num="1">
            <w:col w:w="11240"/>
          </w:cols>
          <w:pgMar w:left="320" w:top="1394" w:right="339" w:bottom="1440" w:gutter="0" w:footer="0" w:header="0"/>
        </w:sectPr>
      </w:pPr>
    </w:p>
    <w:bookmarkStart w:id="146" w:name="page147"/>
    <w:bookmarkEnd w:id="146"/>
    <w:p>
      <w:pPr>
        <w:spacing w:after="0" w:line="236" w:lineRule="auto"/>
        <w:rPr>
          <w:sz w:val="20"/>
          <w:szCs w:val="20"/>
          <w:color w:val="auto"/>
        </w:rPr>
      </w:pPr>
      <w:r>
        <w:rPr>
          <w:rFonts w:ascii="Times New Roman" w:cs="Times New Roman" w:eastAsia="Times New Roman" w:hAnsi="Times New Roman"/>
          <w:sz w:val="22"/>
          <w:szCs w:val="22"/>
          <w:color w:val="auto"/>
        </w:rPr>
        <w:t>assign, pledge, hypothecate, encumber or otherwise dispose of the Award, the Award and all rights thereunder shall immediately become null and void.</w:t>
      </w:r>
    </w:p>
    <w:p>
      <w:pPr>
        <w:spacing w:after="0" w:line="150" w:lineRule="exact"/>
        <w:rPr>
          <w:sz w:val="20"/>
          <w:szCs w:val="20"/>
          <w:color w:val="auto"/>
        </w:rPr>
      </w:pPr>
    </w:p>
    <w:p>
      <w:pPr>
        <w:jc w:val="both"/>
        <w:ind w:firstLine="656"/>
        <w:spacing w:after="0" w:line="208"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64"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This Award shall not entitle the Participant to any privileges of ownership of shares of Common Stock.</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FAILURE TO ENFORCE NOT A WAIVER</w:t>
      </w:r>
      <w:r>
        <w:rPr>
          <w:rFonts w:ascii="Times New Roman" w:cs="Times New Roman" w:eastAsia="Times New Roman" w:hAnsi="Times New Roman"/>
          <w:sz w:val="22"/>
          <w:szCs w:val="22"/>
          <w:color w:val="auto"/>
        </w:rPr>
        <w:t>. The failure of the Company to enforce at any time any provision of this Agreement shall in no way be construed to be a waiver of such provision or of any other provision hereof.</w:t>
      </w:r>
    </w:p>
    <w:p>
      <w:pPr>
        <w:spacing w:after="0" w:line="150"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The Plan is hereby incorporated by reference and made a part hereof, and the Award and this Agreement are subject to all terms and conditions of the Plan.</w:t>
      </w:r>
    </w:p>
    <w:p>
      <w:pPr>
        <w:spacing w:after="0" w:line="150"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ectPr>
          <w:pgSz w:w="11900" w:h="16838" w:orient="portrait"/>
          <w:cols w:equalWidth="0" w:num="1">
            <w:col w:w="11240"/>
          </w:cols>
          <w:pgMar w:left="320" w:top="1394" w:right="339" w:bottom="1440" w:gutter="0" w:footer="0" w:header="0"/>
        </w:sectPr>
      </w:pPr>
    </w:p>
    <w:bookmarkStart w:id="147" w:name="page148"/>
    <w:bookmarkEnd w:id="147"/>
    <w:p>
      <w:pPr>
        <w:jc w:val="both"/>
        <w:ind w:left="-656" w:firstLine="656"/>
        <w:spacing w:after="0" w:line="225" w:lineRule="auto"/>
        <w:tabs>
          <w:tab w:leader="none" w:pos="632"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xml:space="preserve">. The Board may amend the Plan as it shall deem advisable, subject to any requirement of stockholder approval required by applicable law, rule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may impair the rights of the Participant without the consent of the Participant.</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25" w:lineRule="auto"/>
        <w:tabs>
          <w:tab w:leader="none" w:pos="64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52" w:lineRule="exact"/>
        <w:rPr>
          <w:rFonts w:ascii="Times New Roman" w:cs="Times New Roman" w:eastAsia="Times New Roman" w:hAnsi="Times New Roman"/>
          <w:sz w:val="22"/>
          <w:szCs w:val="22"/>
          <w:color w:val="010000"/>
        </w:rPr>
      </w:pPr>
    </w:p>
    <w:p>
      <w:pPr>
        <w:jc w:val="both"/>
        <w:ind w:left="-656" w:firstLine="656"/>
        <w:spacing w:after="0" w:line="218" w:lineRule="auto"/>
        <w:tabs>
          <w:tab w:leader="none" w:pos="640"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 Each payment hereunder shall constitute a “separately identified” amount within the meaning of Treasury Regulation §1.409A-2(b)(2).</w:t>
      </w:r>
    </w:p>
    <w:p>
      <w:pPr>
        <w:spacing w:after="0" w:line="162" w:lineRule="exact"/>
        <w:rPr>
          <w:rFonts w:ascii="Times New Roman" w:cs="Times New Roman" w:eastAsia="Times New Roman" w:hAnsi="Times New Roman"/>
          <w:sz w:val="21"/>
          <w:szCs w:val="21"/>
          <w:color w:val="010000"/>
        </w:rPr>
      </w:pPr>
    </w:p>
    <w:p>
      <w:pPr>
        <w:ind w:left="-656" w:right="20" w:firstLine="656"/>
        <w:spacing w:after="0" w:line="236" w:lineRule="auto"/>
        <w:tabs>
          <w:tab w:leader="none" w:pos="64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shall constitute one and the same instrument.</w:t>
      </w:r>
    </w:p>
    <w:p>
      <w:pPr>
        <w:spacing w:after="0" w:line="150" w:lineRule="exact"/>
        <w:rPr>
          <w:rFonts w:ascii="Times New Roman" w:cs="Times New Roman" w:eastAsia="Times New Roman" w:hAnsi="Times New Roman"/>
          <w:sz w:val="22"/>
          <w:szCs w:val="22"/>
          <w:color w:val="010000"/>
        </w:rPr>
      </w:pPr>
    </w:p>
    <w:p>
      <w:pPr>
        <w:jc w:val="both"/>
        <w:ind w:left="-656" w:firstLine="656"/>
        <w:spacing w:after="0" w:line="217" w:lineRule="auto"/>
        <w:tabs>
          <w:tab w:leader="none" w:pos="640"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AWARDS SUBJECT TO CLAWBACK</w:t>
      </w:r>
      <w:r>
        <w:rPr>
          <w:rFonts w:ascii="Times New Roman" w:cs="Times New Roman" w:eastAsia="Times New Roman" w:hAnsi="Times New Roman"/>
          <w:sz w:val="22"/>
          <w:szCs w:val="22"/>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52"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meanings set forth below:</w:t>
      </w:r>
    </w:p>
    <w:p>
      <w:pPr>
        <w:spacing w:after="0" w:line="179" w:lineRule="exact"/>
        <w:rPr>
          <w:sz w:val="20"/>
          <w:szCs w:val="20"/>
          <w:color w:val="auto"/>
        </w:rPr>
      </w:pPr>
    </w:p>
    <w:p>
      <w:pPr>
        <w:jc w:val="both"/>
        <w:ind w:left="-656" w:firstLine="656"/>
        <w:spacing w:after="0" w:line="217" w:lineRule="auto"/>
        <w:tabs>
          <w:tab w:leader="none" w:pos="623"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w:t>
      </w:r>
    </w:p>
    <w:p>
      <w:pPr>
        <w:sectPr>
          <w:pgSz w:w="11900" w:h="16838" w:orient="portrait"/>
          <w:cols w:equalWidth="0" w:num="1">
            <w:col w:w="10584"/>
          </w:cols>
          <w:pgMar w:left="976" w:top="139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the Participant’s duties; or (iv) the Participant’s conviction or plea of no contest to a felony or a crime of moral turpitude.</w:t>
      </w:r>
    </w:p>
    <w:p>
      <w:pPr>
        <w:spacing w:after="0" w:line="179" w:lineRule="exact"/>
        <w:rPr>
          <w:sz w:val="20"/>
          <w:szCs w:val="20"/>
          <w:color w:val="auto"/>
        </w:rPr>
      </w:pPr>
    </w:p>
    <w:p>
      <w:pPr>
        <w:jc w:val="both"/>
        <w:ind w:firstLine="656"/>
        <w:spacing w:after="0" w:line="220" w:lineRule="auto"/>
        <w:tabs>
          <w:tab w:leader="none" w:pos="1291"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39"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ninety (90) days after the initial existence of the facts or circumstances constituting Good Reason.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4" w:right="339" w:bottom="1440" w:gutter="0" w:footer="0" w:header="0"/>
        </w:sectPr>
      </w:pPr>
    </w:p>
    <w:bookmarkStart w:id="149" w:name="page150"/>
    <w:bookmarkEnd w:id="14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Performance Award Agreement on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411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John W. Peyton</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321945</wp:posOffset>
            </wp:positionV>
            <wp:extent cx="5486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311150</wp:posOffset>
            </wp:positionV>
            <wp:extent cx="5486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311150</wp:posOffset>
            </wp:positionV>
            <wp:extent cx="5486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City/State/Zip</w:t>
      </w:r>
    </w:p>
    <w:p>
      <w:pPr>
        <w:sectPr>
          <w:pgSz w:w="11900" w:h="16838" w:orient="portrait"/>
          <w:cols w:equalWidth="0" w:num="1">
            <w:col w:w="11120"/>
          </w:cols>
          <w:pgMar w:left="320" w:top="1421" w:right="459" w:bottom="1440" w:gutter="0" w:footer="0" w:header="0"/>
        </w:sectPr>
      </w:pPr>
    </w:p>
    <w:bookmarkStart w:id="150" w:name="page151"/>
    <w:bookmarkEnd w:id="150"/>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911860</wp:posOffset>
            </wp:positionV>
            <wp:extent cx="534924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ind w:left="93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Number of Performance Units (the “Target Award”): 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Number of Performance Units (the “Maximum Award”): ________</w:t>
      </w:r>
    </w:p>
    <w:p>
      <w:pPr>
        <w:spacing w:after="0" w:line="247" w:lineRule="exact"/>
        <w:rPr>
          <w:sz w:val="20"/>
          <w:szCs w:val="20"/>
          <w:color w:val="auto"/>
        </w:rPr>
      </w:pPr>
    </w:p>
    <w:p>
      <w:pPr>
        <w:ind w:left="340" w:hanging="332"/>
        <w:spacing w:after="0" w:line="271" w:lineRule="auto"/>
        <w:tabs>
          <w:tab w:leader="none" w:pos="3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EBITDA Performance</w:t>
      </w:r>
      <w:r>
        <w:rPr>
          <w:rFonts w:ascii="Times New Roman" w:cs="Times New Roman" w:eastAsia="Times New Roman" w:hAnsi="Times New Roman"/>
          <w:sz w:val="22"/>
          <w:szCs w:val="22"/>
          <w:color w:val="auto"/>
        </w:rPr>
        <w:t>. A number of Performance Units shall be earned based on Cumulative EBITDA achievement relative to the Cumulative EBITDA Target during the Performance Period in accordance with the matrix below.</w:t>
      </w:r>
    </w:p>
    <w:p>
      <w:pPr>
        <w:spacing w:after="0" w:line="192" w:lineRule="exact"/>
        <w:rPr>
          <w:sz w:val="20"/>
          <w:szCs w:val="20"/>
          <w:color w:val="auto"/>
        </w:rPr>
      </w:pPr>
    </w:p>
    <w:tbl>
      <w:tblPr>
        <w:tblLayout w:type="fixed"/>
        <w:tblInd w:w="350" w:type="dxa"/>
        <w:tblCellMar>
          <w:top w:w="0" w:type="dxa"/>
          <w:left w:w="0" w:type="dxa"/>
          <w:bottom w:w="0" w:type="dxa"/>
          <w:right w:w="0" w:type="dxa"/>
        </w:tblCellMar>
      </w:tblPr>
      <w:tr>
        <w:trPr>
          <w:trHeight w:val="216"/>
        </w:trPr>
        <w:tc>
          <w:tcPr>
            <w:tcW w:w="28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Performance</w:t>
            </w:r>
          </w:p>
        </w:tc>
        <w:tc>
          <w:tcPr>
            <w:tcW w:w="2940" w:type="dxa"/>
            <w:vAlign w:val="bottom"/>
            <w:tcBorders>
              <w:top w:val="single" w:sz="8" w:color="auto"/>
              <w:right w:val="single" w:sz="8" w:color="auto"/>
            </w:tcBorders>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Payout</w:t>
            </w:r>
          </w:p>
        </w:tc>
        <w:tc>
          <w:tcPr>
            <w:tcW w:w="4500" w:type="dxa"/>
            <w:vAlign w:val="bottom"/>
            <w:tcBorders>
              <w:top w:val="single" w:sz="8" w:color="auto"/>
              <w:right w:val="single" w:sz="8" w:color="auto"/>
            </w:tcBorders>
          </w:tcPr>
          <w:p>
            <w:pPr>
              <w:ind w:left="280"/>
              <w:spacing w:after="0" w:line="216" w:lineRule="exact"/>
              <w:rPr>
                <w:sz w:val="20"/>
                <w:szCs w:val="20"/>
                <w:color w:val="auto"/>
              </w:rPr>
            </w:pPr>
            <w:r>
              <w:rPr>
                <w:rFonts w:ascii="Times New Roman" w:cs="Times New Roman" w:eastAsia="Times New Roman" w:hAnsi="Times New Roman"/>
                <w:sz w:val="22"/>
                <w:szCs w:val="22"/>
                <w:b w:val="1"/>
                <w:bCs w:val="1"/>
                <w:color w:val="auto"/>
              </w:rPr>
              <w:t>Cumulative EBITDA for the Performance</w:t>
            </w:r>
          </w:p>
        </w:tc>
        <w:tc>
          <w:tcPr>
            <w:tcW w:w="0" w:type="dxa"/>
            <w:vAlign w:val="bottom"/>
          </w:tcPr>
          <w:p>
            <w:pPr>
              <w:spacing w:after="0"/>
              <w:rPr>
                <w:sz w:val="1"/>
                <w:szCs w:val="1"/>
                <w:color w:val="auto"/>
              </w:rPr>
            </w:pPr>
          </w:p>
        </w:tc>
      </w:tr>
      <w:tr>
        <w:trPr>
          <w:trHeight w:val="283"/>
        </w:trPr>
        <w:tc>
          <w:tcPr>
            <w:tcW w:w="28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940" w:type="dxa"/>
            <w:vAlign w:val="bottom"/>
            <w:tcBorders>
              <w:bottom w:val="single" w:sz="8" w:color="auto"/>
              <w:right w:val="single" w:sz="8" w:color="auto"/>
            </w:tcBorders>
            <w:vMerge w:val="continue"/>
          </w:tcPr>
          <w:p>
            <w:pPr>
              <w:spacing w:after="0"/>
              <w:rPr>
                <w:sz w:val="24"/>
                <w:szCs w:val="24"/>
                <w:color w:val="auto"/>
              </w:rPr>
            </w:pPr>
          </w:p>
        </w:tc>
        <w:tc>
          <w:tcPr>
            <w:tcW w:w="4500" w:type="dxa"/>
            <w:vAlign w:val="bottom"/>
            <w:tcBorders>
              <w:bottom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0" w:type="dxa"/>
            <w:vAlign w:val="bottom"/>
          </w:tcPr>
          <w:p>
            <w:pPr>
              <w:spacing w:after="0"/>
              <w:rPr>
                <w:sz w:val="1"/>
                <w:szCs w:val="1"/>
                <w:color w:val="auto"/>
              </w:rPr>
            </w:pPr>
          </w:p>
        </w:tc>
      </w:tr>
      <w:tr>
        <w:trPr>
          <w:trHeight w:val="397"/>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Below Threshold</w:t>
            </w:r>
          </w:p>
        </w:tc>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0%</w:t>
            </w: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 xml:space="preserve">&lt; </w:t>
            </w:r>
            <w:r>
              <w:rPr>
                <w:rFonts w:ascii="Times New Roman" w:cs="Times New Roman" w:eastAsia="Times New Roman" w:hAnsi="Times New Roman"/>
                <w:sz w:val="22"/>
                <w:szCs w:val="22"/>
                <w:color w:val="auto"/>
              </w:rPr>
              <w:t>85% of Cumulative EBITDA Target</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940" w:type="dxa"/>
            <w:vAlign w:val="bottom"/>
            <w:tcBorders>
              <w:bottom w:val="single" w:sz="8" w:color="auto"/>
              <w:right w:val="single" w:sz="8" w:color="auto"/>
            </w:tcBorders>
            <w:vMerge w:val="continue"/>
          </w:tcPr>
          <w:p>
            <w:pPr>
              <w:spacing w:after="0"/>
              <w:rPr>
                <w:sz w:val="10"/>
                <w:szCs w:val="10"/>
                <w:color w:val="auto"/>
              </w:rPr>
            </w:pPr>
          </w:p>
        </w:tc>
        <w:tc>
          <w:tcPr>
            <w:tcW w:w="4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Threshold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50%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85% of Cumulative EBITDA Target</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100%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100% of Cumulative EBITDA Target</w:t>
            </w:r>
          </w:p>
        </w:tc>
        <w:tc>
          <w:tcPr>
            <w:tcW w:w="0" w:type="dxa"/>
            <w:vAlign w:val="bottom"/>
          </w:tcPr>
          <w:p>
            <w:pPr>
              <w:spacing w:after="0"/>
              <w:rPr>
                <w:sz w:val="1"/>
                <w:szCs w:val="1"/>
                <w:color w:val="auto"/>
              </w:rPr>
            </w:pPr>
          </w:p>
        </w:tc>
      </w:tr>
      <w:tr>
        <w:trPr>
          <w:trHeight w:val="263"/>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Maximum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200%</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110% of Cumulative EBITDA Target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The payout shall be interpolated on a linear basis between 50% and 200% of the Target Number of Performance Units to the extent the Cumulative EBITDA of the Company is greater than 85% of the Cumulative EBITDA Target and less than 110% of the Cumulative EBITDA Target.</w:t>
      </w:r>
    </w:p>
    <w:p>
      <w:pPr>
        <w:spacing w:after="0" w:line="200" w:lineRule="exact"/>
        <w:rPr>
          <w:sz w:val="20"/>
          <w:szCs w:val="20"/>
          <w:color w:val="auto"/>
        </w:rPr>
      </w:pPr>
    </w:p>
    <w:p>
      <w:pPr>
        <w:spacing w:after="0" w:line="210" w:lineRule="exact"/>
        <w:rPr>
          <w:sz w:val="20"/>
          <w:szCs w:val="20"/>
          <w:color w:val="auto"/>
        </w:rPr>
      </w:pPr>
    </w:p>
    <w:p>
      <w:pPr>
        <w:jc w:val="both"/>
        <w:ind w:left="340" w:right="240" w:hanging="332"/>
        <w:spacing w:after="0" w:line="257" w:lineRule="auto"/>
        <w:tabs>
          <w:tab w:leader="none" w:pos="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 Multiplier</w:t>
      </w:r>
      <w:r>
        <w:rPr>
          <w:rFonts w:ascii="Times New Roman" w:cs="Times New Roman" w:eastAsia="Times New Roman" w:hAnsi="Times New Roman"/>
          <w:sz w:val="22"/>
          <w:szCs w:val="22"/>
          <w:color w:val="auto"/>
        </w:rPr>
        <w:t>. The number of Performance Units that are earned based on Cumulative EBITDA performance during the Performance Period shall be subject to adjustment based on the Company’s TSR Multiplier for the Performance Period as follows:</w:t>
      </w:r>
    </w:p>
    <w:p>
      <w:pPr>
        <w:spacing w:after="0" w:line="194" w:lineRule="exact"/>
        <w:rPr>
          <w:sz w:val="20"/>
          <w:szCs w:val="20"/>
          <w:color w:val="auto"/>
        </w:rPr>
      </w:pPr>
    </w:p>
    <w:tbl>
      <w:tblPr>
        <w:tblLayout w:type="fixed"/>
        <w:tblInd w:w="35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Performance</w:t>
            </w:r>
          </w:p>
        </w:tc>
        <w:tc>
          <w:tcPr>
            <w:tcW w:w="294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2"/>
                <w:szCs w:val="22"/>
                <w:b w:val="1"/>
                <w:bCs w:val="1"/>
                <w:color w:val="auto"/>
              </w:rPr>
              <w:t>Relative TSR</w:t>
            </w:r>
          </w:p>
        </w:tc>
        <w:tc>
          <w:tcPr>
            <w:tcW w:w="4500" w:type="dxa"/>
            <w:vAlign w:val="bottom"/>
            <w:tcBorders>
              <w:top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22"/>
                <w:szCs w:val="22"/>
                <w:b w:val="1"/>
                <w:bCs w:val="1"/>
                <w:color w:val="auto"/>
              </w:rPr>
              <w:t>TSR Multiplier</w:t>
            </w:r>
          </w:p>
        </w:tc>
      </w:tr>
      <w:tr>
        <w:trPr>
          <w:trHeight w:val="304"/>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Maximum</w:t>
            </w:r>
          </w:p>
        </w:tc>
        <w:tc>
          <w:tcPr>
            <w:tcW w:w="2940" w:type="dxa"/>
            <w:vAlign w:val="bottom"/>
            <w:tcBorders>
              <w:bottom w:val="single" w:sz="8" w:color="auto"/>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2"/>
                <w:szCs w:val="22"/>
                <w:color w:val="auto"/>
              </w:rPr>
              <w:t>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and Above</w:t>
            </w:r>
          </w:p>
        </w:tc>
        <w:tc>
          <w:tcPr>
            <w:tcW w:w="4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 (but not to exceed 200%)</w:t>
            </w:r>
          </w:p>
        </w:tc>
      </w:tr>
      <w:tr>
        <w:trPr>
          <w:trHeight w:val="304"/>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Threshold</w:t>
            </w:r>
          </w:p>
        </w:tc>
        <w:tc>
          <w:tcPr>
            <w:tcW w:w="2940" w:type="dxa"/>
            <w:vAlign w:val="bottom"/>
            <w:tcBorders>
              <w:bottom w:val="single" w:sz="8" w:color="auto"/>
              <w:right w:val="single" w:sz="8" w:color="auto"/>
            </w:tcBorders>
          </w:tcPr>
          <w:p>
            <w:pPr>
              <w:ind w:left="80"/>
              <w:spacing w:after="0" w:line="304" w:lineRule="exact"/>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and Below</w:t>
            </w:r>
          </w:p>
        </w:tc>
        <w:tc>
          <w:tcPr>
            <w:tcW w:w="4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r>
    </w:tbl>
    <w:p>
      <w:pPr>
        <w:spacing w:after="0" w:line="32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u w:val="single" w:color="auto"/>
          <w:color w:val="auto"/>
        </w:rPr>
        <w:t>Example 1</w:t>
      </w:r>
      <w:r>
        <w:rPr>
          <w:rFonts w:ascii="Times New Roman" w:cs="Times New Roman" w:eastAsia="Times New Roman" w:hAnsi="Times New Roman"/>
          <w:sz w:val="22"/>
          <w:szCs w:val="22"/>
          <w:color w:val="auto"/>
        </w:rPr>
        <w:t>: If 113% of the Target Number of Performance Units are earned based on Cumulative EBITDA performance during the Performance Period and the Company’s TSR Performance is at the 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the TSR Comparator Group for the Performance Period, the total number of earned Performance Units will be calculated by multiplying 113% by +25%, for a total achievement percentage of 141.25% of the Target Number of Performance Units.</w:t>
      </w:r>
    </w:p>
    <w:p>
      <w:pPr>
        <w:sectPr>
          <w:pgSz w:w="11900" w:h="16838" w:orient="portrait"/>
          <w:cols w:equalWidth="0" w:num="1">
            <w:col w:w="11100"/>
          </w:cols>
          <w:pgMar w:left="320" w:top="1440" w:right="479" w:bottom="1440" w:gutter="0" w:footer="0" w:header="0"/>
        </w:sectPr>
      </w:pPr>
    </w:p>
    <w:bookmarkStart w:id="151" w:name="page152"/>
    <w:bookmarkEnd w:id="151"/>
    <w:p>
      <w:pPr>
        <w:spacing w:after="0" w:line="22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u w:val="single" w:color="auto"/>
          <w:color w:val="auto"/>
        </w:rPr>
        <w:t>Example 2</w:t>
      </w:r>
      <w:r>
        <w:rPr>
          <w:rFonts w:ascii="Times New Roman" w:cs="Times New Roman" w:eastAsia="Times New Roman" w:hAnsi="Times New Roman"/>
          <w:sz w:val="22"/>
          <w:szCs w:val="22"/>
          <w:color w:val="auto"/>
        </w:rPr>
        <w:t>: If 113% of the Target Number of Performance Units are earned based on Cumulative EBITDA performance during the Performance Period and the Company’s TSR Performance is at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the TSR Comparator Group for the Performance Period, the total number of earned Performance Units will be calculated by multiplying 113% by -25%, for a total achievement percentage of 84.75% of the Target Number of Performance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no event will more than the Maximum Number of Performance Units vest pursuant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Award: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EBITDA</w:t>
      </w:r>
      <w:r>
        <w:rPr>
          <w:rFonts w:ascii="Times New Roman" w:cs="Times New Roman" w:eastAsia="Times New Roman" w:hAnsi="Times New Roman"/>
          <w:sz w:val="22"/>
          <w:szCs w:val="22"/>
          <w:color w:val="auto"/>
        </w:rPr>
        <w:t>” means the cumulative EBITDA for each of the three years in the Performance Period.</w:t>
      </w: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EBITDA Target</w:t>
      </w:r>
      <w:r>
        <w:rPr>
          <w:rFonts w:ascii="Times New Roman" w:cs="Times New Roman" w:eastAsia="Times New Roman" w:hAnsi="Times New Roman"/>
          <w:sz w:val="22"/>
          <w:szCs w:val="22"/>
          <w:color w:val="auto"/>
        </w:rPr>
        <w:t xml:space="preserve">” means the sum of the budgeted EBTDA for the three fiscal years in the Performance Period. The EBITDA budget for each fiscal year in the Performance Period shall be set by the Committee no later than March 15 of the applicable fiscal year.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deemed amended to include such Cumulative EBITDA Target for the Performance Period as and when determined by the Committee.</w:t>
      </w:r>
    </w:p>
    <w:p>
      <w:pPr>
        <w:spacing w:after="0" w:line="203"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for each fiscal year in the Performance Period means the Company’s EBITDA as defined and reflected in the Company’s earnings release and/or financial statements for such fiscal year.</w:t>
      </w:r>
    </w:p>
    <w:p>
      <w:pPr>
        <w:spacing w:after="0" w:line="18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Price</w:t>
      </w:r>
      <w:r>
        <w:rPr>
          <w:rFonts w:ascii="Times New Roman" w:cs="Times New Roman" w:eastAsia="Times New Roman" w:hAnsi="Times New Roman"/>
          <w:sz w:val="22"/>
          <w:szCs w:val="22"/>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Comparator Group</w:t>
      </w:r>
      <w:r>
        <w:rPr>
          <w:rFonts w:ascii="Times New Roman" w:cs="Times New Roman" w:eastAsia="Times New Roman" w:hAnsi="Times New Roman"/>
          <w:sz w:val="22"/>
          <w:szCs w:val="22"/>
          <w:color w:val="auto"/>
        </w:rPr>
        <w:t>” means an index of restaurant companies approved by the Committee at the beginning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Period, and adjusted in accordance with the guidelines set forth below:</w:t>
      </w:r>
    </w:p>
    <w:p>
      <w:pPr>
        <w:spacing w:after="0" w:line="223" w:lineRule="exact"/>
        <w:rPr>
          <w:sz w:val="20"/>
          <w:szCs w:val="20"/>
          <w:color w:val="auto"/>
        </w:rPr>
      </w:pPr>
    </w:p>
    <w:p>
      <w:pPr>
        <w:ind w:left="660" w:hanging="4"/>
        <w:spacing w:after="0" w:line="284" w:lineRule="auto"/>
        <w:tabs>
          <w:tab w:leader="none" w:pos="97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indexed companies merge, the performance of the combined companies is tracked for balance of the Performance Period.</w:t>
      </w:r>
    </w:p>
    <w:p>
      <w:pPr>
        <w:spacing w:after="0" w:line="17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indexed company is acquired by a non-indexed company, the acquired company is excluded from the calculation.</w:t>
      </w:r>
    </w:p>
    <w:p>
      <w:pPr>
        <w:spacing w:after="0" w:line="258"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indexed company becomes insolvent, it is included as zero at the bottom of the ranking.</w:t>
      </w:r>
    </w:p>
    <w:p>
      <w:pPr>
        <w:spacing w:after="0" w:line="247"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Performance</w:t>
      </w:r>
      <w:r>
        <w:rPr>
          <w:rFonts w:ascii="Times New Roman" w:cs="Times New Roman" w:eastAsia="Times New Roman" w:hAnsi="Times New Roman"/>
          <w:sz w:val="22"/>
          <w:szCs w:val="22"/>
          <w:color w:val="auto"/>
        </w:rPr>
        <w:t>” means a company’s cumulative total shareholder return as measured by dividing (A) the sum of (i) the cumulative amount of dividends for the Performance Period and</w:t>
      </w:r>
    </w:p>
    <w:p>
      <w:pPr>
        <w:sectPr>
          <w:pgSz w:w="11900" w:h="16838" w:orient="portrait"/>
          <w:cols w:equalWidth="0" w:num="1">
            <w:col w:w="11240"/>
          </w:cols>
          <w:pgMar w:left="320" w:top="1440" w:right="339" w:bottom="1440" w:gutter="0" w:footer="0" w:header="0"/>
        </w:sectPr>
      </w:pPr>
    </w:p>
    <w:bookmarkStart w:id="152" w:name="page153"/>
    <w:bookmarkEnd w:id="152"/>
    <w:p>
      <w:pPr>
        <w:ind w:left="-8" w:firstLine="8"/>
        <w:spacing w:after="0" w:line="257" w:lineRule="auto"/>
        <w:tabs>
          <w:tab w:leader="none" w:pos="31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increase or decrease in the average of the Stock Price during the first twenty trading days of the Performance Period as compared to the average of the Stock Price during the last twenty trading days of the Performance Period, by (B) the average of the Stock Price during the first twenty trading days of the Performance Period.</w:t>
      </w:r>
    </w:p>
    <w:p>
      <w:pPr>
        <w:sectPr>
          <w:pgSz w:w="11900" w:h="16838" w:orient="portrait"/>
          <w:cols w:equalWidth="0" w:num="1">
            <w:col w:w="11032"/>
          </w:cols>
          <w:pgMar w:left="328" w:top="1422" w:right="539" w:bottom="1440" w:gutter="0" w:footer="0" w:header="0"/>
        </w:sectPr>
      </w:pPr>
    </w:p>
    <w:bookmarkStart w:id="153" w:name="page154"/>
    <w:bookmarkEnd w:id="153"/>
    <w:p>
      <w:pPr>
        <w:spacing w:after="0" w:line="15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(Updated and Effective as of December 11, 2013)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Introduction and Statement of Purpose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Publicly traded companies, such as Dine Brands Global, Inc. (collectively with its subsidiaries, the “Corporation”), are subject to federal and state securities laws which prohibit trading in their securities by individuals in possession of material, nonpublic information (commonly referred to as “inside information”). These laws also prohibit disclosing inside information about a company to others who may trade in that company’s securities while in possession of the inside information. The purpose of these laws is to prevent persons with inside information from having an unfair advantage when trading securities with other market participants. In an effort to keep a level playing field among all market participants, regulatory enforcement agencies vigorously pursue violations of these insider trading laws and the penalties for breaking them can be severe.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purpose of this Policy is to prevent insider trading by the Corporation’s officers, employees and members of its Board of Directors. The Corporation takes compliance with the securities laws very seriously and has adopted this Policy to help its officers, employees and directors avoid the severe consequences of violating the insider trading laws. This Policy is also intended to prevent any appearance or allegation of misconduct by officers, employees and directors in order to help protect individual reputations and the reputation of the Corporation.</w:t>
      </w:r>
    </w:p>
    <w:p>
      <w:pPr>
        <w:spacing w:after="0" w:line="19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This Policy supersedes all previous versions of the Corporation’s Insider Trading Policy. Should you have any questions regarding your responsibilities under this Policy or the insider trading laws, please contact the Corporation’s Legal Department.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Insider Trading Policy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Scope of Policy</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Policy applies to every officer and employee of the Corporation and every member of its Board of Directors who is in possession of material, nonpublic information about the Corporation, referred to in this Policy as “Insiders,” and to everyone with whom an Insider resides – regardless of whether or not they are related to the Insider. This Policy also applies to family members with whom an Insider does not reside but whose transactions in the Corporation’s securities are directed by an Insider or are subject to an Insider’s influence or control (such as the Insider’s parents or children) and to any entities influenced or controlled by an Insider (such as corporations, partnerships or trusts).</w:t>
      </w:r>
    </w:p>
    <w:p>
      <w:pPr>
        <w:spacing w:after="0" w:line="1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Policy also applies to transactions in all of the Corporation’s securities, except as set forth below, and transactions in the securities of other companies by the Corporation’s officers, employees and directors while these individuals are in possession of material, nonpublic</w:t>
      </w:r>
    </w:p>
    <w:p>
      <w:pPr>
        <w:sectPr>
          <w:pgSz w:w="11900" w:h="16838" w:orient="portrait"/>
          <w:cols w:equalWidth="0" w:num="1">
            <w:col w:w="11240"/>
          </w:cols>
          <w:pgMar w:left="320" w:top="144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information about such companies as a result of their employment or association with the Corporation.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Statement of Insider Trading Policy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 Insider may, either directly or through family members, or other persons or entities, (a) buy or sell securities of the Corporation while in possession of material, nonpublic information about the Corporation or (b) disclose any material, nonpublic information about the Corporation to any individual outside the Corporation who might trade in the Corporation’s securities while in possession of the information (otherwise known as “tipping”). In addition, no Insider who, as a result of their employment or association with the Corporation, comes into possession of any material, nonpublic information about another company may trade in the securities of that company while in possession of such information.</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What is “material information”?</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Generally, information is “material” if (i) there is a substantial likelihood that a reasonable investor would consider it important in deciding whether to buy, hold or sell a security or (ii) releasing the information to the public would significantly alter the total mix of information publicly available about a company. Any information that could be expected to affect the Corporation’s stock price, whether it is positive or negative, should be considered material. Although it is impossible to identify all information that might be considered material to a company, examples of information that could be material to the Corporation include:</w:t>
      </w:r>
    </w:p>
    <w:p>
      <w:pPr>
        <w:spacing w:after="0" w:line="141" w:lineRule="exact"/>
        <w:rPr>
          <w:sz w:val="20"/>
          <w:szCs w:val="20"/>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and annual financial results</w:t>
      </w:r>
    </w:p>
    <w:p>
      <w:pPr>
        <w:spacing w:after="0" w:line="2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financial performance or financial guidance</w:t>
      </w:r>
    </w:p>
    <w:p>
      <w:pPr>
        <w:spacing w:after="0" w:line="15" w:lineRule="exact"/>
        <w:rPr>
          <w:rFonts w:ascii="Times New Roman" w:cs="Times New Roman" w:eastAsia="Times New Roman" w:hAnsi="Times New Roman"/>
          <w:sz w:val="22"/>
          <w:szCs w:val="22"/>
          <w:color w:val="auto"/>
        </w:rPr>
      </w:pPr>
    </w:p>
    <w:p>
      <w:pPr>
        <w:ind w:left="1300" w:right="720" w:hanging="320"/>
        <w:spacing w:after="0" w:line="243" w:lineRule="auto"/>
        <w:tabs>
          <w:tab w:leader="none" w:pos="129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results or financial performance of the Corporation’s restaurant brands that differ from consensus expectations of the investment community</w:t>
      </w: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investment plans and changes in such plans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Procuring additional debt or equity financing or refinancing existing debt</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transactions such as mergers and acquisitions</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corporate dividend policy or a share repurchase program</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key personnel</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strategic plans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cost changes on major food products</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or termination of a significant contract</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or settlement of significant litigation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Making a determination of whether you are in possession of material, nonpublic information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to trading can be complicated and difficult. Enforcement agencies, on the other hand, will make determinations of materiality after the fact and with the benefit of 20/20 hindsight (i.e. if releasing the information to the public significantly moved the price of the stock, it will be likely be deemed to have been material). Therefore, when you are unsure of whether the information you possess is material, you should consider the following rules of thumb: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55" w:name="page156"/>
    <w:bookmarkEnd w:id="155"/>
    <w:p>
      <w:pPr>
        <w:ind w:left="1300" w:right="400" w:hanging="644"/>
        <w:spacing w:after="0" w:line="271"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certain information about the Corporation would make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xml:space="preserve"> want to buy or sell stock in the Corporation, it is probably material information.</w:t>
      </w:r>
    </w:p>
    <w:p>
      <w:pPr>
        <w:spacing w:after="0" w:line="157" w:lineRule="exact"/>
        <w:rPr>
          <w:rFonts w:ascii="Times New Roman" w:cs="Times New Roman" w:eastAsia="Times New Roman" w:hAnsi="Times New Roman"/>
          <w:sz w:val="22"/>
          <w:szCs w:val="22"/>
          <w:color w:val="auto"/>
        </w:rPr>
      </w:pPr>
    </w:p>
    <w:p>
      <w:pPr>
        <w:ind w:left="1300" w:right="320" w:hanging="644"/>
        <w:spacing w:after="0" w:line="284"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cannot determine whether you are in possession of material information, consult the Corporation’s Legal Department for advice </w:t>
      </w:r>
      <w:r>
        <w:rPr>
          <w:rFonts w:ascii="Times New Roman" w:cs="Times New Roman" w:eastAsia="Times New Roman" w:hAnsi="Times New Roman"/>
          <w:sz w:val="22"/>
          <w:szCs w:val="22"/>
          <w:u w:val="single" w:color="auto"/>
          <w:color w:val="auto"/>
        </w:rPr>
        <w:t>or abstain from trading</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What is “nonpublic information”?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is “nonpublic” if it has not been widely disseminated to the public such as through the issuance of a press release or a filing with the Securities and Exchange Commission. For purposes of this Policy, information is not considered to have been widely disseminated to the public until the securities markets have had time to fully absorb the information. The Corporation does not consider information to be fully absorbed by the securities markets until one full trading day following the release of the information.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What is “tipping”?</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“Tipping” involves the disclosure of material, nonpublic information about the Corporation to others or recommending the purchase or sale of any securities of the Corporation to anyone while in possession of material, nonpublic information. Tipping is a violation of the securities laws and this Policy and can result in the same civil and criminal penalties that apply to insider trading even if the “tipper” receives no economic benefit from trades conducted by the “tippee.”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Transactions Covered By This Policy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prohibits the following types of trading transactions by anyone or any entity covered within the scope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at any time they are in possession of material, nonpublic information:</w:t>
      </w:r>
    </w:p>
    <w:p>
      <w:pPr>
        <w:spacing w:after="0" w:line="196"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the Corporation’s securities in the open market</w:t>
      </w:r>
    </w:p>
    <w:p>
      <w:pPr>
        <w:spacing w:after="0" w:line="71" w:lineRule="exact"/>
        <w:rPr>
          <w:rFonts w:ascii="Times New Roman" w:cs="Times New Roman" w:eastAsia="Times New Roman" w:hAnsi="Times New Roman"/>
          <w:sz w:val="22"/>
          <w:szCs w:val="22"/>
          <w:color w:val="auto"/>
        </w:rPr>
      </w:pPr>
    </w:p>
    <w:p>
      <w:pPr>
        <w:ind w:left="660" w:right="320" w:hanging="328"/>
        <w:spacing w:after="0" w:line="268" w:lineRule="auto"/>
        <w:tabs>
          <w:tab w:leader="none" w:pos="65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the Corporation’s securities held in individual retirement accounts, including any 401(k) plan or individual retirement account</w:t>
      </w:r>
    </w:p>
    <w:p>
      <w:pPr>
        <w:spacing w:after="0" w:line="2" w:lineRule="exact"/>
        <w:rPr>
          <w:rFonts w:ascii="Times New Roman" w:cs="Times New Roman" w:eastAsia="Times New Roman" w:hAnsi="Times New Roman"/>
          <w:sz w:val="22"/>
          <w:szCs w:val="22"/>
          <w:color w:val="auto"/>
        </w:rPr>
      </w:pPr>
    </w:p>
    <w:p>
      <w:pPr>
        <w:ind w:left="660" w:right="140" w:hanging="328"/>
        <w:spacing w:after="0" w:line="256" w:lineRule="auto"/>
        <w:tabs>
          <w:tab w:leader="none" w:pos="65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of the Corporation’s common stock acquired upon the exercise of any stock option granted under the Corporation’s stock incentive plans. This prohibition includes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sale of shares of the Corporation’s common stock in connection with the exercise of an option, including as part of a broker-assisted cashless exercise of an option or any other open market sale for the purpose of generating the cash needed to pay the exercise price of an option.</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the Corporation’s common stock acquired upon the vesting of any restricted stock unit or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u w:val="single" w:color="auto"/>
          <w:color w:val="auto"/>
        </w:rPr>
        <w:t>Transactions Exempt From This Policy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This Policy does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prohibit the following types of transactions by anyone or any entity covered within the scope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at any time they are in possession of material, nonpublic information:</w:t>
      </w:r>
    </w:p>
    <w:p>
      <w:pPr>
        <w:spacing w:after="0" w:line="209" w:lineRule="exact"/>
        <w:rPr>
          <w:sz w:val="20"/>
          <w:szCs w:val="20"/>
          <w:color w:val="auto"/>
        </w:rPr>
      </w:pPr>
    </w:p>
    <w:p>
      <w:pPr>
        <w:jc w:val="both"/>
        <w:ind w:left="660" w:hanging="328"/>
        <w:spacing w:after="0" w:line="257" w:lineRule="auto"/>
        <w:tabs>
          <w:tab w:leader="none" w:pos="6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grant of equity awards such as any stock option or restricted stock unit or award under any of the Corporation’s stock incentive plans including any such restricted stock award or unit issued in lieu of receipt of a cash dividend.</w:t>
      </w:r>
    </w:p>
    <w:p>
      <w:pPr>
        <w:spacing w:after="0" w:line="10"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cash exercise of any stock option granted under any of the Corporation’s stock incentive plans or any other cash purchase of securities directly from the Corporation that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involve the subsequent sale of shares of the Corporation’s common stock acquired upon exercise of such option or purchase. Because it does not involve an open-market transaction, exercising an option and holding the shares acquired upon exercise is permitted even when in possession of material, nonpublic information.</w:t>
      </w:r>
    </w:p>
    <w:p>
      <w:pPr>
        <w:spacing w:after="0" w:line="16"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or settlement of any restricted stock unit or award or the exercise of a tax withholding right pursuant to which an election has been made (either by the individual or the Corporation) to have the Corporation withhold shares of the Corporation’s common stock to satisfy tax withholding obligations that arise in connection with the vesting or settlement of any restricted stock unit or award</w:t>
      </w:r>
    </w:p>
    <w:p>
      <w:pPr>
        <w:spacing w:after="0" w:line="14"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 involving shares of the Corporation’s common stock. However, the determination of whether a gift is truly a “bona fide gift” will be made on the basis of the facts and circumstances involving the gift. For example, gifts of stock to third party charities or non-profit organizations are subject to far less scrutiny than gifts to dependent children followed by an immediate sale of the gifted shares. Gifts to dependent children could result in an economic benefit to the donor and may be deemed to be not truly bona fide gifts.</w:t>
      </w:r>
    </w:p>
    <w:p>
      <w:pPr>
        <w:spacing w:after="0" w:line="1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conducted pursuant to a properly implemented Rule 10b5-1 trading plan (discussed in more detail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Prohibited Transactions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addition to prohibiting the sale and purchase of shares of the Corporation’s common stock while in possession of material, nonpublic information, this Policy also prohibits all individuals and entities covered under the Scope of this Policy from engaging in highly speculative or aggressive transactions and certain other transactions including:</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Short Sales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“Shorting” shares of a company’s common stock generally involves selling borrowed shares at a specific price in hopes of profiting by purchasing the shares back at a lower price. Taking a short position in the Corporation’s common stock is contrary to the Corporation’s goal of aligning the interests of its officers, employees and directors with the interests of its stockholders and is strictly prohibited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2"/>
          <w:szCs w:val="22"/>
          <w:color w:val="auto"/>
        </w:rPr>
        <w:t>Publicly Traded Options</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Publicly traded call and put options generally have short term expiration dates and are highly leveraged investment vehicles that can be used to aggressively speculate on short-term price swings in a company’s underlying shares of common stock. Taking a position in the Corporation’s publicly traded options may provide incentives for officers, employees and directors to make excessively risky business decisions that are focused on short-term performance at the expense of long-term, sustainable performance and is strictly prohibited under this Policy.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Margin Accounts and Pledging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Securities held in a margin account may be sold by the broker without the owner’s consent if the owner fails to meet a margin call. Similarly, securities pledged as collateral for a loan may be sold in foreclosure without the borrower’s consent if the borrower defaults on the loan. Holding securities of the Corporation in a margin account or pledging them as security for a loan could result in a sale of such securities at a time when the sale is prohibited by the insider trading laws and is strictly prohibited by this Policy.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Hedging Transactions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Hedging transactions generally involve the use of financial instruments to lock in the value of a securities position by preventing a decrease and/or increase in value. Using such financial instruments to hedge the value of a position held in shares of the Corporation’s common stock is contrary to the Corporation’s goal of aligning the interest of its officers, employees and directors with the interests of its stockholders and is strictly prohibited by this Policy.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Limit Orders</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Using limit orders to transact trades in shares of a company’s stock involves instructing a broker to buy or sell a stock at a particular price within a specified amount of time, including placing an order that is “good until cancelled.” Placing limit orders when a person is not in possession of material, nonpublic information may result in a trade at some point in the future when the person subsequently comes into possession of material, nonpublic information. Therefore, having an open limit order, regardless of the limit order price, during a period in which a person is in possession of material, nonpublic information about the Corporation or is otherwise subject to the Corporation’s quarterly or an event-specific closed window period (discussed in more detail below) is strictly prohibited by this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Quarterly and Event-specific Trading Windows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Quarterly Trading Windows</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Corporation’s General Counsel maintains a list of individuals, referred to as Designated Insiders, comprised of members of the Corporation’s Board of Directors, officers and certain other employees as determined by the Chief Executive Officer, Chief Financial Officer, General Counsel or Senior Counsel, Securities who, by virtue of their position, receive or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50" w:lineRule="auto"/>
        <w:rPr>
          <w:sz w:val="20"/>
          <w:szCs w:val="20"/>
          <w:color w:val="auto"/>
        </w:rPr>
      </w:pPr>
      <w:r>
        <w:rPr>
          <w:rFonts w:ascii="Times New Roman" w:cs="Times New Roman" w:eastAsia="Times New Roman" w:hAnsi="Times New Roman"/>
          <w:sz w:val="22"/>
          <w:szCs w:val="22"/>
          <w:color w:val="auto"/>
        </w:rPr>
        <w:t>access to certain material, nonpublic information about the Corporation. Because Designated Insiders often possess material, nonpublic information about the Corporation’s expected financial results before they are released to the public, they may only conduct trades in the Corporation’s securities during quarterly open trading windows which coincide with the public release of the Corporation’s financial results. The quarterly trading window opens as of the close of trading on the New York Stock Exchange on the first full trading day following the issuance of the earnings release reporting the Corporation’s quarterly or annual financial results. The quarterly trading window closes on the first business day which is fifteen calendar days before the close of the fiscal quarter or fiscal year. The prohibition on trading in the Corporation’s securities when in possession of material, nonpublic information set forth in this Policy continues to apply to Designated Insiders even when the quarterly trading window is open.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Pre-Clearance During Open Trading Window Periods</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Designated Insiders and their family members who wish to engage in any transaction in the Corporation’s securities during an open quarterly trading window must receive pre-clearance of all proposed transactions from the Corporation’s General Counsel or securities counsel prior to engaging in any such transaction. Designated Insiders may obtain pre-clearance by submitting the “Transaction Pre-clearance Form” attached to this Policy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approval to the Corporation’s General Counsel or securities counsel. All requests for pre-clearance should be submitted at least three business days in advance of the proposed transaction date to allow for pre-clearance and preparation of any required filings with the Securities and Exchange Commission for individuals who have been notified by the General Counsel that they are subject to Section 16 of the Securities Exchange Act. Once pre-clearance is received, the Designated Insider may trade until the closing of the next quarterly trading window or event-specific trading window (described below) or until the Designated Insider otherwise comes into possession of material, nonpublic information. Immediately following consummation of the trade, the Designated Insider shall submit to the Corporation’s General Counsel or securities counsel a completed copy of the “Transaction Notification Form” attached to this Policy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Trades that occur in connection with a properly implemented Rule 10b5-1 trading plan (described in more detail below) do not require pre-clearance but must still be reported to the Corporation’s General Counsel or securities counsel using the Transaction Notification Form. If pre-clearance is denied, the Designated Insider must avoid any transactions in the Corporation’s securities and is not permitted to inform any other person that the pre-clearance has been denied.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Event-Specific Closed Trading Window Periods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From time-to-time, members of the Board of Directors, certain officers and other employees of the Corporation may come into possession of material, nonpublic information. When this occurs, the General Counsel may close the trading window for these individuals until such time as the information they possess is no longer material or has been released to the public. Such event-specific trading restrictions will apply to these individuals regardless of whether the Corporation’s quarterly trading window is open. Individuals who are subject to an event-specific closed trading window are not permitted to inform anyone that the trading restriction is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2"/>
          <w:szCs w:val="22"/>
          <w:color w:val="auto"/>
        </w:rPr>
        <w:t>Rule 10b5-1 Trading Plan Exception</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trading prohibitions set forth in this Policy will not apply to trades that are conducted through the use of a properly implemented Rule 10b5-1 trading plan. The Securities and Exchange Commission has adopted Rule 10b5-1 that provides a defense from insider trading liability of trades occurring under a pre-arranged trading plan that meets the rule’s requirements. Under this rule, an individual who in good faith and not as part of a scheme to evade insider trading liability (i) enters into a binding contract, instruction or written plan that specifies the amount, price and date on which securities are to be purchased or sold, or a pre-determined formula by which the amount, price and date of trades will be determined, (ii) establishes the trading plan at a time when such individual is not in possession of material, nonpublic information concerning the company whose securities are to be purchased or sold and (iii) does not exercise any subsequent influence over how, when or whether to effect the transactions, will be able to claim a defense to insider trading liability even if the transactions executed under the trading plan occur at a time when the person is in possession of material, nonpublic information.</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Rule 10b5-1 trading plans are typically entered into with a broker (such as Fidelity). Prior to establishment of the trading plan, the Designated Insider must submit the plan for review by the Corporation’s General Counsel or securities counsel for a determination that the Corporation does not object to the trading plan. The Corporation’s General Counsel and securities counsel are not responsible for determining whether the trading plan is in compliance with Rule 10b5-1. Compliance with Rule 10b5-1 is solely the responsibility of the Designated Insider.</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Rule 10b5-1 trading plans must be fully executed by the parties to the trading plan and in place for a minimum of 30 days prior to the execution of any scheduled trade under the plan. Designated insiders may only amend a trading plan while they are not in possession of material, nonpublic information, during open quarterly trading windows and when they are not otherwise subject to an event-specific closed trading window. Every Rule 10b5-1 trading plan entered into by a designated insider must contain a provision that (i) permits the designated insider to terminate the trading plan at any time prior to the scheduled expiration of the trading plan and (ii) permits the Corporation to instruct the broker to suspend trading under the plan until further instructed by the Corporation that trading under the plan may resume.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Penalties for Non-compliance with Insider Trading Laws and this Policy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It is the responsibility of all officers, employees and members of the Board of Directors of the Corporation to comply with the securities laws and this Policy. As stated in the introduction to this Policy and as further described below, the penalties for breaking the insider trading laws can be severe.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Consequences for Traders and Tippers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Officers, employees and members of the Board of Directors who trade in the Corporation’s securities while in possession of material, nonpublic information about the Corporation – or their “tippees” who trade after receiving such information from them – are subject to severe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60" w:name="page161"/>
    <w:bookmarkEnd w:id="160"/>
    <w:p>
      <w:pPr>
        <w:ind w:left="1060" w:hanging="40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penalties of up to three times the profit gained or loss avoided as a result of the insider trading.</w:t>
      </w:r>
    </w:p>
    <w:p>
      <w:pPr>
        <w:spacing w:after="0" w:line="21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penalties of up to $5,000,000 (no matter how small the profit gained or loss avoided).</w:t>
      </w:r>
    </w:p>
    <w:p>
      <w:pPr>
        <w:spacing w:after="0" w:line="21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of up to twenty years.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Consequences for Control Persons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Corporation and its directors, officers and supervisory personnel are also subject to substantial civil and, in the case of the Corporation, criminal penalties if they fail to take appropriate steps to prevent illegal insider trading.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Corporation-Imposed Sanctions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Corporation takes compliance with the securities laws very seriously. Any violation by any officer, employee or member of the Board of Directors of the insider trading laws or this Policy may result in Corporation-imposed disciplinary sanctions - include termination of employment or removal proceedings. The Corporation may determine that specific conduct violates this Policy, whether or not the conduct is also a violation of the law. Therefore, the Corporation may initiate disciplinary action for violations of this Policy prior to the filing or conclusion of any civil or criminal action for any alleged violation of the insider trading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TRANSACTION PRE-CLEARANCE FORM</w:t>
            </w:r>
          </w:p>
        </w:tc>
      </w:tr>
      <w:tr>
        <w:trPr>
          <w:trHeight w:val="445"/>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______________________________________________________________________</w:t>
            </w:r>
          </w:p>
        </w:tc>
      </w:tr>
      <w:tr>
        <w:trPr>
          <w:trHeight w:val="540"/>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_____________</w:t>
            </w:r>
          </w:p>
        </w:tc>
        <w:tc>
          <w:tcPr>
            <w:tcW w:w="7440" w:type="dxa"/>
            <w:vAlign w:val="bottom"/>
            <w:gridSpan w:val="2"/>
          </w:tcPr>
          <w:p>
            <w:pPr>
              <w:ind w:left="580"/>
              <w:spacing w:after="0"/>
              <w:rPr>
                <w:sz w:val="20"/>
                <w:szCs w:val="20"/>
                <w:color w:val="auto"/>
              </w:rPr>
            </w:pPr>
            <w:r>
              <w:rPr>
                <w:rFonts w:ascii="Times New Roman" w:cs="Times New Roman" w:eastAsia="Times New Roman" w:hAnsi="Times New Roman"/>
                <w:sz w:val="22"/>
                <w:szCs w:val="22"/>
                <w:b w:val="1"/>
                <w:bCs w:val="1"/>
                <w:color w:val="auto"/>
              </w:rPr>
              <w:t>Transaction Type:</w:t>
            </w:r>
          </w:p>
        </w:tc>
      </w:tr>
      <w:tr>
        <w:trPr>
          <w:trHeight w:val="513"/>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Buy</w:t>
            </w:r>
          </w:p>
        </w:tc>
      </w:tr>
      <w:tr>
        <w:trPr>
          <w:trHeight w:val="364"/>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Sell</w:t>
            </w:r>
          </w:p>
        </w:tc>
      </w:tr>
      <w:tr>
        <w:trPr>
          <w:trHeight w:val="365"/>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Cashless Exercise (Exercise Options and Sell All Shares)</w:t>
            </w:r>
          </w:p>
        </w:tc>
      </w:tr>
      <w:tr>
        <w:trPr>
          <w:trHeight w:val="364"/>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Cashless Exercise (Exercise and Sell Portion to Cover Taxes/Option Cost)</w:t>
            </w:r>
          </w:p>
        </w:tc>
      </w:tr>
      <w:tr>
        <w:trPr>
          <w:trHeight w:val="378"/>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Exercise and Hold</w:t>
            </w:r>
          </w:p>
        </w:tc>
      </w:tr>
      <w:tr>
        <w:trPr>
          <w:trHeight w:val="4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Shares/</w:t>
            </w:r>
          </w:p>
        </w:tc>
        <w:tc>
          <w:tcPr>
            <w:tcW w:w="7440" w:type="dxa"/>
            <w:vAlign w:val="bottom"/>
            <w:gridSpan w:val="2"/>
          </w:tcPr>
          <w:p>
            <w:pPr>
              <w:ind w:left="580"/>
              <w:spacing w:after="0"/>
              <w:rPr>
                <w:sz w:val="20"/>
                <w:szCs w:val="20"/>
                <w:color w:val="auto"/>
              </w:rPr>
            </w:pPr>
            <w:r>
              <w:rPr>
                <w:rFonts w:ascii="Times New Roman" w:cs="Times New Roman" w:eastAsia="Times New Roman" w:hAnsi="Times New Roman"/>
                <w:sz w:val="22"/>
                <w:szCs w:val="22"/>
                <w:b w:val="1"/>
                <w:bCs w:val="1"/>
                <w:color w:val="auto"/>
              </w:rPr>
              <w:t>Asset Type</w:t>
            </w:r>
            <w:r>
              <w:rPr>
                <w:rFonts w:ascii="Times New Roman" w:cs="Times New Roman" w:eastAsia="Times New Roman" w:hAnsi="Times New Roman"/>
                <w:sz w:val="22"/>
                <w:szCs w:val="22"/>
                <w:color w:val="auto"/>
              </w:rPr>
              <w:t>:</w:t>
            </w:r>
          </w:p>
        </w:tc>
      </w:tr>
      <w:tr>
        <w:trPr>
          <w:trHeight w:val="286"/>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__________</w:t>
            </w:r>
          </w:p>
        </w:tc>
        <w:tc>
          <w:tcPr>
            <w:tcW w:w="88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418"/>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r>
      <w:tr>
        <w:trPr>
          <w:trHeight w:val="365"/>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Preferred Stock</w:t>
            </w:r>
          </w:p>
        </w:tc>
      </w:tr>
      <w:tr>
        <w:trPr>
          <w:trHeight w:val="365"/>
        </w:trPr>
        <w:tc>
          <w:tcPr>
            <w:tcW w:w="25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__</w:t>
            </w:r>
          </w:p>
        </w:tc>
        <w:tc>
          <w:tcPr>
            <w:tcW w:w="6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Debt Securities</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NAME IN WHICH SHARES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SOLD OR ACQUIRED ARE 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-29210</wp:posOffset>
            </wp:positionV>
            <wp:extent cx="137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 SALE, THE DATE YOU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ORIGINALLY ACQUIRED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-29210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9" w:lineRule="exact"/>
        <w:rPr>
          <w:sz w:val="20"/>
          <w:szCs w:val="20"/>
          <w:color w:val="auto"/>
        </w:rPr>
      </w:pPr>
    </w:p>
    <w:p>
      <w:pPr>
        <w:ind w:right="1200"/>
        <w:spacing w:after="0" w:line="271" w:lineRule="auto"/>
        <w:rPr>
          <w:sz w:val="20"/>
          <w:szCs w:val="20"/>
          <w:color w:val="auto"/>
        </w:rPr>
      </w:pPr>
      <w:r>
        <w:rPr>
          <w:rFonts w:ascii="Times New Roman" w:cs="Times New Roman" w:eastAsia="Times New Roman" w:hAnsi="Times New Roman"/>
          <w:sz w:val="22"/>
          <w:szCs w:val="22"/>
          <w:color w:val="auto"/>
        </w:rPr>
        <w:t>ANY TRANSACTION IN THE LAST SIX MONTHS OR CONTEMPLATED TO BE MADE IN THE NEXT SIX MONTHS? ___YES ___NO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YES, PLEASE DESCRIBE DETAILS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-13970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BROKER WHO WILL ARRANGE THE PROPOSED TRANSACTION: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(COMPLETE BELOW IF OTHER THAN FIDELITY)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-13970</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BROKERAGE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-29210</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-29210</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-21590</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-29210</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418"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WHERE WE CAN REACH YOU IN THE NEXT FEW DAYS TO ASK QUESTIONS OR OBTAIN YOUR 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STATEMENT</w:t>
      </w:r>
    </w:p>
    <w:p>
      <w:pPr>
        <w:spacing w:after="0" w:line="200" w:lineRule="exact"/>
        <w:rPr>
          <w:sz w:val="20"/>
          <w:szCs w:val="20"/>
          <w:color w:val="auto"/>
        </w:rPr>
      </w:pP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undersigned hereby certifies that, he/she is not in possession of any material, nonpublic information regarding Dine Brands Global, Inc. or its subsidiaries (the “Corporation”) (i.e., information that a reasonable investor would consider important in making a decision to buy, sell, or hold stock of the Corporation), and that, the undersigned is not involved in any pending projects on behalf of, or in connection with his/her relationship with, the Corporation or its subsidiaries that involve material nonpublic information.</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Furthermore, the undersigned hereby agrees not to buy or sell any securities of the Corporation except in compliance with the Corporation’s Insider Trading Policy and the relevant insider trading laws. The undersigned acknowledges and understands that the clearance to trade in the Corporation’s stock is given by the Corporation’s General Counsel in reliance upon this Certification Statement and will be effective only for the remainder of the current quarterly open trading window (or until the undersigned becomes subject to an event-specific closed trading window period or otherwise comes into possession of material, nonpublic information), and that after the expiration of such trading window, any subsequent proposed transaction involving the Corporation’s securities by the undersigned must receive the prior pre-clearance of the General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to the Corporation’s General Counsel this ____ day of ___________, 20__.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-13970</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-13970</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-13970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920" w:val="left"/>
          <w:tab w:leader="none" w:pos="2820" w:val="left"/>
          <w:tab w:leader="none" w:pos="4320" w:val="left"/>
        </w:tabs>
        <w:rPr>
          <w:sz w:val="20"/>
          <w:szCs w:val="20"/>
          <w:color w:val="auto"/>
        </w:rPr>
      </w:pPr>
      <w:r>
        <w:rPr>
          <w:rFonts w:ascii="Times New Roman" w:cs="Times New Roman" w:eastAsia="Times New Roman" w:hAnsi="Times New Roman"/>
          <w:sz w:val="22"/>
          <w:szCs w:val="22"/>
          <w:color w:val="auto"/>
        </w:rPr>
        <w:t>Approved: ___YES</w:t>
        <w:tab/>
        <w:t>NO___</w:t>
        <w:tab/>
        <w:t>By:</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-13970</wp:posOffset>
            </wp:positionV>
            <wp:extent cx="5486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-13970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 NOTIFICATION FORM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traded stock of the Corporation, as follows (</w:t>
      </w:r>
      <w:r>
        <w:rPr>
          <w:rFonts w:ascii="Times New Roman" w:cs="Times New Roman" w:eastAsia="Times New Roman" w:hAnsi="Times New Roman"/>
          <w:sz w:val="22"/>
          <w:szCs w:val="22"/>
          <w:i w:val="1"/>
          <w:iCs w:val="1"/>
          <w:color w:val="auto"/>
        </w:rPr>
        <w:t>check the appropriate space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220"/>
        <w:spacing w:after="0"/>
        <w:tabs>
          <w:tab w:leader="none" w:pos="860" w:val="left"/>
          <w:tab w:leader="none" w:pos="3060" w:val="left"/>
          <w:tab w:leader="none" w:pos="4280" w:val="left"/>
        </w:tabs>
        <w:rPr>
          <w:sz w:val="20"/>
          <w:szCs w:val="20"/>
          <w:color w:val="auto"/>
        </w:rPr>
      </w:pPr>
      <w:r>
        <w:rPr>
          <w:rFonts w:ascii="Times New Roman" w:cs="Times New Roman" w:eastAsia="Times New Roman" w:hAnsi="Times New Roman"/>
          <w:sz w:val="22"/>
          <w:szCs w:val="22"/>
          <w:color w:val="auto"/>
        </w:rPr>
        <w:t>____</w:t>
        <w:tab/>
        <w:t>Bought ____________</w:t>
        <w:tab/>
        <w:t>(#) shares $</w:t>
      </w:r>
      <w:r>
        <w:rPr>
          <w:sz w:val="20"/>
          <w:szCs w:val="20"/>
          <w:color w:val="auto"/>
        </w:rPr>
        <w:tab/>
      </w:r>
      <w:r>
        <w:rPr>
          <w:rFonts w:ascii="Times New Roman" w:cs="Times New Roman" w:eastAsia="Times New Roman" w:hAnsi="Times New Roman"/>
          <w:sz w:val="21"/>
          <w:szCs w:val="21"/>
          <w:color w:val="auto"/>
        </w:rPr>
        <w:t>______ per share</w:t>
      </w:r>
    </w:p>
    <w:p>
      <w:pPr>
        <w:spacing w:after="0" w:line="220" w:lineRule="exact"/>
        <w:rPr>
          <w:sz w:val="20"/>
          <w:szCs w:val="20"/>
          <w:color w:val="auto"/>
        </w:rPr>
      </w:pPr>
    </w:p>
    <w:p>
      <w:pPr>
        <w:ind w:left="220"/>
        <w:spacing w:after="0"/>
        <w:tabs>
          <w:tab w:leader="none" w:pos="860" w:val="left"/>
          <w:tab w:leader="none" w:pos="3040" w:val="left"/>
          <w:tab w:leader="none" w:pos="4260" w:val="left"/>
        </w:tabs>
        <w:rPr>
          <w:sz w:val="20"/>
          <w:szCs w:val="20"/>
          <w:color w:val="auto"/>
        </w:rPr>
      </w:pPr>
      <w:r>
        <w:rPr>
          <w:rFonts w:ascii="Times New Roman" w:cs="Times New Roman" w:eastAsia="Times New Roman" w:hAnsi="Times New Roman"/>
          <w:sz w:val="22"/>
          <w:szCs w:val="22"/>
          <w:color w:val="auto"/>
        </w:rPr>
        <w:t>____</w:t>
        <w:tab/>
        <w:t>Sold ______________</w:t>
        <w:tab/>
        <w:t>(#) shares $</w:t>
      </w:r>
      <w:r>
        <w:rPr>
          <w:sz w:val="20"/>
          <w:szCs w:val="20"/>
          <w:color w:val="auto"/>
        </w:rPr>
        <w:tab/>
      </w:r>
      <w:r>
        <w:rPr>
          <w:rFonts w:ascii="Times New Roman" w:cs="Times New Roman" w:eastAsia="Times New Roman" w:hAnsi="Times New Roman"/>
          <w:sz w:val="21"/>
          <w:szCs w:val="21"/>
          <w:color w:val="auto"/>
        </w:rPr>
        <w:t>______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____ Exercised</w:t>
      </w:r>
      <w:r>
        <w:rPr>
          <w:sz w:val="20"/>
          <w:szCs w:val="20"/>
          <w:color w:val="auto"/>
        </w:rPr>
        <w:tab/>
      </w:r>
      <w:r>
        <w:rPr>
          <w:rFonts w:ascii="Times New Roman" w:cs="Times New Roman" w:eastAsia="Times New Roman" w:hAnsi="Times New Roman"/>
          <w:sz w:val="21"/>
          <w:szCs w:val="21"/>
          <w:color w:val="auto"/>
        </w:rPr>
        <w:t>____________(#) options granted to me on _________, 20__, pursuant to the ______________ (name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of plan) and concurrently sold ______________ (#)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-13970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-13970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-13970</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-13970</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-13970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8"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86"/>
        </w:trPr>
        <w:tc>
          <w:tcPr>
            <w:tcW w:w="8200" w:type="dxa"/>
            <w:vAlign w:val="bottom"/>
          </w:tcPr>
          <w:p>
            <w:pPr>
              <w:spacing w:after="0"/>
              <w:rPr>
                <w:sz w:val="24"/>
                <w:szCs w:val="24"/>
                <w:color w:val="auto"/>
              </w:rPr>
            </w:pPr>
          </w:p>
        </w:tc>
        <w:tc>
          <w:tcPr>
            <w:tcW w:w="3040" w:type="dxa"/>
            <w:vAlign w:val="bottom"/>
          </w:tcPr>
          <w:p>
            <w:pPr>
              <w:ind w:left="1920"/>
              <w:spacing w:after="0"/>
              <w:rPr>
                <w:sz w:val="20"/>
                <w:szCs w:val="20"/>
                <w:color w:val="auto"/>
              </w:rPr>
            </w:pPr>
            <w:r>
              <w:rPr>
                <w:rFonts w:ascii="Times New Roman" w:cs="Times New Roman" w:eastAsia="Times New Roman" w:hAnsi="Times New Roman"/>
                <w:sz w:val="22"/>
                <w:szCs w:val="22"/>
                <w:b w:val="1"/>
                <w:bCs w:val="1"/>
                <w:color w:val="auto"/>
                <w:w w:val="96"/>
              </w:rPr>
              <w:t>Exhibit 21.1</w:t>
            </w:r>
          </w:p>
        </w:tc>
      </w:tr>
      <w:tr>
        <w:trPr>
          <w:trHeight w:val="456"/>
        </w:trPr>
        <w:tc>
          <w:tcPr>
            <w:tcW w:w="8200" w:type="dxa"/>
            <w:vAlign w:val="bottom"/>
          </w:tcPr>
          <w:p>
            <w:pPr>
              <w:ind w:left="3140"/>
              <w:spacing w:after="0"/>
              <w:rPr>
                <w:sz w:val="20"/>
                <w:szCs w:val="20"/>
                <w:color w:val="auto"/>
              </w:rPr>
            </w:pPr>
            <w:r>
              <w:rPr>
                <w:rFonts w:ascii="Times New Roman" w:cs="Times New Roman" w:eastAsia="Times New Roman" w:hAnsi="Times New Roman"/>
                <w:sz w:val="22"/>
                <w:szCs w:val="22"/>
                <w:b w:val="1"/>
                <w:bCs w:val="1"/>
                <w:color w:val="auto"/>
                <w:w w:val="99"/>
              </w:rPr>
              <w:t>SUBSIDIARIES OF DINE BRANDS GLOBAL, INC.</w:t>
            </w:r>
          </w:p>
        </w:tc>
        <w:tc>
          <w:tcPr>
            <w:tcW w:w="3040" w:type="dxa"/>
            <w:vAlign w:val="bottom"/>
          </w:tcPr>
          <w:p>
            <w:pPr>
              <w:spacing w:after="0"/>
              <w:rPr>
                <w:sz w:val="24"/>
                <w:szCs w:val="24"/>
                <w:color w:val="auto"/>
              </w:rPr>
            </w:pPr>
          </w:p>
        </w:tc>
      </w:tr>
      <w:tr>
        <w:trPr>
          <w:trHeight w:val="286"/>
        </w:trPr>
        <w:tc>
          <w:tcPr>
            <w:tcW w:w="8200" w:type="dxa"/>
            <w:vAlign w:val="bottom"/>
          </w:tcPr>
          <w:p>
            <w:pPr>
              <w:ind w:left="4480"/>
              <w:spacing w:after="0"/>
              <w:rPr>
                <w:sz w:val="20"/>
                <w:szCs w:val="20"/>
                <w:color w:val="auto"/>
              </w:rPr>
            </w:pPr>
            <w:r>
              <w:rPr>
                <w:rFonts w:ascii="Times New Roman" w:cs="Times New Roman" w:eastAsia="Times New Roman" w:hAnsi="Times New Roman"/>
                <w:sz w:val="22"/>
                <w:szCs w:val="22"/>
                <w:b w:val="1"/>
                <w:bCs w:val="1"/>
                <w:color w:val="auto"/>
              </w:rPr>
              <w:t>As of December 31, 2024</w:t>
            </w:r>
          </w:p>
        </w:tc>
        <w:tc>
          <w:tcPr>
            <w:tcW w:w="3040" w:type="dxa"/>
            <w:vAlign w:val="bottom"/>
          </w:tcPr>
          <w:p>
            <w:pPr>
              <w:spacing w:after="0"/>
              <w:rPr>
                <w:sz w:val="24"/>
                <w:szCs w:val="24"/>
                <w:color w:val="auto"/>
              </w:rPr>
            </w:pPr>
          </w:p>
        </w:tc>
      </w:tr>
      <w:tr>
        <w:trPr>
          <w:trHeight w:val="236"/>
        </w:trPr>
        <w:tc>
          <w:tcPr>
            <w:tcW w:w="8200" w:type="dxa"/>
            <w:vAlign w:val="bottom"/>
          </w:tcPr>
          <w:p>
            <w:pPr>
              <w:spacing w:after="0"/>
              <w:rPr>
                <w:sz w:val="20"/>
                <w:szCs w:val="20"/>
                <w:color w:val="auto"/>
              </w:rPr>
            </w:pP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r>
      <w:tr>
        <w:trPr>
          <w:trHeight w:val="259"/>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House of Pancakes,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 Industries of Canada LTD</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of Canada ULC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TPGC,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OH</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Property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Leasing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Cards,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FL</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Canada Corp.</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Investments,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Restaurantes de Mexico S.de R.L. de C.V.</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UK,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 Holdings,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Kansas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Mid-Atlantic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North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Texas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TX</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Vermont,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West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Services,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Massachusetts,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MA</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New York,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NY</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Tennessee,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TN</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USA,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Neighborhood Insurance,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Foundation, Inc. (dba The Heidi Fund,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FTO Holding Company,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Taco Holdings,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Texas</w:t>
            </w:r>
          </w:p>
        </w:tc>
      </w:tr>
    </w:tbl>
    <w:p>
      <w:pPr>
        <w:sectPr>
          <w:pgSz w:w="11900" w:h="16838" w:orient="portrait"/>
          <w:cols w:equalWidth="0" w:num="1">
            <w:col w:w="11240"/>
          </w:cols>
          <w:pgMar w:left="320" w:top="972"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Fuzzy’s Taco Retail,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FTO Strategic Company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Fuzzy’s Taco Opportunities,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FTO Strategic Company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FTO Strategic Company III,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4,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5,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10,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ectPr>
          <w:pgSz w:w="11900" w:h="16838" w:orient="portrait"/>
          <w:cols w:equalWidth="0" w:num="2">
            <w:col w:w="8520" w:space="720"/>
            <w:col w:w="879"/>
          </w:cols>
          <w:pgMar w:left="340" w:top="1012"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60" w:lineRule="exact"/>
        <w:rPr>
          <w:sz w:val="20"/>
          <w:szCs w:val="20"/>
          <w:color w:val="auto"/>
        </w:rPr>
      </w:pPr>
    </w:p>
    <w:p>
      <w:pPr>
        <w:ind w:left="700" w:hanging="328"/>
        <w:spacing w:after="0"/>
        <w:tabs>
          <w:tab w:leader="none" w:pos="700" w:val="left"/>
        </w:tabs>
        <w:numPr>
          <w:ilvl w:val="0"/>
          <w:numId w:val="10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333-174847) pertaining to the 2011 Stock Incentive Plan of DineEquity, Inc.,</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10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333-211429) pertaining to the 2016 Stock Incentive Plan of Dine Brands Global, Inc., and</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10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Statements (Form S-8 Nos. 333-231473 and 333-270157) pertaining to the 2019 Stock Incentive Plan of Dine Brands Global, Inc.;</w:t>
      </w:r>
    </w:p>
    <w:p>
      <w:pPr>
        <w:spacing w:after="0" w:line="225"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of our reports dated March 5, 2025, with respect to the consolidated financial statements of Dine Brands Global, Inc. and Subsidiaries and the effectiveness of internal control over financial reporting of Dine Brands Global, Inc. and Subsidiaries, included in this Annual Report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ectPr>
          <w:pgSz w:w="11900" w:h="16838" w:orient="portrait"/>
          <w:cols w:equalWidth="0" w:num="1">
            <w:col w:w="11240"/>
          </w:cols>
          <w:pgMar w:left="320" w:top="887" w:right="339" w:bottom="1440" w:gutter="0" w:footer="0" w:header="0"/>
        </w:sectPr>
      </w:pPr>
    </w:p>
    <w:bookmarkStart w:id="167" w:name="page168"/>
    <w:bookmarkEnd w:id="16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5th day of March, 2025</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5th day of March, 2025</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31, 2024, as filed with the Securities and Exchange Commission on the 5th day of March, 2025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5th day of March, 2025</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31, 2024, as filed with the Securities and Exchange Commission on the 5th day of March, 2025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5th day of March, 2025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RECOUPMENT OF INCENTIVE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Dine Brands Global,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has adopted this Policy on Recoupment of Incentive Compensation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recoupment of compensation in certain circumstances in the event of a restatement of financial results by the Corporation. This Policy shall be interpreted to comply with the requirements of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listing standards implementing Section 954 of the Dodd-Frank Wall Street Reform and Consumer Protection Act of 2010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and, to the extent this Policy is in any manner deemed inconsistent with such rules, this Policy shall be treated as retroactively amended to be compliant with such rules.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Executives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Policy applies to any current or former “executive officer,” within the meaning of Rule 10D-1 under the Securities Exchange Act of 1934, as amended, of the Corporation or a subsidiary of the Corporation (each such individual,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Policy shall be binding and enforceable against all Executives and their beneficiaries, executors, administrators, and other legal representatives.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Upon Financial Restatement</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Corporation is required to prepare an accounting restatement due to the material noncompliance of the Corporation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Compensation Committee shall cause the Corporation to recoup from each Executive, as promptly as reasonably possible, any erroneously awarded Incentive-Based Compensation, as defined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No-Fault Recovery</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ectPr>
          <w:pgSz w:w="11900" w:h="16838" w:orient="portrait"/>
          <w:cols w:equalWidth="0" w:num="1">
            <w:col w:w="11240"/>
          </w:cols>
          <w:pgMar w:left="320" w:top="1404" w:right="339" w:bottom="1440" w:gutter="0" w:footer="0" w:header="0"/>
        </w:sectPr>
      </w:pPr>
    </w:p>
    <w:bookmarkStart w:id="172" w:name="page173"/>
    <w:bookmarkEnd w:id="172"/>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Recovery; Enforcement</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Policy applies to all compensation granted, earned or vested based wholly or in part upon the attainment of any financial reporting measure determined and presented in accordance with the accounting principles used in preparing the Corporation’s financial statements, and any measure that is derived wholly or in part from such measures, whether or not presented within the Corporation’s financial statements or included in a filing with the SEC, including stock price and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including but not limited to performance-based cash, stock, options or other equity-based awards paid or granted to the Executive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completed fiscal years immediately preceding the date on which the Corporation is required to prepare the Financial Restatement, as determined in accordance with the last sentence of this paragraph, or any transition period that results from a change in the Corporation’s fiscal year (as set forth in Section 303A.14(c)</w:t>
      </w:r>
    </w:p>
    <w:p>
      <w:pPr>
        <w:jc w:val="both"/>
        <w:spacing w:after="0" w:line="233" w:lineRule="auto"/>
        <w:rPr>
          <w:sz w:val="20"/>
          <w:szCs w:val="20"/>
          <w:color w:val="auto"/>
        </w:rPr>
      </w:pPr>
      <w:r>
        <w:rPr>
          <w:rFonts w:ascii="Times New Roman" w:cs="Times New Roman" w:eastAsia="Times New Roman" w:hAnsi="Times New Roman"/>
          <w:sz w:val="22"/>
          <w:szCs w:val="22"/>
          <w:color w:val="auto"/>
        </w:rPr>
        <w:t>(1)(i)(D) of the NYSE Listed Company Manual). The date on which the Corporation is required to prepare a Financial Restatement is the earlier to occur of (A) the date the Board or a Board committee (or authorized officers of the Corporation if Board action is not required) concludes, or reasonably should have concluded, that the Corporation is required to prepare a Financial Restatement or (B) the date a court, regulator, or other legally authorized body directs the Corporation to prepare a Financial Restatement.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Corporation shall document the determination of that estimate and provide it to the NYSE.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may use any legal or equitable remedies that are available to the Corporation to</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recoup any erroneously awarded Incentive-Based Compensation, including but not limited to by collecting from the Executive cash payments or shares of Corporation common stock from or by forfeiting any amounts that the Corporation owes to the Executive. Executives shall be solely</w:t>
      </w:r>
    </w:p>
    <w:p>
      <w:pPr>
        <w:sectPr>
          <w:pgSz w:w="11900" w:h="16838" w:orient="portrait"/>
          <w:cols w:equalWidth="0" w:num="1">
            <w:col w:w="11240"/>
          </w:cols>
          <w:pgMar w:left="320" w:top="1440" w:right="339" w:bottom="1440" w:gutter="0" w:footer="0" w:header="0"/>
        </w:sectPr>
      </w:pPr>
    </w:p>
    <w:bookmarkStart w:id="173" w:name="page174"/>
    <w:bookmarkEnd w:id="173"/>
    <w:p>
      <w:pPr>
        <w:jc w:val="both"/>
        <w:spacing w:after="0" w:line="244" w:lineRule="auto"/>
        <w:rPr>
          <w:sz w:val="20"/>
          <w:szCs w:val="20"/>
          <w:color w:val="auto"/>
        </w:rPr>
      </w:pPr>
      <w:r>
        <w:rPr>
          <w:rFonts w:ascii="Times New Roman" w:cs="Times New Roman" w:eastAsia="Times New Roman" w:hAnsi="Times New Roman"/>
          <w:sz w:val="22"/>
          <w:szCs w:val="22"/>
          <w:color w:val="auto"/>
        </w:rPr>
        <w:t>responsible for any tax consequences to them that result from the recoupment or recovery of any amount pursuant to this Policy, and the Corporation shall have no obligation to administer the Policy in a manner that avoids or minimizes any such tax consequences.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Corporation shall not indemnify any Executive or pay or reimburse the premium for any insurance policy to cover any losses incurred by such Executive under this Policy or any claims relating to the Corporation’s enforcement of rights under this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compensation recouped under this Policy shall not include Incentive-Based Compensation received by an Executive (i) prior to beginning service as an Executive or (ii) if the Executive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the NYSE), (B) recovery would violate the home country law that was adopted prior to November 28, 2022, as determined by an opinion of counsel licensed in the applicable jurisdiction that is acceptable to and provided to the NYSE, or (C) recovery would likely cause the Corporation’s 401(k) plan or any other tax-qualified retirement plan to fail to meet the requirements of Section 401(a)(13) or Section 411(a) of the Internal Revenue Code of 1986, as amended, and the regulations thereunder.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Remedies Not Precluded</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exercise by the Compensation Committee of any rights pursuant to this Policy shall be without prejudice to any other rights or remedies that the Corporation, the Board or the Compensation Committee may have with respect to any Executive subject to this Policy, whether arising under applicable law (including pursuant to Section 304 of the Sarbanes-Oxley</w:t>
      </w:r>
    </w:p>
    <w:p>
      <w:pPr>
        <w:ind w:right="2940"/>
        <w:spacing w:after="0" w:line="234" w:lineRule="auto"/>
        <w:rPr>
          <w:sz w:val="20"/>
          <w:szCs w:val="20"/>
          <w:color w:val="auto"/>
        </w:rPr>
      </w:pPr>
      <w:r>
        <w:rPr>
          <w:rFonts w:ascii="Times New Roman" w:cs="Times New Roman" w:eastAsia="Times New Roman" w:hAnsi="Times New Roman"/>
          <w:sz w:val="22"/>
          <w:szCs w:val="22"/>
          <w:color w:val="auto"/>
        </w:rPr>
        <w:t>Act of 2002), regulation or pursuant to the terms of any other policy of the Corporation,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required by the Compensation Committee, each Executive shall be required to sign and return to the Corporation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Corporation.</w:t>
      </w:r>
    </w:p>
    <w:p>
      <w:pPr>
        <w:sectPr>
          <w:pgSz w:w="11900" w:h="16838" w:orient="portrait"/>
          <w:cols w:equalWidth="0" w:num="1">
            <w:col w:w="11240"/>
          </w:cols>
          <w:pgMar w:left="320" w:top="140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 and Applicability</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Policy has been adopted by the Compensation Committee on November 14, 2023, supersedes all prior policies of the Corporation related to the recoupment of incentive compensation and shall apply to any Incentive-Based Compensation that is received by an Executive on or after October 2, 2023.</w:t>
      </w:r>
    </w:p>
    <w:p>
      <w:pPr>
        <w:sectPr>
          <w:pgSz w:w="11900" w:h="16838" w:orient="portrait"/>
          <w:cols w:equalWidth="0" w:num="1">
            <w:col w:w="11240"/>
          </w:cols>
          <w:pgMar w:left="320" w:top="1404"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DODD-FRANK COMPENSATION CLAWBACK POLICY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3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auto"/>
        </w:rPr>
        <w:t>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Corporation; and (iii) will abide by the terms of the Policy, including, without limitation, by reasonably promptly returning any Recoverable Compensation to the Corporation as required by the Policy, as determined by the Compensation Committee in its sole discretion.</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Sign: _____________________________</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Executive</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Date: _____________________________</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1)"/>
      <w:numFmt w:val="lowerLetter"/>
      <w:start w:val="1"/>
    </w:lvl>
  </w:abstractNum>
  <w:abstractNum w:abstractNumId="11">
    <w:nsid w:val="3F6AB60F"/>
    <w:multiLevelType w:val="hybridMultilevel"/>
    <w:lvl w:ilvl="0">
      <w:lvlJc w:val="left"/>
      <w:lvlText w:val="(%1)"/>
      <w:numFmt w:val="lowerLetter"/>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lowerLetter"/>
      <w:start w:val="1"/>
    </w:lvl>
  </w:abstractNum>
  <w:abstractNum w:abstractNumId="17">
    <w:nsid w:val="5FF87E05"/>
    <w:multiLevelType w:val="hybridMultilevel"/>
    <w:lvl w:ilvl="0">
      <w:lvlJc w:val="left"/>
      <w:lvlText w:val="(%1)"/>
      <w:numFmt w:val="lowerLetter"/>
      <w:start w:val="3"/>
    </w:lvl>
  </w:abstractNum>
  <w:abstractNum w:abstractNumId="18">
    <w:nsid w:val="2F305DEF"/>
    <w:multiLevelType w:val="hybridMultilevel"/>
    <w:lvl w:ilvl="0">
      <w:lvlJc w:val="left"/>
      <w:lvlText w:val="(%1)"/>
      <w:numFmt w:val="lowerLetter"/>
      <w:start w:val="4"/>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lowerLetter"/>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2"/>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decimal"/>
      <w:start w:val="2"/>
    </w:lvl>
    <w:lvl w:ilvl="1">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upperLetter"/>
      <w:start w:val="2"/>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8"/>
    </w:lvl>
    <w:lvl w:ilvl="1">
      <w:lvlJc w:val="left"/>
      <w:lvlText w:val="•"/>
      <w:numFmt w:val="bullet"/>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lowerLetter"/>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lowerRoman"/>
      <w:start w:val="1"/>
    </w:lvl>
  </w:abstractNum>
  <w:abstractNum w:abstractNumId="50">
    <w:nsid w:val="60B6DF70"/>
    <w:multiLevelType w:val="hybridMultilevel"/>
    <w:lvl w:ilvl="0">
      <w:lvlJc w:val="left"/>
      <w:lvlText w:val="(%1)"/>
      <w:numFmt w:val="lowerRoman"/>
      <w:start w:val="1"/>
    </w:lvl>
  </w:abstractNum>
  <w:abstractNum w:abstractNumId="51">
    <w:nsid w:val="6A5EE64"/>
    <w:multiLevelType w:val="hybridMultilevel"/>
    <w:lvl w:ilvl="0">
      <w:lvlJc w:val="left"/>
      <w:lvlText w:val="%1."/>
      <w:numFmt w:val="decimal"/>
      <w:start w:val="3"/>
    </w:lvl>
  </w:abstractNum>
  <w:abstractNum w:abstractNumId="52">
    <w:nsid w:val="14330624"/>
    <w:multiLevelType w:val="hybridMultilevel"/>
    <w:lvl w:ilvl="0">
      <w:lvlJc w:val="left"/>
      <w:lvlText w:val="%1."/>
      <w:numFmt w:val="decimal"/>
      <w:start w:val="4"/>
    </w:lvl>
    <w:lvl w:ilvl="1">
      <w:lvlJc w:val="left"/>
      <w:lvlText w:val="%2."/>
      <w:numFmt w:val="lowerLetter"/>
      <w:start w:val="1"/>
    </w:lvl>
  </w:abstractNum>
  <w:abstractNum w:abstractNumId="53">
    <w:nsid w:val="7FFFCA11"/>
    <w:multiLevelType w:val="hybridMultilevel"/>
    <w:lvl w:ilvl="0">
      <w:lvlJc w:val="left"/>
      <w:lvlText w:val="%1."/>
      <w:numFmt w:val="decimal"/>
      <w:start w:val="5"/>
    </w:lvl>
    <w:lvl w:ilvl="1">
      <w:lvlJc w:val="left"/>
      <w:lvlText w:val="%2."/>
      <w:numFmt w:val="lowerLetter"/>
      <w:start w:val="1"/>
    </w:lvl>
  </w:abstractNum>
  <w:abstractNum w:abstractNumId="54">
    <w:nsid w:val="1A27709E"/>
    <w:multiLevelType w:val="hybridMultilevel"/>
    <w:lvl w:ilvl="0">
      <w:lvlJc w:val="left"/>
      <w:lvlText w:val="%1."/>
      <w:numFmt w:val="decimal"/>
      <w:start w:val="6"/>
    </w:lvl>
  </w:abstractNum>
  <w:abstractNum w:abstractNumId="55">
    <w:nsid w:val="71EA1109"/>
    <w:multiLevelType w:val="hybridMultilevel"/>
    <w:lvl w:ilvl="0">
      <w:lvlJc w:val="left"/>
      <w:lvlText w:val="%1."/>
      <w:numFmt w:val="decimal"/>
      <w:start w:val="12"/>
    </w:lvl>
  </w:abstractNum>
  <w:abstractNum w:abstractNumId="56">
    <w:nsid w:val="100F59DC"/>
    <w:multiLevelType w:val="hybridMultilevel"/>
    <w:lvl w:ilvl="0">
      <w:lvlJc w:val="left"/>
      <w:lvlText w:val="%1"/>
      <w:numFmt w:val="decimal"/>
      <w:start w:val="12"/>
    </w:lvl>
  </w:abstractNum>
  <w:abstractNum w:abstractNumId="57">
    <w:nsid w:val="7FB7E0AA"/>
    <w:multiLevelType w:val="hybridMultilevel"/>
    <w:lvl w:ilvl="0">
      <w:lvlJc w:val="left"/>
      <w:lvlText w:val="%1."/>
      <w:numFmt w:val="decimal"/>
      <w:start w:val="13"/>
    </w:lvl>
    <w:lvl w:ilvl="1">
      <w:lvlJc w:val="left"/>
      <w:lvlText w:val="%2"/>
      <w:numFmt w:val="lowerLetter"/>
      <w:start w:val="1"/>
    </w:lvl>
  </w:abstractNum>
  <w:abstractNum w:abstractNumId="58">
    <w:nsid w:val="6EB5BD4"/>
    <w:multiLevelType w:val="hybridMultilevel"/>
    <w:lvl w:ilvl="0">
      <w:lvlJc w:val="left"/>
      <w:lvlText w:val="%1."/>
      <w:numFmt w:val="decimal"/>
      <w:start w:val="14"/>
    </w:lvl>
  </w:abstractNum>
  <w:abstractNum w:abstractNumId="59">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94211F2"/>
    <w:multiLevelType w:val="hybridMultilevel"/>
    <w:lvl w:ilvl="0">
      <w:lvlJc w:val="left"/>
      <w:lvlText w:val="%1."/>
      <w:numFmt w:val="lowerLetter"/>
      <w:start w:val="4"/>
    </w:lvl>
  </w:abstractNum>
  <w:abstractNum w:abstractNumId="61">
    <w:nsid w:val="885E1B"/>
    <w:multiLevelType w:val="hybridMultilevel"/>
    <w:lvl w:ilvl="0">
      <w:lvlJc w:val="left"/>
      <w:lvlText w:val="%1."/>
      <w:numFmt w:val="decimal"/>
      <w:start w:val="3"/>
    </w:lvl>
  </w:abstractNum>
  <w:abstractNum w:abstractNumId="62">
    <w:nsid w:val="76272110"/>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3">
    <w:nsid w:val="4C04A8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4">
    <w:nsid w:val="1716703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5">
    <w:nsid w:val="14E17E3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3"/>
    </w:lvl>
  </w:abstractNum>
  <w:abstractNum w:abstractNumId="66">
    <w:nsid w:val="3222E7CD"/>
    <w:multiLevelType w:val="hybridMultilevel"/>
    <w:lvl w:ilvl="0">
      <w:lvlJc w:val="left"/>
      <w:lvlText w:val="%1."/>
      <w:numFmt w:val="decimal"/>
      <w:start w:val="9"/>
    </w:lvl>
  </w:abstractNum>
  <w:abstractNum w:abstractNumId="67">
    <w:nsid w:val="74DE0EE3"/>
    <w:multiLevelType w:val="hybridMultilevel"/>
    <w:lvl w:ilvl="0">
      <w:lvlJc w:val="left"/>
      <w:lvlText w:val="%1."/>
      <w:numFmt w:val="decimal"/>
      <w:start w:val="11"/>
    </w:lvl>
    <w:lvl w:ilvl="1">
      <w:lvlJc w:val="left"/>
      <w:lvlText w:val="(%2)"/>
      <w:numFmt w:val="lowerLetter"/>
      <w:start w:val="1"/>
    </w:lvl>
  </w:abstractNum>
  <w:abstractNum w:abstractNumId="68">
    <w:nsid w:val="68EBC550"/>
    <w:multiLevelType w:val="hybridMultilevel"/>
    <w:lvl w:ilvl="0">
      <w:lvlJc w:val="left"/>
      <w:lvlText w:val="%1."/>
      <w:numFmt w:val="decimal"/>
      <w:start w:val="14"/>
    </w:lvl>
  </w:abstractNum>
  <w:abstractNum w:abstractNumId="69">
    <w:nsid w:val="2DF6D648"/>
    <w:multiLevelType w:val="hybridMultilevel"/>
    <w:lvl w:ilvl="0">
      <w:lvlJc w:val="left"/>
      <w:lvlText w:val="%1."/>
      <w:numFmt w:val="decimal"/>
      <w:start w:val="18"/>
    </w:lvl>
  </w:abstractNum>
  <w:abstractNum w:abstractNumId="70">
    <w:nsid w:val="46B7D447"/>
    <w:multiLevelType w:val="hybridMultilevel"/>
    <w:lvl w:ilvl="0">
      <w:lvlJc w:val="left"/>
      <w:lvlText w:val="%1."/>
      <w:numFmt w:val="decimal"/>
      <w:start w:val="21"/>
    </w:lvl>
  </w:abstractNum>
  <w:abstractNum w:abstractNumId="71">
    <w:nsid w:val="4A2AC315"/>
    <w:multiLevelType w:val="hybridMultilevel"/>
    <w:lvl w:ilvl="0">
      <w:lvlJc w:val="left"/>
      <w:lvlText w:val="%1."/>
      <w:numFmt w:val="decimal"/>
      <w:start w:val="26"/>
    </w:lvl>
  </w:abstractNum>
  <w:abstractNum w:abstractNumId="72">
    <w:nsid w:val="39EE015C"/>
    <w:multiLevelType w:val="hybridMultilevel"/>
    <w:lvl w:ilvl="0">
      <w:lvlJc w:val="left"/>
      <w:lvlText w:val="%1."/>
      <w:numFmt w:val="decimal"/>
      <w:start w:val="1"/>
    </w:lvl>
  </w:abstractNum>
  <w:abstractNum w:abstractNumId="73">
    <w:nsid w:val="57FC4FBB"/>
    <w:multiLevelType w:val="hybridMultilevel"/>
    <w:lvl w:ilvl="0">
      <w:lvlJc w:val="left"/>
      <w:lvlText w:val="%1"/>
      <w:numFmt w:val="decimal"/>
      <w:start w:val="1"/>
    </w:lvl>
    <w:lvl w:ilvl="1">
      <w:lvlJc w:val="left"/>
      <w:lvlText w:val="(%2)"/>
      <w:numFmt w:val="lowerRoman"/>
      <w:start w:val="3"/>
    </w:lvl>
  </w:abstractNum>
  <w:abstractNum w:abstractNumId="74">
    <w:nsid w:val="CC1016F"/>
    <w:multiLevelType w:val="hybridMultilevel"/>
    <w:lvl w:ilvl="0">
      <w:lvlJc w:val="left"/>
      <w:lvlText w:val="%1."/>
      <w:numFmt w:val="decimal"/>
      <w:start w:val="2"/>
    </w:lvl>
    <w:lvl w:ilvl="1">
      <w:lvlJc w:val="left"/>
      <w:lvlText w:val="%2"/>
      <w:numFmt w:val="lowerRoman"/>
      <w:start w:val="1"/>
    </w:lvl>
  </w:abstractNum>
  <w:abstractNum w:abstractNumId="75">
    <w:nsid w:val="43F18422"/>
    <w:multiLevelType w:val="hybridMultilevel"/>
    <w:lvl w:ilvl="0">
      <w:lvlJc w:val="left"/>
      <w:lvlText w:val="%1."/>
      <w:numFmt w:val="decimal"/>
      <w:start w:val="3"/>
    </w:lvl>
  </w:abstractNum>
  <w:abstractNum w:abstractNumId="76">
    <w:nsid w:val="60EF0119"/>
    <w:multiLevelType w:val="hybridMultilevel"/>
    <w:lvl w:ilvl="0">
      <w:lvlJc w:val="left"/>
      <w:lvlText w:val="%1"/>
      <w:numFmt w:val="decimal"/>
      <w:start w:val="1"/>
    </w:lvl>
    <w:lvl w:ilvl="1">
      <w:lvlJc w:val="left"/>
      <w:lvlText w:val="%2."/>
      <w:numFmt w:val="lowerLetter"/>
      <w:start w:val="3"/>
    </w:lvl>
  </w:abstractNum>
  <w:abstractNum w:abstractNumId="77">
    <w:nsid w:val="26F324BA"/>
    <w:multiLevelType w:val="hybridMultilevel"/>
    <w:lvl w:ilvl="0">
      <w:lvlJc w:val="left"/>
      <w:lvlText w:val="%1."/>
      <w:numFmt w:val="decimal"/>
      <w:start w:val="4"/>
    </w:lvl>
    <w:lvl w:ilvl="1">
      <w:lvlJc w:val="left"/>
      <w:lvlText w:val="%2"/>
      <w:numFmt w:val="lowerLetter"/>
      <w:start w:val="1"/>
    </w:lvl>
  </w:abstractNum>
  <w:abstractNum w:abstractNumId="78">
    <w:nsid w:val="7F01579B"/>
    <w:multiLevelType w:val="hybridMultilevel"/>
    <w:lvl w:ilvl="0">
      <w:lvlJc w:val="left"/>
      <w:lvlText w:val="%1."/>
      <w:numFmt w:val="decimal"/>
      <w:start w:val="5"/>
    </w:lvl>
  </w:abstractNum>
  <w:abstractNum w:abstractNumId="79">
    <w:nsid w:val="49DA307D"/>
    <w:multiLevelType w:val="hybridMultilevel"/>
    <w:lvl w:ilvl="0">
      <w:lvlJc w:val="left"/>
      <w:lvlText w:val="%1."/>
      <w:numFmt w:val="decimal"/>
      <w:start w:val="6"/>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lowerLetter"/>
      <w:start w:val="1"/>
    </w:lvl>
  </w:abstractNum>
  <w:abstractNum w:abstractNumId="82">
    <w:nsid w:val="50801EE1"/>
    <w:multiLevelType w:val="hybridMultilevel"/>
    <w:lvl w:ilvl="0">
      <w:lvlJc w:val="left"/>
      <w:lvlText w:val="(%1)"/>
      <w:numFmt w:val="lowerLetter"/>
      <w:start w:val="3"/>
    </w:lvl>
  </w:abstractNum>
  <w:abstractNum w:abstractNumId="83">
    <w:nsid w:val="488AC1A"/>
    <w:multiLevelType w:val="hybridMultilevel"/>
    <w:lvl w:ilvl="0">
      <w:lvlJc w:val="left"/>
      <w:lvlText w:val="%1."/>
      <w:numFmt w:val="decimal"/>
      <w:start w:val="3"/>
    </w:lvl>
  </w:abstractNum>
  <w:abstractNum w:abstractNumId="84">
    <w:nsid w:val="5FB8011C"/>
    <w:multiLevelType w:val="hybridMultilevel"/>
    <w:lvl w:ilvl="0">
      <w:lvlJc w:val="left"/>
      <w:lvlText w:val="%1."/>
      <w:numFmt w:val="decimal"/>
      <w:start w:val="4"/>
    </w:lvl>
  </w:abstractNum>
  <w:abstractNum w:abstractNumId="85">
    <w:nsid w:val="6AA78F7F"/>
    <w:multiLevelType w:val="hybridMultilevel"/>
    <w:lvl w:ilvl="0">
      <w:lvlJc w:val="left"/>
      <w:lvlText w:val="%1."/>
      <w:numFmt w:val="decimal"/>
      <w:start w:val="11"/>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2"/>
    </w:lvl>
  </w:abstractNum>
  <w:abstractNum w:abstractNumId="88">
    <w:nsid w:val="6A5F7029"/>
    <w:multiLevelType w:val="hybridMultilevel"/>
    <w:lvl w:ilvl="0">
      <w:lvlJc w:val="left"/>
      <w:lvlText w:val="%1."/>
      <w:numFmt w:val="decimal"/>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3"/>
    </w:lvl>
  </w:abstractNum>
  <w:abstractNum w:abstractNumId="92">
    <w:nsid w:val="7DE67713"/>
    <w:multiLevelType w:val="hybridMultilevel"/>
    <w:lvl w:ilvl="0">
      <w:lvlJc w:val="left"/>
      <w:lvlText w:val="%1."/>
      <w:numFmt w:val="decimal"/>
      <w:start w:val="3"/>
    </w:lvl>
  </w:abstractNum>
  <w:abstractNum w:abstractNumId="93">
    <w:nsid w:val="555C55B5"/>
    <w:multiLevelType w:val="hybridMultilevel"/>
    <w:lvl w:ilvl="0">
      <w:lvlJc w:val="left"/>
      <w:lvlText w:val="%1."/>
      <w:numFmt w:val="decimal"/>
      <w:start w:val="4"/>
    </w:lvl>
  </w:abstractNum>
  <w:abstractNum w:abstractNumId="94">
    <w:nsid w:val="3FA62ACA"/>
    <w:multiLevelType w:val="hybridMultilevel"/>
    <w:lvl w:ilvl="0">
      <w:lvlJc w:val="left"/>
      <w:lvlText w:val="%1."/>
      <w:numFmt w:val="decimal"/>
      <w:start w:val="11"/>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2"/>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2"/>
    </w:lvl>
  </w:abstractNum>
  <w:abstractNum w:abstractNumId="99">
    <w:nsid w:val="53299938"/>
    <w:multiLevelType w:val="hybridMultilevel"/>
    <w:lvl w:ilvl="0">
      <w:lvlJc w:val="left"/>
      <w:lvlText w:val="(%1)"/>
      <w:numFmt w:val="lowerRoman"/>
      <w:start w:val="1"/>
    </w:lvl>
  </w:abstractNum>
  <w:abstractNum w:abstractNumId="100">
    <w:nsid w:val="1FBFE8E0"/>
    <w:multiLevelType w:val="hybridMultilevel"/>
    <w:lvl w:ilvl="0">
      <w:lvlJc w:val="left"/>
      <w:lvlText w:val="(%1)"/>
      <w:numFmt w:val="lowerRoman"/>
      <w:start w:val="2"/>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3" Type="http://schemas.openxmlformats.org/officeDocument/2006/relationships/image" Target="media/image114.png"/><Relationship Id="rId150" Type="http://schemas.openxmlformats.org/officeDocument/2006/relationships/image" Target="media/image115.png"/><Relationship Id="rId155" Type="http://schemas.openxmlformats.org/officeDocument/2006/relationships/image" Target="media/image116.png"/><Relationship Id="rId164" Type="http://schemas.openxmlformats.org/officeDocument/2006/relationships/image" Target="media/image117.png"/><Relationship Id="rId166" Type="http://schemas.openxmlformats.org/officeDocument/2006/relationships/image" Target="media/image118.png"/><Relationship Id="rId168" Type="http://schemas.openxmlformats.org/officeDocument/2006/relationships/image" Target="media/image119.png"/><Relationship Id="rId180" Type="http://schemas.openxmlformats.org/officeDocument/2006/relationships/image" Target="media/image120.png"/><Relationship Id="rId201" Type="http://schemas.openxmlformats.org/officeDocument/2006/relationships/image" Target="media/image121.png"/><Relationship Id="rId210" Type="http://schemas.openxmlformats.org/officeDocument/2006/relationships/image" Target="media/image122.png"/><Relationship Id="rId211" Type="http://schemas.openxmlformats.org/officeDocument/2006/relationships/image" Target="media/image123.png"/><Relationship Id="rId212" Type="http://schemas.openxmlformats.org/officeDocument/2006/relationships/image" Target="media/image124.png"/><Relationship Id="rId213" Type="http://schemas.openxmlformats.org/officeDocument/2006/relationships/image" Target="media/image125.png"/><Relationship Id="rId214" Type="http://schemas.openxmlformats.org/officeDocument/2006/relationships/image" Target="media/image126.png"/><Relationship Id="rId215" Type="http://schemas.openxmlformats.org/officeDocument/2006/relationships/image" Target="media/image127.png"/><Relationship Id="rId216" Type="http://schemas.openxmlformats.org/officeDocument/2006/relationships/image" Target="media/image128.png"/><Relationship Id="rId217" Type="http://schemas.openxmlformats.org/officeDocument/2006/relationships/image" Target="media/image129.jpeg"/><Relationship Id="rId218" Type="http://schemas.openxmlformats.org/officeDocument/2006/relationships/image" Target="media/image130.png"/><Relationship Id="rId219" Type="http://schemas.openxmlformats.org/officeDocument/2006/relationships/image" Target="media/image131.png"/><Relationship Id="rId220" Type="http://schemas.openxmlformats.org/officeDocument/2006/relationships/image" Target="media/image132.png"/><Relationship Id="rId221" Type="http://schemas.openxmlformats.org/officeDocument/2006/relationships/image" Target="media/image133.png"/><Relationship Id="rId222" Type="http://schemas.openxmlformats.org/officeDocument/2006/relationships/image" Target="media/image134.jpeg"/><Relationship Id="rId223" Type="http://schemas.openxmlformats.org/officeDocument/2006/relationships/image" Target="media/image135.png"/><Relationship Id="rId224" Type="http://schemas.openxmlformats.org/officeDocument/2006/relationships/image" Target="media/image136.png"/><Relationship Id="rId225" Type="http://schemas.openxmlformats.org/officeDocument/2006/relationships/image" Target="media/image137.png"/><Relationship Id="rId226" Type="http://schemas.openxmlformats.org/officeDocument/2006/relationships/image" Target="media/image138.png"/><Relationship Id="rId227" Type="http://schemas.openxmlformats.org/officeDocument/2006/relationships/image" Target="media/image139.png"/><Relationship Id="rId228" Type="http://schemas.openxmlformats.org/officeDocument/2006/relationships/image" Target="media/image140.png"/><Relationship Id="rId229" Type="http://schemas.openxmlformats.org/officeDocument/2006/relationships/image" Target="media/image141.png"/><Relationship Id="rId230" Type="http://schemas.openxmlformats.org/officeDocument/2006/relationships/image" Target="media/image142.png"/><Relationship Id="rId231" Type="http://schemas.openxmlformats.org/officeDocument/2006/relationships/image" Target="media/image143.png"/><Relationship Id="rId232" Type="http://schemas.openxmlformats.org/officeDocument/2006/relationships/image" Target="media/image144.png"/><Relationship Id="rId233" Type="http://schemas.openxmlformats.org/officeDocument/2006/relationships/image" Target="media/image145.png"/><Relationship Id="rId234" Type="http://schemas.openxmlformats.org/officeDocument/2006/relationships/image" Target="media/image146.png"/><Relationship Id="rId235" Type="http://schemas.openxmlformats.org/officeDocument/2006/relationships/image" Target="media/image147.png"/><Relationship Id="rId236" Type="http://schemas.openxmlformats.org/officeDocument/2006/relationships/image" Target="media/image148.png"/><Relationship Id="rId237" Type="http://schemas.openxmlformats.org/officeDocument/2006/relationships/image" Target="media/image149.png"/><Relationship Id="rId238" Type="http://schemas.openxmlformats.org/officeDocument/2006/relationships/image" Target="media/image150.png"/><Relationship Id="rId239" Type="http://schemas.openxmlformats.org/officeDocument/2006/relationships/image" Target="media/image151.png"/><Relationship Id="rId240" Type="http://schemas.openxmlformats.org/officeDocument/2006/relationships/image" Target="media/image152.png"/><Relationship Id="rId241" Type="http://schemas.openxmlformats.org/officeDocument/2006/relationships/image" Target="media/image153.png"/><Relationship Id="rId242" Type="http://schemas.openxmlformats.org/officeDocument/2006/relationships/image" Target="media/image154.png"/><Relationship Id="rId243" Type="http://schemas.openxmlformats.org/officeDocument/2006/relationships/image" Target="media/image155.png"/><Relationship Id="rId244" Type="http://schemas.openxmlformats.org/officeDocument/2006/relationships/image" Target="media/image156.png"/><Relationship Id="rId121" Type="http://schemas.openxmlformats.org/officeDocument/2006/relationships/hyperlink" Target="https://www.sec.gov/Archives/edgar/data/49754/000119312523144214/d462889dex31.htm" TargetMode="External"/><Relationship Id="rId122" Type="http://schemas.openxmlformats.org/officeDocument/2006/relationships/hyperlink" Target="https://www.sec.gov/Archives/edgar/data/49754/000119312523231139/d532618dex31.htm" TargetMode="External"/><Relationship Id="rId123" Type="http://schemas.openxmlformats.org/officeDocument/2006/relationships/hyperlink" Target="https://www.sec.gov/Archives/edgar/data/49754/000119312519166102/d748415dex41.htm" TargetMode="External"/><Relationship Id="rId124" Type="http://schemas.openxmlformats.org/officeDocument/2006/relationships/hyperlink" Target="https://www.sec.gov/Archives/edgar/data/49754/000119312522220005/d376941dex42.htm" TargetMode="External"/><Relationship Id="rId125" Type="http://schemas.openxmlformats.org/officeDocument/2006/relationships/hyperlink" Target="https://www.sec.gov/Archives/edgar/data/49754/000119312523103657/d461220dex41.htm" TargetMode="External"/><Relationship Id="rId126" Type="http://schemas.openxmlformats.org/officeDocument/2006/relationships/hyperlink" Target="https://www.sec.gov/Archives/edgar/data/49754/000119312523103657/d461220dex42.htm" TargetMode="External"/><Relationship Id="rId127" Type="http://schemas.openxmlformats.org/officeDocument/2006/relationships/hyperlink" Target="https://www.sec.gov/Archives/edgar/data/49754/000004975420000007/exhibit43descriptionof.htm" TargetMode="External"/><Relationship Id="rId128" Type="http://schemas.openxmlformats.org/officeDocument/2006/relationships/hyperlink" Target="https://www.sec.gov/Archives/edgar/data/49754/000119312522089874/d479925ddef14a.htm#toc479925_54" TargetMode="External"/><Relationship Id="rId129" Type="http://schemas.openxmlformats.org/officeDocument/2006/relationships/hyperlink" Target="https://www.sec.gov/Archives/edgar/data/49754/000004975419000013/din-20190630x10qxex102.htm" TargetMode="External"/><Relationship Id="rId130" Type="http://schemas.openxmlformats.org/officeDocument/2006/relationships/hyperlink" Target="https://www.sec.gov/Archives/edgar/data/49754/000004975419000013/din-20190630x10qxex103.htm" TargetMode="External"/><Relationship Id="rId131" Type="http://schemas.openxmlformats.org/officeDocument/2006/relationships/hyperlink" Target="https://www.sec.gov/Archives/edgar/data/49754/000004975419000013/din-20190630x10qxex104.htm" TargetMode="External"/><Relationship Id="rId132" Type="http://schemas.openxmlformats.org/officeDocument/2006/relationships/hyperlink" Target="https://www.sec.gov/Archives/edgar/data/49754/000004975419000013/din-20190630x10qxex105.htm" TargetMode="External"/><Relationship Id="rId134" Type="http://schemas.openxmlformats.org/officeDocument/2006/relationships/hyperlink" Target="https://www.sec.gov/Archives/edgar/data/49754/000004975419000013/din-20190630x10qxex106.htm" TargetMode="External"/><Relationship Id="rId135" Type="http://schemas.openxmlformats.org/officeDocument/2006/relationships/hyperlink" Target="https://www.sec.gov/Archives/edgar/data/49754/000004975419000013/din-20190630x10qxex107.htm" TargetMode="External"/><Relationship Id="rId136" Type="http://schemas.openxmlformats.org/officeDocument/2006/relationships/hyperlink" Target="https://www.sec.gov/Archives/edgar/data/49754/000004975419000013/din-20190630x10qxex108.htm" TargetMode="External"/><Relationship Id="rId137" Type="http://schemas.openxmlformats.org/officeDocument/2006/relationships/hyperlink" Target="https://www.sec.gov/Archives/edgar/data/49754/000004975419000013/din-20190630x10qxex109.htm" TargetMode="External"/><Relationship Id="rId138" Type="http://schemas.openxmlformats.org/officeDocument/2006/relationships/hyperlink" Target="https://www.sec.gov/Archives/edgar/data/49754/000004975419000013/din-20190630x10qxex1010.htm" TargetMode="External"/><Relationship Id="rId139" Type="http://schemas.openxmlformats.org/officeDocument/2006/relationships/hyperlink" Target="https://www.sec.gov/Archives/edgar/data/49754/000004975419000013/din-20190630x10qxex1011.htm" TargetMode="External"/><Relationship Id="rId140" Type="http://schemas.openxmlformats.org/officeDocument/2006/relationships/hyperlink" Target="https://www.sec.gov/Archives/edgar/data/49754/000004975419000013/din-20190630x10qxex1012.htm" TargetMode="External"/><Relationship Id="rId141" Type="http://schemas.openxmlformats.org/officeDocument/2006/relationships/hyperlink" Target="https://www.sec.gov/Archives/edgar/data/49754/000004975419000013/din-20190630x10qxex1013.htm" TargetMode="External"/><Relationship Id="rId142" Type="http://schemas.openxmlformats.org/officeDocument/2006/relationships/hyperlink" Target="https://www.sec.gov/Archives/edgar/data/49754/000004975419000013/din-20190630x10qxex1014.htm" TargetMode="External"/><Relationship Id="rId143" Type="http://schemas.openxmlformats.org/officeDocument/2006/relationships/hyperlink" Target="https://www.sec.gov/Archives/edgar/data/49754/000004975421000019/din-20210630x10qxex102.htm" TargetMode="External"/><Relationship Id="rId144" Type="http://schemas.openxmlformats.org/officeDocument/2006/relationships/hyperlink" Target="https://www.sec.gov/Archives/edgar/data/49754/000004975418000009/din-2018331x10qxex101.htm" TargetMode="External"/><Relationship Id="rId145" Type="http://schemas.openxmlformats.org/officeDocument/2006/relationships/hyperlink" Target="https://www.sec.gov/Archives/edgar/data/49754/000004975418000009/din-2018331x10qxex1022.htm" TargetMode="External"/><Relationship Id="rId146" Type="http://schemas.openxmlformats.org/officeDocument/2006/relationships/hyperlink" Target="https://www.sec.gov/Archives/edgar/data/49754/000004975418000009/din-2018331x10qxex1023.htm" TargetMode="External"/><Relationship Id="rId147" Type="http://schemas.openxmlformats.org/officeDocument/2006/relationships/hyperlink" Target="https://www.sec.gov/Archives/edgar/data/49754/000004975418000009/din-2018331x10qxex1017.htm" TargetMode="External"/><Relationship Id="rId148" Type="http://schemas.openxmlformats.org/officeDocument/2006/relationships/hyperlink" Target="https://www.sec.gov/Archives/edgar/data/49754/000004975418000009/din-2018331x10qxex1018.htm" TargetMode="External"/><Relationship Id="rId149" Type="http://schemas.openxmlformats.org/officeDocument/2006/relationships/hyperlink" Target="https://www.sec.gov/Archives/edgar/data/49754/000004975418000009/din-2018331x10qxex1019.htm" TargetMode="External"/><Relationship Id="rId151" Type="http://schemas.openxmlformats.org/officeDocument/2006/relationships/hyperlink" Target="https://www.sec.gov/Archives/edgar/data/49754/000004975418000009/din-2018331x10qxex1020.htm" TargetMode="External"/><Relationship Id="rId152" Type="http://schemas.openxmlformats.org/officeDocument/2006/relationships/hyperlink" Target="https://www.sec.gov/Archives/edgar/data/49754/000004975418000009/din-2018331x10qxex1021.htm" TargetMode="External"/><Relationship Id="rId153" Type="http://schemas.openxmlformats.org/officeDocument/2006/relationships/hyperlink" Target="https://www.sec.gov/Archives/edgar/data/49754/000004975418000009/din-2018331x10qxex1024.htm" TargetMode="External"/><Relationship Id="rId154" Type="http://schemas.openxmlformats.org/officeDocument/2006/relationships/hyperlink" Target="https://www.sec.gov/Archives/edgar/data/49754/000004975418000014/din-2018630x10qxex101.htm" TargetMode="External"/><Relationship Id="rId156" Type="http://schemas.openxmlformats.org/officeDocument/2006/relationships/hyperlink" Target="https://www.sec.gov/Archives/edgar/data/49754/000004975418000009/din-2018331x10qxex108.htm" TargetMode="External"/><Relationship Id="rId157" Type="http://schemas.openxmlformats.org/officeDocument/2006/relationships/hyperlink" Target="https://www.sec.gov/Archives/edgar/data/49754/000004975418000009/din-2018331x10qxex105.htm" TargetMode="External"/><Relationship Id="rId158" Type="http://schemas.openxmlformats.org/officeDocument/2006/relationships/hyperlink" Target="https://www.sec.gov/Archives/edgar/data/49754/000004975419000004/din-1231x18x10kxex1021.htm" TargetMode="External"/><Relationship Id="rId159" Type="http://schemas.openxmlformats.org/officeDocument/2006/relationships/hyperlink" Target="https://www.sec.gov/Archives/edgar/data/49754/000004975418000009/din-2018331x10qxex106.htm" TargetMode="External"/><Relationship Id="rId160" Type="http://schemas.openxmlformats.org/officeDocument/2006/relationships/hyperlink" Target="https://www.sec.gov/Archives/edgar/data/49754/000004975418000009/din-2018331x10qxex107.htm" TargetMode="External"/><Relationship Id="rId161" Type="http://schemas.openxmlformats.org/officeDocument/2006/relationships/hyperlink" Target="https://www.sec.gov/Archives/edgar/data/49754/000004975416000024/din-2016630x10qxex108.htm" TargetMode="External"/><Relationship Id="rId162" Type="http://schemas.openxmlformats.org/officeDocument/2006/relationships/hyperlink" Target="https://www.sec.gov/Archives/edgar/data/49754/000004975418000009/din-2018331x10qxex103.htm" TargetMode="External"/><Relationship Id="rId163" Type="http://schemas.openxmlformats.org/officeDocument/2006/relationships/hyperlink" Target="https://www.sec.gov/Archives/edgar/data/49754/000004975418000009/din-2018331x10qxex102.htm" TargetMode="External"/><Relationship Id="rId165" Type="http://schemas.openxmlformats.org/officeDocument/2006/relationships/hyperlink" Target="https://www.sec.gov/Archives/edgar/data/49754/000004975418000009/din-2018331x10qxex104.htm" TargetMode="External"/><Relationship Id="rId167" Type="http://schemas.openxmlformats.org/officeDocument/2006/relationships/hyperlink" Target="https://www.sec.gov/Archives/edgar/data/49754/000004975418000009/din-2018331x10qxex109.htm" TargetMode="External"/><Relationship Id="rId169" Type="http://schemas.openxmlformats.org/officeDocument/2006/relationships/hyperlink" Target="https://www.sec.gov/Archives/edgar/data/49754/000004975419000004/din-1231x18x10kxex1029.htm" TargetMode="External"/><Relationship Id="rId170" Type="http://schemas.openxmlformats.org/officeDocument/2006/relationships/hyperlink" Target="https://www.sec.gov/Archives/edgar/data/49754/000004975418000009/din-2018331x10qxex1011.htm" TargetMode="External"/><Relationship Id="rId171" Type="http://schemas.openxmlformats.org/officeDocument/2006/relationships/hyperlink" Target="https://www.sec.gov/Archives/edgar/data/49754/000004975418000009/din-2018331x10qxex1010.htm" TargetMode="External"/><Relationship Id="rId172" Type="http://schemas.openxmlformats.org/officeDocument/2006/relationships/hyperlink" Target="https://www.sec.gov/Archives/edgar/data/49754/000004975419000004/din-1231x18x10kxex1032.htm" TargetMode="External"/><Relationship Id="rId173" Type="http://schemas.openxmlformats.org/officeDocument/2006/relationships/hyperlink" Target="https://www.sec.gov/Archives/edgar/data/49754/000004975418000009/din-2018331x10qxex1012.htm" TargetMode="External"/><Relationship Id="rId174" Type="http://schemas.openxmlformats.org/officeDocument/2006/relationships/hyperlink" Target="https://www.sec.gov/Archives/edgar/data/49754/000004975416000024/din-2016630x10qxex1015.htm" TargetMode="External"/><Relationship Id="rId175" Type="http://schemas.openxmlformats.org/officeDocument/2006/relationships/hyperlink" Target="https://www.sec.gov/Archives/edgar/data/49754/000004975416000024/din-2016630x10qxex1016.htm" TargetMode="External"/><Relationship Id="rId176" Type="http://schemas.openxmlformats.org/officeDocument/2006/relationships/hyperlink" Target="https://www.sec.gov/Archives/edgar/data/49754/000004975418000009/din-2018331x10qxex1015.htm" TargetMode="External"/><Relationship Id="rId177" Type="http://schemas.openxmlformats.org/officeDocument/2006/relationships/hyperlink" Target="https://www.sec.gov/Archives/edgar/data/49754/000004975418000009/din-2018331x10qxex1016.htm" TargetMode="External"/><Relationship Id="rId178" Type="http://schemas.openxmlformats.org/officeDocument/2006/relationships/hyperlink" Target="https://www.sec.gov/Archives/edgar/data/49754/000004975419000004/din-1231x18x10kxex1038.htm" TargetMode="External"/><Relationship Id="rId179" Type="http://schemas.openxmlformats.org/officeDocument/2006/relationships/hyperlink" Target="https://www.sec.gov/Archives/edgar/data/49754/000004975418000009/din-2018331x10qxex1025.htm" TargetMode="External"/><Relationship Id="rId181" Type="http://schemas.openxmlformats.org/officeDocument/2006/relationships/hyperlink" Target="https://www.sec.gov/Archives/edgar/data/49754/000004975419000009/din-20190331x10qxex101.htm" TargetMode="External"/><Relationship Id="rId182" Type="http://schemas.openxmlformats.org/officeDocument/2006/relationships/hyperlink" Target="https://www.sec.gov/Archives/edgar/data/49754/000104746911003573/a2203258zdef14a.htm#bg44301a_main_toc" TargetMode="External"/><Relationship Id="rId183" Type="http://schemas.openxmlformats.org/officeDocument/2006/relationships/hyperlink" Target="https://www.sec.gov/Archives/edgar/data/49754/000004975412000005/din-12312011x10kxex1010.htm" TargetMode="External"/><Relationship Id="rId184" Type="http://schemas.openxmlformats.org/officeDocument/2006/relationships/hyperlink" Target="https://www.sec.gov/Archives/edgar/data/49754/000004975412000005/din-12312011x10kxex1012.htm" TargetMode="External"/><Relationship Id="rId185" Type="http://schemas.openxmlformats.org/officeDocument/2006/relationships/hyperlink" Target="https://www.sec.gov/Archives/edgar/data/49754/000004975415000011/din-2016x6x30x10qxex101.htm" TargetMode="External"/><Relationship Id="rId186" Type="http://schemas.openxmlformats.org/officeDocument/2006/relationships/hyperlink" Target="https://www.sec.gov/Archives/edgar/data/49754/000004975412000005/din-12312011x10kxex1015.htm" TargetMode="External"/><Relationship Id="rId187" Type="http://schemas.openxmlformats.org/officeDocument/2006/relationships/hyperlink" Target="https://www.sec.gov/Archives/edgar/data/49754/000004975412000005/din-12312011x10kxex1016.htm" TargetMode="External"/><Relationship Id="rId188" Type="http://schemas.openxmlformats.org/officeDocument/2006/relationships/hyperlink" Target="https://www.sec.gov/Archives/edgar/data/49754/000004975414000004/din-12312013x10kxex1019.htm" TargetMode="External"/><Relationship Id="rId189" Type="http://schemas.openxmlformats.org/officeDocument/2006/relationships/hyperlink" Target="https://www.sec.gov/Archives/edgar/data/49754/000004975414000015/din-2014930x10xqxex101.htm" TargetMode="External"/><Relationship Id="rId190" Type="http://schemas.openxmlformats.org/officeDocument/2006/relationships/hyperlink" Target="https://www.sec.gov/Archives/edgar/data/49754/000104746904007675/a2129690zex-10_15.htm" TargetMode="External"/><Relationship Id="rId191" Type="http://schemas.openxmlformats.org/officeDocument/2006/relationships/hyperlink" Target="https://www.sec.gov/Archives/edgar/data/49754/000104746908004779/a2184364zdef14a.htm" TargetMode="External"/><Relationship Id="rId192" Type="http://schemas.openxmlformats.org/officeDocument/2006/relationships/hyperlink" Target="https://www.sec.gov/Archives/edgar/data/49754/000104746912003955/a2208668zdef14a.htm" TargetMode="External"/><Relationship Id="rId193" Type="http://schemas.openxmlformats.org/officeDocument/2006/relationships/hyperlink" Target="https://www.sec.gov/Archives/edgar/data/49754/000004975412000005/din-1231x2011x10kxex1027.htm" TargetMode="External"/><Relationship Id="rId194" Type="http://schemas.openxmlformats.org/officeDocument/2006/relationships/hyperlink" Target="https://www.sec.gov/Archives/edgar/data/49754/000004975419000004/din-1231x18x10kxex1053.htm" TargetMode="External"/><Relationship Id="rId195" Type="http://schemas.openxmlformats.org/officeDocument/2006/relationships/hyperlink" Target="https://www.sec.gov/Archives/edgar/data/49754/000004975419000004/din-1231x18x10kxex1054.htm" TargetMode="External"/><Relationship Id="rId196" Type="http://schemas.openxmlformats.org/officeDocument/2006/relationships/hyperlink" Target="https://www.sec.gov/Archives/edgar/data/49754/000119312519158495/d737808dex991.htm" TargetMode="External"/><Relationship Id="rId197" Type="http://schemas.openxmlformats.org/officeDocument/2006/relationships/hyperlink" Target="https://www.sec.gov/Archives/edgar/data/49754/000119312522220005/d376941dex101.htm" TargetMode="External"/><Relationship Id="rId198" Type="http://schemas.openxmlformats.org/officeDocument/2006/relationships/hyperlink" Target="https://www.sec.gov/Archives/edgar/data/49754/000119312519166102/d748415dex102.htm" TargetMode="External"/><Relationship Id="rId199" Type="http://schemas.openxmlformats.org/officeDocument/2006/relationships/hyperlink" Target="https://www.sec.gov/Archives/edgar/data/49754/000119312519166102/d748415dex103.htm" TargetMode="External"/><Relationship Id="rId200" Type="http://schemas.openxmlformats.org/officeDocument/2006/relationships/hyperlink" Target="https://www.sec.gov/Archives/edgar/data/49754/000004975420000007/exhibit1073din2019-1xa.htm" TargetMode="External"/><Relationship Id="rId202" Type="http://schemas.openxmlformats.org/officeDocument/2006/relationships/hyperlink" Target="https://www.sec.gov/Archives/edgar/data/49754/000004975421000007/din-20201231x10qxex1076.htm" TargetMode="External"/><Relationship Id="rId203" Type="http://schemas.openxmlformats.org/officeDocument/2006/relationships/hyperlink" Target="https://www.sec.gov/Archives/edgar/data/49754/000004975421000014/din-20210331x10qxex101.htm" TargetMode="External"/><Relationship Id="rId204" Type="http://schemas.openxmlformats.org/officeDocument/2006/relationships/hyperlink" Target="https://www.sec.gov/Archives/edgar/data/49754/000004975421000014/din-20210331x10qxex102.htm" TargetMode="External"/><Relationship Id="rId205" Type="http://schemas.openxmlformats.org/officeDocument/2006/relationships/hyperlink" Target="https://www.sec.gov/Archives/edgar/data/49754/000004975421000019/din-20210630x10qxex101.htm" TargetMode="External"/><Relationship Id="rId206" Type="http://schemas.openxmlformats.org/officeDocument/2006/relationships/hyperlink" Target="https://www.sec.gov/Archives/edgar/data/49754/000119312522046069/d312214dex102.htm" TargetMode="External"/><Relationship Id="rId207" Type="http://schemas.openxmlformats.org/officeDocument/2006/relationships/hyperlink" Target="https://www.sec.gov/Archives/edgar/data/49754/000119312523103657/d461220dex101.htm" TargetMode="External"/><Relationship Id="rId208" Type="http://schemas.openxmlformats.org/officeDocument/2006/relationships/hyperlink" Target="https://www.sec.gov/Archives/edgar/data/49754/000162828023027004/amendmenttoemploymentagree.htm" TargetMode="External"/><Relationship Id="rId209" Type="http://schemas.openxmlformats.org/officeDocument/2006/relationships/hyperlink" Target="https://www.sec.gov/Archives/edgar/data/49754/000119312523084541/d48160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2025-03-05T07:01:28Z</dcterms:created>
  <dcterms:modified xsi:type="dcterms:W3CDTF">2025-03-05T07:01:28Z</dcterms:modified>
</cp:coreProperties>
</file>