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4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2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2279"/>
              <w:spacing w:after="0"/>
              <w:rPr>
                <w:sz w:val="20"/>
                <w:szCs w:val="20"/>
                <w:color w:val="auto"/>
              </w:rPr>
            </w:pPr>
            <w:r>
              <w:rPr>
                <w:rFonts w:ascii="Times New Roman" w:cs="Times New Roman" w:eastAsia="Times New Roman" w:hAnsi="Times New Roman"/>
                <w:sz w:val="16"/>
                <w:szCs w:val="16"/>
                <w:b w:val="1"/>
                <w:bCs w:val="1"/>
                <w:color w:val="auto"/>
              </w:rPr>
              <w:t>Pasadena CA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2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0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4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25, 2024, the Registrant had 15,246,473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1"/>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 September 30, 2024 (unaudited) and December 31, 2023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 - Three and Nine Months Ended September 30, 2024 and</w:t>
            </w:r>
          </w:p>
        </w:tc>
        <w:tc>
          <w:tcPr>
            <w:tcW w:w="8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top w:val="single" w:sz="8" w:color="0000FF"/>
            </w:tcBorders>
            <w:gridSpan w:val="2"/>
          </w:tcPr>
          <w:p>
            <w:pPr>
              <w:ind w:left="240"/>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4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(unaudited) - Three and Nine Months Ended September 30, 2024 and 2023</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 - Nine Months Ended September 30, 2024 and 2023</w:t>
            </w:r>
          </w:p>
        </w:tc>
        <w:tc>
          <w:tcPr>
            <w:tcW w:w="140" w:type="dxa"/>
            <w:vAlign w:val="bottom"/>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580" w:type="dxa"/>
            <w:vAlign w:val="bottom"/>
            <w:gridSpan w:val="3"/>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1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8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the Corporation's Annual Report on Form 10-K for the fiscal year ended December 31, 2023 and in the Corporation's other filings with the Securities and Exchange Commission, many of which are beyond our control.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the second fiscal quarter of 2024 ended on June 30, 2024, and the third fiscal quarter of 2024 ended on September 29, 2024. The first fiscal quarter of 2023 began on January 2, 2023 and ended on April 2, 2023, the second fiscal quarter of 2023 ended on July 2, 2023, and the third fiscal quarter of 2023 ended on October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3"/>
        </w:trPr>
        <w:tc>
          <w:tcPr>
            <w:tcW w:w="696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$2,993 (2024) and $4,462 (2023)</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83,414</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29,545</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0" w:type="dxa"/>
            <w:vAlign w:val="bottom"/>
          </w:tcPr>
          <w:p>
            <w:pPr>
              <w:spacing w:after="0"/>
              <w:rPr>
                <w:sz w:val="1"/>
                <w:szCs w:val="1"/>
                <w:color w:val="auto"/>
              </w:rPr>
            </w:pPr>
          </w:p>
        </w:tc>
      </w:tr>
      <w:tr>
        <w:trPr>
          <w:trHeight w:val="207"/>
        </w:trPr>
        <w:tc>
          <w:tcPr>
            <w:tcW w:w="6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357,778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282,202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275,214</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$636 (2024) and $5,002 (2023)</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578,309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586,033</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1,699,539</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175,640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0" w:type="dxa"/>
            <w:vAlign w:val="bottom"/>
          </w:tcPr>
          <w:p>
            <w:pPr>
              <w:spacing w:after="0"/>
              <w:rPr>
                <w:sz w:val="1"/>
                <w:szCs w:val="1"/>
                <w:color w:val="auto"/>
              </w:rPr>
            </w:pPr>
          </w:p>
        </w:tc>
      </w:tr>
      <w:tr>
        <w:trPr>
          <w:trHeight w:val="213"/>
        </w:trPr>
        <w:tc>
          <w:tcPr>
            <w:tcW w:w="6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0" w:type="dxa"/>
            <w:vAlign w:val="bottom"/>
          </w:tcPr>
          <w:p>
            <w:pPr>
              <w:spacing w:after="0"/>
              <w:rPr>
                <w:sz w:val="1"/>
                <w:szCs w:val="1"/>
                <w:color w:val="auto"/>
              </w:rPr>
            </w:pPr>
          </w:p>
        </w:tc>
      </w:tr>
      <w:tr>
        <w:trPr>
          <w:trHeight w:val="213"/>
        </w:trPr>
        <w:tc>
          <w:tcPr>
            <w:tcW w:w="6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386,850</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460,452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1,084,502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271,283</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269,097</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60,829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38,658</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1,916,209</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1,991,261</w:t>
            </w:r>
          </w:p>
        </w:tc>
        <w:tc>
          <w:tcPr>
            <w:tcW w:w="0" w:type="dxa"/>
            <w:vAlign w:val="bottom"/>
          </w:tcPr>
          <w:p>
            <w:pPr>
              <w:spacing w:after="0"/>
              <w:rPr>
                <w:sz w:val="1"/>
                <w:szCs w:val="1"/>
                <w:color w:val="auto"/>
              </w:rPr>
            </w:pPr>
          </w:p>
        </w:tc>
      </w:tr>
      <w:tr>
        <w:trPr>
          <w:trHeight w:val="19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Common stock, $0.01 par value; shares: 40,000,000 authorized; September 30, 2024 - 24,787,994</w:t>
            </w:r>
          </w:p>
        </w:tc>
        <w:tc>
          <w:tcPr>
            <w:tcW w:w="34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 15,273,565 outstanding; December 31, 2023 - 24,870,529 issued, 15,344,768 outstanding</w:t>
            </w:r>
          </w:p>
        </w:tc>
        <w:tc>
          <w:tcPr>
            <w:tcW w:w="34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186,237</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0" w:type="dxa"/>
            <w:vAlign w:val="bottom"/>
          </w:tcPr>
          <w:p>
            <w:pPr>
              <w:spacing w:after="0"/>
              <w:rPr>
                <w:sz w:val="1"/>
                <w:szCs w:val="1"/>
                <w:color w:val="auto"/>
              </w:rPr>
            </w:pPr>
          </w:p>
        </w:tc>
      </w:tr>
      <w:tr>
        <w:trPr>
          <w:trHeight w:val="213"/>
        </w:trPr>
        <w:tc>
          <w:tcPr>
            <w:tcW w:w="6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September 30, 2024 - 9,514,429; December 31, 2023 - 9,525,761</w:t>
            </w:r>
          </w:p>
        </w:tc>
        <w:tc>
          <w:tcPr>
            <w:tcW w:w="34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(656,082)</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0" w:type="dxa"/>
            <w:vAlign w:val="bottom"/>
          </w:tcPr>
          <w:p>
            <w:pPr>
              <w:spacing w:after="0"/>
              <w:rPr>
                <w:sz w:val="1"/>
                <w:szCs w:val="1"/>
                <w:color w:val="auto"/>
              </w:rPr>
            </w:pPr>
          </w:p>
        </w:tc>
      </w:tr>
      <w:tr>
        <w:trPr>
          <w:trHeight w:val="207"/>
        </w:trPr>
        <w:tc>
          <w:tcPr>
            <w:tcW w:w="6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(216,670)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1,699,539</w:t>
            </w:r>
          </w:p>
        </w:tc>
        <w:tc>
          <w:tcPr>
            <w:tcW w:w="10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4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96,565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299,161</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4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69,789</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73,385</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219,568</w:t>
            </w:r>
          </w:p>
        </w:tc>
        <w:tc>
          <w:tcPr>
            <w:tcW w:w="12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166,354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518,729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sales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revenues</w:t>
            </w:r>
          </w:p>
        </w:tc>
        <w:tc>
          <w:tcPr>
            <w:tcW w:w="4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195,034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202,584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607,536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624,766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69,789</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73,385</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219,568</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Bad debt (credit) expense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46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2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31,980</w:t>
            </w:r>
          </w:p>
        </w:tc>
        <w:tc>
          <w:tcPr>
            <w:tcW w:w="120" w:type="dxa"/>
            <w:vAlign w:val="bottom"/>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251,153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rental expenses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63,005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rental expenses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21,734</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65,213</w:t>
            </w: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101,715</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105,286</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317,522</w:t>
            </w:r>
          </w:p>
        </w:tc>
        <w:tc>
          <w:tcPr>
            <w:tcW w:w="12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290,014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45,390</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48,618</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144,435</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6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26,464</w:t>
            </w: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24,947</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81,734</w:t>
            </w: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(22,018)</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18,477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59,713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46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2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2"/>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480" w:type="dxa"/>
            <w:vAlign w:val="bottom"/>
            <w:shd w:val="clear" w:color="auto" w:fill="CCEEFF"/>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12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15,220</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w:t>
            </w:r>
          </w:p>
        </w:tc>
        <w:tc>
          <w:tcPr>
            <w:tcW w:w="120" w:type="dxa"/>
            <w:vAlign w:val="bottom"/>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60"/>
          </w:cols>
          <w:pgMar w:left="30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0"/>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15,299,270</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249,265</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174,972</w:t>
            </w:r>
          </w:p>
        </w:tc>
        <w:tc>
          <w:tcPr>
            <w:tcW w:w="120" w:type="dxa"/>
            <w:vAlign w:val="bottom"/>
            <w:tcBorders>
              <w:righ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9,515,189</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(656,118)</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(231,702)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20" w:type="dxa"/>
            <w:vAlign w:val="bottom"/>
            <w:tcBorders>
              <w:righ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15,273,565</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252,994</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186,237</w:t>
            </w:r>
          </w:p>
        </w:tc>
        <w:tc>
          <w:tcPr>
            <w:tcW w:w="120" w:type="dxa"/>
            <w:vAlign w:val="bottom"/>
            <w:tcBorders>
              <w:righ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9,514,429</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(656,082)</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(216,670)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lef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15,344,768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10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20" w:type="dxa"/>
            <w:vAlign w:val="bottom"/>
            <w:tcBorders>
              <w:left w:val="single" w:sz="8" w:color="CCEEFF"/>
            </w:tcBorders>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(657,709)</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(250,974)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280,953</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(280,953)</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(54,739)</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(23,487)</w:t>
            </w:r>
          </w:p>
        </w:tc>
        <w:tc>
          <w:tcPr>
            <w:tcW w:w="120" w:type="dxa"/>
            <w:vAlign w:val="bottom"/>
            <w:tcBorders>
              <w:left w:val="single" w:sz="8" w:color="CCEEFF"/>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0" w:type="dxa"/>
            <w:vAlign w:val="bottom"/>
            <w:tcBorders>
              <w:lef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15,273,565</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lef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252,994</w:t>
            </w:r>
          </w:p>
        </w:tc>
        <w:tc>
          <w:tcPr>
            <w:tcW w:w="100" w:type="dxa"/>
            <w:vAlign w:val="bottom"/>
            <w:tcBorders>
              <w:lef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186,237</w:t>
            </w:r>
          </w:p>
        </w:tc>
        <w:tc>
          <w:tcPr>
            <w:tcW w:w="120" w:type="dxa"/>
            <w:vAlign w:val="bottom"/>
            <w:tcBorders>
              <w:left w:val="single" w:sz="8" w:color="CCEEFF"/>
            </w:tcBorders>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9,514,429</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(656,082)</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(216,670)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9"/>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2023</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17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4"/>
                <w:szCs w:val="14"/>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8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15,587,934</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250,808</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114,226</w:t>
            </w:r>
          </w:p>
        </w:tc>
        <w:tc>
          <w:tcPr>
            <w:tcW w:w="100" w:type="dxa"/>
            <w:vAlign w:val="bottom"/>
            <w:tcBorders>
              <w:left w:val="single" w:sz="8" w:color="CCEEFF"/>
            </w:tcBorders>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left w:val="single" w:sz="8" w:color="CCEEFF"/>
            </w:tcBorders>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9,302,265</w:t>
            </w:r>
          </w:p>
        </w:tc>
        <w:tc>
          <w:tcPr>
            <w:tcW w:w="80" w:type="dxa"/>
            <w:vAlign w:val="bottom"/>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(646,219)</w:t>
            </w:r>
          </w:p>
        </w:tc>
        <w:tc>
          <w:tcPr>
            <w:tcW w:w="80" w:type="dxa"/>
            <w:vAlign w:val="bottom"/>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(281,001)</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105,864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(8,901)</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22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(7,899)</w:t>
            </w:r>
          </w:p>
        </w:tc>
        <w:tc>
          <w:tcPr>
            <w:tcW w:w="10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0" w:type="dxa"/>
            <w:vAlign w:val="bottom"/>
          </w:tcPr>
          <w:p>
            <w:pPr>
              <w:spacing w:after="0"/>
              <w:rPr>
                <w:sz w:val="1"/>
                <w:szCs w:val="1"/>
                <w:color w:val="auto"/>
              </w:rPr>
            </w:pPr>
          </w:p>
        </w:tc>
      </w:tr>
      <w:tr>
        <w:trPr>
          <w:trHeight w:val="162"/>
        </w:trPr>
        <w:tc>
          <w:tcPr>
            <w:tcW w:w="33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80" w:type="dxa"/>
            <w:vAlign w:val="bottom"/>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15,484,512</w:t>
            </w:r>
          </w:p>
        </w:tc>
        <w:tc>
          <w:tcPr>
            <w:tcW w:w="100" w:type="dxa"/>
            <w:vAlign w:val="bottom"/>
            <w:tcBorders>
              <w:lef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left w:val="single" w:sz="8" w:color="CCEEFF"/>
            </w:tcBorders>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253,080</w:t>
            </w:r>
          </w:p>
        </w:tc>
        <w:tc>
          <w:tcPr>
            <w:tcW w:w="100" w:type="dxa"/>
            <w:vAlign w:val="bottom"/>
            <w:tcBorders>
              <w:lef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CEEFF"/>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124,806</w:t>
            </w:r>
          </w:p>
        </w:tc>
        <w:tc>
          <w:tcPr>
            <w:tcW w:w="100" w:type="dxa"/>
            <w:vAlign w:val="bottom"/>
            <w:tcBorders>
              <w:lef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left w:val="single" w:sz="8" w:color="CCEEFF"/>
            </w:tcBorders>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9,399,228</w:t>
            </w:r>
          </w:p>
        </w:tc>
        <w:tc>
          <w:tcPr>
            <w:tcW w:w="80" w:type="dxa"/>
            <w:vAlign w:val="bottom"/>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(651,774)</w:t>
            </w:r>
          </w:p>
        </w:tc>
        <w:tc>
          <w:tcPr>
            <w:tcW w:w="80" w:type="dxa"/>
            <w:vAlign w:val="bottom"/>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 (273,706)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8"/>
                <w:szCs w:val="18"/>
                <w:color w:val="auto"/>
              </w:rPr>
            </w:pPr>
          </w:p>
        </w:tc>
        <w:tc>
          <w:tcPr>
            <w:tcW w:w="17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8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15,599,239</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right w:val="single" w:sz="8" w:color="CCEEFF"/>
            </w:tcBorders>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10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100" w:type="dxa"/>
            <w:vAlign w:val="bottom"/>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(65)</w:t>
            </w:r>
          </w:p>
        </w:tc>
        <w:tc>
          <w:tcPr>
            <w:tcW w:w="100" w:type="dxa"/>
            <w:vAlign w:val="bottom"/>
            <w:tcBorders>
              <w:right w:val="single" w:sz="8" w:color="CCEEFF"/>
            </w:tcBorders>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80" w:type="dxa"/>
            <w:vAlign w:val="bottom"/>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(645,146)</w:t>
            </w:r>
          </w:p>
        </w:tc>
        <w:tc>
          <w:tcPr>
            <w:tcW w:w="80" w:type="dxa"/>
            <w:vAlign w:val="bottom"/>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(301,084)</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64,137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96"/>
              </w:rPr>
              <w:t>(2)</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318,356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279,861</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(9,576)</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(279,861)</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(56,903)</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CEEFF"/>
            </w:tcBorders>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(23,721)</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center"/>
              <w:ind w:left="6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15,484,512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right w:val="single" w:sz="8" w:color="CCEEFF"/>
            </w:tcBorders>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253,080</w:t>
            </w:r>
          </w:p>
        </w:tc>
        <w:tc>
          <w:tcPr>
            <w:tcW w:w="100" w:type="dxa"/>
            <w:vAlign w:val="bottom"/>
            <w:tcBorders>
              <w:right w:val="single" w:sz="8" w:color="CCEEFF"/>
            </w:tcBorders>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w w:val="97"/>
              </w:rPr>
              <w:t>(67)</w:t>
            </w:r>
          </w:p>
        </w:tc>
        <w:tc>
          <w:tcPr>
            <w:tcW w:w="100" w:type="dxa"/>
            <w:vAlign w:val="bottom"/>
            <w:tcBorders>
              <w:right w:val="single" w:sz="8" w:color="CCEEFF"/>
            </w:tcBorders>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9,399,228</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(651,774)</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(273,706)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jc w:val="center"/>
              <w:ind w:left="24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8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59,716</w:t>
            </w:r>
          </w:p>
        </w:tc>
        <w:tc>
          <w:tcPr>
            <w:tcW w:w="100" w:type="dxa"/>
            <w:vAlign w:val="bottom"/>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64,137</w:t>
            </w:r>
          </w:p>
        </w:tc>
        <w:tc>
          <w:tcPr>
            <w:tcW w:w="0" w:type="dxa"/>
            <w:vAlign w:val="bottom"/>
          </w:tcPr>
          <w:p>
            <w:pPr>
              <w:spacing w:after="0"/>
              <w:rPr>
                <w:sz w:val="1"/>
                <w:szCs w:val="1"/>
                <w:color w:val="auto"/>
              </w:rPr>
            </w:pPr>
          </w:p>
        </w:tc>
      </w:tr>
      <w:tr>
        <w:trPr>
          <w:trHeight w:val="213"/>
        </w:trPr>
        <w:tc>
          <w:tcPr>
            <w:tcW w:w="8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29,049</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26,221</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12,572</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 loss on disposition of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Current income tax receivable and payable</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 and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0" w:type="dxa"/>
            <w:vAlign w:val="bottom"/>
          </w:tcPr>
          <w:p>
            <w:pPr>
              <w:spacing w:after="0"/>
              <w:rPr>
                <w:sz w:val="1"/>
                <w:szCs w:val="1"/>
                <w:color w:val="auto"/>
              </w:rPr>
            </w:pPr>
          </w:p>
        </w:tc>
      </w:tr>
      <w:tr>
        <w:trPr>
          <w:trHeight w:val="213"/>
        </w:trPr>
        <w:tc>
          <w:tcPr>
            <w:tcW w:w="8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advertising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77,694</w:t>
            </w:r>
          </w:p>
        </w:tc>
        <w:tc>
          <w:tcPr>
            <w:tcW w:w="100" w:type="dxa"/>
            <w:vAlign w:val="bottom"/>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0" w:type="dxa"/>
            <w:vAlign w:val="bottom"/>
          </w:tcPr>
          <w:p>
            <w:pPr>
              <w:spacing w:after="0"/>
              <w:rPr>
                <w:sz w:val="1"/>
                <w:szCs w:val="1"/>
                <w:color w:val="auto"/>
              </w:rPr>
            </w:pPr>
          </w:p>
        </w:tc>
      </w:tr>
      <w:tr>
        <w:trPr>
          <w:trHeight w:val="207"/>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(31,968)</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(651,713)</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Borrowing from revolving credit facility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revolving credit facility</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(31,740)</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(20,017)</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Principal payments on finance lease and financing obligations</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0" w:type="dxa"/>
            <w:vAlign w:val="bottom"/>
          </w:tcPr>
          <w:p>
            <w:pPr>
              <w:spacing w:after="0"/>
              <w:rPr>
                <w:sz w:val="1"/>
                <w:szCs w:val="1"/>
                <w:color w:val="auto"/>
              </w:rPr>
            </w:pPr>
          </w:p>
        </w:tc>
      </w:tr>
      <w:tr>
        <w:trPr>
          <w:trHeight w:val="213"/>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6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(218,029)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34,518</w:t>
            </w:r>
          </w:p>
        </w:tc>
        <w:tc>
          <w:tcPr>
            <w:tcW w:w="10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(165,355)</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235,110</w:t>
            </w:r>
          </w:p>
        </w:tc>
        <w:tc>
          <w:tcPr>
            <w:tcW w:w="100" w:type="dxa"/>
            <w:vAlign w:val="bottom"/>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159,629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 in cash</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w:t>
            </w:r>
          </w:p>
        </w:tc>
        <w:tc>
          <w:tcPr>
            <w:tcW w:w="100" w:type="dxa"/>
            <w:vAlign w:val="bottom"/>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54,032</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paid in cash</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25,774</w:t>
            </w:r>
          </w:p>
        </w:tc>
        <w:tc>
          <w:tcPr>
            <w:tcW w:w="0" w:type="dxa"/>
            <w:vAlign w:val="bottom"/>
          </w:tcPr>
          <w:p>
            <w:pPr>
              <w:spacing w:after="0"/>
              <w:rPr>
                <w:sz w:val="1"/>
                <w:szCs w:val="1"/>
                <w:color w:val="auto"/>
              </w:rPr>
            </w:pPr>
          </w:p>
        </w:tc>
      </w:tr>
      <w:tr>
        <w:trPr>
          <w:trHeight w:val="222"/>
        </w:trPr>
        <w:tc>
          <w:tcPr>
            <w:tcW w:w="8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conversion to notes receivable</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10"/>
        </w:trPr>
        <w:tc>
          <w:tcPr>
            <w:tcW w:w="8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Consolidated Financial Statements.</w:t>
      </w:r>
    </w:p>
    <w:p>
      <w:pPr>
        <w:sectPr>
          <w:pgSz w:w="11900" w:h="16838" w:orient="portrait"/>
          <w:cols w:equalWidth="0" w:num="1">
            <w:col w:w="11240"/>
          </w:cols>
          <w:pgMar w:left="320" w:top="225" w:right="339" w:bottom="943"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94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2024 are not necessarily indicative of the results that may be expected for the twelve months ending December 31, 2024.</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information and footnotes required by U.S. GAAP for complete financial statements.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2024 began on January 1, 2024 and ended on March 31, 2024, the second fiscal quarter of 2024 ended on June 30, 2024, and the third fiscal quarter of 2024 ended on September 29, 2024. The first fiscal quarter of 2023 began on January 2, 2023 and ended on April 2, 2023, the second fiscal quarter of 2023 ended on July 2, 2023, and the third fiscal quarter of 2023 ended on October 1, 2023.</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2024 that the Company reviewed and concluded was either not applicable to its operations or had no material effect on its consolidated financial statements in the current or future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that are regularly provided to the chief operating decision maker (“CODM”) and the title and position of the CODM with an explanation of how the CODM uses</w:t>
      </w:r>
    </w:p>
    <w:p>
      <w:pPr>
        <w:spacing w:after="0" w:line="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reported measure(s) of segment profit or loss used to assess segment performance. All annual disclosures of a reportable segment’s profit or loss and assets required by Accounting Standards Codification (“ASC”) 280, “Segment Reporting”, will be required to be disclosed in interim periods. The ASU is effective for fiscal years beginning after December 15, 2023 and interim periods within fiscal years beginning after December 15, 2024 with early adoption permitted. The Company is currently evaluating the impact of adopting this ASU in the Company's disclosures.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adoption permitted, and should be applied on a prospective basis with the option to apply the standard retrospectively. The Company is currently evaluating the impact of adopting this ASU in the Company's disclosures.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and revenues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Revenues</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franchises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family dining mid-scale full-service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food segment within the fast-casual dining category of the restaurant industry.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jc w:val="both"/>
        <w:ind w:left="1300" w:hanging="320"/>
        <w:spacing w:after="0" w:line="26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spacing w:after="0" w:line="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what is considered a contract asset (unbilled receivable) or once billed, accounts receivable, and are included in “receivables, net” on the balance sheet;</w:t>
      </w:r>
    </w:p>
    <w:p>
      <w:pPr>
        <w:spacing w:after="0" w:line="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and other proprietary products is recognized in the period in which distributors ship the franchisee's order; recognition of revenue results in an accounts receivable included in “receivables, net” on the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revenues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franchising activities. The Company believes its franchising arrangements do not contain a significant financing component.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Restaurant Revenues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judgements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franchise revenues by major type for the three and nine months ended September 30, 2024 and 2023:</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30"/>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revenues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5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nine months ended September 30, 2024 were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-127635</wp:posOffset>
            </wp:positionV>
            <wp:extent cx="497205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146050"/>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Recognized as revenue during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14605</wp:posOffset>
            </wp:positionV>
            <wp:extent cx="49720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Fees deferred during the nine months ended September 30, 2024</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 of deferred revenue as of September 30, 2024 is expected to be recognized as follows: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Deferred Franchise Revenue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(short- and long-term)</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3" w:lineRule="exact"/>
        <w:rPr>
          <w:sz w:val="20"/>
          <w:szCs w:val="20"/>
          <w:color w:val="auto"/>
        </w:rPr>
      </w:pPr>
    </w:p>
    <w:p>
      <w:pPr>
        <w:sectPr>
          <w:pgSz w:w="11900" w:h="16838" w:orient="portrait"/>
          <w:cols w:equalWidth="0" w:num="2">
            <w:col w:w="7880" w:space="720"/>
            <w:col w:w="2640"/>
          </w:cols>
          <w:pgMar w:left="320" w:top="225" w:right="339" w:bottom="1440" w:gutter="0" w:footer="0" w:header="0"/>
          <w:type w:val="continuous"/>
        </w:sectPr>
      </w:pPr>
    </w:p>
    <w:tbl>
      <w:tblPr>
        <w:tblLayout w:type="fixed"/>
        <w:tblInd w:w="660" w:type="dxa"/>
        <w:tblCellMar>
          <w:top w:w="0" w:type="dxa"/>
          <w:left w:w="0" w:type="dxa"/>
          <w:bottom w:w="0" w:type="dxa"/>
          <w:right w:w="0" w:type="dxa"/>
        </w:tblCellMar>
      </w:tblP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00" w:type="dxa"/>
            <w:vAlign w:val="bottom"/>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 and from distributors related to the sale of proprietary products to franchisees through the Company’s network of suppliers and distributors.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Gift Card Receivable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 consist primarily of amounts due from third-party vendors. Receivables related to gift card sales are subject to seasonality and usually peak around year-end as a result of the December holiday season.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franchisee accounts receivable to notes receivable, cash loans to franchisees for working capital purposes, a note receivable in connection with the sale of IHOP company restaurants, franchise fees, and other notes. The notes are typically collateralized by the franchise. During the nine months ended September 30, 2024, the Company wrote off $4.4 million of Applebee's notes receivable which were fully reserved. The remaining notes have reserves recorded against them amounting to $0.7 million as of September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2.7 years as of September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leases receivable primarily relate to IHOP franchise development activity prior to 2003 when IHOP provided the financing for leasing or subleasing the site. Real estate leases at September 30, 2024 comprised of 17 leases with a weighted average remaining life of 10.7 years, and relate to locations that IHOP is leasing from third parties and subleasing to franchisees.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4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2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 and notes receivable</w:t>
            </w:r>
          </w:p>
        </w:tc>
        <w:tc>
          <w:tcPr>
            <w:tcW w:w="2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3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2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9A9A9A"/>
            </w:tcBorders>
          </w:tcPr>
          <w:p>
            <w:pPr>
              <w:spacing w:after="0"/>
              <w:rPr>
                <w:sz w:val="19"/>
                <w:szCs w:val="19"/>
                <w:color w:val="auto"/>
              </w:rPr>
            </w:pPr>
          </w:p>
        </w:tc>
        <w:tc>
          <w:tcPr>
            <w:tcW w:w="2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nine months ended September 30, 2024 were as follows:</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3"/>
              </w:rPr>
              <w:t xml:space="preserve">Other </w:t>
            </w:r>
            <w:r>
              <w:rPr>
                <w:rFonts w:ascii="Times New Roman" w:cs="Times New Roman" w:eastAsia="Times New Roman" w:hAnsi="Times New Roman"/>
                <w:sz w:val="18"/>
                <w:szCs w:val="18"/>
                <w:b w:val="1"/>
                <w:bCs w:val="1"/>
                <w:color w:val="auto"/>
                <w:w w:val="93"/>
                <w:vertAlign w:val="superscript"/>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9.5</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(credit)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8"/>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0.0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gift card receivable and credit card receivable.</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leases receivables, equipment receivables, and other receivables (primarily consists of credit card receivables) are not delinquent.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September 30, 2024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-127635</wp:posOffset>
            </wp:positionV>
            <wp:extent cx="38576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2022</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7625"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2020</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38576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762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 estate leases</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 leases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20" w:type="dxa"/>
            <w:vAlign w:val="bottom"/>
            <w:gridSpan w:val="2"/>
          </w:tcPr>
          <w:p>
            <w:pPr>
              <w:jc w:val="right"/>
              <w:ind w:right="12"/>
              <w:spacing w:after="0" w:line="146" w:lineRule="exact"/>
              <w:rPr>
                <w:sz w:val="20"/>
                <w:szCs w:val="20"/>
                <w:color w:val="auto"/>
              </w:rPr>
            </w:pPr>
            <w:r>
              <w:rPr>
                <w:rFonts w:ascii="Times New Roman" w:cs="Times New Roman" w:eastAsia="Times New Roman" w:hAnsi="Times New Roman"/>
                <w:sz w:val="14"/>
                <w:szCs w:val="14"/>
                <w:b w:val="1"/>
                <w:bCs w:val="1"/>
                <w:color w:val="auto"/>
              </w:rPr>
              <w:t>short and long-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8"/>
        </w:trPr>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2"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504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a third party the real property on which one Fuzzy's company-operated restaurant is located. The Company also leases office space for its principal corporate office in Pasadena, California and a restaurant support center in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295 of the Company's leases met the sales levels that required variable rent payments to the Company (as lessor), based on a percentage of restaurant sales during the nine months ended September 30, 2024. Approximately 45 of the leases met the sales levels that required variable rent payments by the Company (as lessee), based on a percentage of restaurant sales during the nine months ended September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(income) cost for the three and nine months ended September 30, 2024 and 2023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r>
      <w:tr>
        <w:trPr>
          <w:trHeight w:val="186"/>
        </w:trPr>
        <w:tc>
          <w:tcPr>
            <w:tcW w:w="1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16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5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22"/>
                <w:szCs w:val="22"/>
                <w:color w:val="auto"/>
              </w:rPr>
            </w:pPr>
          </w:p>
        </w:tc>
      </w:tr>
      <w:tr>
        <w:trPr>
          <w:trHeight w:val="229"/>
        </w:trPr>
        <w:tc>
          <w:tcPr>
            <w:tcW w:w="1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 w:type="dxa"/>
            <w:vAlign w:val="bottom"/>
          </w:tcPr>
          <w:p>
            <w:pPr>
              <w:spacing w:after="0"/>
              <w:rPr>
                <w:sz w:val="19"/>
                <w:szCs w:val="19"/>
                <w:color w:val="auto"/>
              </w:rPr>
            </w:pPr>
          </w:p>
        </w:tc>
      </w:tr>
      <w:tr>
        <w:trPr>
          <w:trHeight w:val="248"/>
        </w:trPr>
        <w:tc>
          <w:tcPr>
            <w:tcW w:w="16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8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84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September 30, 2024 were as follows: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1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86"/>
        </w:trPr>
        <w:tc>
          <w:tcPr>
            <w:tcW w:w="16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2"/>
        </w:trPr>
        <w:tc>
          <w:tcPr>
            <w:tcW w:w="160" w:type="dxa"/>
            <w:vAlign w:val="bottom"/>
            <w:tcBorders>
              <w:right w:val="single" w:sz="8" w:color="CCEEFF"/>
            </w:tcBorders>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shd w:val="clear" w:color="auto" w:fill="CCEEFF"/>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tcPr>
          <w:p>
            <w:pPr>
              <w:spacing w:after="0"/>
              <w:rPr>
                <w:sz w:val="19"/>
                <w:szCs w:val="19"/>
                <w:color w:val="auto"/>
              </w:rPr>
            </w:pPr>
          </w:p>
        </w:tc>
      </w:tr>
      <w:tr>
        <w:trPr>
          <w:trHeight w:val="230"/>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shd w:val="clear" w:color="auto" w:fill="CCEEFF"/>
          </w:tcPr>
          <w:p>
            <w:pPr>
              <w:spacing w:after="0"/>
              <w:rPr>
                <w:sz w:val="19"/>
                <w:szCs w:val="19"/>
                <w:color w:val="auto"/>
              </w:rPr>
            </w:pPr>
          </w:p>
        </w:tc>
      </w:tr>
      <w:tr>
        <w:trPr>
          <w:trHeight w:val="229"/>
        </w:trPr>
        <w:tc>
          <w:tcPr>
            <w:tcW w:w="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9"/>
                <w:szCs w:val="19"/>
                <w:color w:val="auto"/>
              </w:rPr>
            </w:pPr>
          </w:p>
        </w:tc>
      </w:tr>
      <w:tr>
        <w:trPr>
          <w:trHeight w:val="230"/>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 w:type="dxa"/>
            <w:vAlign w:val="bottom"/>
            <w:tcBorders>
              <w:bottom w:val="single" w:sz="8" w:color="auto"/>
            </w:tcBorders>
          </w:tcPr>
          <w:p>
            <w:pPr>
              <w:spacing w:after="0"/>
              <w:rPr>
                <w:sz w:val="19"/>
                <w:szCs w:val="19"/>
                <w:color w:val="auto"/>
              </w:rPr>
            </w:pPr>
          </w:p>
        </w:tc>
      </w:tr>
      <w:tr>
        <w:trPr>
          <w:trHeight w:val="223"/>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160" w:type="dxa"/>
            <w:vAlign w:val="bottom"/>
            <w:tcBorders>
              <w:right w:val="single" w:sz="8" w:color="CCEEFF"/>
            </w:tcBorders>
          </w:tcPr>
          <w:p>
            <w:pPr>
              <w:spacing w:after="0"/>
              <w:rPr>
                <w:sz w:val="19"/>
                <w:szCs w:val="19"/>
                <w:color w:val="auto"/>
              </w:rPr>
            </w:pPr>
          </w:p>
        </w:tc>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obligations</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0" w:type="dxa"/>
            <w:vAlign w:val="bottom"/>
            <w:shd w:val="clear" w:color="auto" w:fill="CCEEFF"/>
          </w:tcPr>
          <w:p>
            <w:pPr>
              <w:spacing w:after="0"/>
              <w:rPr>
                <w:sz w:val="19"/>
                <w:szCs w:val="19"/>
                <w:color w:val="auto"/>
              </w:rPr>
            </w:pPr>
          </w:p>
        </w:tc>
      </w:tr>
      <w:tr>
        <w:trPr>
          <w:trHeight w:val="230"/>
        </w:trPr>
        <w:tc>
          <w:tcPr>
            <w:tcW w:w="16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w:t>
            </w:r>
          </w:p>
        </w:tc>
      </w:tr>
      <w:tr>
        <w:trPr>
          <w:trHeight w:val="248"/>
        </w:trPr>
        <w:tc>
          <w:tcPr>
            <w:tcW w:w="160" w:type="dxa"/>
            <w:vAlign w:val="bottom"/>
            <w:tcBorders>
              <w:right w:val="single" w:sz="8" w:color="CCEEFF"/>
            </w:tcBorders>
          </w:tcPr>
          <w:p>
            <w:pPr>
              <w:spacing w:after="0"/>
              <w:rPr>
                <w:sz w:val="21"/>
                <w:szCs w:val="21"/>
                <w:color w:val="auto"/>
              </w:rPr>
            </w:pP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September 30, 2024 was 5.6 years for finance leases and 6.0 years for operating leases. The weighted average discount rate as of September 30, 2024 was 9.2% for finance leases and 5.9%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made the following cash payments for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5"/>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86"/>
        </w:trPr>
        <w:tc>
          <w:tcPr>
            <w:tcW w:w="1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2"/>
        </w:trPr>
        <w:tc>
          <w:tcPr>
            <w:tcW w:w="140" w:type="dxa"/>
            <w:vAlign w:val="bottom"/>
          </w:tcPr>
          <w:p>
            <w:pPr>
              <w:spacing w:after="0"/>
              <w:rPr>
                <w:sz w:val="21"/>
                <w:szCs w:val="21"/>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80" w:type="dxa"/>
            <w:vAlign w:val="bottom"/>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r>
      <w:tr>
        <w:trPr>
          <w:trHeight w:val="230"/>
        </w:trPr>
        <w:tc>
          <w:tcPr>
            <w:tcW w:w="1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8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r>
      <w:tr>
        <w:trPr>
          <w:trHeight w:val="234"/>
        </w:trPr>
        <w:tc>
          <w:tcPr>
            <w:tcW w:w="1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r>
      <w:tr>
        <w:trPr>
          <w:trHeight w:val="900"/>
        </w:trPr>
        <w:tc>
          <w:tcPr>
            <w:tcW w:w="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40" w:type="dxa"/>
            <w:vAlign w:val="bottom"/>
            <w:tcBorders>
              <w:bottom w:val="single" w:sz="8" w:color="9A9A9A"/>
            </w:tcBorders>
          </w:tcPr>
          <w:p>
            <w:pPr>
              <w:spacing w:after="0"/>
              <w:rPr>
                <w:sz w:val="19"/>
                <w:szCs w:val="19"/>
                <w:color w:val="auto"/>
              </w:rPr>
            </w:pPr>
          </w:p>
        </w:tc>
        <w:tc>
          <w:tcPr>
            <w:tcW w:w="5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nine months ended September 30, 2024 and 2023 was as follows:</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80" w:type="dxa"/>
            <w:vAlign w:val="bottom"/>
          </w:tcPr>
          <w:p>
            <w:pPr>
              <w:spacing w:after="0"/>
              <w:rPr>
                <w:sz w:val="21"/>
                <w:szCs w:val="21"/>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8"/>
        </w:trPr>
        <w:tc>
          <w:tcPr>
            <w:tcW w:w="5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8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September 30, 2024 were as follows: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9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for the three and nine months ended September 30, 2024 and 2023 was as follows:</w:t>
      </w:r>
    </w:p>
    <w:p>
      <w:pPr>
        <w:spacing w:after="0" w:line="16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21"/>
                <w:szCs w:val="21"/>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80" w:type="dxa"/>
            <w:vAlign w:val="bottom"/>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September 30,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5160" w:type="dxa"/>
            <w:vAlign w:val="bottom"/>
            <w:shd w:val="clear" w:color="auto" w:fill="CCEEFF"/>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unearned income</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51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16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51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9A9A9A"/>
            </w:tcBorders>
          </w:tcPr>
          <w:p>
            <w:pPr>
              <w:spacing w:after="0"/>
              <w:rPr>
                <w:sz w:val="19"/>
                <w:szCs w:val="19"/>
                <w:color w:val="auto"/>
              </w:rPr>
            </w:pPr>
          </w:p>
        </w:tc>
        <w:tc>
          <w:tcPr>
            <w:tcW w:w="4100" w:type="dxa"/>
            <w:vAlign w:val="bottom"/>
            <w:tcBorders>
              <w:bottom w:val="single" w:sz="8" w:color="9A9A9A"/>
            </w:tcBorders>
          </w:tcPr>
          <w:p>
            <w:pPr>
              <w:spacing w:after="0"/>
              <w:rPr>
                <w:sz w:val="19"/>
                <w:szCs w:val="19"/>
                <w:color w:val="auto"/>
              </w:rPr>
            </w:pPr>
          </w:p>
        </w:tc>
        <w:tc>
          <w:tcPr>
            <w:tcW w:w="5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long-term debt consisted of the following components:</w:t>
      </w:r>
    </w:p>
    <w:p>
      <w:pPr>
        <w:spacing w:after="0" w:line="160" w:lineRule="exact"/>
        <w:rPr>
          <w:sz w:val="20"/>
          <w:szCs w:val="20"/>
          <w:color w:val="auto"/>
        </w:rPr>
      </w:pPr>
    </w:p>
    <w:p>
      <w:pPr>
        <w:jc w:val="right"/>
        <w:ind w:right="300"/>
        <w:spacing w:after="0"/>
        <w:tabs>
          <w:tab w:leader="none" w:pos="1300" w:val="left"/>
        </w:tabs>
        <w:rPr>
          <w:sz w:val="20"/>
          <w:szCs w:val="20"/>
          <w:color w:val="auto"/>
        </w:rPr>
      </w:pPr>
      <w:r>
        <w:rPr>
          <w:rFonts w:ascii="Times New Roman" w:cs="Times New Roman" w:eastAsia="Times New Roman" w:hAnsi="Times New Roman"/>
          <w:sz w:val="16"/>
          <w:szCs w:val="16"/>
          <w:b w:val="1"/>
          <w:bCs w:val="1"/>
          <w:color w:val="auto"/>
        </w:rPr>
        <w:t>September 30,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21590</wp:posOffset>
            </wp:positionV>
            <wp:extent cx="23399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7"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40"/>
          </w:cols>
          <w:pgMar w:left="320" w:top="220" w:right="339" w:bottom="1440" w:gutter="0" w:footer="0" w:header="0"/>
        </w:sectPr>
      </w:pP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Series 2019-1 4.723% Fixed Rate Senior Secured Notes, Class A-2-II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-127635</wp:posOffset>
            </wp:positionV>
            <wp:extent cx="46545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54550" cy="146050"/>
                    </a:xfrm>
                    <a:prstGeom prst="rect">
                      <a:avLst/>
                    </a:prstGeom>
                    <a:noFill/>
                  </pic:spPr>
                </pic:pic>
              </a:graphicData>
            </a:graphic>
          </wp:anchor>
        </w:drawing>
      </w:r>
    </w:p>
    <w:p>
      <w:pPr>
        <w:spacing w:after="0" w:line="7" w:lineRule="exact"/>
        <w:rPr>
          <w:sz w:val="20"/>
          <w:szCs w:val="20"/>
          <w:color w:val="auto"/>
        </w:rPr>
      </w:pPr>
    </w:p>
    <w:p>
      <w:pPr>
        <w:ind w:left="240" w:hanging="161"/>
        <w:spacing w:after="0" w:line="234" w:lineRule="auto"/>
        <w:rPr>
          <w:sz w:val="20"/>
          <w:szCs w:val="20"/>
          <w:color w:val="auto"/>
        </w:rPr>
      </w:pPr>
      <w:r>
        <w:rPr>
          <w:rFonts w:ascii="Times New Roman" w:cs="Times New Roman" w:eastAsia="Times New Roman" w:hAnsi="Times New Roman"/>
          <w:sz w:val="18"/>
          <w:szCs w:val="18"/>
          <w:color w:val="auto"/>
        </w:rPr>
        <w:t>Series 2022-1 Variable Funding Senior Secured Notes, Class A-1, variable interest rate of 7.82% and 7.95% at September 30, 2024 and December 31, 2023, respectively</w:t>
      </w:r>
    </w:p>
    <w:p>
      <w:pPr>
        <w:spacing w:after="0" w:line="10" w:lineRule="exact"/>
        <w:rPr>
          <w:sz w:val="20"/>
          <w:szCs w:val="20"/>
          <w:color w:val="auto"/>
        </w:rPr>
      </w:pPr>
    </w:p>
    <w:p>
      <w:pPr>
        <w:ind w:left="80" w:right="2420"/>
        <w:spacing w:after="0" w:line="273" w:lineRule="auto"/>
        <w:rPr>
          <w:sz w:val="20"/>
          <w:szCs w:val="20"/>
          <w:color w:val="auto"/>
        </w:rPr>
      </w:pPr>
      <w:r>
        <w:rPr>
          <w:rFonts w:ascii="Times New Roman" w:cs="Times New Roman" w:eastAsia="Times New Roman" w:hAnsi="Times New Roman"/>
          <w:sz w:val="18"/>
          <w:szCs w:val="18"/>
          <w:color w:val="auto"/>
        </w:rPr>
        <w:t>Series 2023-1 7.824% Fixed Rate Senior Secured Notes, Class A-2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-295275</wp:posOffset>
            </wp:positionV>
            <wp:extent cx="465455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5455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-3810</wp:posOffset>
            </wp:positionV>
            <wp:extent cx="46545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54550" cy="15430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Long-term debt, net of debt issuance costs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46545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54550"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308" w:hanging="1308"/>
        <w:spacing w:after="0"/>
        <w:tabs>
          <w:tab w:leader="none" w:pos="1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4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-680720</wp:posOffset>
            </wp:positionV>
            <wp:extent cx="113982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-269240</wp:posOffset>
            </wp:positionV>
            <wp:extent cx="113982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98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21590</wp:posOffset>
            </wp:positionV>
            <wp:extent cx="11398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39825" cy="154305"/>
                    </a:xfrm>
                    <a:prstGeom prst="rect">
                      <a:avLst/>
                    </a:prstGeom>
                    <a:noFill/>
                  </pic:spPr>
                </pic:pic>
              </a:graphicData>
            </a:graphic>
          </wp:anchor>
        </w:drawing>
      </w:r>
    </w:p>
    <w:p>
      <w:pPr>
        <w:spacing w:after="0" w:line="23" w:lineRule="exact"/>
        <w:rPr>
          <w:sz w:val="20"/>
          <w:szCs w:val="20"/>
          <w:color w:val="auto"/>
        </w:rPr>
      </w:pPr>
    </w:p>
    <w:p>
      <w:pPr>
        <w:ind w:left="1168"/>
        <w:spacing w:after="0"/>
        <w:rPr>
          <w:sz w:val="20"/>
          <w:szCs w:val="20"/>
          <w:color w:val="auto"/>
        </w:rPr>
      </w:pPr>
      <w:r>
        <w:rPr>
          <w:rFonts w:ascii="Times New Roman" w:cs="Times New Roman" w:eastAsia="Times New Roman" w:hAnsi="Times New Roman"/>
          <w:sz w:val="18"/>
          <w:szCs w:val="18"/>
          <w:color w:val="auto"/>
        </w:rPr>
        <w:t>1,186.0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1398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39825" cy="171450"/>
                    </a:xfrm>
                    <a:prstGeom prst="rect">
                      <a:avLst/>
                    </a:prstGeom>
                    <a:noFill/>
                  </pic:spPr>
                </pic:pic>
              </a:graphicData>
            </a:graphic>
          </wp:anchor>
        </w:drawing>
      </w:r>
    </w:p>
    <w:p>
      <w:pPr>
        <w:spacing w:after="0" w:line="11" w:lineRule="exact"/>
        <w:rPr>
          <w:sz w:val="20"/>
          <w:szCs w:val="20"/>
          <w:color w:val="auto"/>
        </w:rPr>
      </w:pPr>
    </w:p>
    <w:p>
      <w:pPr>
        <w:ind w:left="1168" w:hanging="1168"/>
        <w:spacing w:after="0"/>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1398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300" w:hanging="1298"/>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594.0</w:t>
      </w:r>
    </w:p>
    <w:p>
      <w:pPr>
        <w:spacing w:after="0" w:line="21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2"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-687705</wp:posOffset>
            </wp:positionV>
            <wp:extent cx="11398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39825" cy="1460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-276225</wp:posOffset>
            </wp:positionV>
            <wp:extent cx="11398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982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14605</wp:posOffset>
            </wp:positionV>
            <wp:extent cx="11398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9825" cy="154305"/>
                    </a:xfrm>
                    <a:prstGeom prst="rect">
                      <a:avLst/>
                    </a:prstGeom>
                    <a:noFill/>
                  </pic:spPr>
                </pic:pic>
              </a:graphicData>
            </a:graphic>
          </wp:anchor>
        </w:drawing>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1,184.5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398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9825" cy="171450"/>
                    </a:xfrm>
                    <a:prstGeom prst="rect">
                      <a:avLst/>
                    </a:prstGeom>
                    <a:noFill/>
                  </pic:spPr>
                </pic:pic>
              </a:graphicData>
            </a:graphic>
          </wp:anchor>
        </w:drawing>
      </w:r>
    </w:p>
    <w:p>
      <w:pPr>
        <w:spacing w:after="0" w:line="11" w:lineRule="exact"/>
        <w:rPr>
          <w:sz w:val="20"/>
          <w:szCs w:val="20"/>
          <w:color w:val="auto"/>
        </w:rPr>
      </w:pPr>
    </w:p>
    <w:p>
      <w:pPr>
        <w:ind w:left="1160" w:hanging="1158"/>
        <w:spacing w:after="0"/>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1139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3">
            <w:col w:w="7340" w:space="172"/>
            <w:col w:w="1748" w:space="140"/>
            <w:col w:w="1840"/>
          </w:cols>
          <w:pgMar w:left="320" w:top="220" w:right="339" w:bottom="1440" w:gutter="0" w:footer="0" w:header="0"/>
          <w:type w:val="continuous"/>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 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2023-1 Supplement to the Base Indenture, dated April 17, 2023 (the “Series 2023-1 Supplement”), among the Co-Issuers and Citibank, N.A., as Trustee and securities intermediary. The Base Indenture, Series 2019-1 Supplement, Series 2022-1 Supplement, and Series 2023-1 Supplement (collectively, the “Indenture”) will allow the Co-Issuers to issue additional series of notes in the future subject to certain conditions set forth therein.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2019 Class A-2-I Notes were voluntarily repaid in full on April 17, 2023, while the 2019 Class A-2-II Notes remain outstanding as of September 30, 2024. For a description 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 The legal final maturity of the 2019 Class A-2-II Notes is June 2049, but rapid amortization will apply if the 2019 Class A-2-II Notes are not repaid by June 2026 (the “2019 Class A-2-II Anticipated Repayment Date”). If the Co-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Issuers have not repaid or refinanced the 2019 Class A-2-II Notes by the 2019 Class A-2-II Anticipated Repayment Date, then additional interest will accrue on the 2019 Class A-2-II Notes, as applicable, at the greater of: (A) 5.0% and (B) 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leverage ratio was approximately 4.1x. As a result, quarterly principal payments on the 2019 Class A-2-II Notes of $1.5 million currently are not required.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voluntarily repay the 2019 Class A-2-II Notes at any time without any associated make-whole premium.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the outstanding balance of the Credit Facility was $100 million. The amount of $0.6 million was pledged against the Credit Facility for outstanding letters of credit, leaving $224.4 million of the Credit Facility available for borrowing at September 30,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nine months ended September 30, 2024 was 7.93%.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quarterly principal payment of $1.25 million on the 2023 Class A-2 Notes may be suspended when the leverage ratio for the Company and its subsidiaries is less than or equal to 5.25x.</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leverage ratio was approximately 4.1x. As a result, quarterly principal payments on the 2023 Class A-2 Notes of $1.25 million currently are not required.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September 30, 2024, the make-whole premium associated with voluntary prepayment of the 2023 Class A-2 Notes was approximately $37.8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September 30, 2024,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September 30, 2024 was approximately 3.5x.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$0.3 million and $0.8 million, respectively, were included in interest expense for the three and nine months ended September 30, 2024. Amortization costs of $0.3 million and $0.5 million, respectively, were included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and nine months ended September 30, 2023. As of September 30, 2024, unamortized debt issuance costs of $6.5 million are reported as a direct reduction of the 2023 Series Class A-2 Notes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Class A-1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$0.3 million and $0.9 million, respectively, of these costs were included in interest expense for the three and nine months ended September 30, 2024. Amortization costs of $0.3 million and $0.9 million, respectively, were included in interest expense for the three and nine months ended September 30, 2023. As of September 30, 2024, unamortized debt issuance costs of $3.8 million related to the Credit Facility are classified as other non-current assets in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Class A-2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$0.2 million and $0.7 million were included in interest expense for the three and nine months ended September 30, 2024, respectively. Amortization costs of $0.2 million and $1.3 million were included in interest expense for the three and nine months ended September 30, 2023, respectively. The Company repaid the entire outstanding balance of approximately $585.1 million of its 2019 Class A-2-I Notes during the second quarter of fiscal year 2023 and wrote off the related remaining issuance costs of $1.7 million. As of September 30, 2024, unamortized debt issuance costs of $1.5 million are reported as a direct reduction of the 2019 Class A-2-II Notes in the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(Gain) on Extinguishment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purchased $67.9 million of its 2019 Class A-2-I Notes under par and recognized a $1.7 million gain on extinguishment of debt during the nine months ended September 30,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repayment of the 2019 Class A-2-I Notes, the Company recognized a loss on extinguishment of debt of $1.7 million, representing the remaining unamortized costs related to the 2019 Class A-2-I Notes, during the nine months ended September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121" w:lineRule="exact"/>
        <w:rPr>
          <w:sz w:val="20"/>
          <w:szCs w:val="20"/>
          <w:color w:val="auto"/>
        </w:rPr>
      </w:pPr>
    </w:p>
    <w:p>
      <w:pPr>
        <w:ind w:left="660" w:hanging="328"/>
        <w:spacing w:after="0" w:line="261"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ind w:left="66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right="20" w:hanging="328"/>
        <w:spacing w:after="0" w:line="25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 million ($6.0 million per annum) are required if the Company's leverage ratio is greater than 5.25x.</w:t>
      </w:r>
    </w:p>
    <w:p>
      <w:pPr>
        <w:ind w:left="660" w:hanging="328"/>
        <w:spacing w:after="0" w:line="260"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6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2024 and 2023 were as follows: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0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80" w:type="dxa"/>
            <w:vAlign w:val="bottom"/>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80" w:type="dxa"/>
            <w:vAlign w:val="bottom"/>
          </w:tcPr>
          <w:p>
            <w:pPr>
              <w:spacing w:after="0"/>
              <w:rPr>
                <w:sz w:val="20"/>
                <w:szCs w:val="20"/>
                <w:color w:val="auto"/>
              </w:rPr>
            </w:pP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the Company paid dividends of $23.5 million and $31.7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 (Continued)</w:t>
      </w:r>
    </w:p>
    <w:p>
      <w:pPr>
        <w:spacing w:after="0" w:line="200" w:lineRule="exact"/>
        <w:rPr>
          <w:sz w:val="20"/>
          <w:szCs w:val="20"/>
          <w:color w:val="auto"/>
        </w:rPr>
      </w:pP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5, 2024, the Board of Directors declared a third quarter 2024 cash dividend of $0.51 per share of common stock, paid on October 8, 2024 to the stockholders of record as of the close of business on September 20, 2024.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2024, the Board of Directors declared a second quarter 2024 cash dividend of $0.51 per share of common stock, paid on July 5, 2024 to the stockholders of record as of the close of business on June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30, 2023, the Board of Directors declared a fourth quarter 2023 cash dividend of $0.51 per share of common stock, paid on January 5, 2024 to the stockholders of record as of the close of business on December 20,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approved a stock repurchase program, effective April 1, 2022, authorizing the Company to repurchase up to $250 million of the Company’s common stock (the “2022 Repurchase Program”) on an opportunistic basis from time to time in the open market or in privately negotiated transactions based on business, market, applicable legal requirements and other considerations. The 2022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269,621 shares of common stock at a cost of $12.0 million. Cumulatively, the Company repurchased 1,865,399 shares at a cost of $116.7 million. As of September 30, 2024, a remaining amount of $133.3 million in the value of shares may be repurchased under the 2022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2024, the Company re-issued 280,953 shares of treasury stock at a total FIFO cost of $13.6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26.9% for the nine months ended September 30, 2024, as compared to 25.0% for the nine months ended September 30, 2023. The effective tax rate for the nine months ended September 30, 2024 was higher than the rate of the prior comparable period primarily due to a lower tax deduction related to stock-based compensation.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gross unrecognized tax benefit as of September 30, 2024 and December 31, 2023 was $2.6 million and $3.5 million, respectively, excluding interest, penalties and related income tax benefits. The Company estimates the unrecognized tax benefit as of September 30, 2024 may decrease over the upcoming 12 months by $0.1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w:t>
      </w:r>
    </w:p>
    <w:p>
      <w:pPr>
        <w:spacing w:after="0" w:line="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2024, the accrued interest was $0.8 million, excluding any related income tax benefits. As of December 31, 2023, the accrued interest was $0.9 million,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2020 and state or non-United States tax examinations by tax authorities for years before 2019. The Company believes that adequate reserves have been provided relating to all matters contained in the tax periods open to examination.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 Consolidated Statements of Comprehensive Income:</w:t>
      </w:r>
    </w:p>
    <w:p>
      <w:pPr>
        <w:spacing w:after="0" w:line="9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2"/>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100" w:type="dxa"/>
            <w:vAlign w:val="bottom"/>
          </w:tcPr>
          <w:p>
            <w:pPr>
              <w:spacing w:after="0"/>
              <w:rPr>
                <w:sz w:val="21"/>
                <w:szCs w:val="21"/>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(credit) expense</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color w:val="auto"/>
                <w:w w:val="98"/>
              </w:rPr>
              <w:t>(0.4)</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Pr>
          <w:p>
            <w:pPr>
              <w:spacing w:after="0"/>
              <w:rPr>
                <w:sz w:val="21"/>
                <w:szCs w:val="21"/>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of $19.1 million related to restricted stock and restricted stock units and $3.4 million related to stock options is expected to be recognized over a weighted average period of 1.4 years for restricted stock and restricted stock units and 1.5 years for stock options.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nine months ended September 30,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Stock option balances at September 30, 2024, and activity for the nine months ended September 30, 2024 were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28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9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28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7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Value (in</w:t>
            </w:r>
          </w:p>
        </w:tc>
        <w:tc>
          <w:tcPr>
            <w:tcW w:w="0" w:type="dxa"/>
            <w:vAlign w:val="bottom"/>
          </w:tcPr>
          <w:p>
            <w:pPr>
              <w:spacing w:after="0"/>
              <w:rPr>
                <w:sz w:val="1"/>
                <w:szCs w:val="1"/>
                <w:color w:val="auto"/>
              </w:rPr>
            </w:pPr>
          </w:p>
        </w:tc>
      </w:tr>
      <w:tr>
        <w:trPr>
          <w:trHeight w:val="214"/>
        </w:trPr>
        <w:tc>
          <w:tcPr>
            <w:tcW w:w="50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Under Option</w:t>
            </w: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00" w:type="dxa"/>
            <w:vAlign w:val="bottom"/>
          </w:tcPr>
          <w:p>
            <w:pPr>
              <w:spacing w:after="0"/>
              <w:rPr>
                <w:sz w:val="18"/>
                <w:szCs w:val="18"/>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38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00" w:type="dxa"/>
            <w:vAlign w:val="bottom"/>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523,502</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00" w:type="dxa"/>
            <w:vAlign w:val="bottom"/>
          </w:tcPr>
          <w:p>
            <w:pPr>
              <w:spacing w:after="0"/>
              <w:rPr>
                <w:sz w:val="21"/>
                <w:szCs w:val="21"/>
                <w:color w:val="auto"/>
              </w:rPr>
            </w:pPr>
          </w:p>
        </w:tc>
        <w:tc>
          <w:tcPr>
            <w:tcW w:w="12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CCEE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September 30, 2024</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349,411</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76.95</w:t>
            </w:r>
          </w:p>
        </w:tc>
        <w:tc>
          <w:tcPr>
            <w:tcW w:w="1380" w:type="dxa"/>
            <w:vAlign w:val="bottom"/>
            <w:gridSpan w:val="4"/>
          </w:tcPr>
          <w:p>
            <w:pPr>
              <w:jc w:val="center"/>
              <w:ind w:left="10"/>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3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third quarter of 2024 and the exercise price, multiplied by the number of in-the-money options) that would have been received by the option holders had all option holders exercised their options on September 30, 2024.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 (Continued)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balances as of September 30, 2024, and activity related to restricted stock and restricted stock units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Stock-Settled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(147,378)</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426,897</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71,744</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the total stockholder return of Dine Brands Global common stock compared to the total stockholder returns of a peer group of companies. The awards are considered stock-based compensation and are classified as liabilities measured at fair value as of the respective period end. For the three months ended September 30, 2024 and 2023, an expense of $0.1 million and $0.2 million, respectively, were included in total stock-based compensation expense related to LTIP awards. For the nine months ended September 30, 2024 and 2023, an expense of $0.2 million and a credit of $0.4 million, respectively, were included in total stock-based compensation expense related to LTIP awards. At September 30, 2024 and December 31, 2023, liabilities of $0.9 million and $0.7 million, respectively, related to LTIP awards were included as part of accrued employee compensation and benefits and other non-current liabilities in the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5"/>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8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59,716</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1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1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Pr>
          <w:p>
            <w:pPr>
              <w:spacing w:after="0"/>
              <w:rPr>
                <w:sz w:val="17"/>
                <w:szCs w:val="17"/>
                <w:color w:val="auto"/>
              </w:rPr>
            </w:pPr>
          </w:p>
        </w:tc>
        <w:tc>
          <w:tcPr>
            <w:tcW w:w="54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0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A9A9A"/>
            </w:tcBorders>
          </w:tcPr>
          <w:p>
            <w:pPr>
              <w:spacing w:after="0"/>
              <w:rPr>
                <w:sz w:val="19"/>
                <w:szCs w:val="19"/>
                <w:color w:val="auto"/>
              </w:rPr>
            </w:pPr>
          </w:p>
        </w:tc>
        <w:tc>
          <w:tcPr>
            <w:tcW w:w="54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currently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company-operated restaurant operations, rental operations and financing operations.</w:t>
      </w:r>
    </w:p>
    <w:p>
      <w:pPr>
        <w:spacing w:after="0" w:line="72" w:lineRule="exact"/>
        <w:rPr>
          <w:sz w:val="20"/>
          <w:szCs w:val="20"/>
          <w:color w:val="auto"/>
        </w:rPr>
      </w:pPr>
    </w:p>
    <w:p>
      <w:pPr>
        <w:jc w:val="both"/>
        <w:ind w:firstLine="47"/>
        <w:spacing w:after="0" w:line="256" w:lineRule="auto"/>
        <w:rPr>
          <w:sz w:val="20"/>
          <w:szCs w:val="20"/>
          <w:color w:val="auto"/>
        </w:rPr>
      </w:pPr>
      <w:r>
        <w:rPr>
          <w:rFonts w:ascii="Times New Roman" w:cs="Times New Roman" w:eastAsia="Times New Roman" w:hAnsi="Times New Roman"/>
          <w:sz w:val="18"/>
          <w:szCs w:val="18"/>
          <w:color w:val="auto"/>
        </w:rPr>
        <w:t>As of September 30, 2024, the franchise operations segment consisted of 1,618 restaurants operated by Applebee’s franchisees in the United States, two U.S. territories and 14 countries outside the United States; 1,809 restaurants operated by IHOP franchisees and area licensees in the United States, two U.S. territories and 14 countries outside the United States; and 118 restaurants operated by Fuzzy's franchisees in the United States. Franchise operations revenue consists primarily of franchise royalty revenues, franchise advertising revenue, sales of proprietary products to franchisees, and other franchise fees. Franchise operations expenses include advertising expense, the cost of proprietary products, pre-opening training expenses and other franchise-related costs.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equipment leases and franchise fees and interest income on notes receivable due from franchisees. Financing operations expenses primarily are the cost of taxes related to IHOP equipment leases.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three company-operated Fuzzy's restaurants were acquired, of which two were subsequently refranchised in the second quarter of 2023. As of September 30, 2024, the company restaurants segment consisted of one company-operated Fuzzy's restaurant located in the United States. Company-operated restaurant operation revenue consists of retail sales at company-operated restaurants. Company-operated restaurant operation expenses are operating expenses such as food, beverage, labor, benefits, utilities, rent and other operating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segments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166.4</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38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 from external customers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195.0</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8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 expense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3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500" w:type="dxa"/>
            <w:vAlign w:val="bottom"/>
            <w:gridSpan w:val="2"/>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 (Continued)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3"/>
        </w:trPr>
        <w:tc>
          <w:tcPr>
            <w:tcW w:w="566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by segment: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120" w:type="dxa"/>
            <w:vAlign w:val="bottom"/>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1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48"/>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21"/>
                <w:szCs w:val="21"/>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impairment charges for the three and nine months ended September 30, 2024 and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6"/>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00" w:type="dxa"/>
            <w:vAlign w:val="bottom"/>
          </w:tcPr>
          <w:p>
            <w:pPr>
              <w:spacing w:after="0"/>
              <w:rPr>
                <w:sz w:val="21"/>
                <w:szCs w:val="21"/>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100" w:type="dxa"/>
            <w:vAlign w:val="bottom"/>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closure charges for the three and nine months ended September 30, 2024 were related to the establishment of or revisions to existing closure reserves, including accretion, primarily for 21 IHOP restaurants closed prior to December 31, 2023.</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closure charges for the three and nine months ended September 30, 2023 were related to revisions to existing closure reserves, including accretion, for approximately 30 IHOP restaurants.</w:t>
      </w:r>
    </w:p>
    <w:p>
      <w:pPr>
        <w:spacing w:after="0" w:line="40"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long-lived asset impairment for the three months ended September 30, 2023 related to the impairment of four IHOP master land and building leases. The long-lived asset impairment for the nine months ended September 30, 2023 primarily related to technology that was developed in connection with the IHOP Flip'd initiative that was stopped, and the impairment of four IHOP master land and building leases in the third quarter of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long-term debt, excluding the Credit Facility, at September 30, 2024 and December 31, 2023 were as follows:</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4"/>
          </w:tcPr>
          <w:p>
            <w:pPr>
              <w:jc w:val="right"/>
              <w:ind w:right="14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7"/>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100" w:type="dxa"/>
            <w:vAlign w:val="bottom"/>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1,108.8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1,085.8</w:t>
            </w:r>
          </w:p>
        </w:tc>
      </w:tr>
      <w:tr>
        <w:trPr>
          <w:trHeight w:val="21"/>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long-term debt, as well as information on notes that are similar to those of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has potential continuing liability for lease payments totaling $367.6 million as of September 30, 2024. This amount represents the maximum potential liability for future payments under these leases. These leases have been assigned to the buyers and expire at the end of the respective lease terms, which range from 2024 through 2058. Excluding unexercised option periods, the Company's potential liability for future payments under these leases is $91.6 million. In the event of default, the indemnity and default clauses in the sale or assignment agreements govern the Company's ability to pursue and recover damages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current restricted cash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Non-current restricted cash was $19.5 million at September 30, 2024 and December 31, 2023 and represents interest reserves required to be set aside for the duration of the Company's securitized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and the MD&amp;A contained in the Company’s Annual Report on Form 10-K for the fiscal year ended December 31, 2023.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Through various subsidiaries, we own and franchise the Applebee's Neighborhood Grill &amp;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full-service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(collectively, “area licensees”) or by us. With over 3,500 restaurants, we believe we are one of the largest full-service restaurant companies in the world.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six operating segments: Applebee's franchise operations, IHOP franchise operations, Fuzzy's franchise operations, rental operations, financing operations, and company-operated restaurant operations. We have four reportable segments: franchise operations (an aggregation of each restaurant concept's franchise operations), rental operations, financing operations, and company-operated restaurant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this MD&amp;A present amounts in millions of dollars that are rounded from our consolidated financial statements presented in thousands of dollars. As a result, the tables may not foot or crossfoot due to rounding.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68"/>
        </w:trPr>
        <w:tc>
          <w:tcPr>
            <w:tcW w:w="2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vMerge w:val="continue"/>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26.9 %</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0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00" w:type="dxa"/>
            <w:vAlign w:val="bottom"/>
            <w:vMerge w:val="continue"/>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vMerge w:val="continue"/>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vMerge w:val="continue"/>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100" w:type="dxa"/>
            <w:vAlign w:val="bottom"/>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4"/>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higher than the rate of the comparable prior periods primarily due to a lower tax deduction related to stock-based compensation.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primary components of the increase (decrease) in our income before income taxes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compared to our income before income taxes for the comparable prior periods (in millions):</w:t>
      </w:r>
    </w:p>
    <w:p>
      <w:pPr>
        <w:spacing w:after="0" w:line="140"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6"/>
          <w:szCs w:val="16"/>
          <w:b w:val="1"/>
          <w:bCs w:val="1"/>
          <w:color w:val="auto"/>
        </w:rPr>
        <w:t>Favorable</w:t>
      </w:r>
    </w:p>
    <w:p>
      <w:pPr>
        <w:jc w:val="center"/>
        <w:ind w:left="7320"/>
        <w:spacing w:after="0"/>
        <w:rPr>
          <w:sz w:val="20"/>
          <w:szCs w:val="20"/>
          <w:color w:val="auto"/>
        </w:rPr>
      </w:pPr>
      <w:r>
        <w:rPr>
          <w:rFonts w:ascii="Times New Roman" w:cs="Times New Roman" w:eastAsia="Times New Roman" w:hAnsi="Times New Roman"/>
          <w:sz w:val="16"/>
          <w:szCs w:val="16"/>
          <w:b w:val="1"/>
          <w:bCs w:val="1"/>
          <w:color w:val="auto"/>
        </w:rPr>
        <w:t>(Unfavorable) Variance</w:t>
      </w:r>
    </w:p>
    <w:p>
      <w:pPr>
        <w:spacing w:after="0" w:line="8" w:lineRule="exact"/>
        <w:rPr>
          <w:sz w:val="20"/>
          <w:szCs w:val="20"/>
          <w:color w:val="auto"/>
        </w:rPr>
      </w:pPr>
    </w:p>
    <w:tbl>
      <w:tblPr>
        <w:tblLayout w:type="fixed"/>
        <w:tblInd w:w="7420" w:type="dxa"/>
        <w:tblCellMar>
          <w:top w:w="0" w:type="dxa"/>
          <w:left w:w="0" w:type="dxa"/>
          <w:bottom w:w="0" w:type="dxa"/>
          <w:right w:w="0" w:type="dxa"/>
        </w:tblCellMar>
      </w:tblPr>
      <w:tr>
        <w:trPr>
          <w:trHeight w:val="137"/>
        </w:trPr>
        <w:tc>
          <w:tcPr>
            <w:tcW w:w="1880" w:type="dxa"/>
            <w:vAlign w:val="bottom"/>
            <w:tcBorders>
              <w:top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tcBorders>
              <w:top w:val="single" w:sz="8" w:color="auto"/>
            </w:tcBorders>
          </w:tcPr>
          <w:p>
            <w:pPr>
              <w:ind w:left="340"/>
              <w:spacing w:after="0" w:line="137"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1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bl>
    <w:p>
      <w:pPr>
        <w:spacing w:after="0" w:line="5" w:lineRule="exact"/>
        <w:rPr>
          <w:sz w:val="20"/>
          <w:szCs w:val="20"/>
          <w:color w:val="auto"/>
        </w:rPr>
      </w:pPr>
    </w:p>
    <w:p>
      <w:pPr>
        <w:sectPr>
          <w:pgSz w:w="11900" w:h="16838" w:orient="portrait"/>
          <w:cols w:equalWidth="0" w:num="1">
            <w:col w:w="11240"/>
          </w:cols>
          <w:pgMar w:left="320" w:top="225" w:right="339" w:bottom="1440" w:gutter="0" w:footer="0" w:header="0"/>
        </w:sectPr>
      </w:pPr>
    </w:p>
    <w:p>
      <w:pPr>
        <w:ind w:left="100"/>
        <w:spacing w:after="0"/>
        <w:rPr>
          <w:sz w:val="20"/>
          <w:szCs w:val="20"/>
          <w:color w:val="auto"/>
        </w:rPr>
      </w:pPr>
      <w:r>
        <w:rPr>
          <w:rFonts w:ascii="Times New Roman" w:cs="Times New Roman" w:eastAsia="Times New Roman" w:hAnsi="Times New Roman"/>
          <w:sz w:val="18"/>
          <w:szCs w:val="18"/>
          <w:color w:val="auto"/>
        </w:rPr>
        <w:t>Increase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459486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Applebee's franchise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94860"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Fuzzy's franchise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restaurant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and financing operations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decrease in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17145</wp:posOffset>
            </wp:positionV>
            <wp:extent cx="459486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Decrease in general and administrative ("G&amp;A") expenses</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Decrease (increase) in 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94860" cy="14541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Change in loss (gain) on disposition of assets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Decrease in closure and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14605</wp:posOffset>
            </wp:positionV>
            <wp:extent cx="459486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94860" cy="17145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Increase (decrease) in income before income taxes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(1.4)</w:t>
            </w:r>
          </w:p>
        </w:tc>
      </w:tr>
      <w:tr>
        <w:trPr>
          <w:trHeight w:val="229"/>
        </w:trPr>
        <w:tc>
          <w:tcPr>
            <w:tcW w:w="780" w:type="dxa"/>
            <w:vAlign w:val="bottom"/>
          </w:tcPr>
          <w:p>
            <w:pPr>
              <w:spacing w:after="0"/>
              <w:rPr>
                <w:sz w:val="19"/>
                <w:szCs w:val="19"/>
                <w:color w:val="auto"/>
              </w:rPr>
            </w:pPr>
          </w:p>
        </w:tc>
        <w:tc>
          <w:tcPr>
            <w:tcW w:w="10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(1.3)</w:t>
            </w:r>
          </w:p>
        </w:tc>
      </w:tr>
      <w:tr>
        <w:trPr>
          <w:trHeight w:val="230"/>
        </w:trPr>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780" w:type="dxa"/>
            <w:vAlign w:val="bottom"/>
          </w:tcPr>
          <w:p>
            <w:pPr>
              <w:spacing w:after="0"/>
              <w:rPr>
                <w:sz w:val="19"/>
                <w:szCs w:val="19"/>
                <w:color w:val="auto"/>
              </w:rPr>
            </w:pPr>
          </w:p>
        </w:tc>
        <w:tc>
          <w:tcPr>
            <w:tcW w:w="10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0.0</w:t>
            </w:r>
          </w:p>
        </w:tc>
      </w:tr>
      <w:tr>
        <w:trPr>
          <w:trHeight w:val="229"/>
        </w:trPr>
        <w:tc>
          <w:tcPr>
            <w:tcW w:w="7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(1.2)</w:t>
            </w:r>
          </w:p>
        </w:tc>
      </w:tr>
      <w:tr>
        <w:trPr>
          <w:trHeight w:val="223"/>
        </w:trPr>
        <w:tc>
          <w:tcPr>
            <w:tcW w:w="780" w:type="dxa"/>
            <w:vAlign w:val="bottom"/>
          </w:tcPr>
          <w:p>
            <w:pPr>
              <w:spacing w:after="0"/>
              <w:rPr>
                <w:sz w:val="19"/>
                <w:szCs w:val="19"/>
                <w:color w:val="auto"/>
              </w:rPr>
            </w:pPr>
          </w:p>
        </w:tc>
        <w:tc>
          <w:tcPr>
            <w:tcW w:w="10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(4.0)</w:t>
            </w:r>
          </w:p>
        </w:tc>
      </w:tr>
      <w:tr>
        <w:trPr>
          <w:trHeight w:val="229"/>
        </w:trPr>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3.2</w:t>
            </w:r>
          </w:p>
        </w:tc>
      </w:tr>
      <w:tr>
        <w:trPr>
          <w:trHeight w:val="230"/>
        </w:trPr>
        <w:tc>
          <w:tcPr>
            <w:tcW w:w="780" w:type="dxa"/>
            <w:vAlign w:val="bottom"/>
          </w:tcPr>
          <w:p>
            <w:pPr>
              <w:spacing w:after="0"/>
              <w:rPr>
                <w:sz w:val="19"/>
                <w:szCs w:val="19"/>
                <w:color w:val="auto"/>
              </w:rPr>
            </w:pPr>
          </w:p>
        </w:tc>
        <w:tc>
          <w:tcPr>
            <w:tcW w:w="10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0.7</w:t>
            </w:r>
          </w:p>
        </w:tc>
      </w:tr>
      <w:tr>
        <w:trPr>
          <w:trHeight w:val="229"/>
        </w:trPr>
        <w:tc>
          <w:tcPr>
            <w:tcW w:w="7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0.2</w:t>
            </w:r>
          </w:p>
        </w:tc>
      </w:tr>
      <w:tr>
        <w:trPr>
          <w:trHeight w:val="229"/>
        </w:trPr>
        <w:tc>
          <w:tcPr>
            <w:tcW w:w="7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1.4</w:t>
            </w:r>
          </w:p>
        </w:tc>
      </w:tr>
      <w:tr>
        <w:trPr>
          <w:trHeight w:val="248"/>
        </w:trPr>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1.5</w:t>
            </w:r>
          </w:p>
        </w:tc>
      </w:tr>
      <w:tr>
        <w:trPr>
          <w:trHeight w:val="20"/>
        </w:trPr>
        <w:tc>
          <w:tcPr>
            <w:tcW w:w="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-1799590</wp:posOffset>
            </wp:positionV>
            <wp:extent cx="1157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(2.2)</w:t>
            </w:r>
          </w:p>
        </w:tc>
      </w:tr>
      <w:tr>
        <w:trPr>
          <w:trHeight w:val="229"/>
        </w:trPr>
        <w:tc>
          <w:tcPr>
            <w:tcW w:w="780" w:type="dxa"/>
            <w:vAlign w:val="bottom"/>
          </w:tcPr>
          <w:p>
            <w:pPr>
              <w:spacing w:after="0"/>
              <w:rPr>
                <w:sz w:val="19"/>
                <w:szCs w:val="19"/>
                <w:color w:val="auto"/>
              </w:rPr>
            </w:pPr>
          </w:p>
        </w:tc>
        <w:tc>
          <w:tcPr>
            <w:tcW w:w="10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(3.3)</w:t>
            </w:r>
          </w:p>
        </w:tc>
      </w:tr>
      <w:tr>
        <w:trPr>
          <w:trHeight w:val="229"/>
        </w:trPr>
        <w:tc>
          <w:tcPr>
            <w:tcW w:w="780" w:type="dxa"/>
            <w:vAlign w:val="bottom"/>
          </w:tcPr>
          <w:p>
            <w:pPr>
              <w:spacing w:after="0"/>
              <w:rPr>
                <w:sz w:val="19"/>
                <w:szCs w:val="19"/>
                <w:color w:val="auto"/>
              </w:rPr>
            </w:pPr>
          </w:p>
        </w:tc>
        <w:tc>
          <w:tcPr>
            <w:tcW w:w="1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9"/>
        </w:trPr>
        <w:tc>
          <w:tcPr>
            <w:tcW w:w="7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(4.1)</w:t>
            </w:r>
          </w:p>
        </w:tc>
      </w:tr>
      <w:tr>
        <w:trPr>
          <w:trHeight w:val="223"/>
        </w:trPr>
        <w:tc>
          <w:tcPr>
            <w:tcW w:w="780" w:type="dxa"/>
            <w:vAlign w:val="bottom"/>
          </w:tcPr>
          <w:p>
            <w:pPr>
              <w:spacing w:after="0"/>
              <w:rPr>
                <w:sz w:val="19"/>
                <w:szCs w:val="19"/>
                <w:color w:val="auto"/>
              </w:rPr>
            </w:pPr>
          </w:p>
        </w:tc>
        <w:tc>
          <w:tcPr>
            <w:tcW w:w="1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(8.2)</w:t>
            </w:r>
          </w:p>
        </w:tc>
      </w:tr>
      <w:tr>
        <w:trPr>
          <w:trHeight w:val="229"/>
        </w:trPr>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80" w:type="dxa"/>
            <w:vAlign w:val="bottom"/>
          </w:tcPr>
          <w:p>
            <w:pPr>
              <w:spacing w:after="0"/>
              <w:rPr>
                <w:sz w:val="19"/>
                <w:szCs w:val="19"/>
                <w:color w:val="auto"/>
              </w:rPr>
            </w:pPr>
          </w:p>
        </w:tc>
        <w:tc>
          <w:tcPr>
            <w:tcW w:w="1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(2.7)</w:t>
            </w:r>
          </w:p>
        </w:tc>
      </w:tr>
      <w:tr>
        <w:trPr>
          <w:trHeight w:val="229"/>
        </w:trPr>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(3.8)</w:t>
            </w:r>
          </w:p>
        </w:tc>
      </w:tr>
      <w:tr>
        <w:trPr>
          <w:trHeight w:val="20"/>
        </w:trPr>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-1799590</wp:posOffset>
            </wp:positionV>
            <wp:extent cx="1157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3">
            <w:col w:w="6700" w:space="720"/>
            <w:col w:w="1820" w:space="100"/>
            <w:col w:w="1900"/>
          </w:cols>
          <w:pgMar w:left="320" w:top="225" w:right="339" w:bottom="1440" w:gutter="0" w:footer="0" w:header="0"/>
          <w:type w:val="continuous"/>
        </w:sect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gross profit for the three months ended September 30, 2024 decreased compared with the same period of the prior year due to decreased revenue from franchise and rental operations. Income before income taxes for the three months ended September 30, 2024 increased compared to the prior year period primarily due to decreased G&amp;A expenses, decreased impairment charges and decreased interest expense. The decrease in G&amp;A expenses is primarily attributable to a decrease in compensation-related expenses (predominantly incentive compensation), partially offset by an increase in depreciation expense. The decrease in impairment charges is primarily related to the impairment of four IHOP master land and building leases in the same period of the prior year.</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gross profit for the nine months ended September 30, 2024 decreased compared with the same period of the prior year due to decreased revenue from franchise and rental operations and increased franchisor advertising contribution. In addition, income before income taxes for the nine months ended September 30, 2024 decreased compared to the prior year period due to increased interest expense, offset by a decrease in G&amp;A expenses, a loss on disposition of assets in the same period in the prior year. The increase in interest expense primarily related to higher-rate securitized notes and borrowings from our revolving line of credit. The decrease in G&amp;A expenses is primarily attributable to expenses related to the stopping of the IHOP Flip'd initiative in the same period of the prior year, a decrease in professional services, a decrease in occupancy costs, and a decrease in compensation-related expenses, offset by an increase in depreciation expense (see G&amp;A Expenses section below for further detail). The decrease in impairment charges is primarily related to the technology that was developed in connection with the IHOP Flip'd initiative that was stopped and the impairment of four IHOP master land and building leases in the same period of the prior year.</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At company operated restaurants, when applicable, increases in commodity, labor and other restaurant operating costs impact us directly.</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Nine Months Ended September 30, 2024 and 2023”</w:t>
      </w:r>
      <w:r>
        <w:rPr>
          <w:rFonts w:ascii="Times New Roman" w:cs="Times New Roman" w:eastAsia="Times New Roman" w:hAnsi="Times New Roman"/>
          <w:sz w:val="18"/>
          <w:szCs w:val="18"/>
          <w:color w:val="auto"/>
        </w:rPr>
        <w:t xml:space="preserve"> for additional discussion of the changes shown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IHOP and Fuzzy's restaurants will impact our system-wide retail sales that drive franchise royalty revenues. Restaurant development also impacts franchise revenues in the form of initial franchise fees and, in the case of IHOP and Fuzzy's restaurants, sales of proprietary products.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nine months ended September 30,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left="8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jc w:val="center"/>
              <w:ind w:left="8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Pr>
          <w:p>
            <w:pPr>
              <w:spacing w:after="0"/>
              <w:rPr>
                <w:sz w:val="18"/>
                <w:szCs w:val="18"/>
                <w:color w:val="auto"/>
              </w:rPr>
            </w:pPr>
          </w:p>
        </w:tc>
      </w:tr>
      <w:tr>
        <w:trPr>
          <w:trHeight w:val="21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bottom w:val="single" w:sz="8" w:color="auto"/>
            </w:tcBorders>
            <w:gridSpan w:val="5"/>
          </w:tcPr>
          <w:p>
            <w:pPr>
              <w:jc w:val="center"/>
              <w:ind w:left="85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auto"/>
            </w:tcBorders>
            <w:gridSpan w:val="5"/>
          </w:tcPr>
          <w:p>
            <w:pPr>
              <w:jc w:val="center"/>
              <w:ind w:left="875"/>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960" w:type="dxa"/>
            <w:vAlign w:val="bottom"/>
            <w:tcBorders>
              <w:bottom w:val="single" w:sz="8" w:color="auto"/>
            </w:tcBorders>
          </w:tcPr>
          <w:p>
            <w:pPr>
              <w:spacing w:after="0"/>
              <w:rPr>
                <w:sz w:val="19"/>
                <w:szCs w:val="19"/>
                <w:color w:val="auto"/>
              </w:rPr>
            </w:pPr>
          </w:p>
        </w:tc>
      </w:tr>
      <w:tr>
        <w:trPr>
          <w:trHeight w:val="211"/>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IHOP</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c>
          <w:tcPr>
            <w:tcW w:w="10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IHOP</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Fuzzy's</w:t>
            </w:r>
          </w:p>
        </w:tc>
      </w:tr>
      <w:tr>
        <w:trPr>
          <w:trHeight w:val="157"/>
        </w:trPr>
        <w:tc>
          <w:tcPr>
            <w:tcW w:w="39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Sales percentage decrease in reported retail sales -</w:t>
            </w: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vs. 2023</w:t>
            </w:r>
          </w:p>
        </w:tc>
        <w:tc>
          <w:tcPr>
            <w:tcW w:w="100" w:type="dxa"/>
            <w:vAlign w:val="bottom"/>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176"/>
        </w:trPr>
        <w:tc>
          <w:tcPr>
            <w:tcW w:w="3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 Decrease in domestic system-wide same-restaurant</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w:t>
            </w:r>
            <w:r>
              <w:rPr>
                <w:rFonts w:ascii="Times New Roman" w:cs="Times New Roman" w:eastAsia="Times New Roman" w:hAnsi="Times New Roman"/>
                <w:sz w:val="10"/>
                <w:szCs w:val="10"/>
                <w:color w:val="auto"/>
              </w:rPr>
              <w:t>(1)</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xml:space="preserve">Net (decrease) increase in total effective restaurants </w:t>
            </w:r>
            <w:r>
              <w:rPr>
                <w:rFonts w:ascii="Times New Roman" w:cs="Times New Roman" w:eastAsia="Times New Roman" w:hAnsi="Times New Roman"/>
                <w:sz w:val="23"/>
                <w:szCs w:val="23"/>
                <w:color w:val="auto"/>
                <w:w w:val="98"/>
                <w:vertAlign w:val="superscript"/>
              </w:rPr>
              <w:t>(2)</w:t>
            </w:r>
          </w:p>
        </w:tc>
        <w:tc>
          <w:tcPr>
            <w:tcW w:w="100" w:type="dxa"/>
            <w:vAlign w:val="bottom"/>
          </w:tcPr>
          <w:p>
            <w:pPr>
              <w:spacing w:after="0"/>
              <w:rPr>
                <w:sz w:val="24"/>
                <w:szCs w:val="24"/>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bl>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82" w:lineRule="exact"/>
        <w:rPr>
          <w:sz w:val="20"/>
          <w:szCs w:val="20"/>
          <w:color w:val="auto"/>
        </w:rPr>
      </w:pPr>
    </w:p>
    <w:p>
      <w:pPr>
        <w:ind w:left="480" w:hanging="148"/>
        <w:spacing w:after="0"/>
        <w:tabs>
          <w:tab w:leader="none" w:pos="4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closings, net of openings, during the three and nine months ended September 30, 2024.</w:t>
      </w:r>
    </w:p>
    <w:p>
      <w:pPr>
        <w:spacing w:after="0" w:line="81" w:lineRule="exact"/>
        <w:rPr>
          <w:rFonts w:ascii="Times New Roman" w:cs="Times New Roman" w:eastAsia="Times New Roman" w:hAnsi="Times New Roman"/>
          <w:sz w:val="19"/>
          <w:szCs w:val="19"/>
          <w:color w:val="auto"/>
          <w:vertAlign w:val="superscript"/>
        </w:rPr>
      </w:pPr>
    </w:p>
    <w:p>
      <w:pPr>
        <w:ind w:left="340" w:hanging="8"/>
        <w:spacing w:after="0" w:line="302" w:lineRule="auto"/>
        <w:tabs>
          <w:tab w:leader="none" w:pos="49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company-operated restaurants open during the three and nine months ended September 30, 2024, compared to the weighted average number of those open during the same periods of 2023.</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45720</wp:posOffset>
            </wp:positionV>
            <wp:extent cx="5357495" cy="2357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5.9% for the three months ended September 30, 2024 and decreased 4.1% for the nine months ended September 30, 2024 as compared to the same periods of 2023. The decrease in same-restaurant sales was primarily due to a decrease in traffic, partially offset by an increase in average check.</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for the three and nine months ended September 30, 2024 underperformed the casual dining segment of the restaurant industry (excluding Applebee's) during the same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2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2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729.3</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161" w:lineRule="exact"/>
        <w:rPr>
          <w:sz w:val="20"/>
          <w:szCs w:val="20"/>
          <w:color w:val="auto"/>
        </w:rPr>
      </w:pPr>
    </w:p>
    <w:p>
      <w:pPr>
        <w:ind w:left="140" w:hanging="132"/>
        <w:spacing w:after="0"/>
        <w:tabs>
          <w:tab w:leader="none" w:pos="14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495300</wp:posOffset>
            </wp:positionV>
            <wp:extent cx="5357495" cy="2357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574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IHOP's system-wide domestic same-restaurant sales decreased 2.1% for the three months ended September 30, 2024 and 1.7% for the nine months ended September 30, 2024 as compared to the same periods of 2023. The decrease in same-restaurant sales was primarily due to a decrease in traffic, partially offset by an increase in average check.</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IHOP's decrease in same-restaurant sales for the three and nine months ended September 30, 2024 underperformed the family dining segment of the restaurant industry (excluding IHOP) during the same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2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2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460.6</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bl>
    <w:p>
      <w:pPr>
        <w:spacing w:after="0" w:line="145"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52525"/>
        </w:rPr>
        <w:t>Quarterly Domestic Same-Restaurant Sales - Fuzzy's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Fuzzy's system-wide domestic same-restaurant sales decreased 9.6% for the three months ended September 30, 2024 and 8.9% for the nine months ended September 30, 2024 as compared to the same periods of 2023. The decrease in same-restaurant sales was primarily due to a decrease in traffic, partially offset by an increase in average check.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Off-Premise Sales Data</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8"/>
        </w:trPr>
        <w:tc>
          <w:tcPr>
            <w:tcW w:w="524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2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59.7</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38.7 %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38.9 %</w:t>
            </w:r>
          </w:p>
        </w:tc>
      </w:tr>
    </w:tbl>
    <w:p>
      <w:pPr>
        <w:spacing w:after="0" w:line="145"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 for comparable 2024 and 2023 restaurants.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number of “Effective Restaurants” in the Applebee’s, IHOP and Fuzzy's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Data</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1,620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1,654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1,627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1,663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Data</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1,800</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1,782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176"/>
        </w:trPr>
        <w:tc>
          <w:tcPr>
            <w:tcW w:w="5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Fuzzy's Restaurant Data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71" w:lineRule="auto"/>
        <w:tabs>
          <w:tab w:leader="none" w:pos="308"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Restaurants” are the weighted average number of restaurants open in each fiscal period, adjusted to account for restaurants open for only a portion of the period. Information is presented for all Effective Restaurants in the Applebee’s, IHOP and Fuzzy's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40" w:hanging="332"/>
        <w:spacing w:after="0" w:line="266" w:lineRule="auto"/>
        <w:tabs>
          <w:tab w:leader="none" w:pos="34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and Fuzzy's restaurants operated by franchisees and IHOP restaurants operated by franchisees and area licensees, as reported to the Company, in addition to retail sales at company-operated Fuzzy's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and Fuzzy's franchise restaurants, Fuzzy's company-operated restaurants, IHOP franchise restaurants and IHOP area license restaurants were as follows:</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6"/>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sales (in millions)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franchise restaurant sales</w:t>
            </w:r>
          </w:p>
        </w:tc>
        <w:tc>
          <w:tcPr>
            <w:tcW w:w="100" w:type="dxa"/>
            <w:vAlign w:val="bottom"/>
            <w:vMerge w:val="continue"/>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1,007.7</w:t>
            </w:r>
          </w:p>
        </w:tc>
        <w:tc>
          <w:tcPr>
            <w:tcW w:w="80" w:type="dxa"/>
            <w:vAlign w:val="bottom"/>
            <w:vMerge w:val="continue"/>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3,230.5</w:t>
            </w:r>
          </w:p>
        </w:tc>
        <w:tc>
          <w:tcPr>
            <w:tcW w:w="100" w:type="dxa"/>
            <w:vAlign w:val="bottom"/>
            <w:vMerge w:val="continue"/>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3,411.5</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2,425.9</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1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71.4</w:t>
            </w: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228.1</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Fuzzy's franchise restaurant sales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Fuzzy's company-operated restaurants</w:t>
            </w: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1,915.5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2,015.3</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6,016.9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6,234.5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period compared to the prior period for all restaurants in that category.</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35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percentage change” reflects the percentage change in sales in any given fiscal period, compared to the same weeks in the prior period, for domestic restaurants that have been operated during both periods that are being compared and have been open for at least 18 months. Because of new restaurant openings and restaurant closures, the domestic restaurants open throughout both fiscal periods being compared may be different from period to period.</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100" w:type="dxa"/>
            <w:vAlign w:val="bottom"/>
          </w:tcPr>
          <w:p>
            <w:pPr>
              <w:spacing w:after="0"/>
              <w:rPr>
                <w:sz w:val="20"/>
                <w:szCs w:val="20"/>
                <w:color w:val="auto"/>
              </w:rPr>
            </w:pPr>
          </w:p>
        </w:tc>
        <w:tc>
          <w:tcPr>
            <w:tcW w:w="2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0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1,642</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opened</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 restaurants permanently closed</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franchise restaurant reduction</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(24)</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Applebee's restaurants, end of period</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1,652</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8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 Activity</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00" w:type="dxa"/>
            <w:vAlign w:val="bottom"/>
          </w:tcPr>
          <w:p>
            <w:pPr>
              <w:spacing w:after="0"/>
              <w:rPr>
                <w:sz w:val="20"/>
                <w:szCs w:val="20"/>
                <w:color w:val="auto"/>
              </w:rPr>
            </w:pP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Borders>
              <w:top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80" w:type="dxa"/>
            <w:vAlign w:val="bottom"/>
            <w:tcBorders>
              <w:top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 w:type="dxa"/>
            <w:vAlign w:val="bottom"/>
            <w:tcBorders>
              <w:right w:val="single" w:sz="8" w:color="CCEEFF"/>
            </w:tcBorders>
          </w:tcPr>
          <w:p>
            <w:pPr>
              <w:spacing w:after="0"/>
              <w:rPr>
                <w:sz w:val="16"/>
                <w:szCs w:val="16"/>
                <w:color w:val="auto"/>
              </w:rPr>
            </w:pPr>
          </w:p>
        </w:tc>
        <w:tc>
          <w:tcPr>
            <w:tcW w:w="42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w w:val="97"/>
              </w:rPr>
              <w:t>IHOP</w:t>
            </w:r>
          </w:p>
        </w:tc>
        <w:tc>
          <w:tcPr>
            <w:tcW w:w="43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7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Borders>
              <w:right w:val="single" w:sz="8" w:color="CCEEFF"/>
            </w:tcBorders>
          </w:tcPr>
          <w:p>
            <w:pPr>
              <w:spacing w:after="0"/>
              <w:rPr>
                <w:sz w:val="20"/>
                <w:szCs w:val="20"/>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beginning of period</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1,790</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w:t>
            </w:r>
          </w:p>
        </w:tc>
        <w:tc>
          <w:tcPr>
            <w:tcW w:w="8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Franchise/area license restaurants opened:</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7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7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opened</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Franchise/area license restaurants permanently closed: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 franchise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Domestic area license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International franchise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4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 franchise/area license restaurants permanently closed</w:t>
            </w:r>
          </w:p>
        </w:tc>
        <w:tc>
          <w:tcPr>
            <w:tcW w:w="880" w:type="dxa"/>
            <w:vAlign w:val="bottom"/>
            <w:gridSpan w:val="2"/>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0" w:type="dxa"/>
            <w:vAlign w:val="bottom"/>
            <w:tcBorders>
              <w:right w:val="single" w:sz="8" w:color="CCEEFF"/>
            </w:tcBorders>
          </w:tcPr>
          <w:p>
            <w:pPr>
              <w:spacing w:after="0"/>
              <w:rPr>
                <w:sz w:val="20"/>
                <w:szCs w:val="20"/>
                <w:color w:val="auto"/>
              </w:rPr>
            </w:pPr>
          </w:p>
        </w:tc>
        <w:tc>
          <w:tcPr>
            <w:tcW w:w="4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franchise/area license restaurants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Area license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IHOP restaurants, end of period</w:t>
            </w:r>
          </w:p>
        </w:tc>
        <w:tc>
          <w:tcPr>
            <w:tcW w:w="880" w:type="dxa"/>
            <w:vAlign w:val="bottom"/>
            <w:gridSpan w:val="2"/>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1,809</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1,794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80" w:type="dxa"/>
            <w:vAlign w:val="bottom"/>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00" w:type="dxa"/>
            <w:vAlign w:val="bottom"/>
            <w:tcBorders>
              <w:right w:val="single" w:sz="8" w:color="CCEEFF"/>
            </w:tcBorders>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478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Fuzzy's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 beginning of period:</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880" w:type="dxa"/>
            <w:vAlign w:val="bottom"/>
            <w:gridSpan w:val="2"/>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132</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right w:val="single" w:sz="8" w:color="CCEEFF"/>
            </w:tcBorders>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opened: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Franchise restaurants permanently closed: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Domestic</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880" w:type="dxa"/>
            <w:vAlign w:val="bottom"/>
            <w:gridSpan w:val="2"/>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Borders>
              <w:right w:val="single" w:sz="8" w:color="CCEEFF"/>
            </w:tcBorders>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Refranchised from Company restaurants</w:t>
            </w: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Net franchise restaurant addition (reduction)</w:t>
            </w:r>
          </w:p>
        </w:tc>
        <w:tc>
          <w:tcPr>
            <w:tcW w:w="880" w:type="dxa"/>
            <w:vAlign w:val="bottom"/>
            <w:gridSpan w:val="2"/>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right w:val="single" w:sz="8" w:color="CCEEFF"/>
            </w:tcBorders>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Summary - end of period: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Franchise</w:t>
            </w:r>
          </w:p>
        </w:tc>
        <w:tc>
          <w:tcPr>
            <w:tcW w:w="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Company</w:t>
            </w:r>
          </w:p>
        </w:tc>
        <w:tc>
          <w:tcPr>
            <w:tcW w:w="78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0" w:type="dxa"/>
            <w:vAlign w:val="bottom"/>
            <w:tcBorders>
              <w:right w:val="single" w:sz="8" w:color="CCEEFF"/>
            </w:tcBorders>
          </w:tcPr>
          <w:p>
            <w:pPr>
              <w:spacing w:after="0"/>
              <w:rPr>
                <w:sz w:val="20"/>
                <w:szCs w:val="20"/>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Fuzzy's restaurants, end of period</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10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c>
          <w:tcPr>
            <w:tcW w:w="80" w:type="dxa"/>
            <w:vAlign w:val="bottom"/>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color w:val="auto"/>
              </w:rPr>
              <w:t>Domestic</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0" w:type="dxa"/>
            <w:vAlign w:val="bottom"/>
          </w:tcPr>
          <w:p>
            <w:pPr>
              <w:spacing w:after="0"/>
              <w:rPr>
                <w:sz w:val="16"/>
                <w:szCs w:val="16"/>
                <w:color w:val="auto"/>
              </w:rPr>
            </w:pPr>
          </w:p>
        </w:tc>
        <w:tc>
          <w:tcPr>
            <w:tcW w:w="4780" w:type="dxa"/>
            <w:vAlign w:val="bottom"/>
            <w:gridSpan w:val="3"/>
            <w:vMerge w:val="continue"/>
          </w:tcPr>
          <w:p>
            <w:pPr>
              <w:spacing w:after="0"/>
              <w:rPr>
                <w:sz w:val="16"/>
                <w:szCs w:val="16"/>
                <w:color w:val="auto"/>
              </w:rPr>
            </w:pPr>
          </w:p>
        </w:tc>
        <w:tc>
          <w:tcPr>
            <w:tcW w:w="880" w:type="dxa"/>
            <w:vAlign w:val="bottom"/>
            <w:gridSpan w:val="2"/>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00" w:type="dxa"/>
            <w:vAlign w:val="bottom"/>
            <w:tcBorders>
              <w:right w:val="single" w:sz="8" w:color="CCEEFF"/>
            </w:tcBorders>
          </w:tcPr>
          <w:p>
            <w:pPr>
              <w:spacing w:after="0"/>
              <w:rPr>
                <w:sz w:val="20"/>
                <w:szCs w:val="20"/>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7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restaurant counts and activity presented above include 13 dual-branded international Applebee's and IHOP restaurants at September 30, 2024, and six dual-branded international Applebee's and IHOP restaurants at September 30, 2023, which are tabulated in both brands’ activities. Dual-branded restaurants are defined as restaurants that run two of our concepts and share an entrance, front of the house staff and a kitchen. The restaurant counts and activity presented above do not include one domestic Applebee's ghost kitchen (small kitchens with no store-front presence, used to fill off-premise orders), seven international Applebee's ghost kitchens and 34 international IHOP ghost kitchens.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restaurants adversely impact our system-wide retail sales that drive our franchise royalty revenues as well as, in the case of IHOP and Fuzzy's restaurants, sales of proprietary products.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00" w:type="dxa"/>
            <w:vAlign w:val="bottom"/>
          </w:tcPr>
          <w:p>
            <w:pPr>
              <w:spacing w:after="0"/>
              <w:rPr>
                <w:sz w:val="24"/>
                <w:szCs w:val="24"/>
                <w:color w:val="auto"/>
              </w:rPr>
            </w:pPr>
          </w:p>
        </w:tc>
        <w:tc>
          <w:tcPr>
            <w:tcW w:w="270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4"/>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00" w:type="dxa"/>
            <w:vAlign w:val="bottom"/>
            <w:tcBorders>
              <w:bottom w:val="single" w:sz="8" w:color="auto"/>
            </w:tcBorders>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vMerge w:val="continue"/>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vMerge w:val="continue"/>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8"/>
              </w:rPr>
              <w:t>(6.1)</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518.7</w:t>
            </w:r>
          </w:p>
        </w:tc>
        <w:tc>
          <w:tcPr>
            <w:tcW w:w="80" w:type="dxa"/>
            <w:vAlign w:val="bottom"/>
            <w:vMerge w:val="continue"/>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vMerge w:val="continue"/>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5"/>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8"/>
              </w:rPr>
              <w:t>(7.4)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2024 decreased compared with the same periods of the prior year, primarily due to the decrease in franchise and rental operations revenue. The decrease in franchise operations revenue was primarily attributable to the decrease in domestic same-restaurant sales and the decrease in the number of Applebee's and Fuzzy's effective restaurants, partially offset by increases in the number of effective restaurants and proprietary product sales at IHOP. Rental operations revenue for the three months ended September 30, 2024 decreased compared with the same period of the prior year, primarily due to operating lease terminations and a decrease in percentage rent. Rental operations revenue for the nine months ended September 30, 2024 decreased compared with the same period of the prior year, primarily due to prior year lease buyouts and operating lease terminations.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00" w:type="dxa"/>
            <w:vAlign w:val="bottom"/>
          </w:tcPr>
          <w:p>
            <w:pPr>
              <w:spacing w:after="0"/>
              <w:rPr>
                <w:sz w:val="20"/>
                <w:szCs w:val="20"/>
                <w:color w:val="auto"/>
              </w:rPr>
            </w:pPr>
          </w:p>
        </w:tc>
        <w:tc>
          <w:tcPr>
            <w:tcW w:w="270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vMerge w:val="restart"/>
          </w:tcPr>
          <w:p>
            <w:pPr>
              <w:jc w:val="center"/>
              <w:ind w:right="79"/>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center"/>
              <w:ind w:right="58"/>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operations</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8"/>
                <w:szCs w:val="18"/>
                <w:color w:val="auto"/>
                <w:w w:val="98"/>
              </w:rPr>
              <w:t>(2.8)</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operations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left="619"/>
              <w:spacing w:after="0"/>
              <w:rPr>
                <w:sz w:val="20"/>
                <w:szCs w:val="20"/>
                <w:color w:val="auto"/>
              </w:rPr>
            </w:pPr>
            <w:r>
              <w:rPr>
                <w:rFonts w:ascii="Times New Roman" w:cs="Times New Roman" w:eastAsia="Times New Roman" w:hAnsi="Times New Roman"/>
                <w:sz w:val="18"/>
                <w:szCs w:val="18"/>
                <w:color w:val="auto"/>
                <w:w w:val="98"/>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9"/>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operations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9"/>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8"/>
                <w:szCs w:val="18"/>
                <w:color w:val="auto"/>
                <w:w w:val="98"/>
              </w:rPr>
              <w:t>(4.0)</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Change vs. prior period</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740"/>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gross profit for the three and nine months ended September 30, 2024 decreased compared with the same periods of the prior year, primarily due to the decrease in franchise and rental operations revenue. The franchise operations gross profit decreased for the three months ended September 30, 2024 primarily due Applebee's and IHOP decreased franchise gross profit. The franchise operations gross profit decreased for the nine months ended September 30, 2024 primarily due to Fuzzy's and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Applebee's decreased franchise gross profit. The decrease in rental operations gross profit for the three and nine months ended September 30, 2024 was primarily due to decreased rental revenue as described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center"/>
              <w:ind w:right="6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ind w:right="40"/>
              <w:spacing w:after="0" w:line="122"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Effective Franchise Restaurants: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 franchise fees</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126.5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 franchise fees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 franchise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fees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518.7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Expenses: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Advertising expenses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Gross Profit:</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Applebee’s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IHOP</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Fuzzy's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gross profit</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60" w:type="dxa"/>
            <w:vAlign w:val="bottom"/>
          </w:tcPr>
          <w:p>
            <w:pPr>
              <w:ind w:left="20"/>
              <w:spacing w:after="0" w:line="190" w:lineRule="exact"/>
              <w:rPr>
                <w:sz w:val="20"/>
                <w:szCs w:val="20"/>
                <w:color w:val="auto"/>
              </w:rPr>
            </w:pPr>
            <w:r>
              <w:rPr>
                <w:rFonts w:ascii="Times New Roman" w:cs="Times New Roman" w:eastAsia="Times New Roman" w:hAnsi="Times New Roman"/>
                <w:sz w:val="16"/>
                <w:szCs w:val="16"/>
                <w:color w:val="auto"/>
              </w:rPr>
              <w:t xml:space="preserve">Gross profit as % of franchise revenue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3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Gross profit as % of franchise fees </w:t>
            </w:r>
            <w:r>
              <w:rPr>
                <w:rFonts w:ascii="Times New Roman" w:cs="Times New Roman" w:eastAsia="Times New Roman" w:hAnsi="Times New Roman"/>
                <w:sz w:val="21"/>
                <w:szCs w:val="21"/>
                <w:color w:val="auto"/>
                <w:vertAlign w:val="superscript"/>
              </w:rPr>
              <w:t>(2)(3)</w:t>
            </w:r>
          </w:p>
        </w:tc>
        <w:tc>
          <w:tcPr>
            <w:tcW w:w="100" w:type="dxa"/>
            <w:vAlign w:val="bottom"/>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100" w:type="dxa"/>
            <w:vAlign w:val="bottom"/>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90.2 %</w:t>
            </w: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10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89.3 %</w:t>
            </w:r>
          </w:p>
        </w:tc>
        <w:tc>
          <w:tcPr>
            <w:tcW w:w="10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13" w:lineRule="exact"/>
        <w:rPr>
          <w:sz w:val="20"/>
          <w:szCs w:val="20"/>
          <w:color w:val="auto"/>
        </w:rPr>
      </w:pPr>
    </w:p>
    <w:p>
      <w:pPr>
        <w:ind w:left="180" w:hanging="172"/>
        <w:spacing w:after="0" w:line="228" w:lineRule="auto"/>
        <w:tabs>
          <w:tab w:leader="none" w:pos="15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60" w:hanging="152"/>
        <w:spacing w:after="0"/>
        <w:tabs>
          <w:tab w:leader="none" w:pos="160"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14" w:lineRule="exact"/>
        <w:rPr>
          <w:rFonts w:ascii="Times New Roman" w:cs="Times New Roman" w:eastAsia="Times New Roman" w:hAnsi="Times New Roman"/>
          <w:sz w:val="9"/>
          <w:szCs w:val="9"/>
          <w:color w:val="auto"/>
        </w:rPr>
      </w:pPr>
    </w:p>
    <w:p>
      <w:pPr>
        <w:ind w:left="180" w:hanging="172"/>
        <w:spacing w:after="0"/>
        <w:tabs>
          <w:tab w:leader="none" w:pos="165"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September 30, 2024 decreased 4.0% as compared with the same period of the prior year, primarily attributable to the unfavorable impact on royalties of a 5.9% decrease in domestic same-restaurant sales and a decrease in the number of effective franchise restaurants, offset by improved collections from international franchisees. Applebee's franchise fee revenue for the nine months ended September 30, 2024 decreased 4.0% as compared with the same period of the prior year, primarily attributable to the unfavorable impact on royalties of a 4.1% decrease in domestic same-restaurant sales and the decrease in the number of effective franchise restaurants, offset by an increase in accelerated franchise fee recognition due to restaurant closures.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Applebee's franchise expenses for the three months ended September 30, 2024 decreased $0.3 million compared with the same period of the prior year primarily due to a recovery of previously written off receivables from international franchisees. Applebee's franchise expenses for the nine months ended September 30, 2024 decreased $3.0 million compared with the same period of the prior year primarily due to a decrease in bad debt expense.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IHOP's franchise fee revenue for the three months ended September 30, 2024 decreased 1.3% as compared with the same period of the prior year, primarily due to a decrease in domestic same-restaurant sales of 2.1% and a decrease in licensing revenue, partially offset by an increase in the number of effective franchise restaurants and proprietary product sales. IHOP's franchise fee revenue for the nine months ended September 30, 2024 increased 0.8%, as compared with the same period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year, primarily due to an increase in proprietary product sales and the number of effective franchise restaurants, partially offset by a 1.7% decrease in domestic same-restaurant sales and a decrease in virtual brand revenue.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IHOP's franchise expenses for the three months ended September 30, 2024 increased $0.6 million as compared with the same period of the prior year, primarily due to an increase in bad debt expense and an increase in the cost of proprietary product sales. IHOP's franchise expenses for the nine months ended September 30, 2024 decreased $0.2 million as compared with the same period of the prior year, primarily due to a decrease in bad debt expense and a decrease in franchisee IT support costs, partially offset by an increase in franchisor advertising contribution.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Fuzzy's franchise fee revenue for the three months ended September 30, 2024 decreased 6.8% as compared with the same period of the prior year, primarily attributable to the unfavorable impact on royalties of a 9.6% decrease in same-restaurant sales, the decrease in the number of effective franchise restaurants and a decrease in proprietary product sales, partially offset by an increase in termination fees. Fuzzy's franchise fee revenue for the nine months ended September 30, 2024 decreased $0.9 million as compared with the same period of the prior year, primarily attributable to a 8.9% decrease in same-restaurant sales and a decrease in the number of effective franchise restaurants, partially offset by an increase in termination fees.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Fuzzy's franchise expenses for the three months ended September 30, 2024 decreased $0.2 million as compared with the same period of the prior year primarily due to a decrease in the cost of proprietary product sales. Fuzzy's franchise expenses for the nine months ended September 30, 2024 increased $2.4 million as compared with the same period of the prior year primarily due to an increase in franchisor advertising contribution and an increase in bad debt expense.</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 and Expenses</w:t>
            </w:r>
          </w:p>
        </w:tc>
        <w:tc>
          <w:tcPr>
            <w:tcW w:w="80" w:type="dxa"/>
            <w:vAlign w:val="bottom"/>
          </w:tcPr>
          <w:p>
            <w:pPr>
              <w:spacing w:after="0"/>
              <w:rPr>
                <w:sz w:val="20"/>
                <w:szCs w:val="20"/>
                <w:color w:val="auto"/>
              </w:rPr>
            </w:pPr>
          </w:p>
        </w:tc>
        <w:tc>
          <w:tcPr>
            <w:tcW w:w="2420" w:type="dxa"/>
            <w:vAlign w:val="bottom"/>
            <w:gridSpan w:val="5"/>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5"/>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37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restart"/>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restart"/>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Applebee’s</w:t>
            </w:r>
          </w:p>
        </w:tc>
        <w:tc>
          <w:tcPr>
            <w:tcW w:w="80" w:type="dxa"/>
            <w:vAlign w:val="bottom"/>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(2.9)</w:t>
            </w:r>
          </w:p>
        </w:tc>
        <w:tc>
          <w:tcPr>
            <w:tcW w:w="100" w:type="dxa"/>
            <w:vAlign w:val="bottom"/>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w w:val="98"/>
              </w:rPr>
              <w:t>(6.1)</w:t>
            </w:r>
          </w:p>
        </w:tc>
        <w:tc>
          <w:tcPr>
            <w:tcW w:w="0" w:type="dxa"/>
            <w:vAlign w:val="bottom"/>
          </w:tcPr>
          <w:p>
            <w:pPr>
              <w:spacing w:after="0"/>
              <w:rPr>
                <w:sz w:val="1"/>
                <w:szCs w:val="1"/>
                <w:color w:val="auto"/>
              </w:rPr>
            </w:pPr>
          </w:p>
        </w:tc>
      </w:tr>
      <w:tr>
        <w:trPr>
          <w:trHeight w:val="229"/>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IHOP</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left="476"/>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Fuzzy's</w:t>
            </w:r>
          </w:p>
        </w:tc>
        <w:tc>
          <w:tcPr>
            <w:tcW w:w="80" w:type="dxa"/>
            <w:vAlign w:val="bottom"/>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w w:val="98"/>
              </w:rPr>
              <w:t>(6.7)</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advertising revenues and expenses for the three months ended September 30, 2024 decreased 6.7% compared to the same period of the prior year primarily due to a 5.9% decrease in domestic franchise same-restaurant sales and a decrease in the number of effective franchise restaurants. IHOP advertising revenues and expenses for the three months ended September 30, 2024 decreased 2.2% compared to the same period of the prior year, primarily due to a 2.1% decrease in same-restaurant sales, partially offset by an increase in the number of effective franchise restaurants.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Applebee's advertising revenues and expenses for the nine months ended September 30, 2024 decreased 4.5% compared to the same period of the prior year primarily due to a 4.1% decrease in domestic franchise same-restaurant sales and decrease in the number of effective franchise restaurants. IHOP's advertising revenues and expenses for the nine months ended September 30, 2024 decreased 0.7% as compared with the same period of the prior year, primarily due to a 1.7% decrease in same-restaurant sales partially offset by an increase in the number of effective franchise restaurants.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2"/>
        </w:trPr>
        <w:tc>
          <w:tcPr>
            <w:tcW w:w="3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41"/>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center"/>
              <w:ind w:right="40"/>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61"/>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61"/>
              <w:spacing w:after="0"/>
              <w:rPr>
                <w:sz w:val="20"/>
                <w:szCs w:val="20"/>
                <w:color w:val="auto"/>
              </w:rPr>
            </w:pPr>
            <w:r>
              <w:rPr>
                <w:rFonts w:ascii="Times New Roman" w:cs="Times New Roman" w:eastAsia="Times New Roman" w:hAnsi="Times New Roman"/>
                <w:sz w:val="18"/>
                <w:szCs w:val="18"/>
                <w:color w:val="auto"/>
                <w:w w:val="98"/>
              </w:rPr>
              <w:t>(1.0)</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5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Gross profit as % of rental revenue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13"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finance leases. Rental expenses are costs of prime operating leases and interest expense on prime finance leases.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three months ended September 30, 2024 decreased compared with the same period of the prior year, primarily due to operating lease terminations and a decrease in percentage rent.</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Rental operations gross profit for the nine months ended September 30, 2024 decreased as compared to the same period of the prior year, primarily due to prior year lease buyouts and operating lease terminations.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Restaurant and Financing</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Operations</w:t>
            </w:r>
          </w:p>
        </w:tc>
        <w:tc>
          <w:tcPr>
            <w:tcW w:w="80" w:type="dxa"/>
            <w:vAlign w:val="bottom"/>
          </w:tcPr>
          <w:p>
            <w:pPr>
              <w:spacing w:after="0"/>
              <w:rPr>
                <w:sz w:val="15"/>
                <w:szCs w:val="15"/>
                <w:color w:val="auto"/>
              </w:rPr>
            </w:pPr>
          </w:p>
        </w:tc>
        <w:tc>
          <w:tcPr>
            <w:tcW w:w="242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jc w:val="center"/>
              <w:ind w:right="81"/>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jc w:val="center"/>
              <w:ind w:right="60"/>
              <w:spacing w:after="0" w:line="61" w:lineRule="exact"/>
              <w:rPr>
                <w:sz w:val="20"/>
                <w:szCs w:val="20"/>
                <w:color w:val="auto"/>
              </w:rPr>
            </w:pPr>
            <w:r>
              <w:rPr>
                <w:rFonts w:ascii="Times New Roman" w:cs="Times New Roman" w:eastAsia="Times New Roman" w:hAnsi="Times New Roman"/>
                <w:sz w:val="7"/>
                <w:szCs w:val="7"/>
                <w:b w:val="1"/>
                <w:bCs w:val="1"/>
                <w:color w:val="auto"/>
              </w:rPr>
              <w:t>(Unfavorable)</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8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restaurant sales</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41"/>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company restaurants operations</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41"/>
              <w:spacing w:after="0"/>
              <w:rPr>
                <w:sz w:val="20"/>
                <w:szCs w:val="20"/>
                <w:color w:val="auto"/>
              </w:rPr>
            </w:pPr>
            <w:r>
              <w:rPr>
                <w:rFonts w:ascii="Times New Roman" w:cs="Times New Roman" w:eastAsia="Times New Roman" w:hAnsi="Times New Roman"/>
                <w:sz w:val="18"/>
                <w:szCs w:val="18"/>
                <w:color w:val="auto"/>
                <w:w w:val="97"/>
              </w:rPr>
              <w:t>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8"/>
              </w:rPr>
              <w:t>(0.1)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Financing Operations</w:t>
            </w:r>
          </w:p>
        </w:tc>
        <w:tc>
          <w:tcPr>
            <w:tcW w:w="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revenues</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2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expenses</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1"/>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financing operations</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2023, company restaurant operations consisted of three Fuzzy's restaurants that were acquired in December 2022, of which two were subsequently refranchised in the second quarter of 2023. Company segment restaurant expenses may include costs associated with reacquired restaurants in the process of being refranchised. There were no reacquired restaurants expenses during the nine months ended September 30, 2024 and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notes receivable due from franchisees. Financing expenses are sales and use taxes related to IHOP equipment leases. Financing revenue and gross profit for the three and nine months ended September 30, 2024 declined compared to the same periods of the prior year, primarily due to progressive decline in interest income as note balances are repaid.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G&amp;A Expenses</w:t>
            </w:r>
          </w:p>
        </w:tc>
        <w:tc>
          <w:tcPr>
            <w:tcW w:w="100" w:type="dxa"/>
            <w:vAlign w:val="bottom"/>
          </w:tcPr>
          <w:p>
            <w:pPr>
              <w:spacing w:after="0"/>
              <w:rPr>
                <w:sz w:val="20"/>
                <w:szCs w:val="20"/>
                <w:color w:val="auto"/>
              </w:rPr>
            </w:pPr>
          </w:p>
        </w:tc>
        <w:tc>
          <w:tcPr>
            <w:tcW w:w="2420" w:type="dxa"/>
            <w:vAlign w:val="bottom"/>
            <w:gridSpan w:val="5"/>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2"/>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center"/>
              <w:ind w:right="45"/>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restart"/>
          </w:tcPr>
          <w:p>
            <w:pPr>
              <w:jc w:val="center"/>
              <w:ind w:right="45"/>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G&amp;A expenses</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for the three months ended September 30, 2024 decreased 6.6% compared to the same period of the prior year, primarily due to a decrease in compensation-related expenses (predominantly incentive compensation), partially offset by an increase in depreciation expense.</w:t>
      </w:r>
    </w:p>
    <w:p>
      <w:pPr>
        <w:spacing w:after="0" w:line="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G&amp;A expenses for the nine months ended September 30, 2024 decreased 2.1% compared to the same period of the prior year, primarily due to a decrease in incentive compensations, expenses related to the stopping of the IHOP Flip'd initiative in the same period of the prior year, a decrease in professional services and a decrease in occupancy costs, offset by an increase in stock-based compensation, depreciation expense and severance costs.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80" w:type="dxa"/>
            <w:vAlign w:val="bottom"/>
          </w:tcPr>
          <w:p>
            <w:pPr>
              <w:spacing w:after="0"/>
              <w:rPr>
                <w:sz w:val="20"/>
                <w:szCs w:val="20"/>
                <w:color w:val="auto"/>
              </w:rPr>
            </w:pPr>
          </w:p>
        </w:tc>
        <w:tc>
          <w:tcPr>
            <w:tcW w:w="2420" w:type="dxa"/>
            <w:vAlign w:val="bottom"/>
            <w:gridSpan w:val="5"/>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09"/>
        </w:trPr>
        <w:tc>
          <w:tcPr>
            <w:tcW w:w="3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center"/>
              <w:ind w:right="56"/>
              <w:spacing w:after="0" w:line="127"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(2.7)</w:t>
            </w:r>
          </w:p>
        </w:tc>
        <w:tc>
          <w:tcPr>
            <w:tcW w:w="0" w:type="dxa"/>
            <w:vAlign w:val="bottom"/>
          </w:tcPr>
          <w:p>
            <w:pPr>
              <w:spacing w:after="0"/>
              <w:rPr>
                <w:sz w:val="1"/>
                <w:szCs w:val="1"/>
                <w:color w:val="auto"/>
              </w:rPr>
            </w:pPr>
          </w:p>
        </w:tc>
      </w:tr>
      <w:tr>
        <w:trPr>
          <w:trHeight w:val="229"/>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80" w:type="dxa"/>
            <w:vAlign w:val="bottom"/>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and expenses</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 and loss on extinguishment of debt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three months ended September 30, 2024 was slightly lower than the same period of the prior year, primarily due to lower interest expense from less borrowings under the revolving Credit Facility as well as an increase in interest income.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for the nine months ended September 30, 2024 increased compared to the same periods of the prior year, primarily due to the higher interest rate on our refinanced securitized notes as well as on our Credit Facility, partially offset by the increase in interest income from improved yields.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 Notes during the nine months ended September 30, 2023 and recognized a $1.7 million loss on extinguishment of debt from the write-off of the related remaining issuance costs. This loss was offset by a $1.7 million gain on extinguishment of debt from the purchase of $67.9 million of its 2019 Class A-2 Notes under par during the nine months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disposition of assets for the three and nine months ended September 30, 2023 primarily related to the disposition of certain IHOP Flip'd assets.</w:t>
      </w:r>
    </w:p>
    <w:p>
      <w:pPr>
        <w:sectPr>
          <w:pgSz w:w="11900" w:h="16838" w:orient="portrait"/>
          <w:cols w:equalWidth="0" w:num="1">
            <w:col w:w="11240"/>
          </w:cols>
          <w:pgMar w:left="320" w:top="225" w:right="339" w:bottom="1440" w:gutter="0" w:footer="0" w:header="0"/>
        </w:sectPr>
      </w:pP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20142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14220"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0142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14220"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400" w:type="dxa"/>
            <w:vAlign w:val="bottom"/>
            <w:gridSpan w:val="4"/>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2"/>
        </w:trPr>
        <w:tc>
          <w:tcPr>
            <w:tcW w:w="14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81"/>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26.9 %</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2560" w:space="720"/>
            <w:col w:w="7960"/>
          </w:cols>
          <w:pgMar w:left="320" w:top="22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provision or benefit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 - Comparison of the Three and Nine Months Ended September 30, 2024 and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2024 was higher than the rate of the comparable prior periods primarily due to a lower tax deduction related to stock-based compensation.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the Consolidated Financial Statements, for additional detail on long-term debt, including the balances outstanding at September 30, 2024 and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of the 2019 Class A-2-I Notes, refer to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included in the Company’s Annual Report on Form 10-K for the year ended December 31, 2022.</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September 30, 2024, our leverage ratio was approximately 4.1x. Therefore, quarterly principal payments are not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the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September 30, 2024, there was no make-whole premium associated with voluntary prepayment of the 2019 Class A-2-II Notes. As of September 30, 2024, the make-whole premium associated with voluntary prepayment of the 2023 Class A-2 Notes was approximately $37.8 million. We also would be subject to a make-whole premium in the event of a mandatory prepayment required following certain rapid amortization events or certain asset dispositions. The mandatory make-whole premium requirements are considered derivatives embedded that must be bifurcated for separate valuation. We estimated the fair value of these derivatives to be immaterial as of September 30, 2024, based on the probability-weighted discounted cash flows associated with either event.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September 30, 2024 was approximately 3.5x.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2024, the outstanding balance of the Credit Facility was $100 million. The amount of $0.6 million was pledged against the Credit Facility for outstanding letters of credit, leaving $224.4 million of the Credit Facility available for borrowing at September 30, 2024.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nine months ended September 30, 2024 was 7.93%.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2024 and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16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and 2023, the Company paid dividends of $23.5 million and $31.7 million, respectively.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26, 2024, the Board of Directors declared a first quarter 2024 cash dividend of $0.51 per share of common stock, paid on April 5, 2024 to the stockholders of record as of the close of business on March 20, 2024.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14, 2024, the Board of Directors declared a second quarter 2024 cash dividend of $0.51 per share of common stock, paid on July 5, 2024 to the stockholders of record as of the close of business on June 20,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5, 2024, the Board of Directors declared a third quarter 2024 cash dividend of $0.51 per share of common stock, paid on October 8, 2024 to the stockholders of record as of the close of business on September 20,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269,621 shares of common stock at a cost of $12.0 million. Cumulatively, the Company has repurchased 1,865,399 shares at a cost of $116.7 million under the 2022 Repurchase Program.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this stock repurchase activity during the nine months ended September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nine months ended September 30, 2024 and September 30, 2023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60" w:type="dxa"/>
            <w:vAlign w:val="bottom"/>
            <w:gridSpan w:val="2"/>
          </w:tcPr>
          <w:p>
            <w:pPr>
              <w:spacing w:after="0"/>
              <w:rPr>
                <w:sz w:val="19"/>
                <w:szCs w:val="19"/>
                <w:color w:val="auto"/>
              </w:rPr>
            </w:pP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2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 Cash provided by operating activities decreased $1.6 million during the nine months ended September 30, 2024 compared to the same period of the prior year. This decrease was primarily attributable to a decrease in gross segment profit partially offset by a decrease in G&amp;A expenses, as discussed in the preceding sections of this MD&amp;A, and a favorable increase in working capital.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$0.7 million for the nine months ended September 30, 2024 compared to $26.6 million for the nine months ended September 30, 2023. The decrease in cash used by investing activities of $25.9 million was primarily attributable to a decrease in capital expenditures compared to the same period of the prior year, partially offset by an increase in principal receipts from notes and equipment contracts receivables. The Company increased spending in information technology and other projects in fiscal year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used net cash of $42.5 million for the nine months ended September 30, 2024. The decrease in cash used by financing activities of $175.5 million was primarily due to the repayment and issuance of long-term debt of $159.8 million during the nine months ended September 30, 2023, a decrease in dividends paid due to timing and a $8.0 million decrease in repurchase of common stock. There was no repayment or issuance of long-term debt during the nine months ended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408051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receipts from notes and equipment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408051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Additions to property and equipment</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Adjusted free cash flow</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6"/>
        </w:trPr>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20" w:type="dxa"/>
            <w:vAlign w:val="bottom"/>
          </w:tcPr>
          <w:p>
            <w:pPr>
              <w:spacing w:after="0"/>
              <w:rPr>
                <w:sz w:val="19"/>
                <w:szCs w:val="19"/>
                <w:color w:val="auto"/>
              </w:rPr>
            </w:pPr>
          </w:p>
        </w:tc>
        <w:tc>
          <w:tcPr>
            <w:tcW w:w="126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900" w:space="720"/>
            <w:col w:w="4620"/>
          </w:cols>
          <w:pgMar w:left="320" w:top="22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for the nine months ended September 30, 2024 improved compared to the same period of the prior year due to the decrease in capital expenditures and an increase in principal receipts from notes and equipment contracts receivable, partially offset by a decrease in cash flows provided by operating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5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2023. During the nine months ended September 30, 2024, there were no significant changes in our critical accounting policies or in our critical accounting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31,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58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40" w:type="dxa"/>
            <w:vAlign w:val="bottom"/>
          </w:tcPr>
          <w:p>
            <w:pPr>
              <w:spacing w:after="0"/>
              <w:rPr>
                <w:sz w:val="13"/>
                <w:szCs w:val="13"/>
                <w:color w:val="auto"/>
              </w:rPr>
            </w:pP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340" w:type="dxa"/>
            <w:vAlign w:val="bottom"/>
          </w:tcPr>
          <w:p>
            <w:pPr>
              <w:spacing w:after="0"/>
              <w:rPr>
                <w:sz w:val="12"/>
                <w:szCs w:val="12"/>
                <w:color w:val="auto"/>
              </w:rPr>
            </w:pPr>
          </w:p>
        </w:tc>
        <w:tc>
          <w:tcPr>
            <w:tcW w:w="3580" w:type="dxa"/>
            <w:vAlign w:val="bottom"/>
          </w:tcPr>
          <w:p>
            <w:pPr>
              <w:jc w:val="center"/>
              <w:ind w:left="1648"/>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340" w:type="dxa"/>
            <w:vAlign w:val="bottom"/>
          </w:tcPr>
          <w:p>
            <w:pPr>
              <w:spacing w:after="0"/>
              <w:rPr>
                <w:sz w:val="11"/>
                <w:szCs w:val="11"/>
                <w:color w:val="auto"/>
              </w:rPr>
            </w:pPr>
          </w:p>
        </w:tc>
        <w:tc>
          <w:tcPr>
            <w:tcW w:w="3580" w:type="dxa"/>
            <w:vAlign w:val="bottom"/>
          </w:tcPr>
          <w:p>
            <w:pPr>
              <w:jc w:val="center"/>
              <w:ind w:left="1648"/>
              <w:spacing w:after="0" w:line="137" w:lineRule="exact"/>
              <w:rPr>
                <w:sz w:val="20"/>
                <w:szCs w:val="20"/>
                <w:color w:val="auto"/>
              </w:rPr>
            </w:pPr>
            <w:r>
              <w:rPr>
                <w:rFonts w:ascii="Times New Roman" w:cs="Times New Roman" w:eastAsia="Times New Roman" w:hAnsi="Times New Roman"/>
                <w:sz w:val="14"/>
                <w:szCs w:val="14"/>
                <w:b w:val="1"/>
                <w:bCs w:val="1"/>
                <w:color w:val="auto"/>
              </w:rPr>
              <w:t>purchased to satisfy tax</w:t>
            </w:r>
          </w:p>
        </w:tc>
        <w:tc>
          <w:tcPr>
            <w:tcW w:w="1340" w:type="dxa"/>
            <w:vAlign w:val="bottom"/>
            <w:vMerge w:val="continue"/>
          </w:tcPr>
          <w:p>
            <w:pPr>
              <w:spacing w:after="0"/>
              <w:rPr>
                <w:sz w:val="11"/>
                <w:szCs w:val="11"/>
                <w:color w:val="auto"/>
              </w:rPr>
            </w:pPr>
          </w:p>
        </w:tc>
        <w:tc>
          <w:tcPr>
            <w:tcW w:w="15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580" w:type="dxa"/>
            <w:vAlign w:val="bottom"/>
          </w:tcPr>
          <w:p>
            <w:pPr>
              <w:jc w:val="center"/>
              <w:ind w:left="1648"/>
              <w:spacing w:after="0" w:line="146" w:lineRule="exact"/>
              <w:rPr>
                <w:sz w:val="20"/>
                <w:szCs w:val="20"/>
                <w:color w:val="auto"/>
              </w:rPr>
            </w:pPr>
            <w:r>
              <w:rPr>
                <w:rFonts w:ascii="Times New Roman" w:cs="Times New Roman" w:eastAsia="Times New Roman" w:hAnsi="Times New Roman"/>
                <w:sz w:val="14"/>
                <w:szCs w:val="14"/>
                <w:b w:val="1"/>
                <w:bCs w:val="1"/>
                <w:color w:val="auto"/>
              </w:rPr>
              <w:t>withholding obligations</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93"/>
        </w:trPr>
        <w:tc>
          <w:tcPr>
            <w:tcW w:w="2340" w:type="dxa"/>
            <w:vAlign w:val="bottom"/>
            <w:vMerge w:val="continue"/>
          </w:tcPr>
          <w:p>
            <w:pPr>
              <w:spacing w:after="0"/>
              <w:rPr>
                <w:sz w:val="16"/>
                <w:szCs w:val="16"/>
                <w:color w:val="auto"/>
              </w:rPr>
            </w:pPr>
          </w:p>
        </w:tc>
        <w:tc>
          <w:tcPr>
            <w:tcW w:w="358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rPr>
              <w:t>(a)</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ind w:left="240" w:right="480" w:hanging="52"/>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28, 2024</w:t>
            </w:r>
          </w:p>
        </w:tc>
        <w:tc>
          <w:tcPr>
            <w:tcW w:w="120" w:type="dxa"/>
            <w:vAlign w:val="bottom"/>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2024 - August 25, 2024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26, 2024 - September 29, 2024</w:t>
            </w:r>
          </w:p>
        </w:tc>
        <w:tc>
          <w:tcPr>
            <w:tcW w:w="12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10"/>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20" w:type="dxa"/>
            <w:vAlign w:val="bottom"/>
          </w:tcPr>
          <w:p>
            <w:pPr>
              <w:spacing w:after="0"/>
              <w:rPr>
                <w:sz w:val="18"/>
                <w:szCs w:val="18"/>
                <w:color w:val="auto"/>
              </w:rPr>
            </w:pP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133,266,000</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80" w:lineRule="exact"/>
        <w:rPr>
          <w:sz w:val="20"/>
          <w:szCs w:val="20"/>
          <w:color w:val="auto"/>
        </w:rPr>
      </w:pPr>
    </w:p>
    <w:p>
      <w:pPr>
        <w:ind w:left="260" w:right="240" w:hanging="252"/>
        <w:spacing w:after="0" w:line="233" w:lineRule="auto"/>
        <w:tabs>
          <w:tab w:leader="none" w:pos="15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vesting of restricted stock awards. Shares so surrendered by the participants are repurchased by us pursuant to the terms of the plan and the applicable individual award agreements under which the shares were issued and not pursuant to publicly announced repurchase authorizations.</w:t>
      </w:r>
    </w:p>
    <w:p>
      <w:pPr>
        <w:spacing w:after="0" w:line="96" w:lineRule="exact"/>
        <w:rPr>
          <w:rFonts w:ascii="Times New Roman" w:cs="Times New Roman" w:eastAsia="Times New Roman" w:hAnsi="Times New Roman"/>
          <w:sz w:val="19"/>
          <w:szCs w:val="19"/>
          <w:color w:val="auto"/>
          <w:vertAlign w:val="superscript"/>
        </w:rPr>
      </w:pPr>
    </w:p>
    <w:p>
      <w:pPr>
        <w:ind w:left="260" w:right="240" w:hanging="252"/>
        <w:spacing w:after="0" w:line="230" w:lineRule="auto"/>
        <w:tabs>
          <w:tab w:leader="none" w:pos="25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17, 2022, the Company's Board of Directors authorized a share repurchase program, effective April 1, 2022, of up to $250 million (the “2022 Repurchase Program”).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ind w:right="60" w:firstLine="405"/>
        <w:spacing w:after="0" w:line="242"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5"/>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6th day of November,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9" w:lineRule="exact"/>
        <w:rPr>
          <w:sz w:val="20"/>
          <w:szCs w:val="20"/>
          <w:color w:val="auto"/>
        </w:rPr>
      </w:pPr>
    </w:p>
    <w:p>
      <w:pPr>
        <w:ind w:left="820"/>
        <w:spacing w:after="0"/>
        <w:tabs>
          <w:tab w:leader="none" w:pos="5800" w:val="left"/>
          <w:tab w:leader="none" w:pos="7420" w:val="left"/>
        </w:tabs>
        <w:rPr>
          <w:sz w:val="20"/>
          <w:szCs w:val="20"/>
          <w:color w:val="auto"/>
        </w:rPr>
      </w:pPr>
      <w:r>
        <w:rPr>
          <w:rFonts w:ascii="Times New Roman" w:cs="Times New Roman" w:eastAsia="Times New Roman" w:hAnsi="Times New Roman"/>
          <w:sz w:val="18"/>
          <w:szCs w:val="18"/>
          <w:color w:val="auto"/>
        </w:rPr>
        <w:t>Dated: 6th day of November,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32"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6th day of November,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25717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color w:val="auto"/>
        </w:rPr>
        <w:t>Allison Hall</w:t>
      </w:r>
    </w:p>
    <w:p>
      <w:pPr>
        <w:jc w:val="center"/>
        <w:ind w:left="4980"/>
        <w:spacing w:after="0" w:line="219"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225" w:right="37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6th day of November, 2024</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6th day of November, 2024</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2024, as filed with the Securities and Exchange Commission on the 6th day of November, 2024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6th day of November, 2024</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2024, as filed with the Securities and Exchange Commission on the 6th day of November, 2024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6th day of November, 2024</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7"/>
    </w:lvl>
    <w:lvl w:ilvl="1">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lvl w:ilvl="1">
      <w:lvlJc w:val="left"/>
      <w:lvlText w:val="%2"/>
      <w:numFmt w:val="decimal"/>
      <w:start w:val="104"/>
    </w:lvl>
  </w:abstractNum>
  <w:abstractNum w:abstractNumId="22">
    <w:nsid w:val="4353D0CD"/>
    <w:multiLevelType w:val="hybridMultilevel"/>
    <w:lvl w:ilvl="0">
      <w:lvlJc w:val="left"/>
      <w:lvlText w:val="**"/>
      <w:numFmt w:val="bullet"/>
      <w:start w:val="1"/>
    </w:lvl>
    <w:lvl w:ilvl="1">
      <w:lvlJc w:val="left"/>
      <w:lvlText w:val="%2"/>
      <w:numFmt w:val="decimal"/>
      <w:start w:val="1"/>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2024-11-06T06:49:06Z</dcterms:created>
  <dcterms:modified xsi:type="dcterms:W3CDTF">2024-11-06T06:49:06Z</dcterms:modified>
</cp:coreProperties>
</file>