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 w:lineRule="exact"/>
        <w:rPr>
          <w:sz w:val="24"/>
          <w:szCs w:val="24"/>
          <w:color w:val="auto"/>
        </w:rPr>
      </w:pPr>
    </w:p>
    <w:p>
      <w:pPr>
        <w:ind w:left="1260" w:hanging="786"/>
        <w:spacing w:after="0"/>
        <w:tabs>
          <w:tab w:leader="none" w:pos="1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w:t>
      </w:r>
    </w:p>
    <w:p>
      <w:pPr>
        <w:ind w:left="1260"/>
        <w:spacing w:after="0"/>
        <w:rPr>
          <w:sz w:val="20"/>
          <w:szCs w:val="20"/>
          <w:color w:val="auto"/>
        </w:rPr>
      </w:pPr>
      <w:r>
        <w:rPr>
          <w:rFonts w:ascii="Times New Roman" w:cs="Times New Roman" w:eastAsia="Times New Roman" w:hAnsi="Times New Roman"/>
          <w:sz w:val="22"/>
          <w:szCs w:val="22"/>
          <w:b w:val="1"/>
          <w:bCs w:val="1"/>
          <w:color w:val="auto"/>
        </w:rPr>
        <w:t>OF 1934</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 w:lineRule="exact"/>
        <w:rPr>
          <w:sz w:val="24"/>
          <w:szCs w:val="24"/>
          <w:color w:val="auto"/>
        </w:rPr>
      </w:pPr>
    </w:p>
    <w:p>
      <w:pPr>
        <w:ind w:left="1260" w:hanging="786"/>
        <w:spacing w:after="0"/>
        <w:tabs>
          <w:tab w:leader="none" w:pos="1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w:t>
      </w:r>
    </w:p>
    <w:p>
      <w:pPr>
        <w:ind w:left="1260"/>
        <w:spacing w:after="0"/>
        <w:rPr>
          <w:sz w:val="20"/>
          <w:szCs w:val="20"/>
          <w:color w:val="auto"/>
        </w:rPr>
      </w:pPr>
      <w:r>
        <w:rPr>
          <w:rFonts w:ascii="Times New Roman" w:cs="Times New Roman" w:eastAsia="Times New Roman" w:hAnsi="Times New Roman"/>
          <w:sz w:val="22"/>
          <w:szCs w:val="22"/>
          <w:b w:val="1"/>
          <w:bCs w:val="1"/>
          <w:color w:val="auto"/>
        </w:rPr>
        <w:t>ACT OF 1934</w:t>
      </w:r>
    </w:p>
    <w:p>
      <w:pPr>
        <w:spacing w:after="0" w:line="5" w:lineRule="exact"/>
        <w:rPr>
          <w:sz w:val="24"/>
          <w:szCs w:val="24"/>
          <w:color w:val="auto"/>
        </w:rPr>
      </w:pPr>
    </w:p>
    <w:p>
      <w:pPr>
        <w:ind w:left="400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16510</wp:posOffset>
            </wp:positionV>
            <wp:extent cx="114871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8715" cy="565785"/>
                    </a:xfrm>
                    <a:prstGeom prst="rect">
                      <a:avLst/>
                    </a:prstGeom>
                    <a:noFill/>
                  </pic:spPr>
                </pic:pic>
              </a:graphicData>
            </a:graphic>
          </wp:anchor>
        </w:drawing>
      </w:r>
    </w:p>
    <w:p>
      <w:pPr>
        <w:spacing w:after="0" w:line="3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32"/>
          <w:szCs w:val="32"/>
          <w:b w:val="1"/>
          <w:bCs w:val="1"/>
          <w:color w:val="auto"/>
        </w:rPr>
        <w:t xml:space="preserve">Dine Brands Global, Inc. </w:t>
      </w:r>
      <w:r>
        <w:rPr>
          <w:sz w:val="1"/>
          <w:szCs w:val="1"/>
          <w:color w:val="auto"/>
        </w:rPr>
        <w:drawing>
          <wp:inline distT="0" distB="0" distL="0" distR="0">
            <wp:extent cx="925830"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5830" cy="548640"/>
                    </a:xfrm>
                    <a:prstGeom prst="rect">
                      <a:avLst/>
                    </a:prstGeom>
                    <a:noFill/>
                    <a:ln>
                      <a:noFill/>
                    </a:ln>
                  </pic:spPr>
                </pic:pic>
              </a:graphicData>
            </a:graphic>
          </wp:inline>
        </w:drawing>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100" w:type="dxa"/>
            <w:vAlign w:val="bottom"/>
            <w:gridSpan w:val="3"/>
          </w:tcPr>
          <w:p>
            <w:pPr>
              <w:jc w:val="center"/>
              <w:ind w:left="23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00" w:type="dxa"/>
            <w:vAlign w:val="bottom"/>
          </w:tcPr>
          <w:p>
            <w:pPr>
              <w:spacing w:after="0"/>
              <w:rPr>
                <w:sz w:val="18"/>
                <w:szCs w:val="18"/>
                <w:color w:val="auto"/>
              </w:rPr>
            </w:pPr>
          </w:p>
        </w:tc>
        <w:tc>
          <w:tcPr>
            <w:tcW w:w="4540" w:type="dxa"/>
            <w:vAlign w:val="bottom"/>
          </w:tcPr>
          <w:p>
            <w:pPr>
              <w:jc w:val="center"/>
              <w:ind w:right="1641"/>
              <w:spacing w:after="0"/>
              <w:rPr>
                <w:sz w:val="20"/>
                <w:szCs w:val="20"/>
                <w:color w:val="auto"/>
              </w:rPr>
            </w:pPr>
            <w:r>
              <w:rPr>
                <w:rFonts w:ascii="Times New Roman" w:cs="Times New Roman" w:eastAsia="Times New Roman" w:hAnsi="Times New Roman"/>
                <w:sz w:val="16"/>
                <w:szCs w:val="16"/>
                <w:b w:val="1"/>
                <w:bCs w:val="1"/>
                <w:color w:val="auto"/>
              </w:rPr>
              <w:t>95-3038279</w:t>
            </w:r>
          </w:p>
        </w:tc>
        <w:tc>
          <w:tcPr>
            <w:tcW w:w="0" w:type="dxa"/>
            <w:vAlign w:val="bottom"/>
          </w:tcPr>
          <w:p>
            <w:pPr>
              <w:spacing w:after="0"/>
              <w:rPr>
                <w:sz w:val="1"/>
                <w:szCs w:val="1"/>
                <w:color w:val="auto"/>
              </w:rPr>
            </w:pPr>
          </w:p>
        </w:tc>
      </w:tr>
      <w:tr>
        <w:trPr>
          <w:trHeight w:val="168"/>
        </w:trPr>
        <w:tc>
          <w:tcPr>
            <w:tcW w:w="5100" w:type="dxa"/>
            <w:vAlign w:val="bottom"/>
            <w:gridSpan w:val="3"/>
          </w:tcPr>
          <w:p>
            <w:pPr>
              <w:jc w:val="center"/>
              <w:ind w:left="2380"/>
              <w:spacing w:after="0" w:line="16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1600" w:type="dxa"/>
            <w:vAlign w:val="bottom"/>
          </w:tcPr>
          <w:p>
            <w:pPr>
              <w:spacing w:after="0"/>
              <w:rPr>
                <w:sz w:val="14"/>
                <w:szCs w:val="14"/>
                <w:color w:val="auto"/>
              </w:rPr>
            </w:pPr>
          </w:p>
        </w:tc>
        <w:tc>
          <w:tcPr>
            <w:tcW w:w="4540" w:type="dxa"/>
            <w:vAlign w:val="bottom"/>
            <w:vMerge w:val="restart"/>
          </w:tcPr>
          <w:p>
            <w:pPr>
              <w:jc w:val="center"/>
              <w:ind w:right="1621"/>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10"/>
        </w:trPr>
        <w:tc>
          <w:tcPr>
            <w:tcW w:w="5100" w:type="dxa"/>
            <w:vAlign w:val="bottom"/>
            <w:gridSpan w:val="3"/>
          </w:tcPr>
          <w:p>
            <w:pPr>
              <w:jc w:val="center"/>
              <w:ind w:left="2380"/>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160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jc w:val="center"/>
              <w:ind w:left="2400"/>
              <w:spacing w:after="0"/>
              <w:rPr>
                <w:sz w:val="20"/>
                <w:szCs w:val="20"/>
                <w:color w:val="auto"/>
              </w:rPr>
            </w:pPr>
            <w:r>
              <w:rPr>
                <w:rFonts w:ascii="Times New Roman" w:cs="Times New Roman" w:eastAsia="Times New Roman" w:hAnsi="Times New Roman"/>
                <w:sz w:val="16"/>
                <w:szCs w:val="16"/>
                <w:b w:val="1"/>
                <w:bCs w:val="1"/>
                <w:color w:val="auto"/>
              </w:rPr>
              <w:t>450 North Brand Boulevard,</w:t>
            </w:r>
          </w:p>
        </w:tc>
        <w:tc>
          <w:tcPr>
            <w:tcW w:w="1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ind w:left="3240"/>
              <w:spacing w:after="0"/>
              <w:rPr>
                <w:sz w:val="20"/>
                <w:szCs w:val="20"/>
                <w:color w:val="auto"/>
              </w:rPr>
            </w:pPr>
            <w:r>
              <w:rPr>
                <w:rFonts w:ascii="Times New Roman" w:cs="Times New Roman" w:eastAsia="Times New Roman" w:hAnsi="Times New Roman"/>
                <w:sz w:val="16"/>
                <w:szCs w:val="16"/>
                <w:b w:val="1"/>
                <w:bCs w:val="1"/>
                <w:color w:val="auto"/>
              </w:rPr>
              <w:t>Glendale, CA</w:t>
            </w:r>
          </w:p>
        </w:tc>
        <w:tc>
          <w:tcPr>
            <w:tcW w:w="1600" w:type="dxa"/>
            <w:vAlign w:val="bottom"/>
          </w:tcPr>
          <w:p>
            <w:pPr>
              <w:spacing w:after="0"/>
              <w:rPr>
                <w:sz w:val="18"/>
                <w:szCs w:val="18"/>
                <w:color w:val="auto"/>
              </w:rPr>
            </w:pPr>
          </w:p>
        </w:tc>
        <w:tc>
          <w:tcPr>
            <w:tcW w:w="4540" w:type="dxa"/>
            <w:vAlign w:val="bottom"/>
          </w:tcPr>
          <w:p>
            <w:pPr>
              <w:jc w:val="center"/>
              <w:ind w:right="1641"/>
              <w:spacing w:after="0"/>
              <w:rPr>
                <w:sz w:val="20"/>
                <w:szCs w:val="20"/>
                <w:color w:val="auto"/>
              </w:rPr>
            </w:pPr>
            <w:r>
              <w:rPr>
                <w:rFonts w:ascii="Times New Roman" w:cs="Times New Roman" w:eastAsia="Times New Roman" w:hAnsi="Times New Roman"/>
                <w:sz w:val="16"/>
                <w:szCs w:val="16"/>
                <w:b w:val="1"/>
                <w:bCs w:val="1"/>
                <w:color w:val="auto"/>
              </w:rPr>
              <w:t>91203-1903</w:t>
            </w:r>
          </w:p>
        </w:tc>
        <w:tc>
          <w:tcPr>
            <w:tcW w:w="0" w:type="dxa"/>
            <w:vAlign w:val="bottom"/>
          </w:tcPr>
          <w:p>
            <w:pPr>
              <w:spacing w:after="0"/>
              <w:rPr>
                <w:sz w:val="1"/>
                <w:szCs w:val="1"/>
                <w:color w:val="auto"/>
              </w:rPr>
            </w:pPr>
          </w:p>
        </w:tc>
      </w:tr>
      <w:tr>
        <w:trPr>
          <w:trHeight w:val="216"/>
        </w:trPr>
        <w:tc>
          <w:tcPr>
            <w:tcW w:w="5100" w:type="dxa"/>
            <w:vAlign w:val="bottom"/>
            <w:gridSpan w:val="3"/>
          </w:tcPr>
          <w:p>
            <w:pPr>
              <w:jc w:val="center"/>
              <w:ind w:left="238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00" w:type="dxa"/>
            <w:vAlign w:val="bottom"/>
          </w:tcPr>
          <w:p>
            <w:pPr>
              <w:spacing w:after="0"/>
              <w:rPr>
                <w:sz w:val="18"/>
                <w:szCs w:val="18"/>
                <w:color w:val="auto"/>
              </w:rPr>
            </w:pPr>
          </w:p>
        </w:tc>
        <w:tc>
          <w:tcPr>
            <w:tcW w:w="4540" w:type="dxa"/>
            <w:vAlign w:val="bottom"/>
          </w:tcPr>
          <w:p>
            <w:pPr>
              <w:jc w:val="center"/>
              <w:ind w:right="1621"/>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351"/>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40" w:type="dxa"/>
            <w:vAlign w:val="bottom"/>
            <w:gridSpan w:val="5"/>
          </w:tcPr>
          <w:p>
            <w:pPr>
              <w:ind w:left="39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324"/>
        </w:trPr>
        <w:tc>
          <w:tcPr>
            <w:tcW w:w="5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10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4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right="382"/>
              <w:spacing w:after="0"/>
              <w:rPr>
                <w:sz w:val="20"/>
                <w:szCs w:val="20"/>
                <w:color w:val="auto"/>
              </w:rPr>
            </w:pPr>
            <w:r>
              <w:rPr>
                <w:rFonts w:ascii="Times New Roman" w:cs="Times New Roman" w:eastAsia="Times New Roman" w:hAnsi="Times New Roman"/>
                <w:sz w:val="16"/>
                <w:szCs w:val="16"/>
                <w:color w:val="auto"/>
              </w:rPr>
              <w:t>DIN</w:t>
            </w:r>
          </w:p>
        </w:tc>
        <w:tc>
          <w:tcPr>
            <w:tcW w:w="4540" w:type="dxa"/>
            <w:vAlign w:val="bottom"/>
            <w:tcBorders>
              <w:top w:val="single" w:sz="8" w:color="auto"/>
            </w:tcBorders>
          </w:tcPr>
          <w:p>
            <w:pPr>
              <w:jc w:val="center"/>
              <w:ind w:left="321"/>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43" w:lineRule="exact"/>
        <w:rPr>
          <w:sz w:val="24"/>
          <w:szCs w:val="24"/>
          <w:color w:val="auto"/>
        </w:rPr>
      </w:pPr>
    </w:p>
    <w:p>
      <w:pPr>
        <w:ind w:right="2540"/>
        <w:spacing w:after="0" w:line="336"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Indicate by check mark if the registrant is not required to file reports pursuant to Section 13 or Section 15(d) of the Act. Yes No </w:t>
      </w:r>
      <w:r>
        <w:rPr>
          <w:rFonts w:ascii="Arial" w:cs="Arial" w:eastAsia="Arial" w:hAnsi="Arial"/>
          <w:sz w:val="16"/>
          <w:szCs w:val="16"/>
          <w:color w:val="auto"/>
        </w:rPr>
        <w:t>x</w:t>
      </w:r>
    </w:p>
    <w:p>
      <w:pPr>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color w:val="auto"/>
        </w:rPr>
        <w:t xml:space="preserve">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ab/>
        <w:t>No</w:t>
      </w:r>
    </w:p>
    <w:p>
      <w:pPr>
        <w:spacing w:after="0" w:line="56" w:lineRule="exact"/>
        <w:rPr>
          <w:sz w:val="24"/>
          <w:szCs w:val="24"/>
          <w:color w:val="auto"/>
        </w:rPr>
      </w:pPr>
    </w:p>
    <w:p>
      <w:pPr>
        <w:ind w:right="400"/>
        <w:spacing w:after="0" w:line="28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w:t>
      </w:r>
    </w:p>
    <w:p>
      <w:pPr>
        <w:spacing w:after="0" w:line="21"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88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58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9" w:lineRule="exact"/>
        <w:rPr>
          <w:sz w:val="24"/>
          <w:szCs w:val="24"/>
          <w:color w:val="auto"/>
        </w:rPr>
      </w:pPr>
    </w:p>
    <w:p>
      <w:pPr>
        <w:ind w:right="2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accounting firm that prepared or issued its audit report.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85" w:lineRule="exact"/>
        <w:tabs>
          <w:tab w:leader="none" w:pos="7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Arial" w:cs="Arial" w:eastAsia="Arial" w:hAnsi="Arial"/>
          <w:sz w:val="16"/>
          <w:szCs w:val="16"/>
          <w:color w:val="auto"/>
        </w:rPr>
        <w:t>x</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June 30, 2020 was $603.7 million.</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23, 2021, the Registrant had 16,645,115 shares of Common Stock outstanding.</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2" w:lineRule="exact"/>
        <w:rPr>
          <w:sz w:val="24"/>
          <w:szCs w:val="24"/>
          <w:color w:val="auto"/>
        </w:rPr>
      </w:pPr>
    </w:p>
    <w:p>
      <w:pPr>
        <w:ind w:right="400"/>
        <w:spacing w:after="0" w:line="245" w:lineRule="auto"/>
        <w:rPr>
          <w:sz w:val="20"/>
          <w:szCs w:val="20"/>
          <w:color w:val="auto"/>
        </w:rPr>
      </w:pPr>
      <w:r>
        <w:rPr>
          <w:rFonts w:ascii="Times New Roman" w:cs="Times New Roman" w:eastAsia="Times New Roman" w:hAnsi="Times New Roman"/>
          <w:sz w:val="16"/>
          <w:szCs w:val="16"/>
          <w:color w:val="auto"/>
        </w:rPr>
        <w:t>Portions of the Proxy Statement for the Annual Meeting of Stockholders to be held on Tuesday, May 11, 2021 are incorporated by reference into Part III of this Annual Report on Form 10-K where indicated.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106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DINE BRANDS GLOBAL, INC. AND SUBSIDIARIES</w:t>
            </w:r>
          </w:p>
        </w:tc>
        <w:tc>
          <w:tcPr>
            <w:tcW w:w="580" w:type="dxa"/>
            <w:vAlign w:val="bottom"/>
          </w:tcPr>
          <w:p>
            <w:pPr>
              <w:spacing w:after="0"/>
              <w:rPr>
                <w:sz w:val="20"/>
                <w:szCs w:val="20"/>
                <w:color w:val="auto"/>
              </w:rPr>
            </w:pPr>
          </w:p>
        </w:tc>
      </w:tr>
      <w:tr>
        <w:trPr>
          <w:trHeight w:val="270"/>
        </w:trPr>
        <w:tc>
          <w:tcPr>
            <w:tcW w:w="106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80" w:type="dxa"/>
            <w:vAlign w:val="bottom"/>
          </w:tcPr>
          <w:p>
            <w:pPr>
              <w:spacing w:after="0"/>
              <w:rPr>
                <w:sz w:val="23"/>
                <w:szCs w:val="23"/>
                <w:color w:val="auto"/>
              </w:rPr>
            </w:pPr>
          </w:p>
        </w:tc>
      </w:tr>
      <w:tr>
        <w:trPr>
          <w:trHeight w:val="270"/>
        </w:trPr>
        <w:tc>
          <w:tcPr>
            <w:tcW w:w="106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2020</w:t>
            </w:r>
          </w:p>
        </w:tc>
        <w:tc>
          <w:tcPr>
            <w:tcW w:w="580" w:type="dxa"/>
            <w:vAlign w:val="bottom"/>
          </w:tcPr>
          <w:p>
            <w:pPr>
              <w:spacing w:after="0"/>
              <w:rPr>
                <w:sz w:val="23"/>
                <w:szCs w:val="23"/>
                <w:color w:val="auto"/>
              </w:rPr>
            </w:pPr>
          </w:p>
        </w:tc>
      </w:tr>
      <w:tr>
        <w:trPr>
          <w:trHeight w:val="270"/>
        </w:trPr>
        <w:tc>
          <w:tcPr>
            <w:tcW w:w="106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80" w:type="dxa"/>
            <w:vAlign w:val="bottom"/>
          </w:tcPr>
          <w:p>
            <w:pPr>
              <w:spacing w:after="0"/>
              <w:rPr>
                <w:sz w:val="23"/>
                <w:szCs w:val="23"/>
                <w:color w:val="auto"/>
              </w:rPr>
            </w:pPr>
          </w:p>
        </w:tc>
      </w:tr>
      <w:tr>
        <w:trPr>
          <w:trHeight w:val="304"/>
        </w:trPr>
        <w:tc>
          <w:tcPr>
            <w:tcW w:w="10620" w:type="dxa"/>
            <w:vAlign w:val="bottom"/>
          </w:tcPr>
          <w:p>
            <w:pPr>
              <w:spacing w:after="0"/>
              <w:rPr>
                <w:sz w:val="24"/>
                <w:szCs w:val="24"/>
                <w:color w:val="auto"/>
              </w:rPr>
            </w:pP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62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w:t>
              </w:r>
            </w:hyperlink>
          </w:p>
        </w:tc>
        <w:tc>
          <w:tcPr>
            <w:tcW w:w="580" w:type="dxa"/>
            <w:vAlign w:val="bottom"/>
          </w:tcPr>
          <w:p>
            <w:pPr>
              <w:spacing w:after="0"/>
              <w:rPr>
                <w:sz w:val="18"/>
                <w:szCs w:val="18"/>
                <w:color w:val="auto"/>
              </w:rPr>
            </w:pPr>
          </w:p>
        </w:tc>
      </w:tr>
      <w:tr>
        <w:trPr>
          <w:trHeight w:val="238"/>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1—Business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Item 1A—Risk Factors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15</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Item 1B—Unresolved Staff Comments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26</w:t>
              </w:r>
            </w:hyperlink>
          </w:p>
        </w:tc>
      </w:tr>
      <w:tr>
        <w:trPr>
          <w:trHeight w:val="230"/>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Item 2—Properties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27</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Item 3—Legal Proceedings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29</w:t>
              </w:r>
            </w:hyperlink>
          </w:p>
        </w:tc>
      </w:tr>
      <w:tr>
        <w:trPr>
          <w:trHeight w:val="225"/>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4—Mine Safety Disclosures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r>
      <w:tr>
        <w:trPr>
          <w:trHeight w:val="234"/>
        </w:trPr>
        <w:tc>
          <w:tcPr>
            <w:tcW w:w="1062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29">
              <w:r>
                <w:rPr>
                  <w:rFonts w:ascii="Times New Roman" w:cs="Times New Roman" w:eastAsia="Times New Roman" w:hAnsi="Times New Roman"/>
                  <w:sz w:val="18"/>
                  <w:szCs w:val="18"/>
                  <w:b w:val="1"/>
                  <w:bCs w:val="1"/>
                  <w:u w:val="single" w:color="auto"/>
                  <w:color w:val="0000FF"/>
                </w:rPr>
                <w:t>PART II.</w:t>
              </w:r>
            </w:hyperlink>
          </w:p>
        </w:tc>
        <w:tc>
          <w:tcPr>
            <w:tcW w:w="580" w:type="dxa"/>
            <w:vAlign w:val="bottom"/>
          </w:tcPr>
          <w:p>
            <w:pPr>
              <w:spacing w:after="0"/>
              <w:rPr>
                <w:sz w:val="20"/>
                <w:szCs w:val="20"/>
                <w:color w:val="auto"/>
              </w:rPr>
            </w:pPr>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5—Market for Registrant's Common Equity, Related Stockholder Matters and Issuer Purchases of Equity Securities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r>
      <w:tr>
        <w:trPr>
          <w:trHeight w:val="230"/>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6—Selected Financial Data</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31</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Item 7—Management's Discussion and Analysis of Financial Condition and Results of Operations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31</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7A—Quantitative and Qualitative Disclosures about Market Risk</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r>
      <w:tr>
        <w:trPr>
          <w:trHeight w:val="230"/>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Item 8—Financial Statements and Supplementary Data</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60</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Item 9—Changes in and Disagreements with Accountants on Accounting and Financial Disclosure</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102</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Item 9A—Controls and Procedures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102</w:t>
              </w:r>
            </w:hyperlink>
          </w:p>
        </w:tc>
      </w:tr>
      <w:tr>
        <w:trPr>
          <w:trHeight w:val="226"/>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9B—Other Information</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33"/>
        </w:trPr>
        <w:tc>
          <w:tcPr>
            <w:tcW w:w="10620" w:type="dxa"/>
            <w:vAlign w:val="bottom"/>
          </w:tcPr>
          <w:p>
            <w:pPr>
              <w:spacing w:after="0"/>
              <w:rPr>
                <w:rFonts w:ascii="Times New Roman" w:cs="Times New Roman" w:eastAsia="Times New Roman" w:hAnsi="Times New Roman"/>
                <w:sz w:val="18"/>
                <w:szCs w:val="18"/>
                <w:b w:val="1"/>
                <w:bCs w:val="1"/>
                <w:color w:val="0000FF"/>
              </w:rPr>
            </w:pPr>
            <w:hyperlink w:anchor="page105">
              <w:r>
                <w:rPr>
                  <w:rFonts w:ascii="Times New Roman" w:cs="Times New Roman" w:eastAsia="Times New Roman" w:hAnsi="Times New Roman"/>
                  <w:sz w:val="18"/>
                  <w:szCs w:val="18"/>
                  <w:b w:val="1"/>
                  <w:bCs w:val="1"/>
                  <w:u w:val="single" w:color="auto"/>
                  <w:color w:val="0000FF"/>
                </w:rPr>
                <w:t>PART III</w:t>
              </w:r>
              <w:r>
                <w:rPr>
                  <w:rFonts w:ascii="Times New Roman" w:cs="Times New Roman" w:eastAsia="Times New Roman" w:hAnsi="Times New Roman"/>
                  <w:sz w:val="18"/>
                  <w:szCs w:val="18"/>
                  <w:b w:val="1"/>
                  <w:bCs w:val="1"/>
                  <w:color w:val="0000FF"/>
                </w:rPr>
                <w:t>.</w:t>
              </w:r>
            </w:hyperlink>
          </w:p>
        </w:tc>
        <w:tc>
          <w:tcPr>
            <w:tcW w:w="580" w:type="dxa"/>
            <w:vAlign w:val="bottom"/>
          </w:tcPr>
          <w:p>
            <w:pPr>
              <w:spacing w:after="0"/>
              <w:rPr>
                <w:sz w:val="20"/>
                <w:szCs w:val="20"/>
                <w:color w:val="auto"/>
              </w:rPr>
            </w:pPr>
          </w:p>
        </w:tc>
      </w:tr>
      <w:tr>
        <w:trPr>
          <w:trHeight w:val="230"/>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10—Directors, Executive Officers and Corporate Governance</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11—Executive Compensation</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30"/>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12—Security Ownership of Certain Beneficial Owners and Management and Related Stockholder Matters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13—Certain Relationships and Related Transactions, and Director Independence</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25"/>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Item 14—Principal Accountant Fees and Services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105</w:t>
              </w:r>
            </w:hyperlink>
          </w:p>
        </w:tc>
      </w:tr>
      <w:tr>
        <w:trPr>
          <w:trHeight w:val="234"/>
        </w:trPr>
        <w:tc>
          <w:tcPr>
            <w:tcW w:w="1062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05">
              <w:r>
                <w:rPr>
                  <w:rFonts w:ascii="Times New Roman" w:cs="Times New Roman" w:eastAsia="Times New Roman" w:hAnsi="Times New Roman"/>
                  <w:sz w:val="18"/>
                  <w:szCs w:val="18"/>
                  <w:b w:val="1"/>
                  <w:bCs w:val="1"/>
                  <w:u w:val="single" w:color="auto"/>
                  <w:color w:val="0000FF"/>
                </w:rPr>
                <w:t>PART IV.</w:t>
              </w:r>
            </w:hyperlink>
          </w:p>
        </w:tc>
        <w:tc>
          <w:tcPr>
            <w:tcW w:w="580" w:type="dxa"/>
            <w:vAlign w:val="bottom"/>
          </w:tcPr>
          <w:p>
            <w:pPr>
              <w:spacing w:after="0"/>
              <w:rPr>
                <w:sz w:val="20"/>
                <w:szCs w:val="20"/>
                <w:color w:val="auto"/>
              </w:rPr>
            </w:pPr>
          </w:p>
        </w:tc>
      </w:tr>
      <w:tr>
        <w:trPr>
          <w:trHeight w:val="230"/>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Item 15—Exhibits and Financial Statement Schedules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106</w:t>
              </w:r>
            </w:hyperlink>
          </w:p>
        </w:tc>
      </w:tr>
      <w:tr>
        <w:trPr>
          <w:trHeight w:val="229"/>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Item 16—Form 10-K Summary</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111</w:t>
              </w:r>
            </w:hyperlink>
          </w:p>
        </w:tc>
      </w:tr>
      <w:tr>
        <w:trPr>
          <w:trHeight w:val="234"/>
        </w:trPr>
        <w:tc>
          <w:tcPr>
            <w:tcW w:w="10620" w:type="dxa"/>
            <w:vAlign w:val="bottom"/>
          </w:tcPr>
          <w:p>
            <w:pPr>
              <w:ind w:left="200"/>
              <w:spacing w:after="0"/>
              <w:rPr>
                <w:rFonts w:ascii="Times New Roman" w:cs="Times New Roman" w:eastAsia="Times New Roman" w:hAnsi="Times New Roman"/>
                <w:sz w:val="18"/>
                <w:szCs w:val="18"/>
                <w:u w:val="single" w:color="auto"/>
                <w:color w:val="0000FF"/>
              </w:rPr>
            </w:pPr>
            <w:hyperlink w:anchor="page111">
              <w:r>
                <w:rPr>
                  <w:rFonts w:ascii="Times New Roman" w:cs="Times New Roman" w:eastAsia="Times New Roman" w:hAnsi="Times New Roman"/>
                  <w:sz w:val="18"/>
                  <w:szCs w:val="18"/>
                  <w:u w:val="single" w:color="auto"/>
                  <w:color w:val="0000FF"/>
                </w:rPr>
                <w:t>Signatures</w:t>
              </w:r>
            </w:hyperlink>
          </w:p>
        </w:tc>
        <w:tc>
          <w:tcPr>
            <w:tcW w:w="580" w:type="dxa"/>
            <w:vAlign w:val="bottom"/>
          </w:tcPr>
          <w:p>
            <w:pPr>
              <w:jc w:val="right"/>
              <w:spacing w:after="0"/>
              <w:rPr>
                <w:rFonts w:ascii="Times New Roman" w:cs="Times New Roman" w:eastAsia="Times New Roman" w:hAnsi="Times New Roman"/>
                <w:sz w:val="18"/>
                <w:szCs w:val="18"/>
                <w:u w:val="single" w:color="auto"/>
                <w:color w:val="0000FF"/>
              </w:rPr>
            </w:pPr>
            <w:hyperlink w:anchor="page111">
              <w:r>
                <w:rPr>
                  <w:rFonts w:ascii="Times New Roman" w:cs="Times New Roman" w:eastAsia="Times New Roman" w:hAnsi="Times New Roman"/>
                  <w:sz w:val="18"/>
                  <w:szCs w:val="18"/>
                  <w:u w:val="single" w:color="auto"/>
                  <w:color w:val="0000FF"/>
                </w:rPr>
                <w:t>112</w:t>
              </w:r>
            </w:hyperlink>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Statements contained in this Annual Report on Form 10-K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the projections, forecasts, estimates and expectations discussed in this Annual Report on Form 10-K include, among other things: uncertainty regarding the duration and severity of the ongoing COVID-19 pandemic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t>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Annual Report on Form 10-K for the fiscal year ended December 31, 2020, many of which are beyond our control.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w:t>
      </w:r>
    </w:p>
    <w:p>
      <w:pPr>
        <w:spacing w:after="0" w:line="2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53 calendar weeks in our 2020 fiscal year ended January 3, 2021 and our fiscal 2020 fourth quarter contained 14 calendar weeks. There were 52 calendar weeks in our 2019 and 2018 fiscal years that ended on December 29, 2019 and December 30,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62" w:lineRule="exact"/>
        <w:rPr>
          <w:sz w:val="20"/>
          <w:szCs w:val="20"/>
          <w:color w:val="auto"/>
        </w:rPr>
      </w:pPr>
    </w:p>
    <w:p>
      <w:pPr>
        <w:ind w:right="20" w:firstLine="324"/>
        <w:spacing w:after="0" w:line="229" w:lineRule="auto"/>
        <w:rPr>
          <w:sz w:val="20"/>
          <w:szCs w:val="20"/>
          <w:color w:val="auto"/>
        </w:rPr>
      </w:pPr>
      <w:r>
        <w:rPr>
          <w:rFonts w:ascii="Times New Roman" w:cs="Times New Roman" w:eastAsia="Times New Roman" w:hAnsi="Times New Roman"/>
          <w:sz w:val="18"/>
          <w:szCs w:val="18"/>
          <w:color w:val="auto"/>
        </w:rPr>
        <w:t>Dine Brands Global, Inc.</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together with its subsidiaries (referred to as the “Company,” “Dine Brands Global,” “we,” “our” and “us”), owns, franchises and operates the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bar and grill segment within the casual dining category of the restaurant industry and owns and franchises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are to these two restaurant concepts, whether operated by franchisees, area licensees and their sub-licensees or by us. As of December 31, 2020, the substantial majority of our 3,483 restaurants across both brands were franchised. We believe this highly franchised business model requires less capital investment and general and administrative overhead, generates higher gross profit margins and reduces the volatility of adjusted free cash flow performance, as compared to a business model based on owning a significant number of company-operated restaurants.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generated revenue from five operating segments during the year ended December 31, 2020, comprised as follows:</w:t>
      </w:r>
    </w:p>
    <w:p>
      <w:pPr>
        <w:spacing w:after="0" w:line="158" w:lineRule="exact"/>
        <w:rPr>
          <w:sz w:val="20"/>
          <w:szCs w:val="20"/>
          <w:color w:val="auto"/>
        </w:rPr>
      </w:pPr>
    </w:p>
    <w:p>
      <w:pPr>
        <w:ind w:left="980" w:right="70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two franchise operations (each a separate operating segment) - primarily royalties, advertising fees and other income from 1,642 Applebee’s franchised restaurants and 1,769 IHOP franchised and area licensed restaurants;</w:t>
      </w: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operations - primarily rental income derived from lease or sublease agreements covering 621 IHOP franchised restaurants and two Applebee’s franchised restaurants;</w:t>
      </w:r>
    </w:p>
    <w:p>
      <w:pPr>
        <w:ind w:left="980" w:right="14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operations - primarily interest income from approximately $44 million of receivables for equipment leases and franchise fee notes generally associated with IHOP franchised restaurants developed before 2003 and approximately $12 million of notes receivable from Applebee's franchisees; and</w:t>
      </w:r>
    </w:p>
    <w:p>
      <w:pPr>
        <w:spacing w:after="0" w:line="1" w:lineRule="exact"/>
        <w:rPr>
          <w:rFonts w:ascii="Times New Roman" w:cs="Times New Roman" w:eastAsia="Times New Roman" w:hAnsi="Times New Roman"/>
          <w:sz w:val="18"/>
          <w:szCs w:val="18"/>
          <w:color w:val="auto"/>
        </w:rPr>
      </w:pPr>
    </w:p>
    <w:p>
      <w:pPr>
        <w:ind w:left="980" w:right="620" w:hanging="324"/>
        <w:spacing w:after="0" w:line="26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restaurant operations - retail sales from 69 Applebee's company-operated restaurants we acquired from a former Applebee's franchisee in December 2018.</w:t>
      </w:r>
    </w:p>
    <w:p>
      <w:pPr>
        <w:spacing w:after="0" w:line="11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Most of our revenue is derived from domestic sources within these five operating segments, with approximately 68% of our total revenues for the year ended December 31, 2020 being generated from our two franchise operating segments. Internationally, our restaurants are in 16 countries and two United States territories at December 31, 2020. Revenue derived from all international operations comprised less than 2% of total consolidated revenue for the year ended December 31, 2020. At December 31, 2020, there were no long-lived assets located outside of the United States. See Note 18 - Segment Reporting, of the Notes to the Consolidated Financial Statements, included in this report for additional segment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62"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(“WHO”) declared a global pandemic related to the outbreak of a novel strain of coronavirus, designated “COVID-19.” Initially,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Over the course of 2020, certain of these restrictions were relaxed as incidents of infection from the initial outbreak declined, but many of the restrictions were reinstituted as incidents of infection surged in the latter part of the year. The degree and duration of restrictions varied by individual geographic area. We and our franchisees have instituted operational procedures to protect the health and foster the confidence of employees and guests at the restaurants. We and our franchisees continue to monitor developing health authority recommendations and regulatory requirements.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impact of restaurant dine-in restrictions on our restaurant operations, by month, since the WHO pandemic declaration: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Status</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Status as of 2020 Fiscal Month Ended</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250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Apr</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Aug</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Sept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Oct</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Nov</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w:t>
            </w: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Dining rooms open*</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2,596</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to off-premise 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Temporarily closed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3,534</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3,483</w:t>
            </w:r>
          </w:p>
        </w:tc>
      </w:tr>
      <w:tr>
        <w:trPr>
          <w:trHeight w:val="20"/>
        </w:trPr>
        <w:tc>
          <w:tcPr>
            <w:tcW w:w="2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20" w:hanging="88"/>
        <w:spacing w:after="0"/>
        <w:tabs>
          <w:tab w:leader="none" w:pos="420" w:val="left"/>
        </w:tabs>
        <w:numPr>
          <w:ilvl w:val="0"/>
          <w:numId w:val="4"/>
        </w:numPr>
        <w:rPr>
          <w:rFonts w:ascii="Times New Roman" w:cs="Times New Roman" w:eastAsia="Times New Roman" w:hAnsi="Times New Roman"/>
          <w:sz w:val="23"/>
          <w:szCs w:val="23"/>
          <w:color w:val="252525"/>
          <w:vertAlign w:val="superscript"/>
        </w:rPr>
      </w:pPr>
      <w:r>
        <w:rPr>
          <w:rFonts w:ascii="Times New Roman" w:cs="Times New Roman" w:eastAsia="Times New Roman" w:hAnsi="Times New Roman"/>
          <w:sz w:val="18"/>
          <w:szCs w:val="18"/>
          <w:color w:val="252525"/>
        </w:rPr>
        <w:t>In most instances, limited to 50% capacity or less and/or reduced operating hours</w:t>
      </w:r>
    </w:p>
    <w:p>
      <w:pPr>
        <w:spacing w:after="0" w:line="13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operating status of our restaurants remains fluid into 2021 and subject to change as governmental authorities modify existing restrictions or implement new restrictions on restaurant operations in response to changes in the number of COVID-19 infections and the availability and acceptance of vaccines in their respective jurisdictions.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impact of the COVID-19 pandemic on our results of operations and liquidity is discussed in </w:t>
      </w:r>
      <w:r>
        <w:rPr>
          <w:rFonts w:ascii="Times New Roman" w:cs="Times New Roman" w:eastAsia="Times New Roman" w:hAnsi="Times New Roman"/>
          <w:sz w:val="18"/>
          <w:szCs w:val="18"/>
          <w:i w:val="1"/>
          <w:iCs w:val="1"/>
          <w:color w:val="auto"/>
        </w:rPr>
        <w:t>Item 7 -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of this Form 10-K</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Goal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goal is to accelerate profitable growth and create significant value for shareholders and franchisees.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Priorities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build value, we seek to maximize our business by focusing on these key strategic priorities:</w:t>
      </w:r>
    </w:p>
    <w:p>
      <w:pPr>
        <w:spacing w:after="0" w:line="158"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 strong brands and drive same-restaurant sales, traffic and system sales growth;</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franchisee restaurant development;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strong financial discipline.</w:t>
      </w:r>
    </w:p>
    <w:p>
      <w:pPr>
        <w:spacing w:after="0" w:line="13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fundamental approach to brand building centers on a strategic combination of initiatives to continually innovate and evolve our existing brands as well as explore small investments in or acquisitions of new concepts. We intend to leverage our significant scale and our franchise business model to drive robust margins and cash flows. We are actively supporting our brands with focused teams that are responsible and accountable at the brand level to drive strong performance. In partnership with our franchisees, significant investments have been made and will continue to be made in marketing across traditional and digital channels to drive traffic to our restaurants. We are placing greater emphasis on quantitative analytics to leverage our favorable guest dynamics. We are investing in technology to create more ways for customers to access our brands and in growth platforms such as online ordering, off-premise business and delivery. We will continue to focus on generating strong adjusted free cash flow and returning a portion of it to stockholders through quarterly cash dividends and repurchases of our common stock as business conditions warrant. We will reevaluate our capital allocation strategy as industry conditions improve and normal restaurant operations resume. Our business strategy includes evaluating the addition of new brands to our restaurant portfolio through mergers and acquisitions.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first IHOP restaurant opened in 1958 in Toluca Lake, California. Since that time, the Company and its predecessors have engaged in the development, franchising and operation of IHOP restaurants. Prior to 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We refer to this as our “Previous IHOP Business Model,” which accounts for most of the activity in our rental and financing operations.</w:t>
      </w:r>
    </w:p>
    <w:p>
      <w:pPr>
        <w:spacing w:after="0" w:line="12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most IHOP restaurants opened after 2003, the franchisee is primarily responsible for the development and financing of the restaurant. In general, we no longer provide any financing with respect to the franchise fee, restaurant site or equipment. The franchisee uses its own capital and financial resources along with third-party financial sources obtained by the franchisee to purchase or lease a restaurant site, build and equip the business and fund its working capital needs. We refer to this as our “Current IHOP Business Model.”</w:t>
      </w:r>
    </w:p>
    <w:p>
      <w:pPr>
        <w:spacing w:after="0" w:line="99"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first restaurant in what became the Applebee’s chain opened in 1980 in Decatur, Georgia. Applebee's International, Inc, (“AII”) became a public company in 1989, comprised of 100 restaurants. In November 2007, we completed the acquisition of AII, which comprised 1,455 franchised restaurants and 510 company-operated restaurants at the time of the acquisition. We subsequently refranchised all the Applebee's company-operated restaurants and were 100% franchised until we acquired 69 restaurants from a former Applebee's franchisee in December 2018.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Concepts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Applebee's</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franchise and operate Applebee’s restaurants in the bar and grill segment within the casual dining category of the restaurant industry. As one of the world’s largest casual dining brands, Applebee’s Neighborhood Grill + Bar offers guests a dining experience that combines simple, craveable American fare with classic drinks and local drafts - all for a moderate price. Applebee's restaurants that are franchised are owned and operated by franchisees dedicated to serving great food and also building up the communities that we call home. From raising money for local charities to hosting community fundraisers, Applebee’s is always “Doin’ Good in the Neighborhood”.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5" w:name="page6"/>
    <w:bookmarkEnd w:id="5"/>
    <w:p>
      <w:pPr>
        <w:ind w:firstLine="324"/>
        <w:spacing w:after="0" w:line="253" w:lineRule="auto"/>
        <w:rPr>
          <w:sz w:val="20"/>
          <w:szCs w:val="20"/>
          <w:color w:val="auto"/>
        </w:rPr>
      </w:pPr>
      <w:r>
        <w:rPr>
          <w:rFonts w:ascii="Times New Roman" w:cs="Times New Roman" w:eastAsia="Times New Roman" w:hAnsi="Times New Roman"/>
          <w:sz w:val="18"/>
          <w:szCs w:val="18"/>
          <w:color w:val="auto"/>
        </w:rPr>
        <w:t>We strive to provide genuine and neighborly service, appetizers, drinks and entrees and limited-time offers. Our menu features a selection of grill and bar fare, such as appetizers, bar snacks, burgers, pasta entrees and lighter fare, as well as cocktails, beers and desserts. During the current global pandemic, we continue to enhance our very popular “Eatin’ Good in the Neighborhood” positioning while providing safe and sanitary dining options whether in limited indoor or outside seating or To Go. Applebee's offers online ordering via web and a mobile app for Carside To Go pick up options or Applebee’s Delivery with no-contact options and new tamper-proof packaging. We also contract with all major delivery service providers, such as DoorDash, Uber Eats and GrubHub, providing multiple options for our guests to continue to enjoy Applebee’s at home during this challenging time. Applebee's also opened our first ghost kitchens (small kitchens with no store-front presence, used to fill online orders) in 2020 to further expand our delivery options and reach even more of our customers at home. We began offering catering, a third component of our off-premise options, as a national program in 2019, and plan to continue expansion of our catering offerings to align with the needs of our customers when larger events may again be hosted as COVID-19 infection rates decline.</w:t>
      </w:r>
    </w:p>
    <w:p>
      <w:pPr>
        <w:spacing w:after="0" w:line="11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2020, 48 franchise groups (30 domestic and 18 international) operated 1,642 Applebee’s franchise restaurants. We operated 69 Applebee's restaurants acquired from a former franchisee in December 2018. Applebee's restaurants were located in 49 states within the United States, two United States territories and 11 countries outside of the United States. The June 15, 2020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Applebee's was the largest restaurant system in the casual dining category and the 15th largest across all categories in terms of United States system-wide sales during 2019.</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IHOP</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franchise restaurants in the family dining category of the restaurant industry under the names IHOP and International House of Pancakes. IHOP restaurants feature full table service and high quality, moderately priced food and beverage offerings in an attractive and comfortable family atmosphere. Although the restaurants are best known for their award-winning pancakes and putting an unexpected twist on “all things breakfast, any time of the day,” IHOP is committed to accelerating growth through menu innovation, daypart expansion, off-premise initiatives and development. Focused on meeting the needs of today’s guest, IHOP leverages industry analytics and brand-specific insights to help effectively drive positive behaviors, including increased frequency of visit and average check.</w:t>
      </w:r>
    </w:p>
    <w:p>
      <w:pPr>
        <w:spacing w:after="0" w:line="106" w:lineRule="exact"/>
        <w:rPr>
          <w:sz w:val="20"/>
          <w:szCs w:val="20"/>
          <w:color w:val="auto"/>
        </w:rPr>
      </w:pPr>
    </w:p>
    <w:p>
      <w:pPr>
        <w:ind w:right="20" w:firstLine="324"/>
        <w:spacing w:after="0" w:line="239" w:lineRule="auto"/>
        <w:rPr>
          <w:sz w:val="20"/>
          <w:szCs w:val="20"/>
          <w:color w:val="auto"/>
        </w:rPr>
      </w:pPr>
      <w:r>
        <w:rPr>
          <w:rFonts w:ascii="Times New Roman" w:cs="Times New Roman" w:eastAsia="Times New Roman" w:hAnsi="Times New Roman"/>
          <w:sz w:val="18"/>
          <w:szCs w:val="18"/>
          <w:color w:val="auto"/>
        </w:rPr>
        <w:t>IHOP restaurants are open throughout the day and evening hours. As of December 31, 2020, approximately 34% of IHOP restaurants operate 24 hours a day, seven days a week, with 146 additional restaurants operating 24 hours a day for some portion of the week. In comparison, approximately 45% of IHOP restaurants operated 24 hours a day, seven days a week, with 245 additional restaurants operating 24 hours a day for some portion of the week as of December 31, 2019. Operating hours remain subject to any dine-in restrictions mandated by federal, state, local and international jurisdictions in which the restaurants are located. We announced the most comprehensive remodel program in our brand’s history, “Rise ‘N’ Shine,” in late 2015. Since starting the program in 2016, our domestic franchisees have remodeled over 1,150 of their restaurants. Including new restaurants opened in the past five years, more than 81% of our domestic IHOP franchise restaurants reflect the new, contemporary look. In light of the COVID-19 pandemic, we allowed franchisees to defer their 2020 unit remodel obligations for up to 15 months.</w:t>
      </w:r>
    </w:p>
    <w:p>
      <w:pPr>
        <w:spacing w:after="0" w:line="214"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We remain committed to giving more people, more reasons to enjoy more IHOP, more often. Placing an emphasis on building its IHOP ‘N’ Go business, IHOP offers an online ordering platform, a mobile app, and a national delivery program with leading service providers including DoorDash, Uber Eats and GrubHub this year. Our off-premise business experienced significant growth in 2020 driven by increased usage catalyzed by the COVID-19 pandemic and ensuing mandated dine-in restrictions across the country. We now offer delivery directly through our website and mobile app at close to 100% of our restaurants, as well as Curbside Pickup options. We believe the convenience of take-out and delivery will remain appealing to our guests even as dining room restrictions are eased across the country. Additionally, we implemented several measures to enhance our in-restaurant health safety and sanitation operational procedures in order to protect the health and foster the confidence of employees and guests at the restaurants.</w:t>
      </w:r>
    </w:p>
    <w:p>
      <w:pPr>
        <w:spacing w:after="0" w:line="1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2020, 300 franchise groups (279 domestic, 21 international) operated 1,769 IHOP franchise and area license restaurants. These restaurants were in all 50 states within the United States, in the District of Columbia, in two United States territories and in nine countries outside of the United States. We no longer operate any company-owned IHOP restaurants on a permanent basis, but we may operate, on a temporary basis until refranchised, IHOP restaurants that we reacquire for a variety of reasons from IHOP franchisees. There were three such reacquired restaurants at December 31, 2020. The June 15, 2020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system in the family dining category and the 24th largest across all categories in terms of United States system-wide sales during 2019.</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2 - Properties, for the geographic location of all Applebee’s and IHOP restaurants.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Franchising</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Franchisee Relationships</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highly value good relationships with our IHOP and Applebee's franchisees and strive to maintain positive working relationships with them. For several years, IHOP and Applebee’s franchisees have participated in Company-sponsored advisory groups. These groups provide a forum for franchisees to share demonstrated best practices, offer counsel and review successful strategies, while working side-by-side with management of the Applebee's and IHOP brands. Applebee’s sponsors its Franchise Business Council (“FBC”), which consists of eight elected franchisee representatives, with one of the seats currently vacant. IHOP sponsors its Franchise Leadership Council (“FLC”), an elected and appointed body of 12 IHOP franchisees. The Applebee's FBC and the IHOP FLC assist Applebee's and IHOP senior management in key areas of the business and strategy, including brand marketing, operations, restaurant development, information technology, menu, and innovation.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Franchise Agreements and Fees</w:t>
      </w:r>
    </w:p>
    <w:p>
      <w:pPr>
        <w:spacing w:after="0" w:line="14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Franchise arrangements for Applebee's restaurants typically consist of a development agreement and a separate franchise agreement for each restaurant. Development agreements grant to the franchisee the exclusive right to develop Applebee's restaurants within a designated geographical area over a specified period of time. The term of a domestic development agreement is generally 20 years. The development agreements typically provide for initial development periods of one to five years as agreed upon by us and the franchisee. At or shortly prior to the completion of the initial development schedule or any subsequent supplemental development schedule, we and the franchisee may execute supplemental development schedules providing for the development of additional Applebee's restaurants in the franchisee's exclusive territory.</w:t>
      </w:r>
    </w:p>
    <w:p>
      <w:pPr>
        <w:spacing w:after="0" w:line="12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Prior to the opening of each new Applebee's restaurant, we enter into a separate franchise agreement with the franchisee for that restaurant. Our current standard domestic Applebee's franchise agreement provides for an initial term of 20 years and provides an option for four successive renewal terms, in five-year increments, for up to an additional 20 years, upon payment of an additional franchise fee. Our current standard domestic Applebee's franchise arrangement calls for a development fee equal to $10,000 for each Applebee's restaurant that the franchisee contracts to develop and an initial franchisee fee of $35,000 for each restaurant developed (against which the $10,000 development fee will be credited) and a royalty fee equal to 4% of the restaurant's monthly gross sales. Our agreements for most Applebee's restaurants opened before January 1, 2000, provide for a royalty rate of 4%, while the terms, royalty rate and advertising fees under a limited number of franchise agreements and other franchise fees under older development agreements vary from the currently offered arrangements.</w:t>
      </w:r>
    </w:p>
    <w:p>
      <w:pPr>
        <w:spacing w:after="0" w:line="12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Under the Current IHOP Business Model, a potential franchisee that is approved first enters into a single-restaurant franchise agreement, a single-restaurant development agreement, or a multi-restaurant development agreement with us and is responsible for the development and financing of one or more new IHOP franchised restaurants. Our current standard domestic IHOP franchise agreement typically provides for an initial term of 20 years and permits one renewal for a term of 10 years, upon payment of a renewal fee of $10,000.</w:t>
      </w:r>
    </w:p>
    <w:p>
      <w:pPr>
        <w:spacing w:after="0" w:line="9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revenues we receive from a typical domestic franchise development arrangement under the Current IHOP Business Model include (a) a location fee equal to $15,000 for an IHOP restaurant that the franchisee contracts to develop upon execution of a single-restaurant development agreement; (b) a development fee equal to $20,000 for each IHOP restaurant that the franchisee contracts to develop upon execution of a multi-restaurant development agreement; (c) an initial franchise fee equal to (i) $40,000 (against which the $20,000 development fee will be credited) for each restaurant developed under a multi-restaurant development agreement, (ii) $50,000 (against which the $15,000 location fee will be credited) for a restaurant developed under a single-restaurant development agreement or (iii) $50,000 for a restaurant opened pursuant to a single-restaurant franchise agreement, in each case paid upon execution of the franchise agreement; (d) franchise royalties equal to 4.5% of weekly gross sales; (e) revenue from the sale of our proprietary pancake and waffle dry-mixes; and (f) franchise advertising fees.</w:t>
      </w:r>
    </w:p>
    <w:p>
      <w:pPr>
        <w:spacing w:after="0" w:line="12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principal commercial terms of the franchise arrangements under the Previous IHOP Business Model and the Current IHOP Business Model, including the franchise royalties and the franchise advertising fees, are substantially the same except with respect to the terms relating to the franchise fee, lease or sublease rents for the restaurant property and building, and interest income from any franchise fee notes and equipment leases.</w:t>
      </w:r>
    </w:p>
    <w:p>
      <w:pPr>
        <w:spacing w:after="0" w:line="108"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Development of Applebee’s and IHOP restaurants outside of the United States has historically been conducted through a separate development agreement and franchise agreement. More recently, certain franchisees have entered into a multi-unit franchise agreement that governs the rights and obligations to develop a territory, in addition to terms of operating each restaurant opened in the territory. The term of a franchisee’s exclusive right to develop a territory expires when the agreement’s development schedule is completed. The term to operate the restaurant is typically 20 years, subject to applicable renewals.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ind w:firstLine="324"/>
        <w:spacing w:after="0" w:line="242" w:lineRule="auto"/>
        <w:rPr>
          <w:sz w:val="20"/>
          <w:szCs w:val="20"/>
          <w:color w:val="auto"/>
        </w:rPr>
      </w:pPr>
      <w:r>
        <w:rPr>
          <w:rFonts w:ascii="Times New Roman" w:cs="Times New Roman" w:eastAsia="Times New Roman" w:hAnsi="Times New Roman"/>
          <w:sz w:val="18"/>
          <w:szCs w:val="18"/>
          <w:color w:val="auto"/>
        </w:rPr>
        <w:t>In limited instances, we have agreed to accept reduced royalties and/or lease payments from franchisees or have provided other accommodations to franchisees for specified periods of time to assist them in either establishing or reinvigorating their businesses. In response to the impact of the COVID-19 pandemic on our franchisees, we allowed our franchisees to defer their development obligations for up to 15 months. We offered Applebee's franchisees the opportunity to defer payment of their royalty, advertising and other fees, and IHOP franchisees the opportunity to defer payment of their royalty, advertising, equipment rent and sublease rent payments, primarily for the months of March and April 2020.</w:t>
      </w:r>
    </w:p>
    <w:p>
      <w:pPr>
        <w:spacing w:after="0" w:line="212" w:lineRule="exact"/>
        <w:rPr>
          <w:sz w:val="20"/>
          <w:szCs w:val="20"/>
          <w:color w:val="auto"/>
        </w:rPr>
      </w:pPr>
    </w:p>
    <w:p>
      <w:pPr>
        <w:jc w:val="both"/>
        <w:ind w:right="620" w:firstLine="324"/>
        <w:spacing w:after="0" w:line="250" w:lineRule="auto"/>
        <w:rPr>
          <w:sz w:val="20"/>
          <w:szCs w:val="20"/>
          <w:color w:val="auto"/>
        </w:rPr>
      </w:pPr>
      <w:r>
        <w:rPr>
          <w:rFonts w:ascii="Times New Roman" w:cs="Times New Roman" w:eastAsia="Times New Roman" w:hAnsi="Times New Roman"/>
          <w:sz w:val="18"/>
          <w:szCs w:val="18"/>
          <w:color w:val="auto"/>
        </w:rPr>
        <w:t>We have the contractual right, subject to applicable law, to terminate a development and franchise agreement for a variety of reasons, such as a franchisee’s failure to make required payments when due, failure to timely develop restaurants and failure to adhere to specified brand policies and standards.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Advertising Fees</w:t>
      </w:r>
    </w:p>
    <w:p>
      <w:pPr>
        <w:spacing w:after="0" w:line="14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Applebee's franchise agreements generally require domestic franchisees of Applebee's restaurants to (i) contribute 3.25% of their gross sales to a national advertising fund, which funds the development of national promotions, television and radio commercials, print advertising materials and digital marketing and (ii) spend at least 0.5% of their gross sales on local marketing and promotional activities. Under the current Applebee's franchise agreements, we have the ability to increase the amount of the required combined contribution to the national advertising fund and the amount required to be spent on local marketing and promotional activities to a maximum of 5% of gross sales. All domestic Applebee’s franchisees have either entered into an amendment to their franchise agreements to increase their contribution to the Applebee's national advertising fund (the “Applebee’s NAF”) or entered into new franchise agreements in connection with renewals setting forth the current advertising contribution requirements. Virtually all franchisees who entered into amendments agreed to an incremental temporary increase in the national advertising contribution rate to 4.25% effective July 1, 2018 and have agreed to subsequent amendments in 2019 and 2020 to extend the temporary increase through December 31, 2021, with no requirement that franchisees spend on local marketing during that time.</w:t>
      </w:r>
    </w:p>
    <w:p>
      <w:pPr>
        <w:spacing w:after="0" w:line="1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IHOP franchisees allocate a percentage of their sales to local advertising cooperatives and a national advertising fund (the “IHOP NAF”). The IHOP franchise agreements generally provide for advertising fees comprised of (i) a local advertising fee generally equal to 2.0% of weekly gross sales under the franchise agreement, which is typically used to cover the cost of local media purchases and other local advertising expenses incurred by a local advertising cooperative, and (ii) a national advertising fee equal to 1.0% of weekly gross sales under the franchise agreement. Area licensees are generally required to pay lesser amounts toward advertising.</w:t>
      </w:r>
    </w:p>
    <w:p>
      <w:pPr>
        <w:spacing w:after="0" w:line="11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local IHOP advertising cooperatives have historically used advertising fees for various local marketing programs. The IHOP NAF is primarily used for buying media and national advertising, in addition to the related production costs. The IHOP NAF is also used to defray certain expenses associated with our marketing and advertising functions.</w:t>
      </w:r>
    </w:p>
    <w:p>
      <w:pPr>
        <w:spacing w:after="0" w:line="9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Beginning in 2005, and every year thereafter, we and the IHOP franchisees agreed to reallocate portions of the local advertising fees to purchase national broadcast, syndication and cable television time to reach our target audience more frequently and more cost effectively.</w:t>
      </w:r>
    </w:p>
    <w:p>
      <w:pPr>
        <w:spacing w:after="0" w:line="94"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In 2014, we and franchisees whose restaurants account for a large majority of total annual contributions to the IHOP NAF entered into franchise agreement amendments that increased the advertising contribution percentage of those restaurants' gross sales. Pursuant to the amendment, for the period from January 1, 2015 to December 31, 2017, 3.50% of each participating restaurant's gross sales was contributed to the IHOP NAF with no significant contribution to local advertising cooperatives required. The amended advertising contribution percentage also was applicable to all new franchise agreements and to IHOP company-operated restaurants open at the time. In 2016, we and franchisees whose restaurants account for a large majority of total annual contributions to the IHOP NAF extended this additional contribution through 2022. The current IHOP franchise agreements generally provide for advertising fees comprised of (i) a local advertising fee equal to 0% of gross sales under the franchise agreement, and (ii) a national advertising fee equal to</w:t>
      </w:r>
    </w:p>
    <w:p>
      <w:pPr>
        <w:spacing w:after="0" w:line="2" w:lineRule="exact"/>
        <w:rPr>
          <w:sz w:val="20"/>
          <w:szCs w:val="20"/>
          <w:color w:val="auto"/>
        </w:rPr>
      </w:pPr>
    </w:p>
    <w:p>
      <w:pPr>
        <w:ind w:right="140" w:firstLine="8"/>
        <w:spacing w:after="0" w:line="260"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weekly gross sales under the franchise agreement. Commencing on January 1, 2023, the local advertising fee and the national advertising fee are subject to change.</w:t>
      </w:r>
    </w:p>
    <w:p>
      <w:pPr>
        <w:spacing w:after="0" w:line="114" w:lineRule="exact"/>
        <w:rPr>
          <w:sz w:val="20"/>
          <w:szCs w:val="20"/>
          <w:color w:val="auto"/>
        </w:rPr>
      </w:pPr>
    </w:p>
    <w:p>
      <w:pPr>
        <w:ind w:right="140" w:firstLine="364"/>
        <w:spacing w:after="0" w:line="282" w:lineRule="auto"/>
        <w:rPr>
          <w:sz w:val="20"/>
          <w:szCs w:val="20"/>
          <w:color w:val="auto"/>
        </w:rPr>
      </w:pPr>
      <w:r>
        <w:rPr>
          <w:rFonts w:ascii="Times New Roman" w:cs="Times New Roman" w:eastAsia="Times New Roman" w:hAnsi="Times New Roman"/>
          <w:sz w:val="18"/>
          <w:szCs w:val="18"/>
          <w:color w:val="auto"/>
        </w:rPr>
        <w:t>The Company temporarily discontinued the national advertising programs of both brands in March 2020 due to uncertainty related to the COVID-19 pandemic; both brnds returned to national media advertising in July 2020.</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IHOP Area License Agreements</w:t>
      </w:r>
    </w:p>
    <w:p>
      <w:pPr>
        <w:spacing w:after="0" w:line="15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three long-term area license agreements for IHOP restaurants covering the state of Florida and certain counties in the state of Georgia, the province of British Columbia, Canada and the country of Pakistan. The area license agreements provide the licensees with the right to develop and franchise new IHOP restaurants in their respective territories and provide for royalties ranging from 1.0% to 4.5% of gross sales and advertising fees ranging from 0.25% to approximately 2.0% of gross sales. During 2014, the advertising fee contribution provisions of the Florida area license agreement were amended for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ind w:right="40"/>
        <w:spacing w:after="0" w:line="266" w:lineRule="auto"/>
        <w:rPr>
          <w:sz w:val="20"/>
          <w:szCs w:val="20"/>
          <w:color w:val="auto"/>
        </w:rPr>
      </w:pPr>
      <w:r>
        <w:rPr>
          <w:rFonts w:ascii="Times New Roman" w:cs="Times New Roman" w:eastAsia="Times New Roman" w:hAnsi="Times New Roman"/>
          <w:sz w:val="18"/>
          <w:szCs w:val="18"/>
          <w:color w:val="auto"/>
        </w:rPr>
        <w:t>the period through December 31, 2017 on substantially similar terms as the franchise agreement amendment described above and such amendments were subsequently extended through 2022. We also derive revenues from the sale of proprietary products to these area licensees and, in certain instances, to their sub-franchisees. Revenues from our area licensees are included in franchise operations revenues.</w:t>
      </w:r>
    </w:p>
    <w:p>
      <w:pPr>
        <w:spacing w:after="0" w:line="95"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color w:val="auto"/>
        </w:rPr>
        <w:t>As of December 31, 2020, the area licensee for the state of Florida and certain counties in Georgia operated or sub-franchised a total of 149 IHOP restaurants. The area licensee for the province of British Columbia, Canada operated or sub-franchised a total of nine IHOP restaurants. The area licensee for the country of Pakistan opened its first franchise IHOP restaurant in 2020 and may begin to sub-license restaurants once a required number of franchise restaurants have been opened. The area license for British Columbia expires in 2026, the area license for Pakistan expires in 2047 and the area license for Florida and Georgia expires after the year 2100, with the date of expiration changing depending on the number of qualified restaurant openings and closures by such licensee.</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Other Franchise-related Revenues and Fees</w:t>
      </w:r>
    </w:p>
    <w:p>
      <w:pPr>
        <w:spacing w:after="0" w:line="252"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Approximately 89% of franchise segment revenue for the year ended December 31, 2020 consisted of Applebee's and IHOP royalties and advertising revenue. Most of the remaining 11% consisted of sales of proprietary products (primarily IHOP pancake and waffle dry mix), initial franchise and renewal fees and software maintenance and support fees. Depending on circumstances, we may seek to recover a portion of any royalties and fees lost due to early termination of a franchise agreement; however, not all franchise restaurant closures necessarily result in our receipt of such fees.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International Franchising</w:t>
      </w:r>
    </w:p>
    <w:p>
      <w:pPr>
        <w:spacing w:after="0" w:line="15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continue to pursue international franchising of the Applebee's and the IHOP concepts. To this end, we seek qualified franchisees that possess the financial, development and operational resources needed to open multiple restaurants in each territory and are experienced in conducting business in the development territory. We work closely with our international franchisees to develop and implement the Applebee's and IHOP systems outside the United States, recognizing commercial, cultural and dietary diversity. Differences in tastes and cultural norms and standards require that we be flexible and pragmatic regarding many elements of the Applebee's and IHOP systems, including menu, restaurant design, restaurant operations, training, marketing, purchasing and financing.</w:t>
      </w:r>
    </w:p>
    <w:p>
      <w:pPr>
        <w:spacing w:after="0" w:line="10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success of further international expansion will depend on, among other things, local acceptance of the Applebee's and IHOP concepts and menu offerings and our ability to attract qualified franchisees and operating personnel. Our franchisees must comply with the regulatory requirements of the local jurisdictions.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Domestic and International Franchise Restaurant Development</w:t>
      </w:r>
    </w:p>
    <w:p>
      <w:pPr>
        <w:spacing w:after="0" w:line="15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Each franchisee is responsible for selecting the site for each new restaurant. We may consult with franchisees when they are selecting appropriate sites, and selections made by franchisees are subject to our approval. For domestic restaurants, we also conduct a physical inspection, review any proposed lease or purchase agreement for compliance with our requirements and may make available to franchisees demographic and other studies for domestic restaurants. We make the design specifications for a typical restaurant available to franchisees, and we retain the right to prohibit or modify the use of any set of plans.</w:t>
      </w:r>
    </w:p>
    <w:p>
      <w:pPr>
        <w:spacing w:after="0" w:line="1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2020, we had signed commitments from IHOP franchisees to build 377 IHOP restaurants over the next eight years, comprised of 98 restaurants under single restaurant or non-traditional development agreements, 140 restaurants under domestic multi-restaurant development agreements and 139 restaurants under international development agreements. The signed agreements include options to build an additional 24 restaurants over the next seven years, primarily under domestic multi-restaurant development agreements. As of December 31, 2020, we had signed commitments from Applebee's franchisees for the opening of 30 international restaurants over the next eight years. We do not expect a significant number of Applebee's restaurants will be opened domestically in the near future. Developers’ level of compliance with development obligations varies per year and could change; therefore, the number of signed commitment and/or development agreements in place at any given time may not be a reliable indicator of future development activity. In light of the COVID-19 pandemic, we allowed franchisees to defer their 2020 development obligations for up to 15 months.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Franchise Operations</w:t>
      </w:r>
    </w:p>
    <w:p>
      <w:pPr>
        <w:spacing w:after="0" w:line="15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continuously monitor franchise restaurant operations. Company and third-party representatives make both scheduled and unannounced inspections of franchised restaurants to ensure that only approved products are in use and that our prescribed operations practices and procedures are being followed. We have the right to terminate a franchise agreement if a franchisee does not operate and maintain a restaurant in accordance with our requirements. Due to cultural and regulatory differences, we may have different requirements for restaurants opened outside of the United States. We also monitor the financial health of our franchisees through business and financial reviews.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u w:val="single" w:color="auto"/>
          <w:color w:val="auto"/>
        </w:rPr>
        <w:t>Composition of Franchise Systems</w:t>
      </w:r>
    </w:p>
    <w:p>
      <w:pPr>
        <w:spacing w:after="0" w:line="25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30 Applebee’s franchisees owned a total of 1,531 domestic Applebee's restaurants. The number of domestic restaurants held by a single franchisee ranged from one restaurant to 444 restaurants. As of December 31, 2020, 18 franchisees owned a total of 111 international Applebee's restaurants. The number of international restaurants held by a single franchisee ranged from one restaurant to 23 restaurants. Our five largest Applebee’s franchisees owned 52% of the total 1,642 Applebee's franchise restaurants.</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279 franchisees owned a total of 1,667 domestic IHOP restaurants, including 110 franchisees that each owned one restaurant. The largest single IHOP franchisee owned 273 domestic restaurants. As of December 31, 2020, 21 franchisees owned a total of 102 international IHOP franchise restaurants. The number of international restaurants held by a single franchisee ranged from one restaurant to 15 restaurants. Our five largest IHOP franchisees owned 30% of the total 1,769 IHOP franchise restaurants.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Restaurants</w:t>
      </w:r>
    </w:p>
    <w:p>
      <w:pPr>
        <w:spacing w:after="0" w:line="14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December 2018, we acquired 69 Applebee's restaurants in North Carolina and South Carolina from a former Applebee's franchisee. While we currently intend to own and operate these restaurants for the near term, we will assess and monitor opportunities to refranchise these restaurants under favorable circumstances. We believe this transaction was a unique circumstance and should not be considered a change in our business strategy. Our business strategy includes the possible addition of new brands to our restaurant portfolio, which may result in our acquiring additional company-operated restaurants.</w:t>
      </w:r>
    </w:p>
    <w:p>
      <w:pPr>
        <w:spacing w:after="0" w:line="11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also may reacquire a small number of restaurants from franchisees for a variety of reasons. Historically, we have been able to refranchise these restaurants quickly to new franchisees. When reacquired restaurants are not refranchised quickly, we typically operate the reacquired restaurants until they can be refranchised. These temporarily reacquired restaurants may require investments in remodeling and rehabilitation before they can be refranchised. As a result, a reacquired restaurant may incur operating losses for some period of time. IHOP had three such reacquired restaurants at December 31, 2020.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4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February 2009, Centralized Supply Chain Services, LLC (“CSCS” or the “Co-op”), an independent cooperative entity, was formed by us and franchisees of Applebee's and IHOP domestic restaurants. CSCS has been appointed as the sole authorized purchasing organization and purchasing agent for goods, equipment and distribution services for Applebee's and IHOP restaurants in the United States. As of December 31, 2020, 100% of Applebee's domestic franchise restaurants and 97% of IHOP domestic franchise restaurants were members of CSCS.</w:t>
      </w:r>
    </w:p>
    <w:p>
      <w:pPr>
        <w:spacing w:after="0" w:line="11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CSCS combines the purchasing volume for goods, equipment and distribution services within and across the Applebee's and IHOP concepts. Its mission is to achieve for its members the benefit of continuously available goods, higher quality equipment and distribution services in adequate quantities at the lowest possible sustainable prices. We do not control CSCS, but do have contractual rights associated with supplier certification, quality assurance and protection of our intellectual property. The operations of CSCS are funded by a separately stated administrative fee added to one or more products purchased by operators.</w:t>
      </w:r>
    </w:p>
    <w:p>
      <w:pPr>
        <w:spacing w:after="0" w:line="11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believe the larger scale provided by combining the supply chain requirements of both brands provides continuing cost savings and efficiencies while helping to ensure compliance with our quality and safety standards.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Competition</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Applebee's and IHOP are among the numerous restaurant chains and independent restaurants competing in the restaurant industry in the United States. The restaurant industry is generally categorized into segments by price point ranges, the types of food and beverages offered and the types of service available to customers. These segments include, among others, fast food or quick service restaurants, fast-casual dining, family dining, casual dining and fine dining. Casual dining restaurants offer full table service and typically have bars or serve liquor, wine and beer, while family dining restaurants offer full table service, typically do not have bars or serve liquor, and usually offer breakfast in addition to lunch and dinner items.</w:t>
      </w:r>
    </w:p>
    <w:p>
      <w:pPr>
        <w:spacing w:after="0" w:line="11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Applebee's competes in the casual dining segment against national and multi-state restaurant chains such as Olive Garden, Buffalo Wild Wings, Chili's Grill &amp; Bar, Texas Roadhouse and Outback Steakhouse, among others, as well as fast-casual and quick service restaurant chains. In addition, there are many independent restaurants across the country in the casual dining segment. The June 15, 2020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Applebee's was the largest restaurant system in the casual dining category and the 15th largest across all categories, in terms of United States system-wide sales during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IHOP competes in the family dining segment against national and multi-state restaurant chains such as Cracker Barrel Old Country Store, Denny's, Golden Corral, Waffle House and Bob Evans Restaurants. IHOP also faces competition from fast-casual and quick service restaurant chains that serve breakfast. In addition, there are many independent restaurants and diners across the country in the family dining segment. The June 15, 2020 issue of </w:t>
      </w:r>
      <w:r>
        <w:rPr>
          <w:rFonts w:ascii="Times New Roman" w:cs="Times New Roman" w:eastAsia="Times New Roman" w:hAnsi="Times New Roman"/>
          <w:sz w:val="18"/>
          <w:szCs w:val="18"/>
          <w:i w:val="1"/>
          <w:iCs w:val="1"/>
          <w:color w:val="auto"/>
        </w:rPr>
        <w:t xml:space="preserve">Nation's Restaurant News </w:t>
      </w:r>
      <w:r>
        <w:rPr>
          <w:rFonts w:ascii="Times New Roman" w:cs="Times New Roman" w:eastAsia="Times New Roman" w:hAnsi="Times New Roman"/>
          <w:sz w:val="18"/>
          <w:szCs w:val="18"/>
          <w:color w:val="auto"/>
        </w:rPr>
        <w:t>reported that IHOP was the largest restaurant system in the family dining category and the 24th largest across all categories,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United States system-wide sales during 2019.</w:t>
      </w:r>
    </w:p>
    <w:p>
      <w:pPr>
        <w:spacing w:after="0" w:line="10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restaurant and related food-service industries are highly competitive and are affected by, among other things, economic conditions, price levels, on-going changes in eating habits and food preferences, population trends and traffic patterns. The principal bases of competition in the industry are the type, quality and price of the food products served. Restaurant location, quality and speed of service, advertising, name identification and attractiveness of facilities are important. Additionally, changes in the price of groceries may influence the attractiveness of dining at home versus dining out.</w:t>
      </w:r>
    </w:p>
    <w:p>
      <w:pPr>
        <w:spacing w:after="0" w:line="11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market for high quality commercial real estate is also very competitive. We and our franchisees compete with other restaurant chains and retail businesses for suitable sites for the development of new restaurants. We also compete against other franchisors both within and outside the restaurant industry for new franchisees. For further information regarding competition, see 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48" w:lineRule="exact"/>
        <w:rPr>
          <w:sz w:val="20"/>
          <w:szCs w:val="20"/>
          <w:color w:val="auto"/>
        </w:rPr>
      </w:pPr>
    </w:p>
    <w:p>
      <w:pPr>
        <w:ind w:right="140" w:firstLine="324"/>
        <w:spacing w:after="0" w:line="218" w:lineRule="auto"/>
        <w:rPr>
          <w:sz w:val="20"/>
          <w:szCs w:val="20"/>
          <w:color w:val="auto"/>
        </w:rPr>
      </w:pPr>
      <w:r>
        <w:rPr>
          <w:rFonts w:ascii="Times New Roman" w:cs="Times New Roman" w:eastAsia="Times New Roman" w:hAnsi="Times New Roman"/>
          <w:sz w:val="18"/>
          <w:szCs w:val="18"/>
          <w:color w:val="auto"/>
        </w:rPr>
        <w:t>We and our affiliates have registered or submitted registrations for certain trademarks and service marks with the United States Patent and Trademark Office and various international jurisdictions, including “Dine Brands Global</w:t>
      </w:r>
      <w:r>
        <w:rPr>
          <w:rFonts w:ascii="Times New Roman" w:cs="Times New Roman" w:eastAsia="Times New Roman" w:hAnsi="Times New Roman"/>
          <w:sz w:val="9"/>
          <w:szCs w:val="9"/>
          <w:color w:val="auto"/>
        </w:rPr>
        <w:t>SM</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We own trademarks and service marks used in the Applebee's system, including various logos and the trademarks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variations of each. In addition, we own trademarks and service marks used in the IHOP system, including various logos and the trademarks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variations of each.</w:t>
      </w:r>
    </w:p>
    <w:p>
      <w:pPr>
        <w:spacing w:after="0" w:line="13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consider our trademarks and service marks important to the identification of our company and our restaurants and believe they are of material importance to the conduct of our business. Depending upon the jurisdiction, trademarks and service marks generally are valid as long as they are used and/or registered. We generally intend to renew our trademarks and service marks as they come up for renewal. We own or have rights to all trademarks we believe are material to our restaurant operations. In addition, we have registered various domain names on the Internet that incorporate certain of our trademarks and service marks and believe these domain name registrations are an integral part of our identity. From time to time, we may take appropriate legal action to defend and protect the use of our intellectual property.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use in-house developed and third-party point of sale systems, kitchen data systems, and back-of-the house systems for accounting, labor and inventory management in our franchisees' restaurants. In addition, we have several consumer-facing technology initiatives focused on improving our customers' experience. Sales and product mix information is transmitted to our restaurant support centers daily and this information supports our operations and marketing initiatives. We mitigate the potential impact from operational interruption of our information technology systems through a disaster recovery plan that is updated on a regular basis. We believe that technology is and will continue to be a key component of our long-term plans and are committed to providing system stability and targeted innovation. Our use of technology, particularly in terms of managing electronic payments and confidential information, also represents security and operational risks that we must manage and may result in additional costs incurred.</w:t>
      </w:r>
    </w:p>
    <w:p>
      <w:pPr>
        <w:spacing w:after="0" w:line="21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Protection of financial and personal information is a high priority for us, led by our Cybersecurity Department with a committee representing key functional areas. We continuously focus on enhancing our cybersecurity capabilities, educating our team members on cybersecurity importance, and managing our cyber risks. In addition, we participate in annual audits of our financial and human resources systems to verify that measures are in place to protect our employees' personal information. We accept credit cards, third party gift cards, and branded gift cards as payment in our restaurants. We submit our systems to regular audit and review, as required by the Payment Card Industry Data Security Standard (“PCI DSS”), including periodic scanning of our networks to check for vulnerability. To further secure customers' payment data, we worked with our franchisees to deploy and implement encryption and tokenization technologies, ensuring credit card data is not stored in our franchisees' and our restaurants systems. This includes installation of equipment to improve authentication and to prevent fraud using EMV (Europay, Mastercard, Visa) technology. We and our franchisees are required and responsible for maintaining compliance, with PCI DSS, and we regularly communicate and encourage our franchisees to maintain compliance and to manage risk. For further information regarding Information Technology, see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do not consider our operations to be seasonal to any material degree. We typically experience a slight increase in system-wide sales in the first quarter of our fiscal year due to redemptions of gift cards sold during the preceding December holiday season. In terms of average sales over the 2015-2019 time period, 26% of our annual system-wide sales (retail sales reported to us by our franchisees plus sales at our company-operated restaurants) occurred in the first quarter of the fiscal year, 24% in the third quarter and 25% in both the second and fourth quarters. The 2020 time period was excluded in our description of seasonality above due to distortions caused by COVID-19 pandemic. Sales at restaurants owned by franchisees are not attributable to the Company.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regulation by the Federal Trade Commission (“FTC”) and a number of foreign and state laws that regulate the offer and sale of franchises. We also are subject to a number of foreign and state laws that regulate substantive aspects of the franchisor-franchisee relationship. The FTC's Trade Regulation Rule on Franchising, as amended (the “FTC Rule”), requires us to furnish to prospective domestic franchisees a Franchise Disclosure Document containing information prescribed by the FTC Rule.</w:t>
      </w:r>
    </w:p>
    <w:p>
      <w:pPr>
        <w:spacing w:after="0" w:line="9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State laws that regulate the offer and sale of franchises and the franchisor-franchisee relationship presently exist in a number of states and some of these laws require registration of the franchise offering with state authorities. Those states that regulate the franchise relationship generally require that the franchisor deal with its franchisees in good faith, prohibit interference with the right of free association among franchisees, limit the imposition of unreasonable standards of performance on a franchisee and regulate discrimination against franchisees with respect to charges, royalty fees or other fees. Although such laws may restrict a franchisor in the termination and/or non-renewal of a franchise agreement by, for example, requiring “good cause” to exist as a basis for the termination and/or non-renewal, advance notice to the franchisee of the termination or non-renewal, an opportunity to cure a default and a repurchase of inventory or other compensation upon termination, these provisions have not historically had a significant effect on our franchise operations.</w:t>
      </w:r>
    </w:p>
    <w:p>
      <w:pPr>
        <w:spacing w:after="0" w:line="124"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Each restaurant is subject to licensing and regulation by a number of governmental authorities, which may include liquor license authorities (primarily in the case of Applebee's restaurants), health, sanitation, safety, fire, building and other agencies in the state or municipality in which the restaurant is located. We are also subject to new laws and regulations, which may vary from jurisdiction to jurisdiction, relating to nutritional content and menu labeling.</w:t>
      </w:r>
    </w:p>
    <w:p>
      <w:pPr>
        <w:spacing w:after="0" w:line="9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More stringent and varied requirements of local governmental bodies with respect to zoning, land use and environmental factors could delay or prevent the development of new restaurants in particular areas.</w:t>
      </w:r>
    </w:p>
    <w:p>
      <w:pPr>
        <w:spacing w:after="0" w:line="8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Various federal and state labor laws govern our relationship with employees and our franchisees' relationship with their own employees. These include such matters as minimum wage requirements, overtime, tip credits and other working requirements and conditions. Significant additional government-imposed increases in minimum wages, paid leaves of absence, mandated health benefits, changes to the tip credit or increased tax reporting and tax payment requirements with respect to employees who receive gratuities could be detrimental to the economic viability of company-operated restaurants and our franchisees' restaurants.</w:t>
      </w:r>
    </w:p>
    <w:p>
      <w:pPr>
        <w:spacing w:after="0" w:line="11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globally, including, without limitation, the California Consumer Privacy Act and pending California Privacy Rights Act. The legislative and regulatory landscape for privacy and data protection continues to evolve, and there has been increased attention in privacy and data protection issues. This has the potential to affect directly our business, including recently enacted laws and regulations in the United States and internationally requiring notification to individuals and government authorities of security breaches involving certain categories of personal information.</w:t>
      </w:r>
    </w:p>
    <w:p>
      <w:pPr>
        <w:spacing w:after="0" w:line="116" w:lineRule="exact"/>
        <w:rPr>
          <w:sz w:val="20"/>
          <w:szCs w:val="20"/>
          <w:color w:val="auto"/>
        </w:rPr>
      </w:pPr>
    </w:p>
    <w:p>
      <w:pPr>
        <w:ind w:right="80" w:firstLine="324"/>
        <w:spacing w:after="0" w:line="238" w:lineRule="auto"/>
        <w:rPr>
          <w:sz w:val="20"/>
          <w:szCs w:val="20"/>
          <w:color w:val="auto"/>
        </w:rPr>
      </w:pPr>
      <w:r>
        <w:rPr>
          <w:rFonts w:ascii="Times New Roman" w:cs="Times New Roman" w:eastAsia="Times New Roman" w:hAnsi="Times New Roman"/>
          <w:sz w:val="18"/>
          <w:szCs w:val="18"/>
          <w:color w:val="auto"/>
        </w:rPr>
        <w:t>The Patient Protection and Affordable Care Act and the Health Care and Education Affordability Reconciliation Act of 2010 (the “ACA”) are far-reaching and are intended to expand access to health insurance coverage over time by adjusting the eligibility thresholds for most state Medicaid programs and providing certain other individuals and small businesses with tax credits to subsidize a portion of the cost of health insurance coverage. The laws include a requirement that most individuals obtain health insurance coverage and a requirement that certain large employers offer coverage to their employees or pay a financial penalty. Since its enactment, there have been judicial and political challenges to various aspects of the ACA and certain challenges to the ACA are expected to be addressed by the Supreme Court in the near future, although it is unclear when or how the Supreme Court will rule. It is also unclear how other efforts to challenge, repeal or replace the ACA will impact the law. With enactment of the Tax Cuts and Jobs Act of 2017, Congress eliminated certain tax penalties in the ACA, effectively repealing the “individual mandate” portion of the ACA. The repeal of this provision, which required most Americans to carry a minimal level of health insurance, became effective in January 2019, although several states have implemented similar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individual mandates. The ACA and similar state laws have increased our franchisees' employee costs in some respects and may continue to do so.</w:t>
      </w:r>
    </w:p>
    <w:p>
      <w:pPr>
        <w:spacing w:after="0" w:line="2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recent years, there has been an increased legislative, regulatory and consumer focus at the federal, state and municipal levels on the food industry including nutrition and advertising practices. Restaurants operating in the quick-service and fast-casual segments have been a particular focus. In addition to the United States Food and Drug Administration’s menu labeling requirements for restaurants requiring that chain restaurants include calorie information on their menus or make other nutritional information available, a number of other jurisdictions around the United States have adopted regulations related to disclosure of other information, such as sodium content, and imposing requirements for children's menus. Initiatives in the area of nutrition disclosure or advertising, such as requirements to provide information about the nutritional content of our food, may result in increased costs of compliance with the requirements and may also change customer buying habits in a way that adversely impacts our sales. For further information regarding governmental regulation, see Item 1A, Risk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federal and state environmental regulations, but historically these have not had a material effect on our operations. We are not aware of any federal, state or local environmental laws or regulations that are likely to materially impact our revenues, cash flow or competitive position, or result in any material capital expenditure. However, we cannot predict the effect of possible future environmental legislation or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view our employees as one of the three core strategic pillars of our business - People, Brand, and Growth. We believe that hiring, developing and retaining team members is critically important to our operations and that our corporate responsibility begins with our team members. We are focused on a comprehensive approach to diversity and representation across leadership, team members, franchisees, partners and the community.</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At Dine Brands, we believe the power to meaningfully impact the people and communities we serve is realized when each team member is personally and professionally fulfilled. One of our primary focuses is to ensure the health and well-being of our team members. Our Total Rewards Program plays a big part in our commitment to creating an environment of well-being. We believe that when team members are supported with the resources they need to care for themselves and their loved ones, they are able to be at their best. Dine Brands has a consistent and fair compensation program that reflects our pay-for-performance philosophy and rewards our team members for their contributions to our success. We offer comprehensive health and protection benefits that support our team members and their families’ overall well-being. Dine Brands also contributes to programs that provide our team members with financial security, now and in the future. We offer other rewards that focus on recognition, career building, health and wellness, time-off benefits, and other perks that are designed to make our peoples’ experience as Dine Brands team members productive and fun.</w:t>
      </w:r>
    </w:p>
    <w:p>
      <w:pPr>
        <w:spacing w:after="0" w:line="12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assess our culture and listen to our workforce through periodic employee engagement surveys. Numerous policy changes have been made or been influenced by the feedback we receive from our employees.</w:t>
      </w:r>
    </w:p>
    <w:p>
      <w:pPr>
        <w:spacing w:after="0" w:line="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Dine Brands values, encourages and appreciates the diversity of our workforce. We embrace our personal differences - whether it be race, gender, age, religion, culture, ethnicity, sexual orientation, veteran status, national origin or physical ability - and the benefits that an array of backgrounds, cultures and thinking styles bring to our organization. We are committed to sustaining an environment that accepts, includes and engages everyone in our workforce and encourages open dialogue, empowerment and a sense of belonging. While the world and our business change rapidly, our management believes that respecting individual differences will continue to be essential to our long-term success.</w:t>
      </w:r>
    </w:p>
    <w:p>
      <w:pPr>
        <w:spacing w:after="0" w:line="11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recently launched seven Team Member Resource Groups (TMRGs) as part of our diversity and inclusion efforts. TMRGs are team member-led, self-directed, voluntary groups, each sponsored by a member of our Executive team, that offer internal networking opportunities, career development, expand our innovation and problem solving and in general, act as a vehicle to enhance diversity and inclusion.</w:t>
      </w:r>
    </w:p>
    <w:p>
      <w:pPr>
        <w:spacing w:after="0" w:line="10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believe in accountability that starts with our leadership and extends to all of our team members. Our Chief Executive Officer, John W. Peyton, has taken the CEO Action for Diversity and Inclusion pledge. Substantially all our restaurant support center team members as well as our Board members have undertaken a comprehensive diversity and inclusion training seminar.</w:t>
      </w:r>
    </w:p>
    <w:p>
      <w:pPr>
        <w:spacing w:after="0" w:line="9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we had 3,447 employees, of whom 2,952 were employees of our company-owned restaurants and 495 were corporate employees at our restaurant support centers or in the field. Of our corporate employees, 61% are male and 39% are female, while 61% are white and 39% are people of color. Approximately 80% of our corporate employees are salaried with 20% paid hourly.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 w:name="page14"/>
    <w:bookmarkEnd w:id="13"/>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Of our company owned restaurant employees, 59% are female and 41% are male, while 51% are people of color and 49% are white. Nearly 93% of our company-owned restaurant employees are paid on an hourly basis, while certain restaurant and operations management and corporate positions are salaried. We employ both full-time and part-time restaurant employees in order to provide the flexibility necessary during peak periods of restaurant operations and meet the individual needs of our employees. Our employees are not presently represented by any collective bargaining agreements and we have not experienced any significant work stoppages. We believe our relations with employees are good. Our franchisees are independent business owners and their employees are not our employees. Therefore, their employees are not included in our employee count.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1976 with the name IHOP Corp. In November 2007, we completed the acquisition of Applebee’s, which became a wholly-owned subsidiary of the Company. Effective June 2, 2008, we changed our name to DineEquity, Inc. and on February 20, 2018, we changed our name to Dine Brands Global, Inc. Our principal executive offices are located at 450 North Brand Boulevard, Glendale, California 91203-2306 and our telephone number is (818) 240-6055. Our Internet address is </w:t>
      </w:r>
      <w:r>
        <w:rPr>
          <w:rFonts w:ascii="Times New Roman" w:cs="Times New Roman" w:eastAsia="Times New Roman" w:hAnsi="Times New Roman"/>
          <w:sz w:val="18"/>
          <w:szCs w:val="18"/>
          <w:b w:val="1"/>
          <w:bCs w:val="1"/>
          <w:color w:val="auto"/>
        </w:rPr>
        <w:t>www.dinebrands.com.</w:t>
      </w:r>
      <w:r>
        <w:rPr>
          <w:rFonts w:ascii="Times New Roman" w:cs="Times New Roman" w:eastAsia="Times New Roman" w:hAnsi="Times New Roman"/>
          <w:sz w:val="18"/>
          <w:szCs w:val="18"/>
          <w:color w:val="auto"/>
        </w:rPr>
        <w:t xml:space="preserve"> Our common stock is listed on the New York Stock Exchange (“NYSE”) and trades under the ticker symbol “DIN.”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proxy statements and amendments to those reports filed with or furnished to the United States Securities and Exchange Commission (the “SEC”) pursuant to Section 13(a) or 15(d) of the Securities Exchange Act of 1934, as amended, are available free of charge through our website as soon as reasonably practicable after electronically filing such material with the SEC. The SEC maintains an Internet site that contains periodic reports, proxy and information statements and other information regarding our filings at </w:t>
      </w:r>
      <w:r>
        <w:rPr>
          <w:rFonts w:ascii="Times New Roman" w:cs="Times New Roman" w:eastAsia="Times New Roman" w:hAnsi="Times New Roman"/>
          <w:sz w:val="18"/>
          <w:szCs w:val="18"/>
          <w:b w:val="1"/>
          <w:bCs w:val="1"/>
          <w:color w:val="auto"/>
        </w:rPr>
        <w:t xml:space="preserve">www.sec.gov. </w:t>
      </w:r>
      <w:r>
        <w:rPr>
          <w:rFonts w:ascii="Times New Roman" w:cs="Times New Roman" w:eastAsia="Times New Roman" w:hAnsi="Times New Roman"/>
          <w:sz w:val="18"/>
          <w:szCs w:val="18"/>
          <w:color w:val="auto"/>
        </w:rPr>
        <w:t>The above references to our website and the SEC’s website do not constitute incorporation by reference of the information contained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websites and should not be considered part of this document.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occurrence of any of the events discussed in the following risk factors may materially adversely affect our business, financial condition and results of operations, which may materially adversely affect the value of our common stock. It is not possible to identify or predict all risk factors. There may be risks and uncertainties that are not currently known or that are currently deemed by us to be immaterial. These other risks and uncertainties may also impact our business, financial condition and results of operations.</w:t>
      </w: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and Financial Condition</w:t>
      </w:r>
    </w:p>
    <w:p>
      <w:pPr>
        <w:spacing w:after="0" w:line="185" w:lineRule="exact"/>
        <w:rPr>
          <w:sz w:val="20"/>
          <w:szCs w:val="20"/>
          <w:color w:val="auto"/>
        </w:rPr>
      </w:pPr>
    </w:p>
    <w:p>
      <w:pPr>
        <w:jc w:val="both"/>
        <w:ind w:right="4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novel coronavirus (COVID-19) pandemic has disrupted and may further disrupt our business, which could further materially affect our operations, and business and financial results. In addition, any other epidemic, disease outbreak or public health emergency may result in similar adverse effects.</w:t>
      </w:r>
    </w:p>
    <w:p>
      <w:pPr>
        <w:spacing w:after="0" w:line="203"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The COVID-19 pandemic has impacted and may continue to impact sales and traffic at our and our franchisees’ restaurants, may make it more difficult to staff restaurants and, in more severe cases, may damage our reputation, cause an inability to obtain supplies, increase commodity costs or continue to cause partial or total closures of impacted restaurants. The extent to which the COVID-19 pandemic and other epidemics, disease outbreaks or public health emergencies will impact our business, liquidity, financial condition, and results of operations, will depend on numerous evolving factors that we may not be able to accurately predict or assess, including the duration and scope of the pandemic, epidemic, disease outbreak, or public health emergency; the negative impact on the economy; the short and longer-term impacts on the demand for restaurant services and levels of consumer confidence; the ability of us and our franchisees to successfully navigate the impacts; government action, including restrictions on restaurant operations; increased unemployment; and reductions in consumer discretionary spending. Even if a virus or other disease does not spread significantly, the perceived risk of infection or health risk may damage our reputation and adversely affect our business, liquidity, financial condition and results of operations. The COVID-19 pandemic has heightened many of the other risks described in this Item 1A, “Risk Factors.”</w:t>
      </w:r>
    </w:p>
    <w:p>
      <w:pPr>
        <w:spacing w:after="0" w:line="215"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We and our franchisees have been and could further be adversely affected by government restrictions on public gatherings; shelter-in-place orders; and limitations on operations of restaurants, including dine-in restrictions, mandatory or voluntary closures or restrictions on hours of operations. Certain restaurants in the U.S. and abroad are currently under government mandates or guidelines to temporarily suspend operation of restaurants or limit restaurant dine-in business in light of COVID-19. We are unable to predict when these measures may be scaled back, or how quickly our operations will return to previous levels after the measures are scaled back. Certain other restaurants have had dine-in restrictions and other operational limitations lifted but we are unable to predict whether or when these restrictions may be reinstated or new restrictions may be implemented if the COVID-19 pandemic worsens. To assist franchisees impacted by COVID-19, we have offered deferral of royalty, advertising, and other fees, including, in some cases, lease payments. We have allowed franchisee to defer development obligations for up to 15 months. These changes and any additional changes may materially adversely affect our business, liquidity, financial condition, and results of operations, particularly if these changes are in place for a prolonged amount of time. The COVID-19 pandemic as well as other epidemics, disease outbreaks or public health emergencies may also materially adversely affect our ability to implement our growth plans, including delays in development of new locations or adversely impact our overall ability to successfully execute our plans to enter into new markets.</w:t>
      </w:r>
    </w:p>
    <w:p>
      <w:pPr>
        <w:spacing w:after="0" w:line="220"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As we previously announced, we drew down a significant majority of the amount available under our revolving facility. The increase in our level of debt may adversely affect our financial and operating activities or ability to incur additional debt. Furthermore, the impacts of COVID-19 could cause us to fail to meet certain financial performance measures, including debt service coverage ratios and minimum domestic franchise system sales amounts, that must be met to avoid a possible rapid amortization event or event of default under the terms of our existing debt arrangements. In addition, as a result of the risks described above, we may be required to raise additional capital, and there is no guarantee that debt and/or equity financings will be available in the future to fund our obligations, or will be available on terms consistent with our expectations.</w:t>
      </w:r>
    </w:p>
    <w:p>
      <w:pPr>
        <w:spacing w:after="0" w:line="2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affected by general economic conditions that are largely out of our control. </w:t>
      </w:r>
      <w:r>
        <w:rPr>
          <w:rFonts w:ascii="Times New Roman" w:cs="Times New Roman" w:eastAsia="Times New Roman" w:hAnsi="Times New Roman"/>
          <w:sz w:val="18"/>
          <w:szCs w:val="18"/>
          <w:color w:val="auto"/>
        </w:rPr>
        <w:t>Our business is dependent to a significant extent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regional and local economic conditions, and, to a lesser extent, on global economic conditions, particularly those conditions affecting the demographics of the guests that frequently patronize Applebee's or IHOP restaurants. If our customers' disposable income available for discretionary spending is reduced (because of circumstances such as job losses, credit constraints, higher housing costs, changes to tax regulations, energy costs, interest rates or other costs) or if the perceived wealth of customers decreases (because of circumstances such as lower residential real estate values, increased foreclosure rates, changes to tax regulations or other economic disruptions), our business could experience a decline in sales and/or customer traffic as potential customers choose lower-cost alternatives (such as quick-service restaurants) or other alternatives to dining out. Additionally, negative trends in the availability of credit and in expenses such as interest rates and the cost of construction materials could affect our and our franchisees' ability to maintain and remodel existing restaurants. Any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t>decreases in customer traffic or average customer check due to these or other reasons could reduce gross sales at our and our franchised restaurants, resulting in lower revenues, royalty payments and other payments from franchisees. This could negatively impact the financial performance of our company-operated restaurants and reduce the profitability of franchised restaurants, potentially impacting the ability of franchisees to make royalty payments owed to us when due and negatively impacting franchisees’ ability to develop new restaurants as may be required in their respective development agreements.</w:t>
      </w:r>
    </w:p>
    <w:p>
      <w:pPr>
        <w:spacing w:after="0" w:line="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level of indebtedness could adversely affect our financial health and prevent us from fulfilling our obligations under our debt. </w:t>
      </w:r>
      <w:r>
        <w:rPr>
          <w:rFonts w:ascii="Times New Roman" w:cs="Times New Roman" w:eastAsia="Times New Roman" w:hAnsi="Times New Roman"/>
          <w:sz w:val="18"/>
          <w:szCs w:val="18"/>
          <w:color w:val="auto"/>
        </w:rPr>
        <w:t>As of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2020, certain of our indirect, wholly-owned subsidiaries had approximately $1.5 billion of long-term debt. In addition, we had approximately $0.5 billion in operating lease, finance lease and other financing obligations as of December 31, 2020. We may incur substantial additional indebtedness in the future. If new debt is added to our current debt levels, the related risks that we now face could increase. Our level of indebtedness and the financial and other restrictive covenants in our indebtedness could have important consequences to our financial health. For example, it could:</w:t>
      </w:r>
    </w:p>
    <w:p>
      <w:pPr>
        <w:spacing w:after="0" w:line="214" w:lineRule="exact"/>
        <w:rPr>
          <w:sz w:val="20"/>
          <w:szCs w:val="20"/>
          <w:color w:val="auto"/>
        </w:rPr>
      </w:pPr>
    </w:p>
    <w:p>
      <w:pPr>
        <w:ind w:left="580" w:right="560" w:hanging="248"/>
        <w:spacing w:after="0" w:line="261"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debt or refinance any of our debt on attractive terms, commercially reasonable terms, or at all;</w:t>
      </w: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or a downturn in our business;</w:t>
      </w:r>
    </w:p>
    <w:p>
      <w:pPr>
        <w:spacing w:after="0" w:line="9" w:lineRule="exact"/>
        <w:rPr>
          <w:rFonts w:ascii="Times New Roman" w:cs="Times New Roman" w:eastAsia="Times New Roman" w:hAnsi="Times New Roman"/>
          <w:sz w:val="18"/>
          <w:szCs w:val="18"/>
          <w:color w:val="auto"/>
        </w:rPr>
      </w:pPr>
    </w:p>
    <w:p>
      <w:pPr>
        <w:ind w:left="580" w:right="160" w:hanging="248"/>
        <w:spacing w:after="0" w:line="250"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debt service, thereby reducing the availability of our cash flow to pay dividends to our stockholders, repurchase shares of our common stock, fund working capital, capital expenditures and other general corporate purposes;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are not as highly leveraged;</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9" w:lineRule="exact"/>
        <w:rPr>
          <w:rFonts w:ascii="Times New Roman" w:cs="Times New Roman" w:eastAsia="Times New Roman" w:hAnsi="Times New Roman"/>
          <w:sz w:val="18"/>
          <w:szCs w:val="18"/>
          <w:color w:val="auto"/>
        </w:rPr>
      </w:pPr>
    </w:p>
    <w:p>
      <w:pPr>
        <w:ind w:left="580" w:right="180" w:hanging="248"/>
        <w:spacing w:after="0" w:line="250"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taking actions that we believe would be in the best interest of our business and make it difficult for us to successfully execute our business strategy;</w:t>
      </w:r>
    </w:p>
    <w:p>
      <w:pPr>
        <w:ind w:left="580" w:right="460" w:hanging="248"/>
        <w:spacing w:after="0" w:line="250"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risks associated with rising interest rates and uncertainty related to the proposed phase-out of the London Interbank Offered Rate (LIBOR); and</w:t>
      </w:r>
    </w:p>
    <w:p>
      <w:pPr>
        <w:jc w:val="both"/>
        <w:ind w:left="580" w:right="280" w:hanging="248"/>
        <w:spacing w:after="0" w:line="255"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if we fail to satisfy our obligations under our debt or fail to comply with the financial and other restrictive covenants contained in our debt documents, which event of default could result in all of our debt becoming immediately due and payable and could permit certain of our lenders to foreclose on our assets securing such debt.</w:t>
      </w:r>
    </w:p>
    <w:p>
      <w:pPr>
        <w:spacing w:after="0" w:line="20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terms of the securitized debt issued by certain of our indirect, wholly-owned subsidiaries have restrictive terms and the failure to comply with such restrictive terms could put us in default, which would have an adverse effect on our business and prospects. </w:t>
      </w:r>
      <w:r>
        <w:rPr>
          <w:rFonts w:ascii="Times New Roman" w:cs="Times New Roman" w:eastAsia="Times New Roman" w:hAnsi="Times New Roman"/>
          <w:sz w:val="18"/>
          <w:szCs w:val="18"/>
          <w:color w:val="auto"/>
        </w:rPr>
        <w:t>Unless and until we repay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borrowings under our securitized debt, we will remain subject to the restrictive terms of the securitized debt issued by certain of our indirect, wholly-owned subsidiaries. For example, the indenture entered into by such subsidiaries in connection with the securitized debt contains covenants that limit the ability of certain of our wholly-owned subsidiaries to, among other things: sell assets; alter the business conducted by such subsidiaries; engage in mergers or acquisitions; declare dividends or redeem or purchase certain equity interests; incur, assume or permit to exist additional indebtedness or guarantees; make loans and investments; incur liens; and enter into transactions with affiliates other than on an arms-length basis. These covenants are applicable only to the securitization subsidiaries and do not apply to any of Dine Brands Global, Inc., International House of Pancakes, LLC, Applebee’s International, Inc. or Dine Brands International, Inc. as these entities are not parties to the indenture. A breach of a covenant could result in a rapid amortization event or default under the securitized debt.</w:t>
      </w:r>
    </w:p>
    <w:p>
      <w:pPr>
        <w:spacing w:after="0" w:line="21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Further, the securitized debt also includes limitations on our ability to incur additional indebtedness and contains a number of financial performance measures that must be met to avoid a possible rapid amortization event or event of default. The most significant of these measures include a minimum debt service coverage ratio and minimum domestic franchise system sales. The ability to meet these financial performance measures can be affected by events beyond our control and there can be no assurance that we will satisfy these financial measures.</w:t>
      </w:r>
    </w:p>
    <w:p>
      <w:pPr>
        <w:spacing w:after="0" w:line="20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If amounts owed under the securitized debt are accelerated because of a default and we are unable to pay such amounts, the investors may have the right to assume control of substantially all of the securitized assets, which consist of substantially all of our domestic revenue-generating assets and domestic intellectual property.</w:t>
      </w:r>
    </w:p>
    <w:p>
      <w:pPr>
        <w:spacing w:after="0" w:line="20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During the five-year term following issuance, the outstanding fixed-rate class A-2-I senior notes will accrue interest at a rate of 4.194% per year. During the seven-year term following issuance, the outstanding fixed-rate class A-2-II senior notes will accrue interest at a rate of 4.723% per year. Additionally, the fixed-rate class A-2-I and class A-2-II senior notes have scheduled quarterly principal amortization payments of $1.75 million and $1.5 million, respectively. If we maintain a leverage ratio of less than or equal to 5.25x total debt to adjusted EBITDA, we may elect to not make the scheduled principal payments. From time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right="100"/>
        <w:spacing w:after="0" w:line="261" w:lineRule="auto"/>
        <w:rPr>
          <w:sz w:val="20"/>
          <w:szCs w:val="20"/>
          <w:color w:val="auto"/>
        </w:rPr>
      </w:pPr>
      <w:r>
        <w:rPr>
          <w:rFonts w:ascii="Times New Roman" w:cs="Times New Roman" w:eastAsia="Times New Roman" w:hAnsi="Times New Roman"/>
          <w:sz w:val="18"/>
          <w:szCs w:val="18"/>
          <w:color w:val="auto"/>
        </w:rPr>
        <w:t>to time, our leverage ratio has exceeded the 5.25x total debt to adjusted EBITDA ratio and we have made the required scheduled principal payments. If we are unable to refinance or repay amounts under the securitized debt prior to the expiration of the applicable five- or seven-year term, our cash flow would be directed to the repayment of the securitized debt and, other than a weekly management fee sufficient to cover minimal selling, general and administrative expenses, would not be available for operating our business.</w:t>
      </w:r>
    </w:p>
    <w:p>
      <w:pPr>
        <w:spacing w:after="0" w:line="20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the event that a rapid amortization event occurs under the indenture (including, without limitation, upon an event of default under the indenture or the failure to repay the securitized debt at the end of the applicable five- or seven-year term), the funds available to us would be reduced or eliminated, which would in turn reduce our ability to operate or grow our business.</w:t>
      </w:r>
    </w:p>
    <w:p>
      <w:pPr>
        <w:spacing w:after="0" w:line="19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refinance all or a portion of our indebtedness or obtain additional financing depends on many factors beyond our control. </w:t>
      </w:r>
      <w:r>
        <w:rPr>
          <w:rFonts w:ascii="Times New Roman" w:cs="Times New Roman" w:eastAsia="Times New Roman" w:hAnsi="Times New Roman"/>
          <w:sz w:val="18"/>
          <w:szCs w:val="18"/>
          <w:color w:val="auto"/>
        </w:rPr>
        <w:t>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assurance can be given that any refinancing or additional financing will be possible when needed or that we will be able to negotiate favorable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Further, changes by any rating agency to our credit rating may negatively impact the value and liquidity of both our debt and equity securities, as well as the potential costs associated with refinancing our debt. Downgrades in our credit ratings could also affect the terms of any such financing and restrict our ability to obtain additional financing in the future.</w:t>
      </w:r>
    </w:p>
    <w:p>
      <w:pPr>
        <w:spacing w:after="0" w:line="21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heavily dependent on information technology and any material failure of that technology could impair our ability to effectively and efficiently operate our business. </w:t>
      </w:r>
      <w:r>
        <w:rPr>
          <w:rFonts w:ascii="Times New Roman" w:cs="Times New Roman" w:eastAsia="Times New Roman" w:hAnsi="Times New Roman"/>
          <w:sz w:val="18"/>
          <w:szCs w:val="18"/>
          <w:color w:val="auto"/>
        </w:rPr>
        <w:t>We rely heavily on information technology systems across our operations, including point-of-sale processing in our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franchisees' restaurants, online ordering and delivery, management of our supply chain, collection of cash and other receivables, payment of obligations and various other processes and procedures. Our ability to effectively and efficiently manage our business depends significantly on the reliability and capacity of these systems. The failure of these systems to operate effectively, problems with maintenance, upgrades or the transition to replacement systems, inaccurate or fraudulent manipulation of sales reporting from our restaurants resulting in loss of sales and royalty payments, or a breach in security of these systems could be harmful and cause delays in customer service, reduce efficiency in our operations and negatively impact our business. Significant capital investment might be required to remediate any problems.</w:t>
      </w:r>
    </w:p>
    <w:p>
      <w:pPr>
        <w:spacing w:after="0" w:line="21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addition, we outsource certain essential technology-based business processes to third-party vendors and we may share sensitive financial and other information with third party vendors which subjects us to risks, including disruptions in business, increased costs and exposure to data breaches or privacy law compliance issues of our third-party vendors.</w:t>
      </w:r>
    </w:p>
    <w:p>
      <w:pPr>
        <w:spacing w:after="0" w:line="19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occurrence of cyber incidents, or a deficiency in our cybersecurity, could negatively impact our business by causing a disruption to our operations, a compromise or corruption of our confidential information, and/or damage to our employee and business relationships, all of which could subject us to loss and harm our brands. </w:t>
      </w:r>
      <w:r>
        <w:rPr>
          <w:rFonts w:ascii="Times New Roman" w:cs="Times New Roman" w:eastAsia="Times New Roman" w:hAnsi="Times New Roman"/>
          <w:sz w:val="18"/>
          <w:szCs w:val="18"/>
          <w:color w:val="auto"/>
        </w:rPr>
        <w:t>Any adverse event that threatens the confidentiality, integrity, or availability of our information resources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to be a cyber incident. More specifically, a cyber incident is an intentional attack or an unintentional event that can include gaining unauthorized access to systems to disrupt operations, corrupt data, or steal confidential information about our customers, franchisees, vendors and employees. As our reliance on technology has increased, so have the risks posed to our systems, both internal and those that we have outsourced. Primary adverse events that could directly result from the occurrence of a cyber incident include (i) exposure of confidential data about our customers, franchisees, vendors and employees, (ii) damage to the reputation of our brands (iii) damage to our relationship with our franchisees; (iv) interruption of our business; and (v) an event of default under our securitized debt agreements if a cybersecurity breach impacts our ability to comply with the terms of securitized debt agreements. We, our franchisees, third-party vendors and others with whom we may do business or interact with may have inadequate cyber liability insurance or coverage terms may be restrictive or insufficient to cover potential losses and remediation costs associated with a cyber incident.</w:t>
      </w:r>
    </w:p>
    <w:p>
      <w:pPr>
        <w:spacing w:after="0" w:line="213"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As a merchant and service provider of point of sale related services, we and our franchisees are subject to PCI DSS, issued by the Payment Card Industry Council. PCI DSS contains compliance guidelines and standards with regard to our security surrounding the physical and electronic storage, processing and transmission of individual cardholder data. Despite our cybersecurity measures and our efforts to comply with PCI DSS guidelines, we cannot be certain that all of our information technology systems are able to prevent, contain or detect any cyber-attacks or security breaches from known malware or malware that may be developed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use of personal information is regulated by international, federal and state laws, as well as by certain third-party agreements. If our security and information systems are compromised or if our employees or franchisees fail to comply with these laws and regulations, and this information is obtained by unauthorized persons or used inappropriately, it could adversely affect our reputation and could disrupt our operations and result in costly litigation, judgments, or penalties resulting from violation of federal and state laws and payment card industry regulations. As privacy and information security laws and regulations change, we may incur additional costs to ensure that we remain in compliance with those laws and regulations. For example, we are subject to the California Consumer Privacy Act and pending California Privacy Rights Act, which require various processes and protections to be implemented.</w:t>
      </w:r>
    </w:p>
    <w:p>
      <w:pPr>
        <w:spacing w:after="0" w:line="210" w:lineRule="exact"/>
        <w:rPr>
          <w:sz w:val="20"/>
          <w:szCs w:val="20"/>
          <w:color w:val="auto"/>
        </w:rPr>
      </w:pPr>
    </w:p>
    <w:p>
      <w:pPr>
        <w:ind w:right="160" w:firstLine="32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doing business in international markets</w:t>
      </w:r>
      <w:r>
        <w:rPr>
          <w:rFonts w:ascii="Times New Roman" w:cs="Times New Roman" w:eastAsia="Times New Roman" w:hAnsi="Times New Roman"/>
          <w:sz w:val="18"/>
          <w:szCs w:val="18"/>
          <w:color w:val="auto"/>
        </w:rPr>
        <w:t>. Our expansion into and continued operations in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could create risks to our brands and reputation. There is no assurance that our international operations will be profitable or that international growth will continue. Our international operations are subject to the same risks associated with our domestic operations, as well as a number of additional risks. These include, among other things, international economic and political conditions, issues with collections, international currency fluctuations, difficulty in enforcing intellectual property rights, terrorism, civil unrest, global travel risks and differing cultures and consumer preferences.</w:t>
      </w:r>
    </w:p>
    <w:p>
      <w:pPr>
        <w:spacing w:after="0" w:line="21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also are subject to governmental regulations throughout the world that impact the way we do business with our international franchisees and vendors. These include antitrust and tax requirements, import/export/customs regulations, anti-boycott regulations, other international trade regulations, the USA Patriot Act and the Foreign Corrupt Practices Act. Failure to comply with any such legal requirements could subject us to monetary liabilities and other sanctions, which could harm our business, results of operations and financial condition.</w:t>
      </w:r>
    </w:p>
    <w:p>
      <w:pPr>
        <w:spacing w:after="0" w:line="20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subject to litigation and other legal proceedings that could be time consuming, require significant amounts of management time and result in the diversion of significant operational resources. </w:t>
      </w:r>
      <w:r>
        <w:rPr>
          <w:rFonts w:ascii="Times New Roman" w:cs="Times New Roman" w:eastAsia="Times New Roman" w:hAnsi="Times New Roman"/>
          <w:sz w:val="18"/>
          <w:szCs w:val="18"/>
          <w:color w:val="auto"/>
        </w:rPr>
        <w:t>We are involved in lawsuits, claims and proceedings incident to the ordinary course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Litigation is inherently unpredictable. Any claims against us, whether meritorious or not, could be time consuming, result in costly litigation, require significant amounts of management time and result in the diversion of significant operational resources. There have been a growing number of lawsuits in recent years. There also has been a rise in employment-related lawsuits. From time to time, we have been subject to these types of lawsuits. The cost of defending claims against us or the ultimate resolution of such claims may harm our business and operating results. In addition, the increasingly regulated business environment may result in a greater number of enforcement actions and private litigation. This could subject us to increased exposure to stockholder lawsuits.</w:t>
      </w:r>
    </w:p>
    <w:p>
      <w:pPr>
        <w:spacing w:after="0" w:line="216" w:lineRule="exact"/>
        <w:rPr>
          <w:sz w:val="20"/>
          <w:szCs w:val="20"/>
          <w:color w:val="auto"/>
        </w:rPr>
      </w:pPr>
    </w:p>
    <w:p>
      <w:pPr>
        <w:ind w:right="60" w:firstLine="636"/>
        <w:spacing w:after="0" w:line="261" w:lineRule="auto"/>
        <w:rPr>
          <w:sz w:val="20"/>
          <w:szCs w:val="20"/>
          <w:color w:val="auto"/>
        </w:rPr>
      </w:pPr>
      <w:r>
        <w:rPr>
          <w:rFonts w:ascii="Times New Roman" w:cs="Times New Roman" w:eastAsia="Times New Roman" w:hAnsi="Times New Roman"/>
          <w:sz w:val="18"/>
          <w:szCs w:val="18"/>
          <w:color w:val="auto"/>
        </w:rPr>
        <w:t>We and our franchisees are subject to complaints or litigation from guests alleging illness, injury or other food quality, food safety, health or operational concerns as well as claims related to social issues (e.g., allegations of discrimination), the Americans with Disabilities Act and other premises liability. We and our franchisees are also subject to "dram shop" laws in some states pursuant to which we and our franchisees may be subject to liability in connection with personal injuries or property damages incurred in connection with wrongfully serving alcoholic beverages to an intoxicated person.</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our franchise agreements require our franchisees to defend and indemnify us, we may be named as a defendant and sustain liability in legal proceedings against franchisees under the doctrines of vicarious liability, agency, negligence or otherwise. Claims against our franchisees may reduce the ability of our franchisees to make payments to us. We may also initiate legal proceedings against franchisees for breach of the terms of their franchise agreements, including underreporting of sales, failure to operate restaurants according to standard operating procedures and payment defaults. These claims also may reduce the ability of franchisees to enter into new franchise agreements with us.</w:t>
      </w:r>
    </w:p>
    <w:p>
      <w:pPr>
        <w:spacing w:after="0" w:line="20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Third-party claims with respect to intellectual property assets, if decided against us, may result in competing uses or require adoption of new, non-infringing intellectual property, which may in turn adversely affect sales and revenues. </w:t>
      </w:r>
      <w:r>
        <w:rPr>
          <w:rFonts w:ascii="Times New Roman" w:cs="Times New Roman" w:eastAsia="Times New Roman" w:hAnsi="Times New Roman"/>
          <w:sz w:val="18"/>
          <w:szCs w:val="18"/>
          <w:color w:val="auto"/>
        </w:rPr>
        <w:t>We regard our service marks and trademarks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businesses as having significant value and being important to our marketing efforts. To protect our brands from infringement, we rely on contracts, copyrights, patents, trademarks, service marks and other common law rights, such as trade secret and unfair competition laws. We have registered certain trademarks and service marks in the United States and international jurisdictions; however, effective intellectual property protection may not be available in every country in which we have or intend to open or franchise a restaurant. Although we believe we have taken appropriate measures to protect our intellectual property, there can be no assurance that these protections will be adequate.</w:t>
      </w:r>
    </w:p>
    <w:p>
      <w:pPr>
        <w:spacing w:after="0" w:line="21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addition, there can be no assurance that third parties will not assert infringement or misappropriation claims against us, or assert claims that our rights in our trademarks, service marks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right="160"/>
        <w:spacing w:after="0" w:line="258" w:lineRule="auto"/>
        <w:rPr>
          <w:sz w:val="20"/>
          <w:szCs w:val="20"/>
          <w:color w:val="auto"/>
        </w:rPr>
      </w:pPr>
      <w:r>
        <w:rPr>
          <w:rFonts w:ascii="Times New Roman" w:cs="Times New Roman" w:eastAsia="Times New Roman" w:hAnsi="Times New Roman"/>
          <w:sz w:val="18"/>
          <w:szCs w:val="18"/>
          <w:color w:val="auto"/>
        </w:rPr>
        <w:t>of intellectual property which, in turn, could lead to a decline in restaurant revenues and sales of other branded products and services (if any).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w:t>
      </w:r>
    </w:p>
    <w:p>
      <w:pPr>
        <w:spacing w:after="0" w:line="206"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delivery initiatives and use of third-party delivery vendors subjects us and our franchisees to a variety of risks related to the delivery of our products by third parties and may not generate expected returns</w:t>
      </w:r>
      <w:r>
        <w:rPr>
          <w:rFonts w:ascii="Times New Roman" w:cs="Times New Roman" w:eastAsia="Times New Roman" w:hAnsi="Times New Roman"/>
          <w:sz w:val="18"/>
          <w:szCs w:val="18"/>
          <w:color w:val="auto"/>
        </w:rPr>
        <w:t>. There can be no assurance that delivery vendors will not take actions that could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adverse effect on our brands and or subject us to increased litigation and costs. Our delivery initiatives also introduce new operating procedures to our and our franchisees’ restaurants, which could adversely affect the business, brands, and the experience of our guests.</w:t>
      </w:r>
    </w:p>
    <w:p>
      <w:pPr>
        <w:spacing w:after="0" w:line="20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depends on the proper allocation of our human capital and our ability to attract and retain talented management and other key employees. </w:t>
      </w:r>
      <w:r>
        <w:rPr>
          <w:rFonts w:ascii="Times New Roman" w:cs="Times New Roman" w:eastAsia="Times New Roman" w:hAnsi="Times New Roman"/>
          <w:sz w:val="18"/>
          <w:szCs w:val="18"/>
          <w:color w:val="auto"/>
        </w:rPr>
        <w:t>We have dedicated brand resources for key functions such as marketing, consumer insights and operations and a shared service model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other functions such as legal, technology and human resources. There can be no assurance that our allocation of our human capital will effectively meet the needs of our business and brands. Further, our business is based on successfully attracting and retaining talented employees. The market for highly skilled employees and leaders in our industry is extremely competitive. If we are less successful in our recruiting efforts, or if we are unable to retain management and other key employees, our ability to develop and deliver successful products and services may be adversely affected. Effective succession planning is also important to our long-term success. The departure of a key executive or employee and/or the failure to ensure an effective transfer of knowledge and a smooth transition upon such departure may be disruptive to the business and could hinder our strategic planning and execution.</w:t>
      </w:r>
    </w:p>
    <w:p>
      <w:pPr>
        <w:spacing w:after="0" w:line="212" w:lineRule="exact"/>
        <w:rPr>
          <w:sz w:val="20"/>
          <w:szCs w:val="20"/>
          <w:color w:val="auto"/>
        </w:rPr>
      </w:pPr>
    </w:p>
    <w:p>
      <w:pPr>
        <w:ind w:right="20" w:firstLine="24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or the failure of our franchisees to comply with federal, state and local governmental regulations may subject us to losses and harm our brands. </w:t>
      </w:r>
      <w:r>
        <w:rPr>
          <w:rFonts w:ascii="Times New Roman" w:cs="Times New Roman" w:eastAsia="Times New Roman" w:hAnsi="Times New Roman"/>
          <w:sz w:val="18"/>
          <w:szCs w:val="18"/>
          <w:color w:val="auto"/>
        </w:rPr>
        <w:t>We and our franchisees are subject to the Fair Labor Standards Act (which governs such matters as minimum wage, overtime, collective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bargaining and other working conditions), along with the Americans with Disabilities Act (which provides civil rights protections to individuals with disabilities in the context of employment, public accommodations, and other areas), the Immigration Reform and Control Act of 1986, various family leave mandates and a variety of other laws enacted, or rules and regulations promulgated by federal, state and local governmental authorities that govern these and other employment matters, including tip credits, working conditions, safety standards, collective bargaining and immigration status. There have been several complaints alleging franchisors to be joint employers with franchisees. Although we do not consider ourselves to be joint employers with our franchisees, there can be no assurance that other franchisors will not receive similar complaints in the future which may result in legal proceedings based on the actions of franchisees. Increases in payroll expenses as a result of any federal and state mandated increases in the minimum wage or changes to the tip credit may negatively impact our and our franchisees’ profitability. Enactment and enforcement of various federal, state and local laws, rules and regulations on immigration, collective bargaining and labor organizations may adversely impact the availability and costs of labor in a particular area or across the United States. Other labor shortages, unionization or increased team member turnover could also impact labor costs. In addition, our vendors may be affected by higher minimum wage standards or availability of labor, which may increase the price of goods and services they supply to us. The Patient Protection and Affordable Care Act has impacted our franchisees’ employee costs in some respects. There are no assurances that a combination of cost management and price increases can accommodate all of the costs associated with compliance.</w:t>
      </w:r>
    </w:p>
    <w:p>
      <w:pPr>
        <w:spacing w:after="0" w:line="21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and our franchisees are subject to extensive federal, state and local governmental regulations, including those relating to food safety and inspection and the preparation and sale of food and alcoholic beverages. Disruptions within any government agencies could impact the U.S. food industry, which may have an adverse effect on our business. We and our franchisees are also subject to laws and regulations relating to building and zoning requirements. Our and our franchisees' restaurants are also subject to licensing and regulation by alcoholic beverage control, health, sanitation, safety and fire agencies in the state, county and/or municipality where the restaurant is located. We cannot assure you that we or our franchisees will not encounter material difficulties or failures, including with respect to obtaining and maintaining required licenses and approvals, which could impact the continuing operations of an existing restaurant, or delay or prevent the opening of a new restaurant.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9" w:name="page20"/>
    <w:bookmarkEnd w:id="19"/>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subject to laws and regulations, which vary from jurisdiction to jurisdiction, relating to nutritional content and menu labeling. Compliance with these laws and regulations may lead to increased costs and operational complexity and may increase our exposure to governmental investigations or litigation. In connection with the continued operation or remodeling of certain restaurants, we and our franchisees may be required to expend funds to meet federal, state, local and international regulations. The inability to obtain or maintain such licenses or publicity resulting from actual or alleged violations of such laws could have an adverse effect on our results of operations.</w:t>
      </w:r>
    </w:p>
    <w:p>
      <w:pPr>
        <w:spacing w:after="0" w:line="21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federal regulation and certain foreign and state laws, including state laws that govern the offer and sale of franchises. Many state franchise laws contain provisions that supersede the terms of franchise agreements, including provisions concerning the termination or non-renewal of a franchise. Some state franchise laws require that certain materials be registered before franchises can be offered or sold in that state. The failure to obtain or retain licenses or approvals to sell franchises could adversely affect us and the franchisees. Changes in, and the cost of compliance with, government regulations could have a material effect on operations.</w:t>
      </w:r>
    </w:p>
    <w:p>
      <w:pPr>
        <w:spacing w:after="0" w:line="21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Finally, regulatory changes or actions under current or future U.S. political administrations may impact the laws or regulations described above. We cannot predict whether or when any of these potential changes in law might become effective in any jurisdiction nor the impact, if any, of these changes to our business.</w:t>
      </w:r>
    </w:p>
    <w:p>
      <w:pPr>
        <w:spacing w:after="0" w:line="199"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self-insurance for medical, dental and vision benefits. </w:t>
      </w:r>
      <w:r>
        <w:rPr>
          <w:rFonts w:ascii="Times New Roman" w:cs="Times New Roman" w:eastAsia="Times New Roman" w:hAnsi="Times New Roman"/>
          <w:sz w:val="18"/>
          <w:szCs w:val="18"/>
          <w:color w:val="auto"/>
        </w:rPr>
        <w:t>We self-insure all of our employee medical, dental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benefits. We maintain a per claim stop loss coverage but do not maintain coverage at an aggregate level. Our reserves are based on historical loss trends that may not correlate to actual loss experience in the future. If we experience an unexpectedly large number of claims that result in costs or liabilities in excess of our projections, our reserves may prove to be insufficient and we may be exposed to significant and unexpected losses. For these and other reasons, including our inability to renew stop loss coverage at competitive rates, we are subject to risks associated with self-insurance that may have an adverse effect on our financial condition and operating results.</w:t>
      </w:r>
    </w:p>
    <w:p>
      <w:pPr>
        <w:spacing w:after="0" w:line="213"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access to personal medical information is regulated by federal, state and/or local laws as well as by certain third-party agreements. If our security and information systems or the systems of our third-party vendors are compromised, we could be subject to costly litigation or penalties and our reputation and operations could be adversely affected.</w:t>
      </w:r>
    </w:p>
    <w:p>
      <w:pPr>
        <w:spacing w:after="0" w:line="19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or failure to execute on a comprehensive business continuity plan following a major natural disaster such as an earthquake, tornado, flood or a man-made disaster, including terrorism, civil unrest or a cyber incident, at or affecting our corporate facilities could materially adversely impact our business. </w:t>
      </w:r>
      <w:r>
        <w:rPr>
          <w:rFonts w:ascii="Times New Roman" w:cs="Times New Roman" w:eastAsia="Times New Roman" w:hAnsi="Times New Roman"/>
          <w:sz w:val="18"/>
          <w:szCs w:val="18"/>
          <w:color w:val="auto"/>
        </w:rPr>
        <w:t>Our corporate systems and processes and corporate support for our restaurant operations are handled primarily at our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centers. We have disaster recovery procedures and business continuity plans in place to address most events of a crisis nature, including earthquakes, tornadoes, floods and other natural or man-made disasters, and back up and off-site locations for recovery of electronic and other forms of data and information.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 and exposure to administrative and other legal claims.</w:t>
      </w:r>
    </w:p>
    <w:p>
      <w:pPr>
        <w:spacing w:after="0" w:line="215"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initiatives outside our core business could negatively impact our brands. </w:t>
      </w:r>
      <w:r>
        <w:rPr>
          <w:rFonts w:ascii="Times New Roman" w:cs="Times New Roman" w:eastAsia="Times New Roman" w:hAnsi="Times New Roman"/>
          <w:sz w:val="18"/>
          <w:szCs w:val="18"/>
          <w:color w:val="auto"/>
        </w:rPr>
        <w:t>Our business expansion into non-traditional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formats, including restaurants with a smaller footprint, restaurants located in non-traditional locations and restaurants that operate on a delivery-only and/or ghost kitchen basis, could create new risks to our brand and reputation.</w:t>
      </w:r>
    </w:p>
    <w:p>
      <w:pPr>
        <w:spacing w:after="0" w:line="19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of our internal controls over financial reporting and future changes in accounting standards may cause adverse unexpected operating results, affect our reported results of operations or otherwise harm our business and financial results. </w:t>
      </w:r>
      <w:r>
        <w:rPr>
          <w:rFonts w:ascii="Times New Roman" w:cs="Times New Roman" w:eastAsia="Times New Roman" w:hAnsi="Times New Roman"/>
          <w:sz w:val="18"/>
          <w:szCs w:val="18"/>
          <w:color w:val="auto"/>
        </w:rPr>
        <w:t>Our management is responsible for establishing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maintaining effective internal controls over financial reporting. Internal controls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change in accounting standards can have a significant effect on our reported results and may affect our reporting of transactions before the change is effective. New pronouncements and varying interpretations of pronouncements have occurred and may occur in the future. Changes to existing accounting rules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Franchised Business Model</w:t>
      </w:r>
    </w:p>
    <w:p>
      <w:pPr>
        <w:spacing w:after="0" w:line="293" w:lineRule="exact"/>
        <w:rPr>
          <w:sz w:val="20"/>
          <w:szCs w:val="20"/>
          <w:color w:val="auto"/>
        </w:rPr>
      </w:pPr>
    </w:p>
    <w:p>
      <w:pPr>
        <w:ind w:right="2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 development plans under development agreements may not be implemented effectively and developed restaurants may not achieve desired results. </w:t>
      </w:r>
      <w:r>
        <w:rPr>
          <w:rFonts w:ascii="Times New Roman" w:cs="Times New Roman" w:eastAsia="Times New Roman" w:hAnsi="Times New Roman"/>
          <w:sz w:val="18"/>
          <w:szCs w:val="18"/>
          <w:color w:val="auto"/>
        </w:rPr>
        <w:t>We rely on franchisees to develop Applebee's and IHOP restaurants. From time to time, our franchisees have failed to fulfill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to build new restaurants in the numbers and within the timeframes required by their development agreements, and we expect that this will continue to varying degrees in the future. Restaurant development and the success of restaurants opened by our franchisees involve substantial risks, including the following:</w:t>
      </w:r>
    </w:p>
    <w:p>
      <w:pPr>
        <w:spacing w:after="0" w:line="210" w:lineRule="exact"/>
        <w:rPr>
          <w:sz w:val="20"/>
          <w:szCs w:val="20"/>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Applebee’s and IHOP restaurants and the selection of appropriate franchisee candidates;</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construction, permit issuance and regulatory compliance;</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locations and terms for potential development sites, including lease or purchase terms for new locations;</w:t>
      </w:r>
    </w:p>
    <w:p>
      <w:pPr>
        <w:spacing w:after="0" w:line="9" w:lineRule="exact"/>
        <w:rPr>
          <w:rFonts w:ascii="Times New Roman" w:cs="Times New Roman" w:eastAsia="Times New Roman" w:hAnsi="Times New Roman"/>
          <w:sz w:val="18"/>
          <w:szCs w:val="18"/>
          <w:color w:val="auto"/>
        </w:rPr>
      </w:pPr>
    </w:p>
    <w:p>
      <w:pPr>
        <w:ind w:left="580" w:right="680" w:hanging="248"/>
        <w:spacing w:after="0" w:line="250"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at acceptable rates and terms, to both franchisees and third-party landlords, for restaurant development and/or implementation of our business strategy through new remodel programs and other operational changes;</w:t>
      </w: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construction permits and in completion of construction;</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suitable development sites;</w:t>
      </w:r>
    </w:p>
    <w:p>
      <w:pPr>
        <w:spacing w:after="0" w:line="9" w:lineRule="exact"/>
        <w:rPr>
          <w:rFonts w:ascii="Times New Roman" w:cs="Times New Roman" w:eastAsia="Times New Roman" w:hAnsi="Times New Roman"/>
          <w:sz w:val="18"/>
          <w:szCs w:val="18"/>
          <w:color w:val="auto"/>
        </w:rPr>
      </w:pPr>
    </w:p>
    <w:p>
      <w:pPr>
        <w:ind w:left="580" w:right="300" w:hanging="248"/>
        <w:spacing w:after="0" w:line="250"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rules, regulations, and interpretations (including interpretations of the requirements of the Americans with Disabilities Act); and</w:t>
      </w: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23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developed restaurants may not achieve desired revenue or cash flow levels once opened. This could result in restaurant closures, which may be significant in number, and may cause our royalty revenues and financial performance to decline. The inability to open new restaurants that achieve and sustain acceptable sales volumes and/or the closure of existing restaurants that do not achieve or sustain acceptable sales volumes may have a material adverse effect on our business and financial condition.</w:t>
      </w:r>
    </w:p>
    <w:p>
      <w:pPr>
        <w:spacing w:after="0" w:line="20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significantly franchised; as a result, we are highly dependent upon our franchisees. </w:t>
      </w:r>
      <w:r>
        <w:rPr>
          <w:rFonts w:ascii="Times New Roman" w:cs="Times New Roman" w:eastAsia="Times New Roman" w:hAnsi="Times New Roman"/>
          <w:sz w:val="18"/>
          <w:szCs w:val="18"/>
          <w:color w:val="auto"/>
        </w:rPr>
        <w:t>All IHOP and almost all Applebee’s restaurants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and operated by our franchisees. Our dependence on our franchisees could adversely affect us, our brands, and our business, financial condition and results of operations. Our financial results are significantly contingent upon the performance of our franchised restaurants because we derive a substantial portion of our revenues from royalties that are based on a percentage of gross sales at franchised restaurants. Worsening economic conditions and declining trends in sales, traffic and/or average check could impact the performance of our franchised restaurants, resulting in lower royalty, advertising fund and other payments from franchisees. If declining conditions persist, franchisee profitability and financial health may worsen and franchisees may suffer from financial, personal or other difficulties, including insolvency. Franchisees may also experience financial risks unrelated to the operation of restaurants under our brands, such as a decline in performance of other brands or businesses held by franchisees. Additionally, lenders to our franchisees may be less likely to provide current or prospective franchisees necessary financing on favorable terms, or at all, due to market conditions and our or our franchisees’ operating results. These and other factors could impact franchisees’ ability to make royalty and other payments owed to us when due and franchisees could default on their financial obligations to us. A decrease in franchisee profitability as well as other reasons could also cause franchisees’ failure or inability to meet new restaurant development obligations and other obligations such as maintenance or remodel requirements and rent obligations for certain leases on which we retain contingent liability.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1" w:name="page22"/>
    <w:bookmarkEnd w:id="21"/>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Additionally, our franchise agreements have expiration dates. Upon expiration, franchisees are generally required to enter into new franchise agreements in order to extend the franchise relationship. We or the franchisee may or may not elect to enter into these successor franchise agreements based on a number of factors, including a failure to meet our criteria, lack of interest by either party and/or the inability of franchisees to enter into successor franchise agreements. It is expected that, in the ordinary course of business, some franchise agreements will expire without successor franchise agreements. However, a substantial number of franchise agreements are set to expire in 2021 for Applebee’s and 2024 through 2028 for IHOP, and while we have begun efforts to extend the terms of these franchise agreements, we cannot ensure that we and/or our franchisees will enter into successor franchise agreements or extensions once current terms expire. This may result in reduced royalties and other payments due to a decrease in the number of restaurants operating under our brands.</w:t>
      </w:r>
    </w:p>
    <w:p>
      <w:pPr>
        <w:spacing w:after="0" w:line="21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independent third parties, franchisees own, operate and oversee the daily operations of their restaurants and their employees are not our employees. Accordingly, we do not control their actions. While our franchise agreements are designed to maintain brand consistency, having almost all franchisee-operated restaurants may expose us to risks not otherwise encountered if we maintained ownership and control of all of the restaurants. Franchisees may breach the terms of their franchise agreements in a manner that adversely affects our brands, such as failing to operate restaurants in accordance with our required standards, and we may be limited in our ability to enforce franchise obligations. Franchisees are required to conform to specified product quality standards and other requirements pursuant to their franchise agreements in order to protect our brands and to optimize restaurant performance. If franchisees do not successfully operate their restaurants in a manner consistent with our standards, or customers have negative experiences due to issues with food quality or operational execution, our reputation and brands could suffer, and we could be subject to claims by guests even if we are not legally liable for the franchisee's actions or failure to act. This could result in a material adverse effect on our business. The quality of franchisees’ operations may also be diminished by factors beyond our control, including a lack of investment in enhancing or maintaining acceptable standards for restaurant operations due to financial and other constraints. Franchisees also may fail or be unable to hire or retain qualified managers and other personnel and training of managers and other personnel may be inadequate. These and other such negative factors could reduce franchisees' restaurant revenues, impact payments to us under the franchise agreements and could have a material adverse effect on us.</w:t>
      </w:r>
    </w:p>
    <w:p>
      <w:pPr>
        <w:spacing w:after="0" w:line="21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Various other risks associated with the operation of a franchised business model that may have a material adverse effect on our business or financial condition include:</w:t>
      </w:r>
    </w:p>
    <w:p>
      <w:pPr>
        <w:spacing w:after="0" w:line="189" w:lineRule="exact"/>
        <w:rPr>
          <w:sz w:val="20"/>
          <w:szCs w:val="20"/>
          <w:color w:val="auto"/>
        </w:rPr>
      </w:pPr>
    </w:p>
    <w:p>
      <w:pPr>
        <w:ind w:left="580" w:hanging="20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participate in implementing changes or to participate in business strategy changes;</w:t>
      </w:r>
    </w:p>
    <w:p>
      <w:pPr>
        <w:spacing w:after="0" w:line="2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support our marketing programs and strategic initiatives;</w:t>
      </w:r>
    </w:p>
    <w:p>
      <w:pPr>
        <w:spacing w:after="0" w:line="9"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franchisees to participate in business strategy changes due to financial constraints;</w:t>
      </w:r>
    </w:p>
    <w:p>
      <w:pPr>
        <w:spacing w:after="0" w:line="9"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franchisees to report sales information accurately;</w:t>
      </w:r>
    </w:p>
    <w:p>
      <w:pPr>
        <w:spacing w:after="0" w:line="9"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proportional impact of general and administrative expenses on our business and financial condition; and</w:t>
      </w:r>
    </w:p>
    <w:p>
      <w:pPr>
        <w:spacing w:after="0" w:line="9" w:lineRule="exact"/>
        <w:rPr>
          <w:rFonts w:ascii="Times New Roman" w:cs="Times New Roman" w:eastAsia="Times New Roman" w:hAnsi="Times New Roman"/>
          <w:sz w:val="18"/>
          <w:szCs w:val="18"/>
          <w:color w:val="auto"/>
        </w:rPr>
      </w:pPr>
    </w:p>
    <w:p>
      <w:pPr>
        <w:ind w:left="580" w:right="260" w:hanging="208"/>
        <w:spacing w:after="0" w:line="260"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franchisees in the future, both in terms of number and quality, and inability to attract, retain and motivate sufficient numbers of franchisees of the same caliber, including top performing franchisees.</w:t>
      </w:r>
    </w:p>
    <w:p>
      <w:pPr>
        <w:spacing w:after="0" w:line="208"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While we try to maintain positive working relationships with our franchisees, the nature of the franchisor-franchisee relationship inherently subjects us to potential disagreements with our franchisees on matters pertaining to the business and/or our brands. From time to time, we have experienced, and we may continue to experience, poor franchise relations caused by the efforts of one or more of our larger franchisees or an organized franchise association.</w:t>
      </w:r>
    </w:p>
    <w:p>
      <w:pPr>
        <w:spacing w:after="0" w:line="1"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Applebee's franchised restaurants in a limited number of franchisees subjects us to greater risk. </w:t>
      </w:r>
      <w:r>
        <w:rPr>
          <w:rFonts w:ascii="Times New Roman" w:cs="Times New Roman" w:eastAsia="Times New Roman" w:hAnsi="Times New Roman"/>
          <w:sz w:val="18"/>
          <w:szCs w:val="18"/>
          <w:color w:val="auto"/>
        </w:rPr>
        <w:t>As of December 31,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Applebee's franchisees operated 1,531 Applebee's restaurants in the United States. Of those restaurants, the ten largest Applebee's franchisees owned 1,160 restaurants, representing 76% of all franchised Applebee's restaurants in the United States. The largest Applebee's franchisee owned 444 restaurants, representing 29% of all franchised Applebee's restaurants in the United States. The concentration of franchised restaurants in a limited number of franchisees subjects us to a potentially higher level of risk with respect to such franchisees because their obligations to us, including financial obligations, are greater as compared to those franchisees with fewer restaurants. The risk associated with these franchisees is also greater where franchisees are the sole or dominant franchisee for a particular region of the United States, as is the case for most domestic Applebee's franchised territories. In particular, if any of these franchisees experience financial or other difficulties, the franchisee may default on its obligations under multiple franchise agreements, notes receivable or other agreements, including payments to us and the maintenance and improvement of its restaurants. From time to time, we may work with our franchisees who are experiencing financial difficulties to assess and address their financial health and their ability to satisfy their financial obligations to us. In certain of these situations, we may agree to alternative arrangements with franchisees for the payment of amounts due to us under our franchise and other agreements. We cannot assure you that these arrangements will be successful, nor can we assure you that they will result in us receiving all or any of the amounts due to us under our franchise agreements,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line="258" w:lineRule="auto"/>
        <w:rPr>
          <w:sz w:val="20"/>
          <w:szCs w:val="20"/>
          <w:color w:val="auto"/>
        </w:rPr>
      </w:pPr>
      <w:r>
        <w:rPr>
          <w:rFonts w:ascii="Times New Roman" w:cs="Times New Roman" w:eastAsia="Times New Roman" w:hAnsi="Times New Roman"/>
          <w:sz w:val="18"/>
          <w:szCs w:val="18"/>
          <w:color w:val="auto"/>
        </w:rPr>
        <w:t>notes receivable and other agreements. Any franchisee that owns and operates a significant number of Applebee's restaurants and fails to comply with other obligations under the franchise agreement, such as those relating to the quality and preparation of food and maintenance of restaurants, could cause significant harm to the Applebee's brand and subject us to claims by consumers even if we are not legally liable for the franchisee's actions or failure to act. Development rights for Applebee's restaurants are also concentrated among a limited number of existing franchisees. If any of these existing franchisees experience financial difficulties, future development of Applebee's restaurants may be materially adversely affected.</w:t>
      </w:r>
    </w:p>
    <w:p>
      <w:pPr>
        <w:spacing w:after="0" w:line="20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 insolvency or bankruptcy proceeding involving a franchisee could prevent or delay the collection of payments or the exercise of rights under the related franchise agreement. </w:t>
      </w:r>
      <w:r>
        <w:rPr>
          <w:rFonts w:ascii="Times New Roman" w:cs="Times New Roman" w:eastAsia="Times New Roman" w:hAnsi="Times New Roman"/>
          <w:sz w:val="18"/>
          <w:szCs w:val="18"/>
          <w:color w:val="auto"/>
        </w:rPr>
        <w:t>An insolvency proceeding involving a franchisee could prevent or delay us from collecting payments or exercising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other rights under the related franchise agreement. If a franchisee is subject to bankruptcy or insolvency proceedings, a bankruptcy court may prevent the termination of the related franchise and development agreement. In particular, the protection of the statutory automatic stay that arises under Section 362 of the United States Bankruptcy Code upon the commencement of a bankruptcy proceeding by or against a franchisee may prohibit us from terminating a franchise agreement previously entered into with a franchisee. Furthermore, a franchisee that is subject to bankruptcy proceedings may reject the franchise agreement in which case we would be limited to a general unsecured claim against the franchisee's bankruptcy estate on account of breach-of-contract damages arising from the rejection. Payments previously made to us by a franchisee that is subject to a bankruptcy proceeding also may be recoverable from us on behalf of the franchisee as a preferential transfer under the United States Bankruptcy Code.</w:t>
      </w:r>
    </w:p>
    <w:p>
      <w:pPr>
        <w:spacing w:after="0" w:line="21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credit risk from our IHOP franchisees operating under our Previous IHOP Business Model, and a default by these franchisees may negatively affect our cash flows. </w:t>
      </w:r>
      <w:r>
        <w:rPr>
          <w:rFonts w:ascii="Times New Roman" w:cs="Times New Roman" w:eastAsia="Times New Roman" w:hAnsi="Times New Roman"/>
          <w:sz w:val="18"/>
          <w:szCs w:val="18"/>
          <w:color w:val="auto"/>
        </w:rPr>
        <w:t>Prior to 2003, new IHOP restaurants were generally developed by us, and we were involved in all aspects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Therefore, in addition to franchise fees and royalties, the revenues received from an IHOP franchisee operating under the Previous IHOP Business Model may include, among other things, lease or sublease rents for the restaurant property building, rent under an equipment lease and interest income from the financing arrangements for the unpaid portion of the franchise fee under the franchise notes. If any of these IHOP franchisees were to default on their payment obligations to us, we may be unable to collect the amounts owed under the building property lease/sublease agreement and our notes and equipment contract receivables, as well as outstanding franchise royalties. The additional amounts owed to us by each of these IHOP franchisees subject us to greater credit risk and defaults by IHOP franchisees operating under our Previous IHOP Business Model and may negatively affect our cash flows. Of the 1,518 IHOP domestic franchise restaurants as of December 31, 2020, approximately 620 restaurants have property lease/sublease agreements and/or notes and equipment contract obligations outstanding.</w:t>
      </w:r>
    </w:p>
    <w:p>
      <w:pPr>
        <w:spacing w:after="0" w:line="21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and our franchisees are subject to potential losses that may not be covered by insurance. </w:t>
      </w:r>
      <w:r>
        <w:rPr>
          <w:rFonts w:ascii="Times New Roman" w:cs="Times New Roman" w:eastAsia="Times New Roman" w:hAnsi="Times New Roman"/>
          <w:sz w:val="18"/>
          <w:szCs w:val="18"/>
          <w:color w:val="auto"/>
        </w:rPr>
        <w:t>We and our franchisees may have insufficient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coverage to cover all of the potential risks associated with the ownership and operation of restaurants. We and our franchisees may have insufficient funds to cover future unanticipated increases in insurance premiums or losses that are not covered by insurance. Certain extraordinary hazards may not be insurable and insurance may not be available (or may be available only at prohibitively expensive rates) with respect to many other risks. Moreover, there is no assurance that any loss incurred will not exceed the limits on the policies obtained, or that claim payments on such policies will be received on a timely basis. Further, there can be no assurance that any such payments, even if obtained on a timely basis, will prevent losses to franchisees or enable timely franchise payments. Accordingly, in cases in which a franchisee experiences increased insurance premiums or must pay claims out-of-pocket, the franchisee may not have the funds necessary to make franchise and other payments to us, and franchisees may be unable to perform other obligations under their franchise agreements.</w:t>
      </w:r>
    </w:p>
    <w:p>
      <w:pPr>
        <w:spacing w:after="0" w:line="21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franchisees and other licensees do not observe the required quality and trademark usage standards, our brands may suffer reputational damage, which could in turn adversely affect our business. </w:t>
      </w:r>
      <w:r>
        <w:rPr>
          <w:rFonts w:ascii="Times New Roman" w:cs="Times New Roman" w:eastAsia="Times New Roman" w:hAnsi="Times New Roman"/>
          <w:sz w:val="18"/>
          <w:szCs w:val="18"/>
          <w:color w:val="auto"/>
        </w:rPr>
        <w:t>We license our intellectual property to our franchisees, product suppliers, manufacturers, distributors,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advertisers and other third parties. The franchise agreements and other license agreements require that each franchisee or other licensee use our intellectual property in accordance with established or approved quality control guidelines. However, there can be no assurance that the franchisees or other licensees will use the intellectual property assets in accordance with such guidelines. Franchisee and licensee noncompliance with the terms and conditions of the governing franchise agreement or other license agreement may reduce the overall goodwill associated with our brands. Franchisees and other licensees may refer to our intellectual property improperly in communications, resulting in the weakening of the distinctiveness of our intellectual property. There can be no assurance that the franchisees or other licensees will not take actions that could have a material adverse effect on the Applebee's or IHOP intellectual property.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even if the licensee product suppliers, manufacturers, distributors, or advertisers observe and maintain the quality and integrity of our intellectual property assets in accordance with the relevant license agreement, any product manufactured by such suppliers may be subject to regulatory sanctions and other actions by third parties which can, in turn, negatively impact the perceived quality of our restaurants and the overall goodwill of our brands, regardless of the nature and type of product involved. Any such sanctions or actions could reduce restaurant revenues and corresponding franchise payments to us.</w:t>
      </w:r>
    </w:p>
    <w:p>
      <w:pPr>
        <w:spacing w:after="0" w:line="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strategy may not achieve anticipated results. </w:t>
      </w:r>
      <w:r>
        <w:rPr>
          <w:rFonts w:ascii="Times New Roman" w:cs="Times New Roman" w:eastAsia="Times New Roman" w:hAnsi="Times New Roman"/>
          <w:sz w:val="18"/>
          <w:szCs w:val="18"/>
          <w:color w:val="auto"/>
        </w:rPr>
        <w:t>We expect to continue to apply a business strategy that includes operation of a significantly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franchised restaurant system across multiple brands and brand-specific business strategies suited to each brand. There can be no assurance that the business strategy we apply to one franchise system will be suitable or will achieve results similar to the application of such business strategy to another franchise system. In addition, operational improvement, purchasing and other strategic initiatives for any of our brands may not be successful or achieve the desired results, and there can be no assurance that franchisees will respond favorably to such initiatives. Additionally, our strategic initiatives may subject us and our franchisees to new and additional risks. Our business strategy includes the addition of new brands to our restaurant portfolio through mergers and acquisitions. There can be no assurance that any such transaction will be successful or produce favorable financial or other results.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Operating in the Restaurant Industry</w:t>
      </w:r>
    </w:p>
    <w:p>
      <w:pPr>
        <w:spacing w:after="0" w:line="252"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performance is subject to risks associated with the restaurant industry, including the highly competitive nature of the industry. </w:t>
      </w:r>
      <w:r>
        <w:rPr>
          <w:rFonts w:ascii="Times New Roman" w:cs="Times New Roman" w:eastAsia="Times New Roman" w:hAnsi="Times New Roman"/>
          <w:sz w:val="18"/>
          <w:szCs w:val="18"/>
          <w:color w:val="auto"/>
        </w:rPr>
        <w:t>We derive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our revenues in the form of (i) royalties based on the gross sales of our franchised restaurants and (ii) gross sales derived from company-operated restaurants. Sales and profitability of these restaurants may be negatively impacted by a number of factors associated with operating in the restaurant industry, some of which are outside of our control. These factors include:</w:t>
      </w:r>
    </w:p>
    <w:p>
      <w:pPr>
        <w:spacing w:after="0" w:line="207" w:lineRule="exact"/>
        <w:rPr>
          <w:sz w:val="20"/>
          <w:szCs w:val="20"/>
          <w:color w:val="auto"/>
        </w:rPr>
      </w:pPr>
    </w:p>
    <w:p>
      <w:pPr>
        <w:ind w:left="580" w:right="320" w:hanging="208"/>
        <w:spacing w:after="0" w:line="261"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driven by macro-level shifts in retail, technology, media, e-commerce, global safety and demography which may impact where, when, whether and how often customers visit full-service restaurants;</w:t>
      </w:r>
    </w:p>
    <w:p>
      <w:pPr>
        <w:ind w:left="580" w:right="60" w:hanging="208"/>
        <w:spacing w:after="0" w:line="250"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comparable restaurant sales growth rates due to: (i) failure to meet or adequately adapt to changing customer expectations for food type, quality and taste, or to innovate and develop new menu items to retain existing customers and attract new customers; (ii) competitive intrusions in our markets, including competitive pricing initiatives and daypart expansion by competitors; (iii) opening new restaurants that cannibalize the sales of existing restaurants; (iv) failure of national or local marketing to be effective; and (v) natural or man-made disasters or adverse weather conditions;</w:t>
      </w:r>
    </w:p>
    <w:p>
      <w:pPr>
        <w:spacing w:after="0" w:line="1" w:lineRule="exact"/>
        <w:rPr>
          <w:rFonts w:ascii="Times New Roman" w:cs="Times New Roman" w:eastAsia="Times New Roman" w:hAnsi="Times New Roman"/>
          <w:sz w:val="18"/>
          <w:szCs w:val="18"/>
          <w:color w:val="auto"/>
        </w:rPr>
      </w:pPr>
    </w:p>
    <w:p>
      <w:pPr>
        <w:ind w:left="580" w:right="260" w:hanging="208"/>
        <w:spacing w:after="0" w:line="250"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operating expenses such as: (i) increases in food and other commodity costs or related distribution costs; (ii) increases in labor costs due to minimum wage and other employment laws or regulations, immigration reform, the potential impact of union organizing efforts and tight labor market conditions; and (iii) increases in other operating costs including advertising, utilities, lease-related expenses and credit card processing fees;</w:t>
      </w:r>
    </w:p>
    <w:p>
      <w:pPr>
        <w:spacing w:after="0" w:line="1" w:lineRule="exact"/>
        <w:rPr>
          <w:rFonts w:ascii="Times New Roman" w:cs="Times New Roman" w:eastAsia="Times New Roman" w:hAnsi="Times New Roman"/>
          <w:sz w:val="18"/>
          <w:szCs w:val="18"/>
          <w:color w:val="auto"/>
        </w:rPr>
      </w:pPr>
    </w:p>
    <w:p>
      <w:pPr>
        <w:ind w:left="580" w:right="140" w:hanging="208"/>
        <w:spacing w:after="0" w:line="250"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restaurant and related industries with respect to, among other things: (i) price, service, location, personnel and the type and quality of food; (ii) the trend toward convergence in grocery, deli, retail and restaurant services, as well as the continued expansion of restaurants into the breakfast daypart; (iii) the entry of major market players in non-competing industries into the food services market; (iv) the decline in the price of groceries which may increase the attractiveness of dining at home versus dining out; and (v) the emergence of new or improved technologies and changes in consumer behavior facilitated by such technology;</w:t>
      </w:r>
    </w:p>
    <w:p>
      <w:pPr>
        <w:spacing w:after="0" w:line="1"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increase menu pricing to offset increased operating expenses; and</w:t>
      </w:r>
    </w:p>
    <w:p>
      <w:pPr>
        <w:spacing w:after="0" w:line="9"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further penetration into mature markets.</w:t>
      </w:r>
    </w:p>
    <w:p>
      <w:pPr>
        <w:spacing w:after="0" w:line="230"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Factors outside our control may harm our brands' reputations. </w:t>
      </w:r>
      <w:r>
        <w:rPr>
          <w:rFonts w:ascii="Times New Roman" w:cs="Times New Roman" w:eastAsia="Times New Roman" w:hAnsi="Times New Roman"/>
          <w:sz w:val="18"/>
          <w:szCs w:val="18"/>
          <w:color w:val="auto"/>
        </w:rPr>
        <w:t>The success of our business is largely dependent upon brand recognition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strength of our franchise systems. Our and our franchisees’ continued success is directly dependent upon maintaining a favorable public view of the Applebee's and IHOP brands. Negative publicity (e.g., crime, scandal, litigation, on-site accidents and injuries or other harm to customers, social issues, and food-borne illness) at a single Applebee's or IHOP location can have a substantial negative impact on all restaurants within the Applebee's or IHOP system. Multi-unit food service businesses such as ours can be materially and adversely affected by widespread negative publicity of any type, including through social media, but particularly regarding food quality, food-borne illness, food tampering or preparation, obesity, discrimination or bias, injury or other health concerns with respect to certain foods and actions of our or our franchisees’ managers or employees, regardless of whether such claims are accurate or valid.</w:t>
      </w:r>
    </w:p>
    <w:p>
      <w:pPr>
        <w:spacing w:after="0" w:line="212"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risk of food-borne illness or food tampering cannot be completely eliminated. </w:t>
      </w:r>
      <w:r>
        <w:rPr>
          <w:rFonts w:ascii="Times New Roman" w:cs="Times New Roman" w:eastAsia="Times New Roman" w:hAnsi="Times New Roman"/>
          <w:sz w:val="18"/>
          <w:szCs w:val="18"/>
          <w:color w:val="auto"/>
        </w:rPr>
        <w:t>Any outbreak of food-borne illness or other food-related incidents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attributed to Applebee's or IHOP restaurants or within the food service industry or any widespread negative publicity regarding the Applebee's or IHOP brands or the restaurant industry in general could harm our reputation.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4" w:name="page25"/>
    <w:bookmarkEnd w:id="24"/>
    <w:p>
      <w:pPr>
        <w:ind w:right="100"/>
        <w:spacing w:after="0" w:line="256" w:lineRule="auto"/>
        <w:rPr>
          <w:sz w:val="20"/>
          <w:szCs w:val="20"/>
          <w:color w:val="auto"/>
        </w:rPr>
      </w:pPr>
      <w:r>
        <w:rPr>
          <w:rFonts w:ascii="Times New Roman" w:cs="Times New Roman" w:eastAsia="Times New Roman" w:hAnsi="Times New Roman"/>
          <w:sz w:val="18"/>
          <w:szCs w:val="18"/>
          <w:color w:val="auto"/>
        </w:rPr>
        <w:t>Even where such food-related incidents occur solely at restaurants of our competitors or within the industry, our business could be adversely affected by negative publicity about the restaurant industry generally. Our company-owned restaurants and our franchisees may produce or receive through the supply chain sub-standard or non-compliant food or beverage products. In addition, our franchisees’ failure to comply with food quality and preparation requirements may subject us to potential losses, even when we are not legally liable for a franchisee's actions or failure to act. Although the Company maintains liability insurance, and each franchisee is required to maintain liability insurance pursuant to its franchise agreements, a liability claim could injure the reputation of all Applebee's or IHOP restaurants, whether or not it is ultimately successful.</w:t>
      </w:r>
    </w:p>
    <w:p>
      <w:pPr>
        <w:spacing w:after="0" w:line="21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lack of availability of suitable locations for new restaurants or a decline in the quality of the locations of our current restaurants may adversely affect our sales and results of operations. </w:t>
      </w:r>
      <w:r>
        <w:rPr>
          <w:rFonts w:ascii="Times New Roman" w:cs="Times New Roman" w:eastAsia="Times New Roman" w:hAnsi="Times New Roman"/>
          <w:sz w:val="18"/>
          <w:szCs w:val="18"/>
          <w:color w:val="auto"/>
        </w:rPr>
        <w:t>The success of our brands depends in large part on restaurant locations. As demographic and economic patterns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current locations may not continue to be attractive or profitable. Potential declines in neighborhoods where restaurants are located or adverse economic conditions in areas surrounding those neighborhoods could result in reduced sales in those locations. In addition, desirable locations for new restaurant openings or for the relocation of existing restaurants may not be available at an acceptable cost when we identify a particular opportunity for a new restaurant or relocation. Additionally, restaurant revitalization initiatives may not be completed as and when projected and may not produce the results we expect. We also may be unable to operate effectively in new and/or highly competitive geographic regions or local markets in which our franchisees have limited operating experience.</w:t>
      </w:r>
    </w:p>
    <w:p>
      <w:pPr>
        <w:spacing w:after="0" w:line="21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experience shortages or interruptions in the supply or delivery of food and other products from third parties or in the availability of utilities. </w:t>
      </w:r>
      <w:r>
        <w:rPr>
          <w:rFonts w:ascii="Times New Roman" w:cs="Times New Roman" w:eastAsia="Times New Roman" w:hAnsi="Times New Roman"/>
          <w:sz w:val="18"/>
          <w:szCs w:val="18"/>
          <w:color w:val="auto"/>
        </w:rPr>
        <w:t>Our and our franchised restaurants are dependent on frequent deliveries of fresh produce, food, beverages and other products. Shortages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interruptions in food and beverage supplies may result from a variety of causes, including shortages due to adverse weather, labor unrest, labor shortages, political unrest, terrorism, pandemics, epidemics, outbreaks of food-borne illness, disruption of operation of production facilities, financial difficulties (including bankruptcy) of our distributors or suppliers or other unforeseen circumstances. Such shortages could adversely affect our and our franchisees’ ability to operate our restaurants and, in turn, affect our and our franchisees’ revenue and profits. Additionally, the inability to secure adequate and reliable supplies or distribution of food and beverage products could limit our ability to make changes to our core menus or offer promotional "limited time only" menu items, which may limit our ability to implement our business strategies. Our and our franchisees’ restaurants bear risks associated with the timeliness of deliveries by suppliers and distributors as well as the solvency, reputation, labor relationships, freight rates, prices of raw materials and health and safety standards of each supplier and distributor. Other significant risks associated with our suppliers and distributors include improper handling of food and beverage products and/or the adulteration or contamination of such food and beverage products. Disruptions in our relationships with suppliers and distributors may reduce the payments we receive from our franchisees or our pancake and waffle dry mix distributors or the profits generated by our company-operated restaurants. In addition, interruptions to the availability of gas, electric, water or other utilities may adversely affect the operations of our and our franchised restaurants.</w:t>
      </w:r>
    </w:p>
    <w:p>
      <w:pPr>
        <w:spacing w:after="0" w:line="212"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to effectively manage or forecast appropriate inventory levels may adversely affect our business. </w:t>
      </w:r>
      <w:r>
        <w:rPr>
          <w:rFonts w:ascii="Times New Roman" w:cs="Times New Roman" w:eastAsia="Times New Roman" w:hAnsi="Times New Roman"/>
          <w:sz w:val="18"/>
          <w:szCs w:val="18"/>
          <w:color w:val="auto"/>
        </w:rPr>
        <w:t>Effective management of inventory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levels depends, in part, on our ability to anticipate and respond in a timely manner to changing consumer demand and preferences. From time to time, we may carry excessive inventory resulting from menu events that vary from forecasted demand which may result in financial loss to us and/or to our franchisees. Conversely, if we underestimate demand, we may experience inventory shortages which may result in lost revenues.</w:t>
      </w:r>
    </w:p>
    <w:p>
      <w:pPr>
        <w:spacing w:after="0" w:line="203"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failure to develop and implement innovative marketing and guest relationship initiatives, ineffective or improper use of social media or other marketing initiatives and increased advertising and marketing costs could adversely affect our business results. </w:t>
      </w:r>
      <w:r>
        <w:rPr>
          <w:rFonts w:ascii="Times New Roman" w:cs="Times New Roman" w:eastAsia="Times New Roman" w:hAnsi="Times New Roman"/>
          <w:sz w:val="18"/>
          <w:szCs w:val="18"/>
          <w:color w:val="auto"/>
        </w:rPr>
        <w:t>If our competitors increase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spending on advertising and promotions, if our advertising, media or marketing expenses increase, or if our advertising and promotions become less effective than those of our competitors, we could experience a material adverse effect on our business results. A failure to sufficiently innovate, develop guest relationship initiatives, or maintain adequate and effective advertising could inhibit our ability to maintain brand relevance and drive increased sales.</w:t>
      </w:r>
    </w:p>
    <w:p>
      <w:pPr>
        <w:spacing w:after="0" w:line="21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As part of our marketing efforts, we rely on search engine marketing and social media platforms to attract and retain guests. These efforts may not be successful, resulting in expenses incurred without the benefit of higher revenues or increased employee engagement. In addition, a variety of risks are associated with the use of social media, including the improper disclosure of proprietary information, posting of negative comments about our brands or experiences in our or our franchisees’ restaurants, exposure of personal information, fraud, and use of outdated information. The use, including any inappropriate or otherwise harmful use, of social media vehicles by our franchisees and their employees, guests, our employees or others in the general public could increase our costs, lead to litigation or result in negative publicity that could damage our reputation.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Changing health or dietary preferences may cause consumers to avoid Applebee's and IHOP restaurants in favor of alternative options. </w:t>
      </w:r>
      <w:r>
        <w:rPr>
          <w:rFonts w:ascii="Times New Roman" w:cs="Times New Roman" w:eastAsia="Times New Roman" w:hAnsi="Times New Roman"/>
          <w:sz w:val="18"/>
          <w:szCs w:val="18"/>
          <w:color w:val="auto"/>
        </w:rPr>
        <w:t>The food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industry as a whole rests on consumer preferences and demographic trends at the local, regional, national and international levels. Franchise development and system-wide sales depend on the sustained demand for our products, which may be affected by factors we do not control. New information regarding diet, nutrition and health and efforts by advocacy groups to influence consumer eating habits may negatively affect the demand for our food. Various additional factors such as: (i) the Food and Drug Administration’s menu labeling rules, (ii) nutritional guidelines issued by the United States Department of Agriculture and issuance of similar guidelines or statistical information by state or local municipalities, (iii) academic studies; or (iv) efforts by environmental, animal welfare and sustainability advocacy groups, may impact consumer choice and cause consumers to select foods other than those that are offered by Applebee's or IHOP restaurants. We may not be able to adequately adapt Applebee's or IHOP restaurants' menu offerings to keep pace with developments in consumer preferences, which may result in reduced royalty revenues from a decline in demand for our food and fewer guests visiting Applebee’s and IHOP restaurants.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Common Stock</w:t>
      </w:r>
    </w:p>
    <w:p>
      <w:pPr>
        <w:spacing w:after="0" w:line="252" w:lineRule="exact"/>
        <w:rPr>
          <w:sz w:val="20"/>
          <w:szCs w:val="20"/>
          <w:color w:val="auto"/>
        </w:rPr>
      </w:pPr>
    </w:p>
    <w:p>
      <w:pPr>
        <w:ind w:right="40" w:firstLine="24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Declines in our financial performance have resulted in and could result in future impairment charges. </w:t>
      </w:r>
      <w:r>
        <w:rPr>
          <w:rFonts w:ascii="Times New Roman" w:cs="Times New Roman" w:eastAsia="Times New Roman" w:hAnsi="Times New Roman"/>
          <w:sz w:val="18"/>
          <w:szCs w:val="18"/>
          <w:color w:val="auto"/>
        </w:rPr>
        <w:t>United States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(“U.S. GAAP”) require annual (or more frequently if events or changes in circumstances warrant) impairment tests of goodwill, intangible assets and other long-lived assets. Generally speaking, if the carrying value of the asset is in excess of the estimated fair value of the asset, the carrying value will be adjusted to fair value through an impairment charge. Fair values of goodwill and intangible assets are primarily estimated using discounted cash flows based on five-year forecasts of financial results that incorporate assumptions including, among other things, same-restaurant sales trends, future development plans, brand-enhancing initiatives, restaurant closures and an appropriate discount rate. Fair values of long-lived tangible assets are primarily estimated using discounted cash flows over the estimated useful lives of the assets. Significant underachievement of forecasted results or changes in the discount rate assumption could reduce the estimated fair value of these assets below the carrying value, requiring non-cash impairment charges to reduce the carrying value of the asset. In the second quarter of 2020, as a result of performing the interim quantitative test, we recognized an impairment of Applebee's goodwill of $92.2 million, an impairment of Applebee's tradename of $11.0 million and an impairment of various long-lived assets of $17.2 million. As of December 31, 2020, our total stockholders' deficit was $354.7 million. Any significant impairment write-down of goodwill, intangible assets or long-lived assets in the future could increase the stockholders' deficit. Repurchases of our common stock will also increase the stockholders' deficit. While such a deficit balance does not create an event of default in any of our contractual agreements, the negative perception of such a deficit could have an adverse effect on our stock price and could impair our ability to obtain new financing, or refinance existing indebtedness on commercially reasonable terms or at all.</w:t>
      </w:r>
    </w:p>
    <w:p>
      <w:pPr>
        <w:spacing w:after="0" w:line="210" w:lineRule="exact"/>
        <w:rPr>
          <w:sz w:val="20"/>
          <w:szCs w:val="20"/>
          <w:color w:val="auto"/>
        </w:rPr>
      </w:pPr>
    </w:p>
    <w:p>
      <w:pPr>
        <w:ind w:right="2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Many factors, including those over which we have no control, affect the trading volatility and price of our stock. </w:t>
      </w:r>
      <w:r>
        <w:rPr>
          <w:rFonts w:ascii="Times New Roman" w:cs="Times New Roman" w:eastAsia="Times New Roman" w:hAnsi="Times New Roman"/>
          <w:sz w:val="18"/>
          <w:szCs w:val="18"/>
          <w:color w:val="auto"/>
        </w:rPr>
        <w:t>Many factors, in addition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results, may have an impact on the trading volatility and price of our common stock. These factors include general economic and market conditions, publicity regarding us, our competitors, or the restaurant industry generally, changes in financial estimates by securities analysts, changes in financial or tax reporting and accounting principles or practices, trading activity in our common stock, overall liquidity and the impact of our capital allocation initiatives, including any future stock repurchase programs or dividend declarations. Many of these factors are outside of our control, and any failure to meet market expectations whether for sales growth, earnings per share or other metrics could cause our share price to decline.</w:t>
      </w:r>
    </w:p>
    <w:p>
      <w:pPr>
        <w:spacing w:after="0" w:line="20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actual operating and financial results in any given period may differ from guidance we provide to the public, including our most recent public guidance. </w:t>
      </w:r>
      <w:r>
        <w:rPr>
          <w:rFonts w:ascii="Times New Roman" w:cs="Times New Roman" w:eastAsia="Times New Roman" w:hAnsi="Times New Roman"/>
          <w:sz w:val="18"/>
          <w:szCs w:val="18"/>
          <w:color w:val="auto"/>
        </w:rPr>
        <w:t>From time to time, in press releases, SEC filings, public conference calls and other contexts, we have provided guidance to the public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to our future business decisions, some of which will change. Our actual financial results, therefore, may vary from our guidance due to our inability to meet the assumptions upon which our guidance is based and the impact on our business of the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the location and ownership type of Applebee's and IHOP restaurants as of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Applebee's (a)</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IHOP (a)</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3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Area License</w:t>
            </w:r>
          </w:p>
        </w:tc>
        <w:tc>
          <w:tcPr>
            <w:tcW w:w="360" w:type="dxa"/>
            <w:vAlign w:val="bottom"/>
          </w:tcPr>
          <w:p>
            <w:pPr>
              <w:spacing w:after="0"/>
              <w:rPr>
                <w:sz w:val="11"/>
                <w:szCs w:val="11"/>
                <w:color w:val="auto"/>
              </w:rPr>
            </w:pP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 IHOP</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2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Alaska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District of Columbia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Dakota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Dakota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Vermont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Wyoming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887" w:right="399" w:bottom="1001"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001"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Applebee's (a)</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IHOP (a)</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3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Area License</w:t>
            </w:r>
          </w:p>
        </w:tc>
        <w:tc>
          <w:tcPr>
            <w:tcW w:w="360" w:type="dxa"/>
            <w:vAlign w:val="bottom"/>
          </w:tcPr>
          <w:p>
            <w:pPr>
              <w:spacing w:after="0"/>
              <w:rPr>
                <w:sz w:val="11"/>
                <w:szCs w:val="11"/>
                <w:color w:val="auto"/>
              </w:rPr>
            </w:pPr>
          </w:p>
        </w:tc>
        <w:tc>
          <w:tcPr>
            <w:tcW w:w="11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 IHOP</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2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Dominican Republic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Ecuador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Egypt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Guam</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Guatemala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Pakistan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Panama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Puerto Rico</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International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2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properties identified in this table generate revenue in our franchise, rental, financing and company restaurant operating segments.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restaurants, 25 in Florida and six in Canada have been sub-licensed by the area licensee.</w:t>
      </w:r>
    </w:p>
    <w:p>
      <w:pPr>
        <w:spacing w:after="0" w:line="12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Of the 1,611 IHOP restaurants operated by franchisees, 57 were located on sites owned by us, 564 were located on sites leased by us from third parties and 990 were located on sites owned or leased by franchisees. All of the IHOP restaurants operated by area licensees and 1,640 of the franchisee-operated Applebee's restaurants were located on sites owned or leased by the area licensees or the franchisees. We owned one site on which a franchisee-operated Applebee's restaurant was located and one franchisee-operated Applebee's restaurant was located on site leased by us from third parties. The 69 Applebee's restaurants we operated as of December 31, 2020 were located on sites leased by us from third parties.</w:t>
      </w:r>
    </w:p>
    <w:p>
      <w:pPr>
        <w:spacing w:after="0" w:line="1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Leases of IHOP restaurants generally provide for an initial term of 20 to 25 years, with most having one or more five-year renewal options. Leases of Applebee's restaurants generally have an initial term of 10 to 20 years, with renewal terms of five to 20 years. In addition, a substantial number of the leases for both IHOP and Applebee's restaurants include provisions calling for the periodic escalation of rents during the initial term and/or during renewal terms. The leases typically provide for payment of rents in an amount equal to the greater of a fixed amount or a specified percentage of gross sales and for payment of taxes, insurance premiums, maintenance expenses and certain other costs. Historically, it has been our practice to seek to extend, through negotiation, those leases that expire without renewal options. However, from time to time, we choose not to renew a lease or are unsuccessful in negotiating satisfactory renewal terms. When this occurs, the restaurant is closed and possession of the premises is returned to the landlord.</w:t>
      </w:r>
    </w:p>
    <w:p>
      <w:pPr>
        <w:spacing w:after="0" w:line="121"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Under our Applebee's franchise agreements, we have certain rights to gain control of a restaurant site in the event of default under the franchise agreement. Because substantially all IHOP franchised restaurants developed by us under our Previous IHOP Business Model are subleased to the franchisees, IHOP has the ability to regain possession of the subleased restaurant if the franchisee defaults in the payment of rent or other terms of the sublease.</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occupy our principal corporate offices and restaurant support center located in Glendale, California, under a lease expiring in April 2023. We lease approximately 50,000 square feet of office space in Kansas City, Missouri, under a lease expiring in October 2021. We lease approximately 3,000 square feet of office space in Raleigh, North Carolina under a lease expiring in April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6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ind w:right="1800"/>
        <w:spacing w:after="0" w:line="49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NYSE under the symbol “DIN”.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February 23, 2021, there were 381 holders of our common stock. This number does not include beneficial owners whose shares are held in street name by brokers and other nominees.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Please refer to Note 12 - Stockholders' Deficit, of the Notes to the Consolidated Financial Statements for information on dividends declared and paid in the fiscal years ended December 31, 2020 and December 31, 2019.</w:t>
      </w:r>
    </w:p>
    <w:p>
      <w:pPr>
        <w:spacing w:after="0" w:line="189"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In light of the COVID-19 pandemic, our Board of Directors did not declare a dividend for the second, third and fourth quarters of 2020. We will reevaluate our capital allocation strategy as industry conditions improve and normal restaurant operations resume, in consideration of our current and forecast earnings, financial condition, cash requirements and other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Purchases of Equity Securities by the Company</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1"/>
                <w:szCs w:val="11"/>
                <w:color w:val="auto"/>
              </w:rPr>
            </w:pPr>
          </w:p>
        </w:tc>
        <w:tc>
          <w:tcPr>
            <w:tcW w:w="124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208"/>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500" w:type="dxa"/>
            <w:vAlign w:val="bottom"/>
          </w:tcPr>
          <w:p>
            <w:pPr>
              <w:jc w:val="center"/>
              <w:ind w:left="188"/>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1"/>
                <w:szCs w:val="11"/>
                <w:color w:val="auto"/>
              </w:rPr>
            </w:pPr>
          </w:p>
        </w:tc>
        <w:tc>
          <w:tcPr>
            <w:tcW w:w="1240" w:type="dxa"/>
            <w:vAlign w:val="bottom"/>
          </w:tcPr>
          <w:p>
            <w:pPr>
              <w:jc w:val="center"/>
              <w:ind w:right="198"/>
              <w:spacing w:after="0" w:line="135"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00" w:type="dxa"/>
            <w:vAlign w:val="bottom"/>
          </w:tcPr>
          <w:p>
            <w:pPr>
              <w:jc w:val="center"/>
              <w:ind w:left="188"/>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414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24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programs (b)</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plans or programs (b)</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September 28, 2020 – October 25, 2020</w:t>
            </w:r>
            <w:r>
              <w:rPr>
                <w:rFonts w:ascii="Times New Roman" w:cs="Times New Roman" w:eastAsia="Times New Roman" w:hAnsi="Times New Roman"/>
                <w:sz w:val="23"/>
                <w:szCs w:val="23"/>
                <w:color w:val="auto"/>
                <w:vertAlign w:val="superscript"/>
              </w:rPr>
              <w:t>(a)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70,200,000</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October 26, 2020 – November 22, 2020</w:t>
            </w:r>
            <w:r>
              <w:rPr>
                <w:rFonts w:ascii="Times New Roman" w:cs="Times New Roman" w:eastAsia="Times New Roman" w:hAnsi="Times New Roman"/>
                <w:sz w:val="23"/>
                <w:szCs w:val="23"/>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59.75</w:t>
            </w:r>
          </w:p>
        </w:tc>
        <w:tc>
          <w:tcPr>
            <w:tcW w:w="15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70,200,000</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November 23, 2020 – January 3, 2021</w:t>
            </w:r>
            <w:r>
              <w:rPr>
                <w:rFonts w:ascii="Times New Roman" w:cs="Times New Roman" w:eastAsia="Times New Roman" w:hAnsi="Times New Roman"/>
                <w:sz w:val="23"/>
                <w:szCs w:val="23"/>
                <w:color w:val="auto"/>
                <w:vertAlign w:val="superscript"/>
              </w:rPr>
              <w:t>(a)</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65.75</w:t>
            </w:r>
          </w:p>
        </w:tc>
        <w:tc>
          <w:tcPr>
            <w:tcW w:w="15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70,200,000</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61.35</w:t>
            </w:r>
          </w:p>
        </w:tc>
        <w:tc>
          <w:tcPr>
            <w:tcW w:w="1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70,200,000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right="240" w:hanging="252"/>
        <w:spacing w:after="0" w:line="223" w:lineRule="auto"/>
        <w:tabs>
          <w:tab w:leader="none" w:pos="2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These amounts represent shares owned and tendered by employees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222" w:lineRule="exact"/>
        <w:rPr>
          <w:rFonts w:ascii="Times New Roman" w:cs="Times New Roman" w:eastAsia="Times New Roman" w:hAnsi="Times New Roman"/>
          <w:sz w:val="23"/>
          <w:szCs w:val="23"/>
          <w:color w:val="auto"/>
          <w:vertAlign w:val="superscript"/>
        </w:rPr>
      </w:pPr>
    </w:p>
    <w:p>
      <w:pPr>
        <w:ind w:left="260" w:hanging="252"/>
        <w:spacing w:after="0" w:line="223" w:lineRule="auto"/>
        <w:tabs>
          <w:tab w:leader="none" w:pos="234"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February 2019, our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48"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The graph below shows a comparison of the cumulative total stockholder return on our common stock with the cumulative total return on the Standard &amp; Poor's 500 Composite Index and the Value-Line Restaurants Index (“Restaurant Index”) over the five-year period ended December 31, 2020. The graph and table assume $100 was invested at the close of trading on the last day of trading in 2015 in our common stock and in each of the market indices, with reinvestment of all dividends. Stockholder returns over the indicated periods should not be considered indicative of future stock prices or stockholder returns.</w:t>
      </w:r>
    </w:p>
    <w:p>
      <w:pPr>
        <w:spacing w:after="0" w:line="112" w:lineRule="exact"/>
        <w:rPr>
          <w:sz w:val="20"/>
          <w:szCs w:val="20"/>
          <w:color w:val="auto"/>
        </w:rPr>
      </w:pPr>
    </w:p>
    <w:p>
      <w:pPr>
        <w:jc w:val="center"/>
        <w:ind w:left="340" w:right="2380"/>
        <w:spacing w:after="0" w:line="268" w:lineRule="auto"/>
        <w:rPr>
          <w:sz w:val="20"/>
          <w:szCs w:val="20"/>
          <w:color w:val="auto"/>
        </w:rPr>
      </w:pPr>
      <w:r>
        <w:rPr>
          <w:rFonts w:ascii="Times New Roman" w:cs="Times New Roman" w:eastAsia="Times New Roman" w:hAnsi="Times New Roman"/>
          <w:sz w:val="18"/>
          <w:szCs w:val="18"/>
          <w:b w:val="1"/>
          <w:bCs w:val="1"/>
          <w:color w:val="auto"/>
        </w:rPr>
        <w:t>Comparison of Five-Year Cumulative Total Stockholder Return Dine Brands Global, Inc., Standard &amp; Poor's 500 and Value Line Restaurants Index (Performance Results through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139700</wp:posOffset>
            </wp:positionV>
            <wp:extent cx="5426075"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2607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30"/>
        </w:trPr>
        <w:tc>
          <w:tcPr>
            <w:tcW w:w="3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Value Line Restaurants Index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230.72</w:t>
            </w:r>
          </w:p>
        </w:tc>
      </w:tr>
    </w:tbl>
    <w:p>
      <w:pPr>
        <w:spacing w:after="0" w:line="112" w:lineRule="exact"/>
        <w:rPr>
          <w:sz w:val="20"/>
          <w:szCs w:val="20"/>
          <w:color w:val="auto"/>
        </w:rPr>
      </w:pPr>
    </w:p>
    <w:p>
      <w:pPr>
        <w:ind w:left="180" w:right="40" w:hanging="172"/>
        <w:spacing w:after="0" w:line="214" w:lineRule="auto"/>
        <w:tabs>
          <w:tab w:leader="none" w:pos="164"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Value Line Restaurants index is a comprehensive restaurant industry index. In addition to family dining and casual dining, the Index includes the fast-casual and quick-service segments of the restaurant industry.</w:t>
      </w:r>
    </w:p>
    <w:p>
      <w:pPr>
        <w:spacing w:after="0" w:line="12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foregoing 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of 1933, as amended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30" w:name="page31"/>
    <w:bookmarkEnd w:id="3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provides an analysis of our results of operations and reasons for material changes for 2020 as compared to 2019 and should be read together with the financial statements included in this Annual Report on Form 10-K. For a detailed discussion of year-to-year comparisons between fiscal 2019 and fiscal 2018, please refer to “Management's Discussion and Analysis of Financial Condition and Results of Operations” contained in Part II, Item 7 of our Annual Report on Form 10-K for the fiscal year ended December 31, 2019, filed with the SEC on February 24, 2020.</w:t>
      </w:r>
    </w:p>
    <w:p>
      <w:pPr>
        <w:spacing w:after="0" w:line="20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 foot due to rounding.</w:t>
      </w:r>
    </w:p>
    <w:p>
      <w:pPr>
        <w:spacing w:after="0" w:line="94" w:lineRule="exact"/>
        <w:rPr>
          <w:sz w:val="20"/>
          <w:szCs w:val="20"/>
          <w:color w:val="auto"/>
        </w:rPr>
      </w:pPr>
    </w:p>
    <w:p>
      <w:pPr>
        <w:ind w:right="200" w:firstLine="324"/>
        <w:spacing w:after="0" w:line="231" w:lineRule="auto"/>
        <w:rPr>
          <w:sz w:val="20"/>
          <w:szCs w:val="20"/>
          <w:color w:val="auto"/>
        </w:rPr>
      </w:pPr>
      <w:r>
        <w:rPr>
          <w:rFonts w:ascii="Times New Roman" w:cs="Times New Roman" w:eastAsia="Times New Roman" w:hAnsi="Times New Roman"/>
          <w:sz w:val="18"/>
          <w:szCs w:val="18"/>
          <w:color w:val="auto"/>
        </w:rPr>
        <w:t>The first International House of Pancakes restaurant opened in 1958 in Toluca Lake, California. Shortly thereafter, the Company's predecessor began developing and franchising additional restaurants. The Company was incorporated under the laws of the State of Delaware in 1976 with the name IHOP Corp. In November 2007, the Company completed the acquisition of Applebee's International, Inc., which became a wholly-owned subsidiary of the Company. Effective June 2, 2008, the name of the Company was changed to DineEquity, Inc. and on February 20, 2018, the name of the Company was changed to Dine Brands Global, Inc.</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xml:space="preserve"> (“Dine Brands Global,” “we” or “our”). Through various subsidiaries (see Exhibit 21, Subsidiaries of Dine Brands Global, Inc.), we own, franchise and operate the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bar and grill segment within the casual dining category of the restaurant industry and we own and franchise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are to these two concepts, whether operated by franchisees, area licensees or us.</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Domestically, IHOP restaurants are in all 50 states and the District of Columbia, while Applebee's restaurants are located in every state except Hawaii. Internationally, IHOP restaurants are in two United States territories and nine countries; Applebee's restaurants are in two United States territories and 11 countries. With over 3,400 restaurants combined, the substantial majority of which are franchised, we believe we are one of the largest full-service restaurant companies in the world. The June 15, 2020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and Applebee's were the largest restaurant systems in the family dining and casual dining categories, respectively, in terms of United States system-wide sales during 2019.</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53 calendar weeks in our 2020 fiscal year ended January 3, 2021 and our fiscal 2020 fourth quarter contained 14 calendar weeks. There were 52 calendar weeks in our 2019 and 2018 fiscal years that ended on December 29, 2019 and December 30, 2018,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a global pandemic related to the outbreak of a novel strain of coronavirus, designated “COVID-19.” Initially,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months of the pandemic. Over the course of 2020, certain of these restrictions on indoor dining were relaxed as incidents of infection from the initial outbreak declined, but many of the restrictions were reinstituted as incidents of infection surged. The nature, degree and duration of the restrictions varied by individual geographic area.</w:t>
      </w:r>
    </w:p>
    <w:p>
      <w:pPr>
        <w:spacing w:after="0" w:line="21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Since the onset of the pandemic in March 2020, we have taken numerous actions to mitigate the effects of the COVID-19 pandemic on the Company, its operations and its franchisees, as discussed below:</w:t>
      </w:r>
    </w:p>
    <w:p>
      <w:pPr>
        <w:spacing w:after="0" w:line="202" w:lineRule="exact"/>
        <w:rPr>
          <w:sz w:val="20"/>
          <w:szCs w:val="20"/>
          <w:color w:val="auto"/>
        </w:rPr>
      </w:pPr>
    </w:p>
    <w:p>
      <w:pPr>
        <w:jc w:val="both"/>
        <w:ind w:left="660" w:right="240" w:hanging="328"/>
        <w:spacing w:after="0" w:line="212"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drew down a total of $220 million from our revolving credit facility. Including approximately $3 million in letters of credit, $223 million of the total $225 million available under our revolving facility has been utilized. We had no immediate need for additional liquidity, but in light of then-current market conditions and uncertainty related to the COVID-19 pandemic, we drew on the revolving facility to maximize our financial flexibility. We plan to repay the $220 million drawn on the revolving credit facility in the month of March 2021.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left="660" w:hanging="328"/>
        <w:spacing w:after="0" w:line="24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stopped repurchasing our common stock and our Board of Directors did not declare a dividend for the second, third and fourth quarters of 2020. We will reevaluate our capital allocation strategy as industry conditions improve and normal restaurant operations resume, in consideration of our current and forecast earnings, financial condition, cash requirements and other factors. Prior to taking these actions, we used cash totaling $53.8 million for dividends and stock repurchases in 2020 as compared to using cash of $156.6 million for dividends and stock repurchases in 2019.</w:t>
      </w:r>
    </w:p>
    <w:p>
      <w:pPr>
        <w:ind w:left="660" w:right="60" w:hanging="328"/>
        <w:spacing w:after="0" w:line="20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voluntarily increased the interest reserve set aside for our securitized debt, from the required $16.4 million to $32.8 million. We also voluntarily accelerated the funding of interest on our securitized debt with the redirection of cash receipts within the securitization structure. As of the date of this report, the interest payments on long-term debt due March 5, 2021 and June 5, 2021 have been fully funded.</w:t>
      </w:r>
    </w:p>
    <w:p>
      <w:pPr>
        <w:spacing w:after="0" w:line="1" w:lineRule="exact"/>
        <w:rPr>
          <w:rFonts w:ascii="Arial" w:cs="Arial" w:eastAsia="Arial" w:hAnsi="Arial"/>
          <w:sz w:val="22"/>
          <w:szCs w:val="22"/>
          <w:color w:val="auto"/>
        </w:rPr>
      </w:pPr>
    </w:p>
    <w:p>
      <w:pPr>
        <w:ind w:left="660" w:right="300" w:hanging="328"/>
        <w:spacing w:after="0" w:line="201"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have reduced discretionary costs, limited new hiring and significantly reduced the use of independent contractors. At the outset of the pandemic, we temporarily furloughed certain team members across various functional groups in our restaurant support centers and company-operated restaurants and curtailed the hours of substantially all of the hourly restaurant associates at our company-operated restaurants. Most hourly restaurant associates at our company-operated restaurants returned to work following re-opening of those restaurants, and there were no team members from the restaurant support centers remaining on furlough as of December 31, 2020. Our General &amp; Administrative (“G&amp;A”) expenses for the year ended December 31, 2020 were $18.0 million lower than the prior year.</w:t>
      </w:r>
    </w:p>
    <w:p>
      <w:pPr>
        <w:spacing w:after="0" w:line="1" w:lineRule="exact"/>
        <w:rPr>
          <w:rFonts w:ascii="Arial" w:cs="Arial" w:eastAsia="Arial" w:hAnsi="Arial"/>
          <w:sz w:val="22"/>
          <w:szCs w:val="22"/>
          <w:color w:val="auto"/>
        </w:rPr>
      </w:pPr>
    </w:p>
    <w:p>
      <w:pPr>
        <w:ind w:left="660" w:right="60" w:hanging="328"/>
        <w:spacing w:after="0" w:line="200"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offered Applebee's franchisees the opportunity to defer payment of their royalty, advertising and other fees, primarily for the months of March and April. A total of 30 franchisees representing 94% of Applebee’s restaurants have deferred payments totaling $33.4 million. Repayment of deferred amounts, scheduled over up to nine months, began in the third quarter of 2020. As of December 31, 2020, the outstanding balance was approximately $13.7 million, with five franchisees having repaid their deferred balances in full.</w:t>
      </w:r>
    </w:p>
    <w:p>
      <w:pPr>
        <w:ind w:left="660" w:right="60" w:hanging="328"/>
        <w:spacing w:after="0" w:line="200"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offered IHOP franchisees the opportunity to defer their royalty, advertising, equipment rent and sublease rent payments, primarily for the months of March and April. Initially, 193 franchisees representing 58% of IHOP restaurants deferred payments totaling $24.1 million. Including subsequent deferrals made on a case-by case basis, the deferral program totaled $27.4 million. Repayment of deferred amounts, scheduled over up to 36 weeks, began in the third quarter of 2020. In certain instances, repayments were temporarily paused for up to 60 days. As of December 31, 2020, the outstanding balance was approximately $15.4 million, with 56 franchisees having repaid their deferred balances in full.</w:t>
      </w:r>
    </w:p>
    <w:p>
      <w:pPr>
        <w:spacing w:after="0" w:line="3" w:lineRule="exact"/>
        <w:rPr>
          <w:rFonts w:ascii="Arial" w:cs="Arial" w:eastAsia="Arial" w:hAnsi="Arial"/>
          <w:sz w:val="22"/>
          <w:szCs w:val="22"/>
          <w:color w:val="auto"/>
        </w:rPr>
      </w:pPr>
    </w:p>
    <w:p>
      <w:pPr>
        <w:jc w:val="both"/>
        <w:ind w:left="660" w:right="20" w:hanging="328"/>
        <w:spacing w:after="0" w:line="199"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received rent deferrals and abatements on properties we lease of approximately $11 million, primarily related to rent deferrals for properties on which IHOP restaurants are located. As of December 31, 2020, the deferred rent balance was approximately $5 million, the significant majority of which is due to be paid in 2021.</w:t>
      </w:r>
    </w:p>
    <w:p>
      <w:pPr>
        <w:ind w:left="660" w:right="260" w:hanging="328"/>
        <w:spacing w:after="0" w:line="197"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allowed franchisees to defer their development obligations for up to 15 months and we allowed franchisees to defer their 2020 unit remodel obligations until the end of 2022.</w:t>
      </w:r>
    </w:p>
    <w:p>
      <w:pPr>
        <w:ind w:left="660" w:right="200" w:hanging="328"/>
        <w:spacing w:after="0" w:line="197"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have worked with our franchisees to offer a limited menu and to modify their operating hours in a manner that optimizes the functionality of their restaurants. Our expectation is restaurants will return to normal operating hours as sales return to pre-pandemic levels.</w:t>
      </w:r>
    </w:p>
    <w:p>
      <w:pPr>
        <w:ind w:left="660" w:right="380" w:hanging="328"/>
        <w:spacing w:after="0" w:line="203"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hired external consultants to work with franchisees in assessing their financial health and to better understand performance variability. We began this process in the third quarter of 2020 working closely with key franchise leaders.</w:t>
      </w:r>
    </w:p>
    <w:p>
      <w:pPr>
        <w:spacing w:after="0" w:line="198"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In March 2020, in light of the COVID-19 pandemic, Standard &amp; Poor's (“S&amp;P”) placed the Company on “credit watch-negative” with respect to its 2019 Class A-2 Notes. In September 2020, S&amp;P removed the Company from the credit watch and reaffirmed the BBB rating of the 2019 Class A-2 Notes.</w:t>
      </w:r>
    </w:p>
    <w:p>
      <w:pPr>
        <w:spacing w:after="0" w:line="16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significance of the impacts of the COVID-19 pandemic resulted in our performing impairment assessments of our long-lived assets, goodwill and other intangible assets. As a result of these assessments, we recorded impairment charges of $123.7 million in the second fiscal quarter of 2020. See</w:t>
      </w:r>
    </w:p>
    <w:p>
      <w:pPr>
        <w:ind w:right="8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“Consolidated Results of Operations - Fiscal 2020, 2019 and 2018 - Impairment and Closure Costs” </w:t>
      </w:r>
      <w:r>
        <w:rPr>
          <w:rFonts w:ascii="Times New Roman" w:cs="Times New Roman" w:eastAsia="Times New Roman" w:hAnsi="Times New Roman"/>
          <w:sz w:val="18"/>
          <w:szCs w:val="18"/>
          <w:color w:val="auto"/>
        </w:rPr>
        <w:t>for further discussion of the impairments.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and closure charges of $8.1 million were recorded during the fourth fiscal quarter of 2020, primarily related to closure of IHOP restaurants.</w:t>
      </w:r>
    </w:p>
    <w:p>
      <w:pPr>
        <w:spacing w:after="0" w:line="2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 response to the COVID-19 pandemic. Among the various provisions in the CARES Act, the Company is utilizing the payroll tax deferrals and has claimed an Employee Retention Credit. As of December 31, 2020, the Company has deferred the payment of $3.1 million of payroll taxes, of which 50% is due to be paid by December 31, 2021 and the remaining 50% is due to be paid by December 31, 2022. The Company also has claimed an Employee Retention Credit of $0.6 million as of December 31, 2020. The Company did not receive any form of loan pursuant the Paycheck Protection Program established under the CARES Act. Other than the deferrals and credits noted above, the Company did not receive financial aid pursuant to assistance programs offered by the federal government related to the COVID-19 pandemic.</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may arise, what restrictions on restaurant operations may be enacted or re-enacted, the availability and acceptance of vaccines, the timing and extent of customer re-engagement with the Company's brands and, in general, what short- and long-term impact on consumer discretionary spending the COVID-19 pandemic might have on the Company and the restaurant industry as a whole, all of which are uncertain and cannot be predicted.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2020 Performance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Performance Indicators</w:t>
      </w:r>
    </w:p>
    <w:p>
      <w:pPr>
        <w:spacing w:after="0" w:line="254"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development/reduction and the change in total effective restaurants. Changes in both domestic same-restaurant sales and in the number of Applebee's and IHOP restaurants will impact our system-wide retail sales that drive franchise royalty revenues. Net franchise restaurant development/reduction also impacts franchise revenues in the form of initial franchise fees and, in the case of IHOP restaurants, sales of proprietary pancake and waffle dry mix and, where applicable, rental payments under leases that partially may be based on a percentage of their sales.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overview of our key performance indicators for the year ended December 31, 2020 is as follows: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8160" w:type="dxa"/>
            <w:vAlign w:val="bottom"/>
          </w:tcPr>
          <w:p>
            <w:pPr>
              <w:spacing w:after="0"/>
              <w:rPr>
                <w:sz w:val="22"/>
                <w:szCs w:val="22"/>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IHOP</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System-wide sales percentage decrease</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system-wide same-restaurant sales percentage decrease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franchise restaurant reduction </w:t>
            </w:r>
            <w:r>
              <w:rPr>
                <w:rFonts w:ascii="Times New Roman" w:cs="Times New Roman" w:eastAsia="Times New Roman" w:hAnsi="Times New Roman"/>
                <w:sz w:val="10"/>
                <w:szCs w:val="10"/>
                <w:color w:val="auto"/>
              </w:rPr>
              <w:t>(1)</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1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decrease in total effective restaurants </w:t>
            </w:r>
            <w:r>
              <w:rPr>
                <w:rFonts w:ascii="Times New Roman" w:cs="Times New Roman" w:eastAsia="Times New Roman" w:hAnsi="Times New Roman"/>
                <w:sz w:val="23"/>
                <w:szCs w:val="23"/>
                <w:color w:val="auto"/>
                <w:vertAlign w:val="superscript"/>
              </w:rPr>
              <w:t>(2)</w:t>
            </w: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ind w:left="160" w:hanging="152"/>
        <w:spacing w:after="0" w:line="184"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Franchise and area license restaurant closings, net of openings, during the year ended December 31, 2020.</w:t>
      </w:r>
    </w:p>
    <w:p>
      <w:pPr>
        <w:ind w:left="180" w:right="440" w:hanging="172"/>
        <w:spacing w:after="0" w:line="199" w:lineRule="auto"/>
        <w:tabs>
          <w:tab w:leader="none" w:pos="172"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Change in the weighted average number of franchise, area license and company-operated restaurants open during the year ended December 31, 2020, compared to the weighted average number of those open during the same period of 2019.</w:t>
      </w:r>
    </w:p>
    <w:p>
      <w:pPr>
        <w:spacing w:after="0" w:line="22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Applebee's and IHOP sales percentage decreases for the year ended December 31, 2020 were due to a decrease in domestic same-restaurant sales primarily as a result of the effects of COVID-19, as well as a decrease in total effective restaurants. The decrease in total effective restaurants for each brand reflects both a net reduction in franchise restaurants due to permanent closures, net of openings, and the weighted effect of restaurants temporarily closed during the course of the year ended December 31, 2020.</w:t>
      </w:r>
    </w:p>
    <w:p>
      <w:pPr>
        <w:sectPr>
          <w:pgSz w:w="11900" w:h="16838" w:orient="portrait"/>
          <w:cols w:equalWidth="0" w:num="1">
            <w:col w:w="11220"/>
          </w:cols>
          <w:pgMar w:left="320" w:top="1377" w:right="359" w:bottom="1440" w:gutter="0" w:footer="0" w:header="0"/>
        </w:sectPr>
      </w:pP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(Loss) income before income taxes</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benefit (provision)</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060" w:type="dxa"/>
            <w:vAlign w:val="bottom"/>
            <w:vMerge w:val="restart"/>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500" w:type="dxa"/>
            <w:vAlign w:val="bottom"/>
          </w:tcPr>
          <w:p>
            <w:pPr>
              <w:spacing w:after="0"/>
              <w:rPr>
                <w:sz w:val="11"/>
                <w:szCs w:val="11"/>
                <w:color w:val="auto"/>
              </w:rPr>
            </w:pPr>
          </w:p>
        </w:tc>
        <w:tc>
          <w:tcPr>
            <w:tcW w:w="92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89"/>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3100" w:type="dxa"/>
            <w:vAlign w:val="bottom"/>
            <w:gridSpan w:val="6"/>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(247.0)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36"/>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i w:val="1"/>
                <w:iCs w:val="1"/>
                <w:color w:val="auto"/>
              </w:rPr>
              <w:t>38.7</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(208.3)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-479425</wp:posOffset>
            </wp:positionV>
            <wp:extent cx="709803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-187960</wp:posOffset>
            </wp:positionV>
            <wp:extent cx="70980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5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p>
      <w:pPr>
        <w:spacing w:after="0" w:line="31" w:lineRule="exact"/>
        <w:rPr>
          <w:sz w:val="20"/>
          <w:szCs w:val="20"/>
          <w:color w:val="auto"/>
        </w:rPr>
      </w:pPr>
    </w:p>
    <w:p>
      <w:pPr>
        <w:sectPr>
          <w:pgSz w:w="11900" w:h="16838" w:orient="portrait"/>
          <w:cols w:equalWidth="0" w:num="2">
            <w:col w:w="6160" w:space="720"/>
            <w:col w:w="4340"/>
          </w:cols>
          <w:pgMar w:left="320" w:top="1377" w:right="359" w:bottom="1440" w:gutter="0" w:footer="0" w:header="0"/>
          <w:type w:val="continuous"/>
        </w:sectPr>
      </w:pPr>
    </w:p>
    <w:tbl>
      <w:tblPr>
        <w:tblLayout w:type="fixed"/>
        <w:tblInd w:w="40" w:type="dxa"/>
        <w:tblCellMar>
          <w:top w:w="0" w:type="dxa"/>
          <w:left w:w="0" w:type="dxa"/>
          <w:bottom w:w="0" w:type="dxa"/>
          <w:right w:w="0" w:type="dxa"/>
        </w:tblCellMar>
      </w:tblPr>
      <w:tr>
        <w:trPr>
          <w:trHeight w:val="23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4.2 %</w:t>
            </w:r>
          </w:p>
        </w:tc>
        <w:tc>
          <w:tcPr>
            <w:tcW w:w="3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c>
          <w:tcPr>
            <w:tcW w:w="6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24.6 %</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diluted share</w:t>
            </w:r>
          </w:p>
        </w:tc>
        <w:tc>
          <w:tcPr>
            <w:tcW w:w="2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(12.28)</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(1.0)</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type w:val="continuous"/>
        </w:sectPr>
      </w:pPr>
    </w:p>
    <w:bookmarkStart w:id="33" w:name="page34"/>
    <w:bookmarkEnd w:id="33"/>
    <w:p>
      <w:pPr>
        <w:ind w:right="340" w:firstLine="324"/>
        <w:spacing w:after="0" w:line="270" w:lineRule="auto"/>
        <w:rPr>
          <w:sz w:val="20"/>
          <w:szCs w:val="20"/>
          <w:color w:val="auto"/>
        </w:rPr>
      </w:pPr>
      <w:r>
        <w:rPr>
          <w:rFonts w:ascii="Times New Roman" w:cs="Times New Roman" w:eastAsia="Times New Roman" w:hAnsi="Times New Roman"/>
          <w:sz w:val="18"/>
          <w:szCs w:val="18"/>
          <w:color w:val="auto"/>
        </w:rPr>
        <w:t>Income before income taxes for the year ended December 31, 2020 decreased $247.0 million compared to the year ended December 31, 2019. The primary reasons for the decrease are summarized as follows:</w:t>
      </w:r>
    </w:p>
    <w:tbl>
      <w:tblPr>
        <w:tblLayout w:type="fixed"/>
        <w:tblInd w:w="20" w:type="dxa"/>
        <w:tblCellMar>
          <w:top w:w="0" w:type="dxa"/>
          <w:left w:w="0" w:type="dxa"/>
          <w:bottom w:w="0" w:type="dxa"/>
          <w:right w:w="0" w:type="dxa"/>
        </w:tblCellMar>
      </w:tblPr>
      <w:tr>
        <w:trPr>
          <w:trHeight w:val="194"/>
        </w:trPr>
        <w:tc>
          <w:tcPr>
            <w:tcW w:w="9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gross profit: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9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29"/>
        </w:trPr>
        <w:tc>
          <w:tcPr>
            <w:tcW w:w="9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operations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9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 other operations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gross profit decrease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3"/>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impairment and closure charges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G&amp;A expenses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income before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1"/>
        </w:trPr>
        <w:tc>
          <w:tcPr>
            <w:tcW w:w="9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20" w:firstLine="324"/>
        <w:spacing w:after="0" w:line="269" w:lineRule="auto"/>
        <w:rPr>
          <w:sz w:val="20"/>
          <w:szCs w:val="20"/>
          <w:color w:val="auto"/>
        </w:rPr>
      </w:pPr>
      <w:r>
        <w:rPr>
          <w:rFonts w:ascii="Times New Roman" w:cs="Times New Roman" w:eastAsia="Times New Roman" w:hAnsi="Times New Roman"/>
          <w:sz w:val="17"/>
          <w:szCs w:val="17"/>
          <w:color w:val="auto"/>
        </w:rPr>
        <w:t>Each of these material changes resulted in some manner from impacts of the COVID-19 pandemic. Revenues and cash flows of our franchise, company-operated restaurant and rental operations were significantly affected by the varying degrees of limitations imposed on restaurant operations throughout the majority of 2020. The impacts of the pandemic were considered a potential indicator of impairment which required interim tests of impairment of our goodwill, intangible assets and long-lived assets that resulted in impairment charges of $123.7 million recorded in the second quarter of 2020. To partially mitigate the impact on cash flow, management undertook actions to reduce G&amp;A, such as the furloughing of employees noted above.</w:t>
      </w:r>
    </w:p>
    <w:p>
      <w:pPr>
        <w:spacing w:after="0" w:line="3" w:lineRule="exact"/>
        <w:rPr>
          <w:sz w:val="20"/>
          <w:szCs w:val="20"/>
          <w:color w:val="auto"/>
        </w:rPr>
      </w:pPr>
    </w:p>
    <w:p>
      <w:pPr>
        <w:jc w:val="both"/>
        <w:ind w:firstLine="364"/>
        <w:spacing w:after="0" w:line="238" w:lineRule="auto"/>
        <w:rPr>
          <w:sz w:val="20"/>
          <w:szCs w:val="20"/>
          <w:color w:val="auto"/>
        </w:rPr>
      </w:pPr>
      <w:r>
        <w:rPr>
          <w:rFonts w:ascii="Times New Roman" w:cs="Times New Roman" w:eastAsia="Times New Roman" w:hAnsi="Times New Roman"/>
          <w:sz w:val="18"/>
          <w:szCs w:val="18"/>
          <w:color w:val="auto"/>
        </w:rPr>
        <w:t>Our 2020 effective tax rate of 4.2% applied to pretax book loss was significantly different than the statutory Federal income tax rate of 21% primarily because a $92.2 million impairment of goodwill incurred in the second quarter is not deductible for income tax purposes and therefore has no associated tax benefit. See Note 16 - Income Taxes, of the Notes to the Consolidated Financial Statements for a reconciliation between our effective rate and the statutory Federal income tax rate.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Data - System-wide Sales and Domestic Same-Restaurant Sales</w:t>
      </w:r>
    </w:p>
    <w:p>
      <w:pPr>
        <w:spacing w:after="0" w:line="25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sets forth for each of the past three years the number of Effective Restaurants in the Applebee’s and IHOP systems and information regarding the percentage change in sales at those restaurants compared to the same periods in the prior two years. Sales at restaurants that are owned by franchisees and area licensees are not attributable to the Company and, as such, the percentage changes in sales presented below are based on non-GAAP sales data. However, we believe that presentation of this information is useful in analyzing our revenues because franchisees and area licensees pay us royalties and advertising fees that are generally based on a percentage of their sales, and, where applicable, rental payments under leases that partially may be based on a percentage of their sales. Management also uses this information to make decisions about future plans for the development of additional restaurants as well as evaluation of current operations.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Applebee's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80" w:type="dxa"/>
            <w:vAlign w:val="bottom"/>
            <w:tcBorders>
              <w:bottom w:val="single" w:sz="8" w:color="CCEEFF"/>
            </w:tcBorders>
            <w:vMerge w:val="continue"/>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7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9"/>
              </w:rPr>
              <w:t>(24.1)%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80" w:type="dxa"/>
            <w:vAlign w:val="bottom"/>
          </w:tcPr>
          <w:p>
            <w:pPr>
              <w:ind w:left="220"/>
              <w:spacing w:after="0" w:line="22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78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 (e)</w:t>
            </w: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9"/>
              </w:rPr>
              <w:t>(24.3)%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(22.6)%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average weekly unit sales (in thousands)</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4780" w:type="dxa"/>
            <w:vAlign w:val="bottom"/>
          </w:tcPr>
          <w:p>
            <w:pPr>
              <w:spacing w:after="0"/>
              <w:rPr>
                <w:sz w:val="24"/>
                <w:szCs w:val="24"/>
                <w:color w:val="auto"/>
              </w:rPr>
            </w:pPr>
          </w:p>
        </w:tc>
        <w:tc>
          <w:tcPr>
            <w:tcW w:w="17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b w:val="1"/>
          <w:bCs w:val="1"/>
          <w:color w:val="auto"/>
        </w:rPr>
        <w:t>IHOP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9"/>
        </w:trPr>
        <w:tc>
          <w:tcPr>
            <w:tcW w:w="6480" w:type="dxa"/>
            <w:vAlign w:val="bottom"/>
          </w:tcPr>
          <w:p>
            <w:pPr>
              <w:ind w:left="220"/>
              <w:spacing w:after="0" w:line="22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 (f)</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0"/>
        </w:trPr>
        <w:tc>
          <w:tcPr>
            <w:tcW w:w="648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IHOP sales percentage change</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4" w:lineRule="exact"/>
        <w:rPr>
          <w:sz w:val="20"/>
          <w:szCs w:val="20"/>
          <w:color w:val="auto"/>
        </w:rPr>
      </w:pPr>
    </w:p>
    <w:p>
      <w:pPr>
        <w:jc w:val="both"/>
        <w:ind w:left="340" w:right="40" w:hanging="332"/>
        <w:spacing w:after="0" w:line="221" w:lineRule="auto"/>
        <w:tabs>
          <w:tab w:leader="none" w:pos="335"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“Global Effective Restaurants” are the weighted average number of restaurants open in a given fiscal period, adjusted to account for restaurants open for only a portion of the period. Information is presented for all Effective Restaurants in the Applebee’s and IHOP systems, domestic and international, which includes restaurants owned by franchisees and area licensees as well as those owned by the Company.</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27"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“System-wide sales” are retail sales at Applebee’s restaurants operated by franchisees and IHOP restaurants operated by franchisees and area licensees, as reported to the Company, in addition to retail sales at company-operated restaurants. Sales at restaurants that are owned by franchisees and area licensees are not attributable to the Company. An increase or decrease in franchisees' reported sales will result in a corresponding increase or decrease in our royalty revenue. ales at company-operated restaurants and unaudited reported sales for Applebee's domestic franchise restaurants, IHOP franchise restaurants and IHOP area license restaurants for the years ended December 31, 2020, 2019 and 2018 and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6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Reported sales</w:t>
            </w:r>
          </w:p>
        </w:tc>
        <w:tc>
          <w:tcPr>
            <w:tcW w:w="320" w:type="dxa"/>
            <w:vAlign w:val="bottom"/>
          </w:tcPr>
          <w:p>
            <w:pPr>
              <w:spacing w:after="0"/>
              <w:rPr>
                <w:sz w:val="12"/>
                <w:szCs w:val="12"/>
                <w:color w:val="auto"/>
              </w:rPr>
            </w:pPr>
          </w:p>
        </w:tc>
        <w:tc>
          <w:tcPr>
            <w:tcW w:w="1060" w:type="dxa"/>
            <w:vAlign w:val="bottom"/>
          </w:tcPr>
          <w:p>
            <w:pPr>
              <w:jc w:val="right"/>
              <w:ind w:right="461"/>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481"/>
              <w:spacing w:after="0" w:line="149"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1"/>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Applebee's domestic franchise restaurant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2,993.0</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4,204.1</w:t>
            </w:r>
          </w:p>
        </w:tc>
      </w:tr>
      <w:tr>
        <w:trPr>
          <w:trHeight w:val="213"/>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Applebee's company-operated restaurants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IHOP franchise restaurant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3,106.7</w:t>
            </w:r>
          </w:p>
        </w:tc>
      </w:tr>
      <w:tr>
        <w:trPr>
          <w:trHeight w:val="213"/>
        </w:trPr>
        <w:tc>
          <w:tcPr>
            <w:tcW w:w="2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IHOP area license restaurant sales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340" w:hanging="332"/>
        <w:spacing w:after="0" w:line="211" w:lineRule="auto"/>
        <w:tabs>
          <w:tab w:leader="none" w:pos="335"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“Sales percentage change” reflects, for each category of restaurants, the percentage change in sales in any given fiscal year compared to the prior fiscal year for all restaurants in that category.</w:t>
      </w:r>
    </w:p>
    <w:p>
      <w:pPr>
        <w:spacing w:after="0" w:line="1" w:lineRule="exact"/>
        <w:rPr>
          <w:rFonts w:ascii="Times New Roman" w:cs="Times New Roman" w:eastAsia="Times New Roman" w:hAnsi="Times New Roman"/>
          <w:sz w:val="23"/>
          <w:szCs w:val="23"/>
          <w:color w:val="auto"/>
          <w:vertAlign w:val="superscript"/>
        </w:rPr>
      </w:pPr>
    </w:p>
    <w:p>
      <w:pPr>
        <w:ind w:left="340" w:right="240" w:hanging="332"/>
        <w:spacing w:after="0" w:line="215"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“Domestic same-restaurant sales change” reflects the percentage change in sales in any given fiscal year, compared to the same weeks in the prior year, for domestic restaurants that have been operated throughout both fiscal years that are being compared and have been open for at least 18 months. Because of new restaurant openings and restaurant closures, the domestic restaurants open throughout the fiscal years being compared may be different from year to year.</w:t>
      </w:r>
    </w:p>
    <w:p>
      <w:pPr>
        <w:ind w:left="340" w:right="180" w:hanging="332"/>
        <w:spacing w:after="0" w:line="202" w:lineRule="auto"/>
        <w:tabs>
          <w:tab w:leader="none" w:pos="335"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Applebee's franchise sales percentage change for 2019 was impacted by the acquisition of 69 franchise restaurants in December 2018 now reported as company-operated.</w:t>
      </w:r>
    </w:p>
    <w:p>
      <w:pPr>
        <w:ind w:left="320" w:hanging="312"/>
        <w:spacing w:after="0" w:line="182" w:lineRule="auto"/>
        <w:tabs>
          <w:tab w:leader="none" w:pos="32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IHOP system-wide same-restaurant sales data includes area license restaurants beginning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Domestic Same-Restaurant Sales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173990</wp:posOffset>
            </wp:positionV>
            <wp:extent cx="5357495" cy="2786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5749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278"/>
        <w:spacing w:after="0" w:line="255" w:lineRule="auto"/>
        <w:rPr>
          <w:sz w:val="20"/>
          <w:szCs w:val="20"/>
          <w:color w:val="auto"/>
        </w:rPr>
      </w:pPr>
      <w:r>
        <w:rPr>
          <w:rFonts w:ascii="Times New Roman" w:cs="Times New Roman" w:eastAsia="Times New Roman" w:hAnsi="Times New Roman"/>
          <w:sz w:val="18"/>
          <w:szCs w:val="18"/>
          <w:color w:val="auto"/>
        </w:rPr>
        <w:t>Applebee’s domestic same-restaurant sales decreased 17.6% for the three months ended December 31, 2020 from the same period in 2019. The decrease primarily was due to a significant decline in customer traffic as a result of the effects of COVID-19, partially offset by an increase in average check. Applebee's same-restaurant sales for the fourth quarter of 2020 outperformed the casual dining segment of the restaurant industry. Based on data from Black Box Intelligence, a restaurant sales reporting firm (“Black Box”), the casual dining segment of the restaurant industry experienced a decrease in same-restaurant sales during the fourth quarter of 2020 resulting from a large decline in customer traffic that was somewhat offset by an increase in average customer check. The primary reason for the performance differential between Applebee's and the casual dining segment during the fourth quarter of 2020 was the increase in average customer check, as Applebee's increase in average customer check was larger than that of the casual dining segment.</w:t>
      </w:r>
    </w:p>
    <w:p>
      <w:pPr>
        <w:spacing w:after="0" w:line="216"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Applebee’s domestic same-restaurant sales decreased 22.4%. This decrease for the full year 2020 was due to a significant decline in customer traffic as a result of the effects of COVID-19, partially offset by an increase in average check. Applebee's same-restaurant sales for the year ended December 31, 2020 underperformed the casual dining segment of the restaurant industry. Based on data from Black Box, the casual dining segment experienced a decrease in same-restaurant sales due to a decline in customer traffic that was slightly offset by an increase in average customer check. The primary reason for the performance differential between Applebee's and the casual dining segment for the year ended December 31, 2020 was the decrease in traffic, as Applebee's decrease in traffic was larger than that of the casual dining segment.</w:t>
      </w:r>
    </w:p>
    <w:p>
      <w:pPr>
        <w:spacing w:after="0" w:line="214" w:lineRule="exact"/>
        <w:rPr>
          <w:sz w:val="20"/>
          <w:szCs w:val="20"/>
          <w:color w:val="auto"/>
        </w:rPr>
      </w:pPr>
    </w:p>
    <w:p>
      <w:pPr>
        <w:ind w:right="20" w:firstLine="243"/>
        <w:spacing w:after="0" w:line="242" w:lineRule="auto"/>
        <w:rPr>
          <w:sz w:val="20"/>
          <w:szCs w:val="20"/>
          <w:color w:val="auto"/>
        </w:rPr>
      </w:pPr>
      <w:r>
        <w:rPr>
          <w:rFonts w:ascii="Times New Roman" w:cs="Times New Roman" w:eastAsia="Times New Roman" w:hAnsi="Times New Roman"/>
          <w:sz w:val="18"/>
          <w:szCs w:val="18"/>
          <w:color w:val="auto"/>
        </w:rPr>
        <w:t>Applebee’s system-wide domestic same-restaurant sales had significant variability over the course of fiscal 2020. This variability was due to several factors. Restrictions on indoor dining were relaxed after the incidents of infection from the initial outbreak of COVID-19 declined, but the restrictions were reinstituted in varying degrees during the fourth quarter of 2020 as incidents of the virus surged in individual geographic areas. Another factor was the Company's return to national media advertising in July 2020 after having temporarily discontinued its national advertising programs in March 2020. Other factors were the resilience of the consumers' desire to patronize restaurants as dine-in restrictions were lifted and the retention of off-premise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6" w:name="page37"/>
    <w:bookmarkEnd w:id="36"/>
    <w:p>
      <w:pPr>
        <w:ind w:firstLine="243"/>
        <w:spacing w:after="0" w:line="255" w:lineRule="auto"/>
        <w:rPr>
          <w:sz w:val="20"/>
          <w:szCs w:val="20"/>
          <w:color w:val="auto"/>
        </w:rPr>
      </w:pPr>
      <w:r>
        <w:rPr>
          <w:rFonts w:ascii="Times New Roman" w:cs="Times New Roman" w:eastAsia="Times New Roman" w:hAnsi="Times New Roman"/>
          <w:sz w:val="18"/>
          <w:szCs w:val="18"/>
          <w:color w:val="auto"/>
        </w:rPr>
        <w:t>As shown in the following table, prior to the large-scale initiation of restrictions on restaurant operations, Applebee's began 2020 with positive domestic same-restaurant sales. For the first 10 weeks of the first quarter of fiscal 2020, Applebee's domestic same-restaurant sales increased 3.2%, primarily due to an increase in customer traffic as well as an increase in average customer check. During March and April, virtually all Applebee's restaurants were limited to off-premise sales or were temporarily closed. After reaching a low point in same-restaurant sales in April 2020, Applebee's experienced progressive improvement in same-restaurant sales for the months of May through October 2020. However, as incidents of the virus surged in the fourth quarter and restrictions on restaurant operations were reinstituted, the trend of improvement in same-restaurant sales reversed for the months of November and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-5080</wp:posOffset>
            </wp:positionV>
            <wp:extent cx="5357495" cy="3000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5749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right="5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impact of restaurant dine-in restrictions on Applebee's domestic restaurant operations by month since dine-in restrictions were first instituted: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Status</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Status as of 2020 Fiscal Month Ended</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250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Apr</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Aug</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Sept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Oct</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Nov</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w:t>
            </w: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Dining rooms open*</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to off-premise 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Temporarily closed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0"/>
        </w:trPr>
        <w:tc>
          <w:tcPr>
            <w:tcW w:w="2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420" w:hanging="88"/>
        <w:spacing w:after="0"/>
        <w:tabs>
          <w:tab w:leader="none" w:pos="420" w:val="left"/>
        </w:tabs>
        <w:numPr>
          <w:ilvl w:val="0"/>
          <w:numId w:val="19"/>
        </w:numPr>
        <w:rPr>
          <w:rFonts w:ascii="Times New Roman" w:cs="Times New Roman" w:eastAsia="Times New Roman" w:hAnsi="Times New Roman"/>
          <w:sz w:val="23"/>
          <w:szCs w:val="23"/>
          <w:color w:val="252525"/>
          <w:vertAlign w:val="superscript"/>
        </w:rPr>
      </w:pPr>
      <w:r>
        <w:rPr>
          <w:rFonts w:ascii="Times New Roman" w:cs="Times New Roman" w:eastAsia="Times New Roman" w:hAnsi="Times New Roman"/>
          <w:sz w:val="18"/>
          <w:szCs w:val="18"/>
          <w:color w:val="252525"/>
        </w:rPr>
        <w:t>In most instances, limited to 50% capacity or less and/or reduced operating hours</w:t>
      </w:r>
    </w:p>
    <w:p>
      <w:pPr>
        <w:spacing w:after="0" w:line="200" w:lineRule="exact"/>
        <w:rPr>
          <w:sz w:val="20"/>
          <w:szCs w:val="20"/>
          <w:color w:val="auto"/>
        </w:rPr>
      </w:pPr>
    </w:p>
    <w:p>
      <w:pPr>
        <w:spacing w:after="0" w:line="32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While Applebee's off-premise sales as a percentage of Applebee's total sales have declined from the April 2020 peak as restrictions on in-restaurant dining were relaxed, off-premise sales as a percentage of Applebee's total sales have increased compared to pre-pandemic levels.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Off-premise sales as % total Applebee's domestic sales</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2020 Fiscal Month Ended</w:t>
      </w:r>
    </w:p>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Jan</w:t>
            </w: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Feb</w:t>
            </w:r>
          </w:p>
        </w:tc>
        <w:tc>
          <w:tcPr>
            <w:tcW w:w="9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w:t>
            </w:r>
          </w:p>
        </w:tc>
        <w:tc>
          <w:tcPr>
            <w:tcW w:w="9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Apr</w:t>
            </w:r>
          </w:p>
        </w:tc>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May</w:t>
            </w:r>
          </w:p>
        </w:tc>
        <w:tc>
          <w:tcPr>
            <w:tcW w:w="9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w:t>
            </w:r>
          </w:p>
        </w:tc>
        <w:tc>
          <w:tcPr>
            <w:tcW w:w="9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July</w:t>
            </w: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Aug</w:t>
            </w:r>
          </w:p>
        </w:tc>
        <w:tc>
          <w:tcPr>
            <w:tcW w:w="9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w:t>
            </w:r>
          </w:p>
        </w:tc>
        <w:tc>
          <w:tcPr>
            <w:tcW w:w="9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Oct</w:t>
            </w: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Nov</w:t>
            </w:r>
          </w:p>
        </w:tc>
        <w:tc>
          <w:tcPr>
            <w:tcW w:w="8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Dec</w:t>
            </w:r>
          </w:p>
        </w:tc>
      </w:tr>
      <w:tr>
        <w:trPr>
          <w:trHeight w:val="225"/>
        </w:trPr>
        <w:tc>
          <w:tcPr>
            <w:tcW w:w="8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99.8 %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38.0 %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34.9 %</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34.5 %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44.8 %</w:t>
            </w:r>
          </w:p>
        </w:tc>
      </w:tr>
    </w:tbl>
    <w:p>
      <w:pPr>
        <w:spacing w:after="0" w:line="200" w:lineRule="exact"/>
        <w:rPr>
          <w:sz w:val="20"/>
          <w:szCs w:val="20"/>
          <w:color w:val="auto"/>
        </w:rPr>
      </w:pPr>
    </w:p>
    <w:p>
      <w:pPr>
        <w:sectPr>
          <w:pgSz w:w="11900" w:h="16838" w:orient="portrait"/>
          <w:cols w:equalWidth="0" w:num="1">
            <w:col w:w="11200"/>
          </w:cols>
          <w:pgMar w:left="320" w:top="113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577215</wp:posOffset>
            </wp:positionV>
            <wp:extent cx="5357495" cy="2786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35749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 Same-restaurant sales data includes area license restaurants beginning in 2019</w:t>
      </w:r>
    </w:p>
    <w:p>
      <w:pPr>
        <w:spacing w:after="0" w:line="2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IHOP’s domestic same-restaurant sales decreased 30.1% for the three months ended December 31, 2020 from the same period in 2019. The decrease primarily was due to a significant decline in customer traffic as a result of the effects of COVID-19, as well as a slight decrease in average check. IHOP's same-restaurant sales for the fourth quarter of 2020 underperformed the family dining segment of the restaurant industry. Based on data from Black Box, the family dining segment of the restaurant industry experienced a decrease in same-restaurant sales during the fourth quarter of 2020 resulting from a large decline in customer traffic that was partially offset by an increase in average customer check. The primary reason for the performance differential between IHOP and the family dining segment during the fourth quarter of 2020 was the change in average customer check, as IHOP experienced a small decrease in average customer check while the family dining segment reported an increase in average check. The breakfast category, in general, has experienced larger transaction declines than other dayparts.</w:t>
      </w:r>
    </w:p>
    <w:p>
      <w:pPr>
        <w:spacing w:after="0" w:line="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2020, IHOP's domestic same-restaurant sales decreased 32.8% due to a significant decline in customer traffic as a result of the effects of COVID-19, partially offset by a slight increase in average check. IHOP's same-restaurant sales for the fourth quarter of 2020 underperformed the family dining segment of the restaurant industry. Based on data from Black Box, for the full year of 2020, the family dining segment experienced a decrease in same-restaurant sales resulting from a large decline in customer traffic that was partially offset by an increase in average customer check. The reason for the performance differential between IHOP and the family dining segment during 2020 was the change in average check as IHOP experienced a smaller increase in average customer check than the family dining segment, partially offset by a smaller decrease in traffic.</w:t>
      </w:r>
    </w:p>
    <w:p>
      <w:pPr>
        <w:spacing w:after="0" w:line="217" w:lineRule="exact"/>
        <w:rPr>
          <w:sz w:val="20"/>
          <w:szCs w:val="20"/>
          <w:color w:val="auto"/>
        </w:rPr>
      </w:pPr>
    </w:p>
    <w:p>
      <w:pPr>
        <w:ind w:firstLine="243"/>
        <w:spacing w:after="0" w:line="260" w:lineRule="auto"/>
        <w:rPr>
          <w:sz w:val="20"/>
          <w:szCs w:val="20"/>
          <w:color w:val="auto"/>
        </w:rPr>
      </w:pPr>
      <w:r>
        <w:rPr>
          <w:rFonts w:ascii="Times New Roman" w:cs="Times New Roman" w:eastAsia="Times New Roman" w:hAnsi="Times New Roman"/>
          <w:sz w:val="17"/>
          <w:szCs w:val="17"/>
          <w:color w:val="auto"/>
        </w:rPr>
        <w:t>IHOP’s system-wide domestic same-restaurant sales had significant variability over the course of fiscal 2020. This variability was due to several factors. Restrictions on indoor dining were relaxed as incidents of infection from the initial outbreak of COVID-19 declined, but the restrictions were reinstituted in varying degrees during the fourth quarter of 2020 as incidents of infection from the virus surged in individual geographic areas. Another factor was the Company's return to national media advertising in July 2020 after having temporarily discontinued its national advertising programs in March 2020. Other factors were the resilience of the consumers' desire to patronize restaurants as dine-in restrictions were lifted and the retention of off-premise sales.</w:t>
      </w:r>
    </w:p>
    <w:p>
      <w:pPr>
        <w:spacing w:after="0" w:line="197" w:lineRule="exact"/>
        <w:rPr>
          <w:sz w:val="20"/>
          <w:szCs w:val="20"/>
          <w:color w:val="auto"/>
        </w:rPr>
      </w:pPr>
    </w:p>
    <w:p>
      <w:pPr>
        <w:ind w:right="120" w:firstLine="243"/>
        <w:spacing w:after="0" w:line="256" w:lineRule="auto"/>
        <w:rPr>
          <w:sz w:val="20"/>
          <w:szCs w:val="20"/>
          <w:color w:val="auto"/>
        </w:rPr>
      </w:pPr>
      <w:r>
        <w:rPr>
          <w:rFonts w:ascii="Times New Roman" w:cs="Times New Roman" w:eastAsia="Times New Roman" w:hAnsi="Times New Roman"/>
          <w:sz w:val="18"/>
          <w:szCs w:val="18"/>
          <w:color w:val="auto"/>
        </w:rPr>
        <w:t>As shown in the following table, prior to the large-scale initiation of restrictions on restaurant operations, IHOP began 2020 with positive domestic same-restaurant sales for the month of January. For the first 10 weeks of the first quarter of fiscal 2020, IHOP's domestic same-restaurant sales decreased 0.6%. During March and April, the significant majority of IHOP restaurants were limited to off-premise sales or were temporarily closed. After reaching a low point in same-restaurant sales in April 2020, IHOP experienced progressive improvement in same-restaurant sales for the months of May through September 2020. However, as incidents of the virus surged in the fourth quarter and restrictions on restaurant operations were reinstituted, the trend of improvement in same-restaurant sales reversed for the months of October, November and December.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542290</wp:posOffset>
            </wp:positionH>
            <wp:positionV relativeFrom="page">
              <wp:posOffset>577850</wp:posOffset>
            </wp:positionV>
            <wp:extent cx="5349240" cy="3000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impact of restaurant dine-in restrictions on IHOP's domestic restaurant operations by month since dine-in restrictions were first instituted: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Status</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Status as of 2020 Fiscal Month Ended</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250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Apr</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Aug</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Sept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Oct</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Nov</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w:t>
            </w: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Dining rooms open*</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to off-premise 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Temporarily closed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1,670</w:t>
            </w:r>
          </w:p>
        </w:tc>
      </w:tr>
      <w:tr>
        <w:trPr>
          <w:trHeight w:val="20"/>
        </w:trPr>
        <w:tc>
          <w:tcPr>
            <w:tcW w:w="2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20" w:hanging="88"/>
        <w:spacing w:after="0"/>
        <w:tabs>
          <w:tab w:leader="none" w:pos="420" w:val="left"/>
        </w:tabs>
        <w:numPr>
          <w:ilvl w:val="0"/>
          <w:numId w:val="20"/>
        </w:numPr>
        <w:rPr>
          <w:rFonts w:ascii="Times New Roman" w:cs="Times New Roman" w:eastAsia="Times New Roman" w:hAnsi="Times New Roman"/>
          <w:sz w:val="23"/>
          <w:szCs w:val="23"/>
          <w:color w:val="252525"/>
          <w:vertAlign w:val="superscript"/>
        </w:rPr>
      </w:pPr>
      <w:r>
        <w:rPr>
          <w:rFonts w:ascii="Times New Roman" w:cs="Times New Roman" w:eastAsia="Times New Roman" w:hAnsi="Times New Roman"/>
          <w:sz w:val="18"/>
          <w:szCs w:val="18"/>
          <w:color w:val="252525"/>
        </w:rPr>
        <w:t>In most instances, limited to 50% capacity or less and/or reduced operating hours</w:t>
      </w:r>
    </w:p>
    <w:p>
      <w:pPr>
        <w:spacing w:after="0" w:line="117" w:lineRule="exact"/>
        <w:rPr>
          <w:sz w:val="20"/>
          <w:szCs w:val="20"/>
          <w:color w:val="auto"/>
        </w:rPr>
      </w:pPr>
    </w:p>
    <w:p>
      <w:pPr>
        <w:ind w:left="180" w:right="340" w:firstLine="324"/>
        <w:spacing w:after="0" w:line="266" w:lineRule="auto"/>
        <w:rPr>
          <w:sz w:val="20"/>
          <w:szCs w:val="20"/>
          <w:color w:val="auto"/>
        </w:rPr>
      </w:pPr>
      <w:r>
        <w:rPr>
          <w:rFonts w:ascii="Times New Roman" w:cs="Times New Roman" w:eastAsia="Times New Roman" w:hAnsi="Times New Roman"/>
          <w:sz w:val="18"/>
          <w:szCs w:val="18"/>
          <w:color w:val="auto"/>
        </w:rPr>
        <w:t>While IHOP off-premise sales as a percentage of IHOP total sales have declined from the April 2020 peak as restrictions on in-restaurant dining were relaxed, off-premise sales as a percentage of IHOP total sales have increased compared to pre-pandemic levels.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Off-premise sales as % total IHOP domestic sales</w:t>
      </w:r>
    </w:p>
    <w:p>
      <w:pPr>
        <w:spacing w:after="0" w:line="1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2020 Fiscal Month Ended</w:t>
      </w:r>
    </w:p>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Jan</w:t>
            </w: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Feb</w:t>
            </w:r>
          </w:p>
        </w:tc>
        <w:tc>
          <w:tcPr>
            <w:tcW w:w="9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w:t>
            </w:r>
          </w:p>
        </w:tc>
        <w:tc>
          <w:tcPr>
            <w:tcW w:w="9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Apr</w:t>
            </w:r>
          </w:p>
        </w:tc>
        <w:tc>
          <w:tcPr>
            <w:tcW w:w="9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May</w:t>
            </w:r>
          </w:p>
        </w:tc>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w:t>
            </w: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July</w:t>
            </w: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Aug</w:t>
            </w:r>
          </w:p>
        </w:tc>
        <w:tc>
          <w:tcPr>
            <w:tcW w:w="9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w:t>
            </w:r>
          </w:p>
        </w:tc>
        <w:tc>
          <w:tcPr>
            <w:tcW w:w="9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Oct</w:t>
            </w: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Nov</w:t>
            </w:r>
          </w:p>
        </w:tc>
        <w:tc>
          <w:tcPr>
            <w:tcW w:w="8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Dec</w:t>
            </w:r>
          </w:p>
        </w:tc>
      </w:tr>
      <w:tr>
        <w:trPr>
          <w:trHeight w:val="225"/>
        </w:trPr>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94.7 %</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32.5 %</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30.2 %</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Franchise Restaurant Development</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total number of Applebee's restaurants open at December 31, 2020 declined 4.3% from the number open at December 31, 2019, as franchisees opened six new restaurants but closed 82 restaurants. The total number of IHOP restaurants open at December 31, 2020 decreased 3.7% from the number open at December 31, 2019, as IHOP franchisees and area licensees opened 27 restaurants in 2020 but closed 96 restaurants.</w:t>
      </w:r>
    </w:p>
    <w:p>
      <w:pPr>
        <w:spacing w:after="0" w:line="9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Internationally, franchisees of both brands opened 11 restaurants and closed 51, a net decrease of 40 international restaurants. This international development activity is included in the total activity for each brand cited above.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response to the impact of the COVID-19 pandemic on our franchisees, we allowed our franchisees to defer their development obligations for up to 15 months.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Restaurant closures can occur for a variety of reasons that may differ for each restaurant and for each franchisee. Closures generally fall into one of two categories: restaurants in older locations whose retail, residential and traffic demographics have changed unfavorably over time, and restaurants with non-viable unit economics. Our franchisees are independent businesses and their decisions to close restaurants, both temporarily and permanently, can be impacted by numerous factors that are outside of our control, including but not limited to, the impact of COVID-19 on individual franchisees as well as franchisees' agreements with their lenders and landlords.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Applebee's and IHOP restaurant development and franchising activity over the past three years:</w:t>
      </w:r>
    </w:p>
    <w:p>
      <w:pPr>
        <w:spacing w:after="0" w:line="21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Applebee's Restaurant Development Activity</w:t>
            </w:r>
          </w:p>
        </w:tc>
        <w:tc>
          <w:tcPr>
            <w:tcW w:w="2780" w:type="dxa"/>
            <w:vAlign w:val="bottom"/>
            <w:vMerge w:val="restart"/>
          </w:tcPr>
          <w:p>
            <w:pPr>
              <w:spacing w:after="0"/>
              <w:rPr>
                <w:sz w:val="18"/>
                <w:szCs w:val="18"/>
                <w:color w:val="auto"/>
              </w:rPr>
            </w:pPr>
          </w:p>
        </w:tc>
        <w:tc>
          <w:tcPr>
            <w:tcW w:w="14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4"/>
                <w:szCs w:val="14"/>
                <w:color w:val="auto"/>
              </w:rPr>
            </w:pPr>
          </w:p>
        </w:tc>
        <w:tc>
          <w:tcPr>
            <w:tcW w:w="346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Company restaurants </w:t>
            </w:r>
            <w:r>
              <w:rPr>
                <w:rFonts w:ascii="Times New Roman" w:cs="Times New Roman" w:eastAsia="Times New Roman" w:hAnsi="Times New Roman"/>
                <w:sz w:val="23"/>
                <w:szCs w:val="23"/>
                <w:color w:val="auto"/>
                <w:vertAlign w:val="superscript"/>
              </w:rPr>
              <w:t>(a)</w:t>
            </w: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Applebee's restaurants, beginning of period</w:t>
            </w:r>
          </w:p>
        </w:tc>
        <w:tc>
          <w:tcPr>
            <w:tcW w:w="1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1,787</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1,837</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1,936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1,665</w:t>
            </w:r>
          </w:p>
        </w:tc>
        <w:tc>
          <w:tcPr>
            <w:tcW w:w="120" w:type="dxa"/>
            <w:vAlign w:val="bottom"/>
          </w:tcPr>
          <w:p>
            <w:pPr>
              <w:spacing w:after="0"/>
              <w:rPr>
                <w:sz w:val="16"/>
                <w:szCs w:val="16"/>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1,782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restaurants closed: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restaurants closed</w:t>
            </w:r>
          </w:p>
        </w:tc>
        <w:tc>
          <w:tcPr>
            <w:tcW w:w="14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Franchise restaurants acquired by the Company </w:t>
            </w:r>
            <w:r>
              <w:rPr>
                <w:rFonts w:ascii="Times New Roman" w:cs="Times New Roman" w:eastAsia="Times New Roman" w:hAnsi="Times New Roman"/>
                <w:sz w:val="23"/>
                <w:szCs w:val="23"/>
                <w:color w:val="auto"/>
                <w:vertAlign w:val="superscript"/>
              </w:rPr>
              <w:t>(a)</w:t>
            </w: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franchise restaurant decrease</w:t>
            </w:r>
          </w:p>
        </w:tc>
        <w:tc>
          <w:tcPr>
            <w:tcW w:w="14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2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Franchise</w:t>
            </w:r>
          </w:p>
        </w:tc>
        <w:tc>
          <w:tcPr>
            <w:tcW w:w="1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Company restaurants </w:t>
            </w:r>
            <w:r>
              <w:rPr>
                <w:rFonts w:ascii="Times New Roman" w:cs="Times New Roman" w:eastAsia="Times New Roman" w:hAnsi="Times New Roman"/>
                <w:sz w:val="23"/>
                <w:szCs w:val="23"/>
                <w:color w:val="auto"/>
                <w:vertAlign w:val="superscript"/>
              </w:rPr>
              <w:t>(a)</w:t>
            </w: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1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1,837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240" w:type="dxa"/>
            <w:vAlign w:val="bottom"/>
            <w:gridSpan w:val="2"/>
            <w:vMerge w:val="continue"/>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tcPr>
          <w:p>
            <w:pPr>
              <w:spacing w:after="0"/>
              <w:rPr>
                <w:sz w:val="14"/>
                <w:szCs w:val="14"/>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tcPr>
          <w:p>
            <w:pPr>
              <w:spacing w:after="0"/>
              <w:rPr>
                <w:sz w:val="14"/>
                <w:szCs w:val="14"/>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Decrease in total Applebee's restaurants from prior year</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____________________________________________________________________________________________________________</w:t>
      </w:r>
    </w:p>
    <w:p>
      <w:pPr>
        <w:spacing w:after="0" w:line="18"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December 2018, the Company acquired 69 Applebee's restaurants from a former franchisee.</w:t>
      </w:r>
    </w:p>
    <w:p>
      <w:pPr>
        <w:spacing w:after="0" w:line="200" w:lineRule="exact"/>
        <w:rPr>
          <w:rFonts w:ascii="Times New Roman" w:cs="Times New Roman" w:eastAsia="Times New Roman" w:hAnsi="Times New Roman"/>
          <w:sz w:val="23"/>
          <w:szCs w:val="23"/>
          <w:color w:val="auto"/>
          <w:vertAlign w:val="superscript"/>
        </w:rPr>
      </w:pPr>
    </w:p>
    <w:p>
      <w:pPr>
        <w:spacing w:after="0" w:line="341"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87" w:right="4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IHOP Restaurant Development Activity</w:t>
            </w:r>
          </w:p>
        </w:tc>
        <w:tc>
          <w:tcPr>
            <w:tcW w:w="3320" w:type="dxa"/>
            <w:vAlign w:val="bottom"/>
            <w:vMerge w:val="restart"/>
          </w:tcPr>
          <w:p>
            <w:pPr>
              <w:spacing w:after="0"/>
              <w:rPr>
                <w:sz w:val="18"/>
                <w:szCs w:val="18"/>
                <w:color w:val="auto"/>
              </w:rPr>
            </w:pPr>
          </w:p>
        </w:tc>
        <w:tc>
          <w:tcPr>
            <w:tcW w:w="148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60" w:type="dxa"/>
            <w:vAlign w:val="bottom"/>
            <w:gridSpan w:val="3"/>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Franchise</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1,680</w:t>
            </w:r>
          </w:p>
        </w:tc>
        <w:tc>
          <w:tcPr>
            <w:tcW w:w="16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Area license</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161</w:t>
            </w:r>
          </w:p>
        </w:tc>
        <w:tc>
          <w:tcPr>
            <w:tcW w:w="16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14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1,841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1,786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1,710</w:t>
            </w:r>
          </w:p>
        </w:tc>
        <w:tc>
          <w:tcPr>
            <w:tcW w:w="166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131</w:t>
            </w:r>
          </w:p>
        </w:tc>
        <w:tc>
          <w:tcPr>
            <w:tcW w:w="166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Domestic franchise</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Domestic area license</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6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14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Franchise/area license restaurants closed:</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Domestic franchise</w:t>
            </w:r>
          </w:p>
        </w:tc>
        <w:tc>
          <w:tcPr>
            <w:tcW w:w="14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(56)</w:t>
            </w:r>
          </w:p>
        </w:tc>
        <w:tc>
          <w:tcPr>
            <w:tcW w:w="166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Domestic area license</w:t>
            </w:r>
          </w:p>
        </w:tc>
        <w:tc>
          <w:tcPr>
            <w:tcW w:w="14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w:t>
            </w:r>
          </w:p>
        </w:tc>
        <w:tc>
          <w:tcPr>
            <w:tcW w:w="166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International area license</w:t>
            </w:r>
          </w:p>
        </w:tc>
        <w:tc>
          <w:tcPr>
            <w:tcW w:w="14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franchise/area license restaurants closed</w:t>
            </w:r>
          </w:p>
        </w:tc>
        <w:tc>
          <w:tcPr>
            <w:tcW w:w="14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(reduction) development</w:t>
            </w:r>
          </w:p>
        </w:tc>
        <w:tc>
          <w:tcPr>
            <w:tcW w:w="14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Refranchised from Company restaurants</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restaurants reacquired by the Company</w:t>
            </w:r>
          </w:p>
        </w:tc>
        <w:tc>
          <w:tcPr>
            <w:tcW w:w="14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(reductions) additions</w:t>
            </w:r>
          </w:p>
        </w:tc>
        <w:tc>
          <w:tcPr>
            <w:tcW w:w="14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Franchise</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1,611</w:t>
            </w:r>
          </w:p>
        </w:tc>
        <w:tc>
          <w:tcPr>
            <w:tcW w:w="16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Area license</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158</w:t>
            </w:r>
          </w:p>
        </w:tc>
        <w:tc>
          <w:tcPr>
            <w:tcW w:w="16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14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1,772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1,841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1,831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Domestic</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1,670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1,705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International</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102</w:t>
            </w:r>
          </w:p>
        </w:tc>
        <w:tc>
          <w:tcPr>
            <w:tcW w:w="166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(Decrease) increase in total IHOP restaurants from prior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these tables and temporarily closed restaurants are included in the summary counts at the beginning and end of each period shown. However, temporary closures are reflected in the weighted calculation of Effective Restaurants presented in the preceding Restaurant Data tables.</w:t>
      </w:r>
    </w:p>
    <w:p>
      <w:pPr>
        <w:spacing w:after="0" w:line="207" w:lineRule="exact"/>
        <w:rPr>
          <w:sz w:val="20"/>
          <w:szCs w:val="20"/>
          <w:color w:val="auto"/>
        </w:rPr>
      </w:pPr>
    </w:p>
    <w:p>
      <w:pPr>
        <w:ind w:right="100" w:firstLine="324"/>
        <w:spacing w:after="0" w:line="241" w:lineRule="auto"/>
        <w:rPr>
          <w:sz w:val="20"/>
          <w:szCs w:val="20"/>
          <w:color w:val="auto"/>
        </w:rPr>
      </w:pPr>
      <w:r>
        <w:rPr>
          <w:rFonts w:ascii="Times New Roman" w:cs="Times New Roman" w:eastAsia="Times New Roman" w:hAnsi="Times New Roman"/>
          <w:sz w:val="18"/>
          <w:szCs w:val="18"/>
          <w:color w:val="auto"/>
        </w:rPr>
        <w:t>As previously disclosed, we and certain of our IHOP franchisees evaluated the long-term viability of certain IHOP restaurants in light of individual restaurant-level economics impacted by the COVID-19 pandemic. When we began the evaluation process, we expected it could result in the closure of up to 100 restaurants over the next six months. The evaluation process been completed. As of December 31, 2020, we closed 14 restaurants in the fourth quarter of 2020 and, while the final extent and timing of additional closures remains subject to change, we currently anticipate the completion of the evaluation process could result in the closure of up to 27 additional IHOP restaurants. We have recorded costs of approximately $13.5 million related to these 41 restaurants during the fourth quarter of 2020, primarily charges for impairment and provisions for bad debt and deferred rent.</w:t>
      </w:r>
    </w:p>
    <w:p>
      <w:pPr>
        <w:spacing w:after="0" w:line="21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our obligation to make rental or other payments for such properties.</w:t>
      </w:r>
    </w:p>
    <w:p>
      <w:pPr>
        <w:sectPr>
          <w:pgSz w:w="11900" w:h="16838" w:orient="portrait"/>
          <w:cols w:equalWidth="0" w:num="1">
            <w:col w:w="11180"/>
          </w:cols>
          <w:pgMar w:left="320" w:top="93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34" w:right="3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 - Fiscal 2020, 2019 and 2018</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tables in the following section of this Form 10-K present information from our Consolidated Statements of Comprehensive (Loss) Income for our 2020, 2019 and 2018 fiscal years. A detailed discussion of year-to-year comparisons between fiscal 2020 and fiscal 2019 can be found below. For a detailed discussion of year-to-year comparisons between fiscal 2019 and fiscal 2018, please refer to “Management's Discussion and Analysis of Financial Condition and Results of Operations” contained in Part II, Item 7 of our Annual Report on Form 10-K for the fiscal year ended December 31,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Events Impacting Comparability of Financial Information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53rd week in Fiscal 2020</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fiscal year ends on the Sunday nearest to December 31 of each year. Every five or six years, our fiscal year contains 53 calendar weeks. Our 2020 fiscal year contained 53 calendar weeks, whereas fiscal 2019 and 2018 each contained 52 calendar weeks. The estimated impact of the 53rd week on fiscal 2020 results of operations was additional revenue of $14.4 million, additional gross profit of $4.7 million and a decrease in loss before income taxes of $2.2 million. Our fiscal 2021 will contain 52 calendar weeks.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Loss on Extinguishment of Debt</w:t>
      </w:r>
    </w:p>
    <w:p>
      <w:pPr>
        <w:spacing w:after="0" w:line="250"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 xml:space="preserve">As discussed under </w:t>
      </w:r>
      <w:r>
        <w:rPr>
          <w:rFonts w:ascii="Times New Roman" w:cs="Times New Roman" w:eastAsia="Times New Roman" w:hAnsi="Times New Roman"/>
          <w:sz w:val="18"/>
          <w:szCs w:val="18"/>
          <w:i w:val="1"/>
          <w:iCs w:val="1"/>
          <w:color w:val="auto"/>
        </w:rPr>
        <w:t>Liquidity and Capital Resources of the Company - Long-term Debt</w:t>
      </w:r>
      <w:r>
        <w:rPr>
          <w:rFonts w:ascii="Times New Roman" w:cs="Times New Roman" w:eastAsia="Times New Roman" w:hAnsi="Times New Roman"/>
          <w:sz w:val="18"/>
          <w:szCs w:val="18"/>
          <w:color w:val="auto"/>
        </w:rPr>
        <w:t>, we refinanced our long-term debt in 2019 and recognized a loss on extinguishment of debt of $8.3 million. There was no similar transaction in 2020.</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Review</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2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00" w:type="dxa"/>
            <w:vAlign w:val="bottom"/>
          </w:tcPr>
          <w:p>
            <w:pPr>
              <w:spacing w:after="0"/>
              <w:rPr>
                <w:sz w:val="11"/>
                <w:szCs w:val="11"/>
                <w:color w:val="auto"/>
              </w:rPr>
            </w:pPr>
          </w:p>
        </w:tc>
        <w:tc>
          <w:tcPr>
            <w:tcW w:w="114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Pr>
          <w:p>
            <w:pPr>
              <w:spacing w:after="0"/>
              <w:rPr>
                <w:sz w:val="11"/>
                <w:szCs w:val="11"/>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643.9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780.9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(Decrease) increase vs. prior year</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2020 total revenue decreased $220.9 million compared to 2019. The decrease in franchise and company restaurant operations revenues primarily was due to a significant decline in customer traffic at our restaurants resulting from measures put in place by various jurisdictions of local, state, national and international governmental entities to mitigate the spread of the COVID-19 virus, as well as changes in consumer behavior resulting therefrom. Rental operations revenue was also impacted by COVID-19 effects, primarily due to a decline in rent paid based on a percentage of franchisees' retail sales. Interest income from financing operations was not impacted significantly by the COVID-19 pandemic, with the expected progressive decline due to repayments of outstanding balances. Total revenue was favorably impacted by approximately $14.4 million due to a 53rd week in fiscal 2020.</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tc>
        <w:tc>
          <w:tcPr>
            <w:tcW w:w="32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20" w:type="dxa"/>
            <w:vAlign w:val="bottom"/>
          </w:tcPr>
          <w:p>
            <w:pPr>
              <w:spacing w:after="0"/>
              <w:rPr>
                <w:sz w:val="11"/>
                <w:szCs w:val="11"/>
                <w:color w:val="auto"/>
              </w:rPr>
            </w:pPr>
          </w:p>
        </w:tc>
        <w:tc>
          <w:tcPr>
            <w:tcW w:w="1140" w:type="dxa"/>
            <w:vAlign w:val="bottom"/>
            <w:vMerge w:val="restart"/>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Pr>
          <w:p>
            <w:pPr>
              <w:spacing w:after="0"/>
              <w:rPr>
                <w:sz w:val="11"/>
                <w:szCs w:val="11"/>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(Decrease) increase vs. prior year</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2020 total gross profit decreased $134.1 million compared to 2019, primarily due to the revenue declines related to the pandemic as cited above as well a $13.1 million increase in bad debt expense. Total gross profit was favorably impacted by approximately $4.7 million due to a 53rd week in fiscal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2" w:name="page43"/>
    <w:bookmarkEnd w:id="42"/>
    <w:tbl>
      <w:tblPr>
        <w:tblLayout w:type="fixed"/>
        <w:tblInd w:w="40" w:type="dxa"/>
        <w:tblCellMar>
          <w:top w:w="0" w:type="dxa"/>
          <w:left w:w="0" w:type="dxa"/>
          <w:bottom w:w="0" w:type="dxa"/>
          <w:right w:w="0" w:type="dxa"/>
        </w:tblCellMar>
      </w:tblP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restart"/>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Pr>
          <w:p>
            <w:pPr>
              <w:spacing w:after="0"/>
              <w:rPr>
                <w:sz w:val="10"/>
                <w:szCs w:val="10"/>
                <w:color w:val="auto"/>
              </w:rPr>
            </w:pPr>
          </w:p>
        </w:tc>
        <w:tc>
          <w:tcPr>
            <w:tcW w:w="1100" w:type="dxa"/>
            <w:vAlign w:val="bottom"/>
            <w:vMerge w:val="restart"/>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Pr>
          <w:p>
            <w:pPr>
              <w:spacing w:after="0"/>
              <w:rPr>
                <w:sz w:val="10"/>
                <w:szCs w:val="10"/>
                <w:color w:val="auto"/>
              </w:rPr>
            </w:pPr>
          </w:p>
        </w:tc>
        <w:tc>
          <w:tcPr>
            <w:tcW w:w="1100" w:type="dxa"/>
            <w:vAlign w:val="bottom"/>
            <w:vMerge w:val="restart"/>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b w:val="1"/>
                <w:bCs w:val="1"/>
                <w:color w:val="auto"/>
              </w:rPr>
              <w:t>Effective Franchise Restaurants:</w:t>
            </w:r>
            <w:r>
              <w:rPr>
                <w:rFonts w:ascii="Times New Roman" w:cs="Times New Roman" w:eastAsia="Times New Roman" w:hAnsi="Times New Roman"/>
                <w:sz w:val="21"/>
                <w:szCs w:val="21"/>
                <w:b w:val="1"/>
                <w:bCs w:val="1"/>
                <w:color w:val="auto"/>
                <w:vertAlign w:val="superscript"/>
              </w:rPr>
              <w:t>(1)</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right="231"/>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i w:val="1"/>
                <w:iCs w:val="1"/>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right="231"/>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i w:val="1"/>
                <w:iCs w:val="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right="231"/>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31"/>
              <w:spacing w:after="0" w:line="203" w:lineRule="exact"/>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4"/>
              <w:spacing w:after="0" w:line="203" w:lineRule="exact"/>
              <w:rPr>
                <w:sz w:val="20"/>
                <w:szCs w:val="20"/>
                <w:color w:val="auto"/>
              </w:rPr>
            </w:pPr>
            <w:r>
              <w:rPr>
                <w:rFonts w:ascii="Times New Roman" w:cs="Times New Roman" w:eastAsia="Times New Roman" w:hAnsi="Times New Roman"/>
                <w:sz w:val="18"/>
                <w:szCs w:val="18"/>
                <w:i w:val="1"/>
                <w:iCs w:val="1"/>
                <w:color w:val="auto"/>
              </w:rPr>
              <w:t>(133)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31"/>
              <w:spacing w:after="0" w:line="203" w:lineRule="exact"/>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line="203" w:lineRule="exact"/>
              <w:rPr>
                <w:sz w:val="20"/>
                <w:szCs w:val="20"/>
                <w:color w:val="auto"/>
              </w:rPr>
            </w:pPr>
            <w:r>
              <w:rPr>
                <w:rFonts w:ascii="Times New Roman" w:cs="Times New Roman" w:eastAsia="Times New Roman" w:hAnsi="Times New Roman"/>
                <w:sz w:val="18"/>
                <w:szCs w:val="18"/>
                <w:i w:val="1"/>
                <w:iCs w:val="1"/>
                <w:color w:val="auto"/>
              </w:rPr>
              <w:t>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31"/>
              <w:spacing w:after="0" w:line="203" w:lineRule="exact"/>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Franchise Revenues: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5"/>
        </w:trPr>
        <w:tc>
          <w:tcPr>
            <w:tcW w:w="4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Applebee's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IHOP</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643.9</w:t>
            </w:r>
          </w:p>
        </w:tc>
        <w:tc>
          <w:tcPr>
            <w:tcW w:w="0" w:type="dxa"/>
            <w:vAlign w:val="bottom"/>
          </w:tcPr>
          <w:p>
            <w:pPr>
              <w:spacing w:after="0"/>
              <w:rPr>
                <w:sz w:val="1"/>
                <w:szCs w:val="1"/>
                <w:color w:val="auto"/>
              </w:rPr>
            </w:pPr>
          </w:p>
        </w:tc>
      </w:tr>
      <w:tr>
        <w:trPr>
          <w:trHeight w:val="194"/>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Franchise Expenses: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73.8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17.8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194"/>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Franchise Segment Profit: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franchise segment profit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as % of total revenue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Gross profit as % of franchise fees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w:t>
      </w:r>
    </w:p>
    <w:p>
      <w:pPr>
        <w:spacing w:after="0" w:line="234" w:lineRule="exact"/>
        <w:rPr>
          <w:sz w:val="20"/>
          <w:szCs w:val="20"/>
          <w:color w:val="auto"/>
        </w:rPr>
      </w:pPr>
    </w:p>
    <w:p>
      <w:pPr>
        <w:ind w:left="180" w:right="400" w:hanging="172"/>
        <w:spacing w:after="0" w:line="186" w:lineRule="auto"/>
        <w:tabs>
          <w:tab w:leader="none" w:pos="15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Franchise Restaurants are the weighted average number of franchise and area license restaurants open in a given fiscal period, adjusted to account for franchise and area license restaurants open for only a portion of the period.</w:t>
      </w:r>
    </w:p>
    <w:p>
      <w:pPr>
        <w:ind w:left="140" w:hanging="132"/>
        <w:spacing w:after="0" w:line="224" w:lineRule="auto"/>
        <w:tabs>
          <w:tab w:leader="none" w:pos="14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franchise revenue excluding advertising</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total franchise revenue decreased $181.7 million in 2020 compared to 2019, due to changes in the following components:</w:t>
      </w:r>
    </w:p>
    <w:p>
      <w:pPr>
        <w:spacing w:after="0" w:line="266" w:lineRule="exact"/>
        <w:rPr>
          <w:sz w:val="20"/>
          <w:szCs w:val="20"/>
          <w:color w:val="auto"/>
        </w:rPr>
      </w:pPr>
    </w:p>
    <w:p>
      <w:pPr>
        <w:ind w:left="820" w:right="120" w:hanging="164"/>
        <w:spacing w:after="0" w:line="208" w:lineRule="auto"/>
        <w:tabs>
          <w:tab w:leader="none" w:pos="81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Applebee's franchise revenue decreased 23.7% compared to 2019. Approximately $32.9 million of the decline was due to a decrease of 22.6% in domestic franchise same-restaurant sales primarily caused by the adverse impact on customer traffic of COVID-19-related mitigation measures and changes in consumer behavior. Additionally, revenue decreased $3.8 million due to permanent domestic restaurant closures and $3.2 million due to temporary domestic restaurant closures. Applebee's international revenues declined $3.1 million, primarily due to a decline in same-restaurant sales as well as a $0.6 million decrease due to temporary closures and a $0.2 million due to permanent restaurant closures. These unfavorable changes were partially offset by additional revenue from the 53rd week of approximately $2.4 million, a decrease in domestic delivery credits that reduce royalty revenue and an increase in international franchise fees.</w:t>
      </w:r>
    </w:p>
    <w:p>
      <w:pPr>
        <w:spacing w:after="0" w:line="216" w:lineRule="exact"/>
        <w:rPr>
          <w:rFonts w:ascii="Times New Roman" w:cs="Times New Roman" w:eastAsia="Times New Roman" w:hAnsi="Times New Roman"/>
          <w:sz w:val="22"/>
          <w:szCs w:val="22"/>
          <w:color w:val="auto"/>
        </w:rPr>
      </w:pPr>
    </w:p>
    <w:p>
      <w:pPr>
        <w:ind w:left="820" w:right="80" w:hanging="164"/>
        <w:spacing w:after="0" w:line="215" w:lineRule="auto"/>
        <w:tabs>
          <w:tab w:leader="none" w:pos="81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IHOP franchise revenue decreased 30.0% compared to 2019, primarily due to lower royalty and pancake and waffle dry mix revenues resulting from a 32.8% decrease in domestic franchise same-restaurant sales primarily caused by the adverse impact on customer traffic of COVID-19-related mitigation measures and changes in consumer behavior. Additionally, revenue decreased $7.5 million due to temporary domestic restaurant closures. IHOP's international revenues declined $4.4 million, due primarily to a decline in same-restaurant sales as well as a $0.5 million decrease due to temporary and permanent restaurant closures. These unfavorable changes were partially offset by additional revenue from the 53rd week of approximately $3.0 million, as well as by a $3.5 million increase in franchise fees (primarily termination and forfeited franchise fees). and a decrease in domestic delivery credits that reduce royalty revenue.</w:t>
      </w:r>
    </w:p>
    <w:p>
      <w:pPr>
        <w:spacing w:after="0" w:line="199" w:lineRule="exact"/>
        <w:rPr>
          <w:rFonts w:ascii="Times New Roman" w:cs="Times New Roman" w:eastAsia="Times New Roman" w:hAnsi="Times New Roman"/>
          <w:sz w:val="22"/>
          <w:szCs w:val="22"/>
          <w:color w:val="auto"/>
        </w:rPr>
      </w:pPr>
    </w:p>
    <w:p>
      <w:pPr>
        <w:ind w:left="820" w:hanging="164"/>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decreased $81.5 million compared to 2019, as discussed by brand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color w:val="auto"/>
        </w:rPr>
        <w:t>Our 2020 total franchise expenses decreased $73.8 million compared to 2019, due to changes in the following components:</w:t>
      </w:r>
    </w:p>
    <w:p>
      <w:pPr>
        <w:spacing w:after="0" w:line="266" w:lineRule="exact"/>
        <w:rPr>
          <w:sz w:val="20"/>
          <w:szCs w:val="20"/>
          <w:color w:val="auto"/>
        </w:rPr>
      </w:pPr>
    </w:p>
    <w:p>
      <w:pPr>
        <w:ind w:left="820" w:right="140" w:hanging="164"/>
        <w:spacing w:after="0" w:line="220" w:lineRule="auto"/>
        <w:tabs>
          <w:tab w:leader="none" w:pos="81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Applebee's franchise expenses increased $2.7 million, primarily due to a $3.5 million increase in bad debt expense. Bad debt expense for 2020 was $3.3 million as compared to a bad debt recovery of $0.2 million in 2019.</w:t>
      </w:r>
    </w:p>
    <w:p>
      <w:pPr>
        <w:spacing w:after="0" w:line="212" w:lineRule="exact"/>
        <w:rPr>
          <w:rFonts w:ascii="Times New Roman" w:cs="Times New Roman" w:eastAsia="Times New Roman" w:hAnsi="Times New Roman"/>
          <w:sz w:val="22"/>
          <w:szCs w:val="22"/>
          <w:color w:val="auto"/>
        </w:rPr>
      </w:pPr>
    </w:p>
    <w:p>
      <w:pPr>
        <w:ind w:left="820" w:right="40" w:hanging="164"/>
        <w:spacing w:after="0" w:line="223" w:lineRule="auto"/>
        <w:tabs>
          <w:tab w:leader="none" w:pos="81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IHOP franchise expenses increased $3.3 million, primarily due to a $9.6 million increase in bad debt expense, partially offset by a decrease in purchases of pancake and waffle dry mix. IHOP bad debt expense for 2020 was $9.4 million compared to a bad debt recovery of $0.2 million in 2019. Bad debt expense for 2020 included $2.9 million related to the restaurant closures discussed above under </w:t>
      </w:r>
      <w:r>
        <w:rPr>
          <w:rFonts w:ascii="Times New Roman" w:cs="Times New Roman" w:eastAsia="Times New Roman" w:hAnsi="Times New Roman"/>
          <w:sz w:val="18"/>
          <w:szCs w:val="18"/>
          <w:i w:val="1"/>
          <w:iCs w:val="1"/>
          <w:color w:val="auto"/>
        </w:rPr>
        <w:t>IHOP Restaurant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Activity</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22"/>
          <w:szCs w:val="22"/>
          <w:color w:val="auto"/>
        </w:rPr>
      </w:pPr>
    </w:p>
    <w:p>
      <w:pPr>
        <w:ind w:left="820" w:right="420" w:hanging="164"/>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expenses decreased $79.8 million, due to a corresponding decrease in advertising revenue, partially offset by the net change in advertising deficit between 2020 and 2019, as discussed below.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as a percentage of total revenue decreased in 2020 compared to 2019, primarily because of the $13.1 million increase in bad debt expense.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revenue and expense by brand for fiscal 2020, 2019 and 2018 were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00" w:type="dxa"/>
            <w:vAlign w:val="bottom"/>
          </w:tcPr>
          <w:p>
            <w:pPr>
              <w:spacing w:after="0"/>
              <w:rPr>
                <w:sz w:val="11"/>
                <w:szCs w:val="11"/>
                <w:color w:val="auto"/>
              </w:rPr>
            </w:pPr>
          </w:p>
        </w:tc>
        <w:tc>
          <w:tcPr>
            <w:tcW w:w="112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Advertising Revenues: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Applebee's</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i w:val="1"/>
                <w:iCs w:val="1"/>
                <w:color w:val="auto"/>
              </w:rPr>
              <w:t>(40.7)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IHOP</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8"/>
                <w:szCs w:val="18"/>
                <w:i w:val="1"/>
                <w:iCs w:val="1"/>
                <w:color w:val="auto"/>
              </w:rPr>
              <w:t>(40.8)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advertising revenues</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i w:val="1"/>
                <w:iCs w:val="1"/>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Advertising Expenses: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440" w:type="dxa"/>
            <w:vAlign w:val="bottom"/>
            <w:vMerge w:val="continue"/>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vMerge w:val="restart"/>
          </w:tcPr>
          <w:p>
            <w:pPr>
              <w:jc w:val="center"/>
              <w:ind w:left="516"/>
              <w:spacing w:after="0"/>
              <w:rPr>
                <w:sz w:val="20"/>
                <w:szCs w:val="20"/>
                <w:color w:val="auto"/>
              </w:rPr>
            </w:pPr>
            <w:r>
              <w:rPr>
                <w:rFonts w:ascii="Times New Roman" w:cs="Times New Roman" w:eastAsia="Times New Roman" w:hAnsi="Times New Roman"/>
                <w:sz w:val="18"/>
                <w:szCs w:val="18"/>
                <w:i w:val="1"/>
                <w:iCs w:val="1"/>
                <w:color w:val="auto"/>
              </w:rPr>
              <w:t>40.8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124.8</w:t>
            </w: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i w:val="1"/>
                <w:iCs w:val="1"/>
                <w:color w:val="auto"/>
              </w:rPr>
              <w:t>39.0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8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202.0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8"/>
                <w:szCs w:val="18"/>
                <w:i w:val="1"/>
                <w:iCs w:val="1"/>
                <w:color w:val="auto"/>
              </w:rPr>
              <w:t>79.8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Applebee's advertising revenue and expense for 2020 decreased 24.6% compared to 2019, primarily due to the decrease of 22.6% in domestic franchise same-restaurant sales, as well as a $4.3 million decrease due to permanent domestic restaurant closures and a $3.5 million decrease due to temporary domestic restaurant closures. These unfavorable changes were partially offset by additional revenue from the 53rd week of approximately $2.6 million. IHOP's advertising revenue and expense for 2020 decreased by 34.7% and 33.6%, respectively, compared to 2019, primarily due to the decrease of 32.8% in domestic franchise same-restaurant sales, as well as a decrease due to temporary and permanent restaurant closures. These unfavorable changes were partially offset by additional revenue from the 53rd week of approximately $1.6 million.</w:t>
      </w:r>
    </w:p>
    <w:p>
      <w:pPr>
        <w:spacing w:after="0" w:line="21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recovery of a previously recognized deficiency in advertising fee revenue compared to advertising expenditure, in the fourth quarter of our fiscal year. In 2020, international marketing expenditures exceeded revenues by approximately $0.5 million. In 2019, IHOP advertising revenue exceeded advertising expenditures by $1.3 million, due to the recovery of a deficit that previously had been recognized in 2018.</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2"/>
          </w:tcPr>
          <w:p>
            <w:pPr>
              <w:jc w:val="center"/>
              <w:ind w:right="260"/>
              <w:spacing w:after="0" w:line="81" w:lineRule="exact"/>
              <w:rPr>
                <w:sz w:val="20"/>
                <w:szCs w:val="20"/>
                <w:color w:val="auto"/>
              </w:rPr>
            </w:pPr>
            <w:r>
              <w:rPr>
                <w:rFonts w:ascii="Times New Roman" w:cs="Times New Roman" w:eastAsia="Times New Roman" w:hAnsi="Times New Roman"/>
                <w:sz w:val="9"/>
                <w:szCs w:val="9"/>
                <w:b w:val="1"/>
                <w:bCs w:val="1"/>
                <w:i w:val="1"/>
                <w:iCs w:val="1"/>
                <w:color w:val="auto"/>
              </w:rPr>
              <w:t>(Unfavorable)</w:t>
            </w:r>
          </w:p>
        </w:tc>
        <w:tc>
          <w:tcPr>
            <w:tcW w:w="220" w:type="dxa"/>
            <w:vAlign w:val="bottom"/>
          </w:tcPr>
          <w:p>
            <w:pPr>
              <w:spacing w:after="0"/>
              <w:rPr>
                <w:sz w:val="7"/>
                <w:szCs w:val="7"/>
                <w:color w:val="auto"/>
              </w:rPr>
            </w:pPr>
          </w:p>
        </w:tc>
        <w:tc>
          <w:tcPr>
            <w:tcW w:w="1180" w:type="dxa"/>
            <w:vAlign w:val="bottom"/>
            <w:vMerge w:val="restart"/>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2"/>
          </w:tcPr>
          <w:p>
            <w:pPr>
              <w:jc w:val="center"/>
              <w:ind w:right="220"/>
              <w:spacing w:after="0" w:line="81" w:lineRule="exact"/>
              <w:rPr>
                <w:sz w:val="20"/>
                <w:szCs w:val="20"/>
                <w:color w:val="auto"/>
              </w:rPr>
            </w:pPr>
            <w:r>
              <w:rPr>
                <w:rFonts w:ascii="Times New Roman" w:cs="Times New Roman" w:eastAsia="Times New Roman" w:hAnsi="Times New Roman"/>
                <w:sz w:val="9"/>
                <w:szCs w:val="9"/>
                <w:b w:val="1"/>
                <w:bCs w:val="1"/>
                <w:i w:val="1"/>
                <w:iCs w:val="1"/>
                <w:color w:val="auto"/>
              </w:rPr>
              <w:t>(Unfavorable)</w:t>
            </w:r>
          </w:p>
        </w:tc>
        <w:tc>
          <w:tcPr>
            <w:tcW w:w="340" w:type="dxa"/>
            <w:vAlign w:val="bottom"/>
          </w:tcPr>
          <w:p>
            <w:pPr>
              <w:spacing w:after="0"/>
              <w:rPr>
                <w:sz w:val="7"/>
                <w:szCs w:val="7"/>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 segment 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Gross profit as % of revenue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Rental operations relate primarily to IHOP franchise restaurants that were developed under the Previous IHOP Business Model described under Item 1.</w:t>
      </w:r>
    </w:p>
    <w:p>
      <w:pPr>
        <w:spacing w:after="0" w:line="39" w:lineRule="exact"/>
        <w:rPr>
          <w:sz w:val="20"/>
          <w:szCs w:val="20"/>
          <w:color w:val="auto"/>
        </w:rPr>
      </w:pPr>
    </w:p>
    <w:p>
      <w:pPr>
        <w:ind w:right="400" w:firstLine="8"/>
        <w:spacing w:after="0" w:line="260" w:lineRule="auto"/>
        <w:tabs>
          <w:tab w:leader="none" w:pos="1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Rental income includes revenue from operating leases and interest income from direct financing leases. Rental expenses are costs of prime operating leases and interest expense on prime finance leases on certain franchise restaurants.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Rental segment revenue decreased in 2020 as compared to 2019, primarily due to a $7.4 million decrease in rental income based on a percentage of franchisees' retail sales, a $2.9 million decrease in base rent due to restaurant closures and lease buy-outs and a progressive decline of $1.6 million in interest income as direct financing leases were repaid. These unfavorable changes were partially offset by additional revenue from the 53rd week of approximately $2.0 million. Rental segment expenses for 2020 decreased compared to the same period of the prior year primarily due to a $1.8 million decrease in rent paid based on a percentage of franchisees' retail sales, $1.4 million decrease in interest expense as finance lease obligations are repaid and a $1.1 million decrease in depreciation expense, partially offset by a $3.4 million provision for losses related to the restaurant closures discussed above under </w:t>
      </w:r>
      <w:r>
        <w:rPr>
          <w:rFonts w:ascii="Times New Roman" w:cs="Times New Roman" w:eastAsia="Times New Roman" w:hAnsi="Times New Roman"/>
          <w:sz w:val="18"/>
          <w:szCs w:val="18"/>
          <w:i w:val="1"/>
          <w:iCs w:val="1"/>
          <w:color w:val="auto"/>
        </w:rPr>
        <w:t>IHOP Restaurant Development Activity</w:t>
      </w:r>
      <w:r>
        <w:rPr>
          <w:rFonts w:ascii="Times New Roman" w:cs="Times New Roman" w:eastAsia="Times New Roman" w:hAnsi="Times New Roman"/>
          <w:sz w:val="18"/>
          <w:szCs w:val="18"/>
          <w:color w:val="auto"/>
        </w:rPr>
        <w:t>.</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Financing Operations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20" w:type="dxa"/>
            <w:vAlign w:val="bottom"/>
          </w:tcPr>
          <w:p>
            <w:pPr>
              <w:spacing w:after="0"/>
              <w:rPr>
                <w:sz w:val="11"/>
                <w:szCs w:val="11"/>
                <w:color w:val="auto"/>
              </w:rPr>
            </w:pPr>
          </w:p>
        </w:tc>
        <w:tc>
          <w:tcPr>
            <w:tcW w:w="1180" w:type="dxa"/>
            <w:vAlign w:val="bottom"/>
            <w:vMerge w:val="restart"/>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Pr>
          <w:p>
            <w:pPr>
              <w:spacing w:after="0"/>
              <w:rPr>
                <w:sz w:val="11"/>
                <w:szCs w:val="11"/>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i w:val="1"/>
                <w:iCs w:val="1"/>
                <w:color w:val="auto"/>
                <w:w w:val="98"/>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i w:val="1"/>
                <w:iCs w:val="1"/>
                <w:color w:val="auto"/>
                <w:w w:val="98"/>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8"/>
                <w:szCs w:val="18"/>
                <w:i w:val="1"/>
                <w:iCs w:val="1"/>
                <w:color w:val="auto"/>
                <w:w w:val="97"/>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8"/>
                <w:szCs w:val="18"/>
                <w:i w:val="1"/>
                <w:iCs w:val="1"/>
                <w:color w:val="auto"/>
                <w:w w:val="97"/>
              </w:rPr>
              <w:t>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operations 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i w:val="1"/>
                <w:iCs w:val="1"/>
                <w:color w:val="auto"/>
                <w:w w:val="98"/>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i w:val="1"/>
                <w:iCs w:val="1"/>
                <w:color w:val="auto"/>
                <w:w w:val="98"/>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Gross profit as % of revenue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92.5 %</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Financing operations relate primarily to IHOP franchise restaurants that were developed under the Previous IHOP Business Model described under Item 1. - Business. Financing operations revenue primarily consists of interest income from the financing of IHOP franchise fees and equipment leases, as well as from several notes receivable from Applebee's franchisees. We also may sell equipment associated with IHOP franchise restaurants we have reacquired when those restaurants are subsequently refranchised to a new franchisee. Financing expenses are primarily the cost of the restaurant equipment sold.</w:t>
      </w:r>
    </w:p>
    <w:p>
      <w:pPr>
        <w:spacing w:after="0" w:line="21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Financing revenues decreased $1.3 million in 2020 compared to 2019. The change was due to a $1.1 million decrease in IHOP interest income due to the decline in interest income from the financing of franchise fees and equipment leases as note balances were repaid as well as a decrease in interest income on Applebee's notes from franchisees.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Operations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Pr>
          <w:p>
            <w:pPr>
              <w:spacing w:after="0"/>
              <w:rPr>
                <w:sz w:val="11"/>
                <w:szCs w:val="11"/>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4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Company Restaurants: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Applebee’s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4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Company restaurant sales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Company restaurant expenses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IHOP restaurant expenses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segment profit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6.8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(loss) profit as % of revenue</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ind w:left="160" w:hanging="152"/>
        <w:spacing w:after="0" w:line="188" w:lineRule="auto"/>
        <w:tabs>
          <w:tab w:leader="none" w:pos="16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Related to 69 Applebee's company-operated restaurants.</w:t>
      </w:r>
    </w:p>
    <w:p>
      <w:pPr>
        <w:ind w:left="160" w:hanging="152"/>
        <w:spacing w:after="0" w:line="187" w:lineRule="auto"/>
        <w:tabs>
          <w:tab w:leader="none" w:pos="160" w:val="left"/>
        </w:tabs>
        <w:numPr>
          <w:ilvl w:val="0"/>
          <w:numId w:val="2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Costs associated with IHOP restaurants in the process of being refranchised.</w:t>
      </w:r>
    </w:p>
    <w:p>
      <w:pPr>
        <w:ind w:left="160" w:hanging="152"/>
        <w:spacing w:after="0" w:line="189"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Calculated for Applebee's company-operated restaurants only. Percentages calculated on actual amounts, not rounded amounts presented above.</w:t>
      </w:r>
    </w:p>
    <w:p>
      <w:pPr>
        <w:spacing w:after="0" w:line="208" w:lineRule="exact"/>
        <w:rPr>
          <w:sz w:val="20"/>
          <w:szCs w:val="20"/>
          <w:color w:val="auto"/>
        </w:rPr>
      </w:pPr>
    </w:p>
    <w:p>
      <w:pPr>
        <w:ind w:right="60" w:firstLine="243"/>
        <w:spacing w:after="0" w:line="255" w:lineRule="auto"/>
        <w:rPr>
          <w:sz w:val="20"/>
          <w:szCs w:val="20"/>
          <w:color w:val="auto"/>
        </w:rPr>
      </w:pPr>
      <w:r>
        <w:rPr>
          <w:rFonts w:ascii="Times New Roman" w:cs="Times New Roman" w:eastAsia="Times New Roman" w:hAnsi="Times New Roman"/>
          <w:sz w:val="18"/>
          <w:szCs w:val="18"/>
          <w:color w:val="auto"/>
        </w:rPr>
        <w:t>In December 2018, we acquired 69 Applebee's restaurants in North Carolina and South Carolina from a former Applebee's franchisee. The slight decrease in effective restaurants for 2020 reflects the temporary closure of seven restaurants for a short period of time in April 2020 in compliance with state and local COVID-19-related mitigation measures. The restaurants were limited to off-premise sales at several points during the year. Due in large part to these restrictions, same-restaurant sales decreased 19.1% for 2020 compared to 2019. The comparison of gross profit for Applebee's company-operated restaurants as a percentage of revenue for 2020 as compared to 2019 was adversely impacted by the COVID-19-related operating constraints described above. These unfavorable impacts were partially offset by additional revenue and gross profit from the 53rd week of approximately $2.6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5" w:name="page46"/>
    <w:bookmarkEnd w:id="45"/>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addition, Company segment restaurant expenses for 2020 include approximately $1.9 million of costs associated with certain IHOP restaurants while in the process of being refranchised. From time to time, we have operated IHOP restaurants reacquired from franchisees on a temporary basis until those restaurants are refranchised and we may reacquire both IHOP and Applebee's restaurants on a temporary basis in the future. There were three such IHOP restaurants under temporary operation at December 31, 2020.</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00" w:type="dxa"/>
            <w:vAlign w:val="bottom"/>
          </w:tcPr>
          <w:p>
            <w:pPr>
              <w:spacing w:after="0"/>
              <w:rPr>
                <w:sz w:val="11"/>
                <w:szCs w:val="11"/>
                <w:color w:val="auto"/>
              </w:rPr>
            </w:pPr>
          </w:p>
        </w:tc>
        <w:tc>
          <w:tcPr>
            <w:tcW w:w="11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00" w:type="dxa"/>
            <w:vAlign w:val="bottom"/>
          </w:tcPr>
          <w:p>
            <w:pPr>
              <w:spacing w:after="0"/>
              <w:rPr>
                <w:sz w:val="11"/>
                <w:szCs w:val="11"/>
                <w:color w:val="auto"/>
              </w:rPr>
            </w:pPr>
          </w:p>
        </w:tc>
        <w:tc>
          <w:tcPr>
            <w:tcW w:w="100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G&amp;A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i w:val="1"/>
                <w:iCs w:val="1"/>
                <w:color w:val="auto"/>
              </w:rPr>
              <w:t>18.0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G&amp;A expenses for 2020 decreased 11.1% compared to 2019, primarily due to a $13.0 million decrease in personnel-related costs, a $5.6 million decrease in travel costs and a $0.9 million decrease in consumer research, partially offset by a $1.0 million increase in depreciation primarily related to capitalized software projects. The decline in personnel-related costs was primarily due to lower costs of salaries and benefits, related in large part to the furloughing of approximately one-third of team members across various functional groups in our restaurant support centers for approximately six months, as well as lower costs of equity-based and other incentive compensation. G&amp;A expenses for 2020 included approximately $1.2 million of costs due to the 53rd week. Included in total G&amp;A expenses for 2020 were $4.3 million of expenses related to company-operated restaurants, as compared to $5.3 million in 2019. The decrease primarily was due to lower personnel-related costs.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Closure Costs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4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jc w:val="center"/>
              <w:ind w:right="240"/>
              <w:spacing w:after="0" w:line="81" w:lineRule="exact"/>
              <w:rPr>
                <w:sz w:val="20"/>
                <w:szCs w:val="20"/>
                <w:color w:val="auto"/>
              </w:rPr>
            </w:pPr>
            <w:r>
              <w:rPr>
                <w:rFonts w:ascii="Times New Roman" w:cs="Times New Roman" w:eastAsia="Times New Roman" w:hAnsi="Times New Roman"/>
                <w:sz w:val="9"/>
                <w:szCs w:val="9"/>
                <w:b w:val="1"/>
                <w:bCs w:val="1"/>
                <w:i w:val="1"/>
                <w:iCs w:val="1"/>
                <w:color w:val="auto"/>
              </w:rPr>
              <w:t>(Unfavorable)</w:t>
            </w:r>
          </w:p>
        </w:tc>
        <w:tc>
          <w:tcPr>
            <w:tcW w:w="200" w:type="dxa"/>
            <w:vAlign w:val="bottom"/>
          </w:tcPr>
          <w:p>
            <w:pPr>
              <w:spacing w:after="0"/>
              <w:rPr>
                <w:sz w:val="7"/>
                <w:szCs w:val="7"/>
                <w:color w:val="auto"/>
              </w:rPr>
            </w:pPr>
          </w:p>
        </w:tc>
        <w:tc>
          <w:tcPr>
            <w:tcW w:w="11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tcPr>
          <w:p>
            <w:pPr>
              <w:jc w:val="center"/>
              <w:ind w:right="280"/>
              <w:spacing w:after="0" w:line="81" w:lineRule="exact"/>
              <w:rPr>
                <w:sz w:val="20"/>
                <w:szCs w:val="20"/>
                <w:color w:val="auto"/>
              </w:rPr>
            </w:pPr>
            <w:r>
              <w:rPr>
                <w:rFonts w:ascii="Times New Roman" w:cs="Times New Roman" w:eastAsia="Times New Roman" w:hAnsi="Times New Roman"/>
                <w:sz w:val="9"/>
                <w:szCs w:val="9"/>
                <w:b w:val="1"/>
                <w:bCs w:val="1"/>
                <w:i w:val="1"/>
                <w:iCs w:val="1"/>
                <w:color w:val="auto"/>
              </w:rPr>
              <w:t>(Unfavorable)</w:t>
            </w:r>
          </w:p>
        </w:tc>
        <w:tc>
          <w:tcPr>
            <w:tcW w:w="300" w:type="dxa"/>
            <w:vAlign w:val="bottom"/>
          </w:tcPr>
          <w:p>
            <w:pPr>
              <w:spacing w:after="0"/>
              <w:rPr>
                <w:sz w:val="7"/>
                <w:szCs w:val="7"/>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tradename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reacquired franchise rights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favorable leasehold intangible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costs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March 2020, a global pandemic was declared by the World Health Organization related to the rapidly spreading</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outbreak of COVID-19. In the second quarter of 2020, we noted that our common stock had recovered less of its early March 2020 (pre-pandemic) market value than the overall U.S. stock market had recovered. We also assessed several months of data as to the impact of the COVID-19 pandemic on our operations and, in turn, assessed the impact that might have on the risk premium incorporated into the discount rate. Based on these developments, we performed an interim quantitative test of goodwill and indefinite-lived intangible assets for impairment in the second quarter of 2020. In determining fair value, the Company utilized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21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we used the income approach method of valuation that includes the discounted cash flow method and the market approach that includes the guideline public company method to determine the fair value of goodwill.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our estimated cost of equity capital and after-tax cost of debt, incorporating a risk premium deemed appropriate in light of current conditions. Significant assumptions used to determine fair value under the guideline public company method include the selection of guideline companies and the valuation multiples applied.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6" w:name="page47"/>
    <w:bookmarkEnd w:id="46"/>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performing the impairment review of the tradename, we used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20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a result of performing the quantitative test of impairment, the Company recognized an impairment of Applebee's goodwill of $92.2 million and an impairment of Applebee's tradename of $11.0 million in the second quarter of 2020.</w:t>
      </w:r>
    </w:p>
    <w:p>
      <w:pPr>
        <w:spacing w:after="0" w:line="189"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majority of the impairment was due to an increase in the assessed risk premium incorporated in the discount rate. These assets are at risk of additional impairment in the future in the event of sustained downward movement in the Company's stock price, downward revisions of long-term performance assumptions, increases in the assumed long-term discount rate or an increase in the corporate tax rate.</w:t>
      </w:r>
    </w:p>
    <w:p>
      <w:pPr>
        <w:spacing w:after="0" w:line="20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performed our annual test of goodwill and intangible assets for impairment on a qualitative basis in the fourth quarter of 2020. In performing that analysis we considered, among other things, the market value of our stock, absolute and relative to peers, and the Company's operating performance compared to forecast results that had been used in performing the impairment analyses during the second quarter of 2020 discussed above. We concluded there were no indicators of additional impairment subsequent to the second quarter of 2020 and therefore, a quantitative test of impairment was not necessary in the fourth quarter of 2020.</w:t>
      </w:r>
    </w:p>
    <w:p>
      <w:pPr>
        <w:spacing w:after="0" w:line="21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long-lived asset impairment of $22.3 million related to 29 Applebee's company-operated restaurants and 41 IHOP franchisee-operated restaurants for which the carrying amount exceeded the undiscounted cash flows The impairment recorded represented the difference between the carrying value and the estimated fair value. Approximately $15.1 million of the total impairment related to operating lease right-of-use assets that had been recorded in 2019 upon adoption of new accounting guidance for leases codified in Accounting Standards Topic 842, while $7.2 million related to impairments of land, building, leasehold improvements and finance leases. The impairments by individual property varied in amount, ranging from the largest single-property impairment of $1.3 million to less than $5,000.</w:t>
      </w:r>
    </w:p>
    <w:p>
      <w:pPr>
        <w:spacing w:after="0" w:line="21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An impairment of $3.3 million was recognized related to the reacquired franchise rights intangible asset recorded in the purchase price allocation of the December 2018 acquisition of 69 Applebee's restaurants from a former franchisee.</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Approximately $1.6 million of the $3.0 million of closure charges for the year ended December 31, 2020 related to seven IHOP restaurants closed during 2020, with the remainder primarily related to adjustments to the reserve for IHOP and Applebee's restaurants closed prior to 2020. Approximately $0.5 million of the $1.5 million of closure charges for the year ended December 31, 2019 related to two IHOP and one Applebee's restaurant closed during 2019, with the remainder primarily related to adjustments to the reserve for IHOP and Applebee's restaurants closed prior to 2019.</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4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i w:val="1"/>
                <w:iCs w:val="1"/>
                <w:color w:val="auto"/>
              </w:rPr>
              <w:t>(Unfavorable)</w:t>
            </w:r>
          </w:p>
        </w:tc>
        <w:tc>
          <w:tcPr>
            <w:tcW w:w="180" w:type="dxa"/>
            <w:vAlign w:val="bottom"/>
          </w:tcPr>
          <w:p>
            <w:pPr>
              <w:spacing w:after="0"/>
              <w:rPr>
                <w:sz w:val="8"/>
                <w:szCs w:val="8"/>
                <w:color w:val="auto"/>
              </w:rPr>
            </w:pPr>
          </w:p>
        </w:tc>
        <w:tc>
          <w:tcPr>
            <w:tcW w:w="112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i w:val="1"/>
                <w:iCs w:val="1"/>
                <w:color w:val="auto"/>
              </w:rPr>
              <w:t>(Unfavorable)</w:t>
            </w:r>
          </w:p>
        </w:tc>
        <w:tc>
          <w:tcPr>
            <w:tcW w:w="300" w:type="dxa"/>
            <w:vAlign w:val="bottom"/>
          </w:tcPr>
          <w:p>
            <w:pPr>
              <w:spacing w:after="0"/>
              <w:rPr>
                <w:sz w:val="8"/>
                <w:szCs w:val="8"/>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8"/>
                <w:szCs w:val="18"/>
                <w:i w:val="1"/>
                <w:iCs w:val="1"/>
                <w:color w:val="auto"/>
                <w:w w:val="97"/>
              </w:rPr>
              <w:t>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58"/>
              <w:spacing w:after="0"/>
              <w:rPr>
                <w:sz w:val="20"/>
                <w:szCs w:val="20"/>
                <w:color w:val="auto"/>
              </w:rPr>
            </w:pPr>
            <w:r>
              <w:rPr>
                <w:rFonts w:ascii="Times New Roman" w:cs="Times New Roman" w:eastAsia="Times New Roman" w:hAnsi="Times New Roman"/>
                <w:sz w:val="18"/>
                <w:szCs w:val="18"/>
                <w:i w:val="1"/>
                <w:iCs w:val="1"/>
                <w:color w:val="auto"/>
                <w:w w:val="98"/>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58"/>
              <w:spacing w:after="0"/>
              <w:rPr>
                <w:sz w:val="20"/>
                <w:szCs w:val="20"/>
                <w:color w:val="auto"/>
              </w:rPr>
            </w:pPr>
            <w:r>
              <w:rPr>
                <w:rFonts w:ascii="Times New Roman" w:cs="Times New Roman" w:eastAsia="Times New Roman" w:hAnsi="Times New Roman"/>
                <w:sz w:val="18"/>
                <w:szCs w:val="18"/>
                <w:i w:val="1"/>
                <w:iCs w:val="1"/>
                <w:color w:val="auto"/>
                <w:w w:val="98"/>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58"/>
              <w:spacing w:after="0"/>
              <w:rPr>
                <w:sz w:val="20"/>
                <w:szCs w:val="20"/>
                <w:color w:val="auto"/>
              </w:rPr>
            </w:pPr>
            <w:r>
              <w:rPr>
                <w:rFonts w:ascii="Times New Roman" w:cs="Times New Roman" w:eastAsia="Times New Roman" w:hAnsi="Times New Roman"/>
                <w:sz w:val="18"/>
                <w:szCs w:val="18"/>
                <w:i w:val="1"/>
                <w:iCs w:val="1"/>
                <w:color w:val="auto"/>
                <w:w w:val="98"/>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 costs</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8"/>
                <w:szCs w:val="18"/>
                <w:i w:val="1"/>
                <w:iCs w:val="1"/>
                <w:color w:val="auto"/>
                <w:w w:val="97"/>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top w:val="single" w:sz="8" w:color="auto"/>
              <w:bottom w:val="single" w:sz="8" w:color="auto"/>
            </w:tcBorders>
          </w:tcPr>
          <w:p>
            <w:pPr>
              <w:jc w:val="center"/>
              <w:ind w:left="558"/>
              <w:spacing w:after="0"/>
              <w:rPr>
                <w:sz w:val="20"/>
                <w:szCs w:val="20"/>
                <w:color w:val="auto"/>
              </w:rPr>
            </w:pPr>
            <w:r>
              <w:rPr>
                <w:rFonts w:ascii="Times New Roman" w:cs="Times New Roman" w:eastAsia="Times New Roman" w:hAnsi="Times New Roman"/>
                <w:sz w:val="18"/>
                <w:szCs w:val="18"/>
                <w:i w:val="1"/>
                <w:iCs w:val="1"/>
                <w:color w:val="auto"/>
                <w:w w:val="98"/>
              </w:rPr>
              <w:t>(6.4)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net increased $6.5 million in 2020 compared to 2019, primarily due to increased interest expense on $220.0 million borrowed under</w:t>
      </w:r>
    </w:p>
    <w:p>
      <w:pPr>
        <w:spacing w:after="0" w:line="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Revolver in March 2020 and additional interest of approximately $1.2 million due to the 53rd week in 2020.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discussion related to the Revolver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25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primarily relates to franchising rights arising from the November 2007 acquisition of Applebee's and reacquired franchise rights arising from the December 2018 acquisition of 69 Applebee's restaurants from a former franchisee. Amortization expense decreased $0.8 million in 2020 as compared to 2019 due to the impairment of reacquired franchise rights noted above. See Note 7 - Other Intangible Assets, of the Notes to the Consolidated Financial Statements for additional information.</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Loss (Gain) on Disposition of Assets</w:t>
      </w:r>
    </w:p>
    <w:p>
      <w:pPr>
        <w:spacing w:after="0" w:line="14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loss on disposition of assets for 2020 primarily related to termination of 12 IHOP restaurant leases and the disposition of capitalized software no longer in use. There were no individually significant gains or losses on disposition of assets during 2019 or 2018.</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98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jc w:val="center"/>
              <w:ind w:right="145"/>
              <w:spacing w:after="0" w:line="95" w:lineRule="exact"/>
              <w:rPr>
                <w:sz w:val="20"/>
                <w:szCs w:val="20"/>
                <w:color w:val="auto"/>
              </w:rPr>
            </w:pPr>
            <w:r>
              <w:rPr>
                <w:rFonts w:ascii="Times New Roman" w:cs="Times New Roman" w:eastAsia="Times New Roman" w:hAnsi="Times New Roman"/>
                <w:sz w:val="10"/>
                <w:szCs w:val="10"/>
                <w:b w:val="1"/>
                <w:bCs w:val="1"/>
                <w:i w:val="1"/>
                <w:iCs w:val="1"/>
                <w:color w:val="auto"/>
              </w:rPr>
              <w:t>(Unfavorable)</w:t>
            </w:r>
          </w:p>
        </w:tc>
        <w:tc>
          <w:tcPr>
            <w:tcW w:w="280" w:type="dxa"/>
            <w:vAlign w:val="bottom"/>
          </w:tcPr>
          <w:p>
            <w:pPr>
              <w:spacing w:after="0"/>
              <w:rPr>
                <w:sz w:val="8"/>
                <w:szCs w:val="8"/>
                <w:color w:val="auto"/>
              </w:rPr>
            </w:pPr>
          </w:p>
        </w:tc>
        <w:tc>
          <w:tcPr>
            <w:tcW w:w="1200" w:type="dxa"/>
            <w:vAlign w:val="bottom"/>
            <w:vMerge w:val="restart"/>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8"/>
                <w:szCs w:val="8"/>
                <w:color w:val="auto"/>
              </w:rPr>
            </w:pPr>
          </w:p>
        </w:tc>
        <w:tc>
          <w:tcPr>
            <w:tcW w:w="1200" w:type="dxa"/>
            <w:vAlign w:val="bottom"/>
          </w:tcPr>
          <w:p>
            <w:pPr>
              <w:jc w:val="center"/>
              <w:ind w:right="165"/>
              <w:spacing w:after="0" w:line="95" w:lineRule="exact"/>
              <w:rPr>
                <w:sz w:val="20"/>
                <w:szCs w:val="20"/>
                <w:color w:val="auto"/>
              </w:rPr>
            </w:pPr>
            <w:r>
              <w:rPr>
                <w:rFonts w:ascii="Times New Roman" w:cs="Times New Roman" w:eastAsia="Times New Roman" w:hAnsi="Times New Roman"/>
                <w:sz w:val="10"/>
                <w:szCs w:val="10"/>
                <w:b w:val="1"/>
                <w:bCs w:val="1"/>
                <w:i w:val="1"/>
                <w:iCs w:val="1"/>
                <w:color w:val="auto"/>
              </w:rPr>
              <w:t>(Unfavorable)</w:t>
            </w:r>
          </w:p>
        </w:tc>
        <w:tc>
          <w:tcPr>
            <w:tcW w:w="360" w:type="dxa"/>
            <w:vAlign w:val="bottom"/>
          </w:tcPr>
          <w:p>
            <w:pPr>
              <w:spacing w:after="0"/>
              <w:rPr>
                <w:sz w:val="8"/>
                <w:szCs w:val="8"/>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i w:val="1"/>
                <w:iCs w:val="1"/>
                <w:color w:val="auto"/>
              </w:rPr>
              <w:t>38.7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i w:val="1"/>
                <w:iCs w:val="1"/>
                <w:color w:val="auto"/>
              </w:rPr>
              <w:t>(3.9)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6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4.2 %</w:t>
            </w:r>
          </w:p>
        </w:tc>
        <w:tc>
          <w:tcPr>
            <w:tcW w:w="220" w:type="dxa"/>
            <w:vAlign w:val="bottom"/>
          </w:tcPr>
          <w:p>
            <w:pPr>
              <w:spacing w:after="0"/>
              <w:rPr>
                <w:sz w:val="20"/>
                <w:szCs w:val="20"/>
                <w:color w:val="auto"/>
              </w:rPr>
            </w:pPr>
          </w:p>
        </w:tc>
        <w:tc>
          <w:tcPr>
            <w:tcW w:w="120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20.4 %</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240" w:type="dxa"/>
            <w:vAlign w:val="bottom"/>
          </w:tcPr>
          <w:p>
            <w:pPr>
              <w:spacing w:after="0"/>
              <w:rPr>
                <w:sz w:val="20"/>
                <w:szCs w:val="20"/>
                <w:color w:val="auto"/>
              </w:rPr>
            </w:pPr>
          </w:p>
        </w:tc>
        <w:tc>
          <w:tcPr>
            <w:tcW w:w="1200" w:type="dxa"/>
            <w:vAlign w:val="bottom"/>
          </w:tcPr>
          <w:p>
            <w:pPr>
              <w:jc w:val="right"/>
              <w:ind w:right="5"/>
              <w:spacing w:after="0"/>
              <w:rPr>
                <w:sz w:val="20"/>
                <w:szCs w:val="20"/>
                <w:color w:val="auto"/>
              </w:rPr>
            </w:pPr>
            <w:r>
              <w:rPr>
                <w:rFonts w:ascii="Times New Roman" w:cs="Times New Roman" w:eastAsia="Times New Roman" w:hAnsi="Times New Roman"/>
                <w:sz w:val="18"/>
                <w:szCs w:val="18"/>
                <w:i w:val="1"/>
                <w:iCs w:val="1"/>
                <w:color w:val="auto"/>
              </w:rPr>
              <w:t>2.8 %</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right="220" w:firstLine="364"/>
        <w:spacing w:after="0" w:line="266" w:lineRule="auto"/>
        <w:rPr>
          <w:sz w:val="20"/>
          <w:szCs w:val="20"/>
          <w:color w:val="auto"/>
        </w:rPr>
      </w:pPr>
      <w:r>
        <w:rPr>
          <w:rFonts w:ascii="Times New Roman" w:cs="Times New Roman" w:eastAsia="Times New Roman" w:hAnsi="Times New Roman"/>
          <w:sz w:val="18"/>
          <w:szCs w:val="18"/>
          <w:color w:val="auto"/>
        </w:rPr>
        <w:t>The income tax provision will vary from period to period for two primary reasons: a change in pretax book income and a change in the effective tax rate. Changes in our pretax book income between 2020 and 2019 are addressed in the preceding sections of “Consolidated Results of Operations - Fiscal 2020, 2019 and 2018.”</w:t>
      </w:r>
    </w:p>
    <w:p>
      <w:pPr>
        <w:spacing w:after="0" w:line="135" w:lineRule="exact"/>
        <w:rPr>
          <w:sz w:val="20"/>
          <w:szCs w:val="20"/>
          <w:color w:val="auto"/>
        </w:rPr>
      </w:pPr>
    </w:p>
    <w:p>
      <w:pPr>
        <w:ind w:right="80" w:firstLine="364"/>
        <w:spacing w:after="0" w:line="261" w:lineRule="auto"/>
        <w:rPr>
          <w:sz w:val="20"/>
          <w:szCs w:val="20"/>
          <w:color w:val="auto"/>
        </w:rPr>
      </w:pPr>
      <w:r>
        <w:rPr>
          <w:rFonts w:ascii="Times New Roman" w:cs="Times New Roman" w:eastAsia="Times New Roman" w:hAnsi="Times New Roman"/>
          <w:sz w:val="18"/>
          <w:szCs w:val="18"/>
          <w:color w:val="auto"/>
        </w:rPr>
        <w:t>The 2020 effective tax rate of 4.2% applied to pretax book loss was significantly different than the statutory Federal income tax rate of 21% primarily because of the $92.2 million impairment of goodwill incurred in the second quarter, which is not deductible for income tax purposes and therefore has no associated tax benefit. See Note 16 - Income Taxes, of the Notes to the Consolidated Financial Statements for a reconciliation between our effective rate and the statutory Federal income tax rate.</w:t>
      </w:r>
    </w:p>
    <w:p>
      <w:pPr>
        <w:spacing w:after="0" w:line="112" w:lineRule="exact"/>
        <w:rPr>
          <w:sz w:val="20"/>
          <w:szCs w:val="20"/>
          <w:color w:val="auto"/>
        </w:rPr>
      </w:pPr>
    </w:p>
    <w:p>
      <w:pPr>
        <w:ind w:right="40" w:firstLine="364"/>
        <w:spacing w:after="0" w:line="282" w:lineRule="auto"/>
        <w:rPr>
          <w:sz w:val="20"/>
          <w:szCs w:val="20"/>
          <w:color w:val="auto"/>
        </w:rPr>
      </w:pPr>
      <w:r>
        <w:rPr>
          <w:rFonts w:ascii="Times New Roman" w:cs="Times New Roman" w:eastAsia="Times New Roman" w:hAnsi="Times New Roman"/>
          <w:sz w:val="18"/>
          <w:szCs w:val="18"/>
          <w:color w:val="auto"/>
        </w:rPr>
        <w:t>The 2019 effective tax rate of 24.6% applied to pretax book income was higher than the statutory Federal tax rate of 21% primarily due to tax expense associated with unrecognized tax benefits and state and local income taxes, offset by the recognized benefit from general business credits.</w:t>
      </w:r>
    </w:p>
    <w:p>
      <w:pPr>
        <w:spacing w:after="0" w:line="121" w:lineRule="exact"/>
        <w:rPr>
          <w:sz w:val="20"/>
          <w:szCs w:val="20"/>
          <w:color w:val="auto"/>
        </w:rPr>
      </w:pPr>
    </w:p>
    <w:p>
      <w:pPr>
        <w:ind w:right="160" w:firstLine="364"/>
        <w:spacing w:after="0" w:line="266" w:lineRule="auto"/>
        <w:rPr>
          <w:sz w:val="20"/>
          <w:szCs w:val="20"/>
          <w:color w:val="auto"/>
        </w:rPr>
      </w:pPr>
      <w:r>
        <w:rPr>
          <w:rFonts w:ascii="Times New Roman" w:cs="Times New Roman" w:eastAsia="Times New Roman" w:hAnsi="Times New Roman"/>
          <w:sz w:val="18"/>
          <w:szCs w:val="18"/>
          <w:color w:val="auto"/>
        </w:rPr>
        <w:t>The 2018 effective tax rate of 27.4% applied to pretax book income was higher than the statutory Federal tax rate of 21% primarily due to additional tax expense associated with unrecognized tax benefits related to an IRS audit and state and local income taxes, offset by applying a lower state tax rate applied to the deferred tax balances.</w:t>
      </w:r>
    </w:p>
    <w:p>
      <w:pPr>
        <w:spacing w:after="0" w:line="203" w:lineRule="exact"/>
        <w:rPr>
          <w:sz w:val="20"/>
          <w:szCs w:val="20"/>
          <w:color w:val="auto"/>
        </w:rPr>
      </w:pPr>
    </w:p>
    <w:p>
      <w:pPr>
        <w:ind w:right="120" w:firstLine="364"/>
        <w:spacing w:after="0" w:line="261" w:lineRule="auto"/>
        <w:rPr>
          <w:sz w:val="20"/>
          <w:szCs w:val="20"/>
          <w:color w:val="auto"/>
        </w:rPr>
      </w:pPr>
      <w:r>
        <w:rPr>
          <w:rFonts w:ascii="Times New Roman" w:cs="Times New Roman" w:eastAsia="Times New Roman" w:hAnsi="Times New Roman"/>
          <w:sz w:val="18"/>
          <w:szCs w:val="18"/>
          <w:color w:val="auto"/>
        </w:rPr>
        <w:t>As of each reporting date, we consider new evidence, both positive and negative, that could impact our view with regards to future realization of deferred tax assets. As of December 31, 2020, management determined that it is more likely than not that the benefits from foreign tax credit carryforward and certain state deferred tax assets, including net operating loss carryforwards, from the Applebee’s company-operated restaurants will not be realized. In recognition of this risk, management recorded a valuation allowance of $3.0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the Company</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discussed in preceding sections of the MD&amp;A, the measures put in place by various governmental entities to help contain the spread of the COVID-19 virus had a significant adverse impact on our restaurant and rental operations over the last ten months of 2020. In response to the numerous uncertainties related to the pandemic, we took several actions to mitigate the effects on our liquidity, as discussed below:</w:t>
      </w:r>
    </w:p>
    <w:p>
      <w:pPr>
        <w:spacing w:after="0" w:line="216" w:lineRule="exact"/>
        <w:rPr>
          <w:sz w:val="20"/>
          <w:szCs w:val="20"/>
          <w:color w:val="auto"/>
        </w:rPr>
      </w:pPr>
    </w:p>
    <w:p>
      <w:pPr>
        <w:ind w:left="660" w:right="140" w:hanging="328"/>
        <w:spacing w:after="0" w:line="209"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We drew down a total of $220 million from our revolving credit facility. Including approximately $3 million in letters of credit, $223 million of the total $225 million available under our revolving facility has been utilized. We had no immediate need for additional liquidity, but drew on the revolving facility to maximize our financial flexibility. We plan to repay the $220 million drawn on the revolving credit facility in the month of March 2021.</w:t>
      </w:r>
    </w:p>
    <w:p>
      <w:pPr>
        <w:spacing w:after="0" w:line="1" w:lineRule="exact"/>
        <w:rPr>
          <w:rFonts w:ascii="Arial" w:cs="Arial" w:eastAsia="Arial" w:hAnsi="Arial"/>
          <w:sz w:val="22"/>
          <w:szCs w:val="22"/>
          <w:color w:val="auto"/>
        </w:rPr>
      </w:pPr>
    </w:p>
    <w:p>
      <w:pPr>
        <w:ind w:left="660" w:hanging="328"/>
        <w:spacing w:after="0" w:line="208"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We have stopped repurchasing our common stock and our Board of Directors did not declare a dividend for the second, third and fourth quarters of 2020. Prior to taking these actions, we used cash totaling $53.8 million for dividends and stock repurchases in 2020, as compared to using cash of $156.6 million for dividends and stock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repurchases in 2019. We will reevaluate our capital allocation strategy as industry conditions improve and normal restaurant operations resume.</w:t>
      </w:r>
    </w:p>
    <w:p>
      <w:pPr>
        <w:spacing w:after="0" w:line="15" w:lineRule="exact"/>
        <w:rPr>
          <w:sz w:val="20"/>
          <w:szCs w:val="20"/>
          <w:color w:val="auto"/>
        </w:rPr>
      </w:pPr>
    </w:p>
    <w:p>
      <w:pPr>
        <w:ind w:left="660" w:right="160" w:hanging="328"/>
        <w:spacing w:after="0" w:line="208"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offered Applebee's franchisees the opportunity to defer payment of their royalty, advertising and other fees, and IHOP franchisees the opportunity to defer payment of their royalty, advertising, equipment rent and sublease rent payments, primarily for the months of March and April. Including a small amount of additional deferrals offered on a case-by-case basis, franchisees deferred a total of approximately $60 million of payments. In general, repayments will take place over nine months and began in the third quarter of 2020. At December 31, 2020, approximately $29 million of such deferred payments were outstanding.</w:t>
      </w:r>
    </w:p>
    <w:p>
      <w:pPr>
        <w:spacing w:after="0" w:line="1" w:lineRule="exact"/>
        <w:rPr>
          <w:rFonts w:ascii="Arial" w:cs="Arial" w:eastAsia="Arial" w:hAnsi="Arial"/>
          <w:sz w:val="22"/>
          <w:szCs w:val="22"/>
          <w:color w:val="auto"/>
        </w:rPr>
      </w:pPr>
    </w:p>
    <w:p>
      <w:pPr>
        <w:ind w:left="660" w:right="40" w:hanging="328"/>
        <w:spacing w:after="0" w:line="203"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voluntarily increased the interest reserve set aside for our securitized debt, from the required $16.4 million to $32.8 million. We also voluntarily accelerated the funding of interest on our securitized debt with the redirection of cash receipts within the securitization structure. As of the date of this report, the interest payments on long-term debt due March 5, 2021 and June 5, 2021 have been fully funded and are included in current restricted cash.</w:t>
      </w:r>
    </w:p>
    <w:p>
      <w:pPr>
        <w:spacing w:after="0" w:line="3" w:lineRule="exact"/>
        <w:rPr>
          <w:rFonts w:ascii="Arial" w:cs="Arial" w:eastAsia="Arial" w:hAnsi="Arial"/>
          <w:sz w:val="22"/>
          <w:szCs w:val="22"/>
          <w:color w:val="auto"/>
        </w:rPr>
      </w:pPr>
    </w:p>
    <w:p>
      <w:pPr>
        <w:ind w:left="660" w:right="100" w:hanging="328"/>
        <w:spacing w:after="0" w:line="203"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have reduced discretionary costs, limited new hiring and significantly reduced the use of independent contractors. At the outset of the pandemic, we temporarily furloughed certain team members across various functional groups in our restaurant support centers and company-operated restaurants and also curtailed the hours of substantially all of the hourly restaurant associates at our company-operated restaurants. Most of the hourly restaurant associates at our company-operated restaurants returned to work following the re-opening of those restaurants, and there were no team members from the restaurant support centers remaining on furlough as of December 31, 2020. Our G&amp;A expenses for the ended December 31, 2020 were $18.0 million lower than the same period of the prior year.</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total cash balances as of the past five fiscal quarter ends were as follows:</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71"/>
        </w:trPr>
        <w:tc>
          <w:tcPr>
            <w:tcW w:w="27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22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2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1"/>
        </w:trPr>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increase in total cash balances from December 31, 2019 to March 31, 2020 is primarily due to the draw-down of $220 million from our revolving credit facility in March 2020. The decrease in total cash balances from March 31, 2020 to June 30, 2020 is primarily due to the impact on our operations of the COVID-19 pandemic as well as to our offering franchisees the opportunity to defer payments due to us as noted above. The increase in total cash balances from June 30, 2020 to September 30, 2020 reflects the improvement in operations as restrictions on in-restaurant dining became more relaxed and the commencement of collections of amounts deferred by franchisees discussed above. The increase in total cash balances from September 30, 2020 to December 31, 2020 reflects higher sales in the fourth quarter of 2020 compared to the third quarter (including a 14th week in the fourth quarter), a $12.3 million tax refund received and collections of amounts deferred by franchisees discussed above.</w:t>
      </w:r>
    </w:p>
    <w:p>
      <w:pPr>
        <w:spacing w:after="0" w:line="21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cash on hand, cash flow from operations, and the actions taken to mitigate the effects of the COVID-19 pandemic discussed above will provide us with adequate liquidity for at least the next twelve months.</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5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w:t>
      </w:r>
    </w:p>
    <w:p>
      <w:pPr>
        <w:spacing w:after="0" w:line="2" w:lineRule="exact"/>
        <w:rPr>
          <w:sz w:val="20"/>
          <w:szCs w:val="20"/>
          <w:color w:val="auto"/>
        </w:rPr>
      </w:pPr>
    </w:p>
    <w:p>
      <w:pPr>
        <w:ind w:right="40" w:firstLine="8"/>
        <w:spacing w:after="0" w:line="260" w:lineRule="auto"/>
        <w:tabs>
          <w:tab w:leader="none" w:pos="1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6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Co-Issuers also replaced their existing revolving financing facility, the 2018-1 Variable Funding Senior Notes, Class A-1 (“2018 Class A-1 Notes”), with a new revolving financing facility, the 2019-1 Variable Funding Senior Notes, Class A-1 (the “2019 Class A-1 Notes”), on substantially the same terms as the 2018 Class A-1 Notes in order to conform the term of the 2019 Class A-1 Notes to the anticipated repayment dates for the 2019 Class A-2 Notes. The 2019 Class A-1 Notes and the 2019 Class A-2 Notes are referred to collectively herein as the “New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9" w:name="page50"/>
    <w:bookmarkEnd w:id="49"/>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New Notes were issued in a securitization transaction pursuant to which substantially all the domestic revenue-generating assets and domestic intellectual property, as further described below, held by the Co-Issuers and certain other special-purpose, wholly-owned indirect subsidiaries of the Company (the “Guarantors”) were pledged as collateral to secure the New Notes.</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5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Exceeding the leverage ratio of 5.25x does not violate any covenant related to the New Notes.</w:t>
      </w:r>
    </w:p>
    <w:p>
      <w:pPr>
        <w:spacing w:after="0" w:line="4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leverage ratio exceeded 5.25x as of June 30, 2020 and has remained greater than 5.25x since then. As of December 31, 2020, the Company's leverage ratio was 7.20x. Accordingly, we made a principal payment in the fourth quarter of 2020 and will continue to make principal payments until the leverage ratio is less than 5.25x.</w:t>
      </w:r>
    </w:p>
    <w:p>
      <w:pPr>
        <w:spacing w:after="0" w:line="5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may voluntarily repay the New Notes at any time; however, if we repay the New Notes prior to certain dates we would be required to pay make-whole premiums. As of December 31, 2020, the make-whole premium associated with voluntary prepayment of the Class A-2-I Notes was approximately $35 million; this amount declines each quarter to zero in June 2022. As of December 31, 2020, the make-whole premium associated with voluntary prepayment of the Class A-2-II Notes was approximately $74 million; this amount declines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December 31, 2020, based on the probability-weighted discounted cash flows associated with either event.</w:t>
      </w:r>
    </w:p>
    <w:p>
      <w:pPr>
        <w:spacing w:after="0" w:line="7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legal final maturity of the 2019 Class A-2 Notes is in June 2049, but it is anticipated that, unless earlier prepaid to the extent permitted under the Indenture, the Class A-2-I Notes will be repaid in June 2024 (the “Class A-2-I Anticipated Repayment Date”) and the Class A-2-II Notes will be repaid in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Class A-2 Note interest rate: (x) the yield to maturity (adjusted to a quarterly bond-equivalent basis) on the applicable anticipated repayment date of the United States Treasury Security having a term closest to 10 years plus (y) 5.0%, plus (z) 2.15% for the Class A-2-I Notes and 2.64% for the Class A-2-II Notes.</w:t>
      </w:r>
    </w:p>
    <w:p>
      <w:pPr>
        <w:spacing w:after="0" w:line="5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March 2020, in light of the COVID-19 pandemic, Standard &amp; Poor's (“S&amp;P”) placed the Company on “credit watch-negative” with respect to our 2019 Class A-2 Notes. In September 2020, S&amp;P removed the Company from the credit watch and reaffirmed the “BBB” rating of the 2019 Class A-2 Notes.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108"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Co-Issuers also entered into a revolving financing facility, the 2019 Class A-1 Notes, that allows for drawings up to $225 million of variable funding notes and the issuance of letters of credit. The 2019 Class A-1 Notes were issued under the Indenture. Drawings and certain additional terms related to the 2019 Class A-1 Notes are governed by the 2019 Class A-1 Note Purchase Agreement, dated June 5, 2019, among the Co-Issuers, certain special-purpose, wholly-owned indirect subsidiaries of the Company, each as a Guarantor, the Company, as manager, certain conduit investors, financial institutions and funding agents, and Barclays Bank PLC, as provider of letters of credit, swingline lender and administrative agent (the “Purchase Agreement”).</w:t>
      </w:r>
    </w:p>
    <w:p>
      <w:pPr>
        <w:spacing w:after="0" w:line="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2019 Class A-1 Notes will be governed, in part, by the Purchase Agreement and by certain generally applicable terms contained in the Indenture. The applicable interest rate under the 2019 Class A-1 Notes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0.50% and (iii) the one-month Eurodollar Funding Rate plus 1.00%. There is no upfront fee for the 2019 Class A-1 Notes. There is a fee of 50 basis points on any unused portion of the 2019 Class A-1 Notes facility. Undrawn face amounts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right="80"/>
        <w:spacing w:after="0" w:line="266" w:lineRule="auto"/>
        <w:rPr>
          <w:sz w:val="20"/>
          <w:szCs w:val="20"/>
          <w:color w:val="auto"/>
        </w:rPr>
      </w:pPr>
      <w:r>
        <w:rPr>
          <w:rFonts w:ascii="Times New Roman" w:cs="Times New Roman" w:eastAsia="Times New Roman" w:hAnsi="Times New Roman"/>
          <w:sz w:val="18"/>
          <w:szCs w:val="18"/>
          <w:color w:val="auto"/>
        </w:rPr>
        <w:t>outstanding letters of credit that are not cash collateralized accrue a fee of 2.15% per annum. It is anticipated that the principal and interest on the 2019 Class A-1 Notes will be repaid in full on or prior to the quarterly payment date in June 2024 (the “2019 Class A-1 Anticipated Repayment Date”), subject to two additional one-year extensions at the option of the Company upon the satisfaction of certain conditions.</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Management Agreement, dated September 30, 2014, as amended and restated as of September 5, 2018, as further amended and restated as of June 5, 2019 and as amended by that certain Amendment No. 1 to Management Agreement dated November 21, 2019, among the Company, the Securitization Entities, Applebee’s Services, Inc., International House of Pancakes, LLC and the Trustee, the Company will act as the manager with respect to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 The Company, as Manager, voluntarily began waiving its receipt of the weekly management fee in April, 2020 and this waiver remains in place as of December 31, 2020.</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9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7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amount and any accrued but unpaid interest can be called to become immediately due and payable. Key DSCRs are as follows:</w:t>
      </w:r>
    </w:p>
    <w:p>
      <w:pPr>
        <w:spacing w:after="0" w:line="27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DSCR less than 1.75x - Cash Flow Sweeping Event</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DSCR less than 1.20x - Rapid Amortization Event</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Interest-only DSCR less than 1.20x - Manager Termination Event</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Interest-only DSCR less than 1.10x - Default Event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DSCR for the reporting period ended December 31, 2020 was approximately 3.3x.</w:t>
      </w:r>
    </w:p>
    <w:p>
      <w:pPr>
        <w:spacing w:after="0" w:line="25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During the second quarter of 2020, we voluntarily increased the interest reserve required to be set aside for our securitized debt from $16.4 million to $32.8 million, which now represents an estimated six months of interest and fees related to the 2019 Class A-2 Notes and the Revolver. During the second quarter of 2020, we voluntarily began accelerating the funding of interest on the 2019 Class A-2 Notes and the Revolver with the redirection of cash receipts within the securitization structure. As of the date of this report, the interest payments on the 2019 Class A-2 Notes and the Revolver due March 5, 2021 and June 7, 2021 have been fully funded within the securitization structure, in addition to the $32.8 million of interest reserve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b w:val="1"/>
          <w:bCs w:val="1"/>
          <w:color w:val="auto"/>
        </w:rPr>
        <w:t>Use of Credit Facilities</w:t>
      </w:r>
    </w:p>
    <w:p>
      <w:pPr>
        <w:spacing w:after="0" w:line="29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March 2020, the Co-Issuers drew down a total of $220.0 million of the amount then available under the Revolver. Although the Company had no immediate need for additional liquidity, the Co-Issuers drew on the Revolver to increase the Company’s financial flexibility in light of then-current market conditions and uncertainty due to the COVID-19 pandemic. We plan to repay the $220 million drawn on the Revolver in the month of March 2021. It is anticipated that the principal and interest on any Revolver borrowings will be repaid in full on or prior to the quarterly payment date in June 2024, subject to two additional one-year extensions at the option of the Company upon the satisfaction of certain conditions. The current interest rate for borrowings under the Revolver is the three-month LIBOR rate plus 2.15% for 60% of the advances and the commercial paper funding rate of our conduit investor plus 2.15% for 40% of the advances. The interest rate on Revolver borrowings at December 31, 2020 was 2.42%. The weighted average interest rate on Revolver borrowings for the period outstanding during the year ended December 31, 2020 was 2.72%, for the year ended December 31, 2020.</w:t>
      </w:r>
    </w:p>
    <w:p>
      <w:pPr>
        <w:spacing w:after="0" w:line="219"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The U.K. Financial Conduct Authority announced in 2017 that it intends to phase out LIBOR, initially by the end of 2021. On November 30, 2020, the Federal Reserve announced that LIBOR will be phased out and eventually replaced by June 2023. In the same announcement, U. S. banks were instructed to stop writing contracts using LIBOR by the end of 2021 and all contracts using LIBOR should be amended or terminated by June 30, 2023. We do not believe that the discontinuation of LIBOR as a reference rate for our 2019 Class A-1 Notes will have a material adverse effect on our financial position or materially affect our interest expense, however, it is not possible to predict the effect of these changes, other reforms or the establishment of alternative reference rates.</w:t>
      </w:r>
    </w:p>
    <w:p>
      <w:pPr>
        <w:spacing w:after="0" w:line="21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2020, $2.8 million was pledged against the Revolver for outstanding letters of credit, leaving $2.2 million of the Revolver available for borrowing. The letters of credit are used primarily to satisfy insurance-related collateral requirements.</w:t>
      </w:r>
    </w:p>
    <w:p>
      <w:pPr>
        <w:spacing w:after="0" w:line="200" w:lineRule="exact"/>
        <w:rPr>
          <w:sz w:val="20"/>
          <w:szCs w:val="20"/>
          <w:color w:val="auto"/>
        </w:rPr>
      </w:pP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40" w:type="dxa"/>
            <w:vAlign w:val="bottom"/>
          </w:tcPr>
          <w:p>
            <w:pPr>
              <w:spacing w:after="0"/>
              <w:rPr>
                <w:sz w:val="11"/>
                <w:szCs w:val="11"/>
                <w:color w:val="auto"/>
              </w:rPr>
            </w:pPr>
          </w:p>
        </w:tc>
        <w:tc>
          <w:tcPr>
            <w:tcW w:w="98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4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i w:val="1"/>
                <w:iCs w:val="1"/>
                <w:color w:val="auto"/>
              </w:rPr>
              <w:t>14.9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538"/>
              <w:spacing w:after="0"/>
              <w:rPr>
                <w:sz w:val="20"/>
                <w:szCs w:val="20"/>
                <w:color w:val="auto"/>
              </w:rPr>
            </w:pPr>
            <w:r>
              <w:rPr>
                <w:rFonts w:ascii="Times New Roman" w:cs="Times New Roman" w:eastAsia="Times New Roman" w:hAnsi="Times New Roman"/>
                <w:sz w:val="18"/>
                <w:szCs w:val="18"/>
                <w:i w:val="1"/>
                <w:iCs w:val="1"/>
                <w:color w:val="auto"/>
              </w:rPr>
              <w:t>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i w:val="1"/>
                <w:iCs w:val="1"/>
                <w:color w:val="auto"/>
              </w:rPr>
              <w:t>(94.6)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156"/>
        </w:trPr>
        <w:tc>
          <w:tcPr>
            <w:tcW w:w="4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311.5</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vMerge w:val="restart"/>
          </w:tcPr>
          <w:p>
            <w:pPr>
              <w:jc w:val="center"/>
              <w:ind w:left="498"/>
              <w:spacing w:after="0"/>
              <w:rPr>
                <w:sz w:val="20"/>
                <w:szCs w:val="20"/>
                <w:color w:val="auto"/>
              </w:rPr>
            </w:pPr>
            <w:r>
              <w:rPr>
                <w:rFonts w:ascii="Times New Roman" w:cs="Times New Roman" w:eastAsia="Times New Roman" w:hAnsi="Times New Roman"/>
                <w:sz w:val="18"/>
                <w:szCs w:val="18"/>
                <w:i w:val="1"/>
                <w:iCs w:val="1"/>
                <w:color w:val="auto"/>
              </w:rPr>
              <w:t>(65.1)</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7"/>
        </w:trPr>
        <w:tc>
          <w:tcPr>
            <w:tcW w:w="4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company-owned restaurant, rental operations and financing operations.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 decreased $58.7 million in 2020 compared to 2019. The components of that change are as follows:</w:t>
      </w:r>
    </w:p>
    <w:p>
      <w:pPr>
        <w:spacing w:after="0" w:line="4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1"/>
                <w:szCs w:val="11"/>
                <w:color w:val="auto"/>
              </w:rPr>
            </w:pPr>
          </w:p>
        </w:tc>
        <w:tc>
          <w:tcPr>
            <w:tcW w:w="110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Pr>
          <w:p>
            <w:pPr>
              <w:spacing w:after="0"/>
              <w:rPr>
                <w:sz w:val="11"/>
                <w:szCs w:val="11"/>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Variance</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i w:val="1"/>
                <w:iCs w:val="1"/>
                <w:color w:val="auto"/>
              </w:rPr>
              <w:t>(208.3)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Non-cash reconciling items</w:t>
            </w:r>
          </w:p>
        </w:tc>
        <w:tc>
          <w:tcPr>
            <w:tcW w:w="2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162.9</w:t>
            </w:r>
          </w:p>
        </w:tc>
        <w:tc>
          <w:tcPr>
            <w:tcW w:w="2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8"/>
                <w:szCs w:val="18"/>
                <w:i w:val="1"/>
                <w:iCs w:val="1"/>
                <w:color w:val="auto"/>
              </w:rPr>
              <w:t>115.3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i w:val="1"/>
                <w:iCs w:val="1"/>
                <w:color w:val="auto"/>
              </w:rPr>
              <w:t>34.3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i w:val="1"/>
                <w:iCs w:val="1"/>
                <w:color w:val="auto"/>
              </w:rPr>
              <w:t>(58.7)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change in net income primarily was due to impairments of goodwill, intangible assets and long-lived tangible assets and decreased gross profit, partially offset by lower G&amp;A expenses, each of which was discussed in preceding sections of this MD&amp;A.</w:t>
      </w:r>
    </w:p>
    <w:p>
      <w:pPr>
        <w:ind w:right="600" w:firstLine="324"/>
        <w:spacing w:after="0" w:line="255" w:lineRule="auto"/>
        <w:rPr>
          <w:sz w:val="20"/>
          <w:szCs w:val="20"/>
          <w:color w:val="auto"/>
        </w:rPr>
      </w:pPr>
      <w:r>
        <w:rPr>
          <w:rFonts w:ascii="Times New Roman" w:cs="Times New Roman" w:eastAsia="Times New Roman" w:hAnsi="Times New Roman"/>
          <w:sz w:val="18"/>
          <w:szCs w:val="18"/>
          <w:color w:val="auto"/>
        </w:rPr>
        <w:t>Non-cash reconciling items (primarily impairment and closure charges, depreciation and amortization, deferred income taxes, stock-based compensation and loss on extinguishment of debt) increased $115.3 million from 2019.The increase primarily was due to impairments of goodwill, intangible assets and long-lived tangible assets totaling $129.6 million discussed in preceding sections of this MD&amp;A.</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2" w:name="page53"/>
    <w:bookmarkEnd w:id="52"/>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changes in working capital provided cash of $37.6 million during 2020 compared to providing cash of $3.3 million during 2019. This favorable change of $34.3 million between years primarily resulted from collection of a tax refund of $12.3 million related to Internal Revenue Service audits of our tax returns for years 2014 to 2016 and an increase of $14.1 million in accrued advertising due to the timing of payments of marketing accruals.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Investing activities provided net cash of $18.7 million for the year ended December 31, 2020, as compared to using net cash of $0.2 million in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increase of $18.9 million are as follows:</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1"/>
                <w:szCs w:val="11"/>
                <w:color w:val="auto"/>
              </w:rPr>
            </w:pPr>
          </w:p>
        </w:tc>
        <w:tc>
          <w:tcPr>
            <w:tcW w:w="110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00" w:type="dxa"/>
            <w:vAlign w:val="bottom"/>
          </w:tcPr>
          <w:p>
            <w:pPr>
              <w:spacing w:after="0"/>
              <w:rPr>
                <w:sz w:val="11"/>
                <w:szCs w:val="11"/>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receipts from notes, equipment contracts and other long-term receivables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7.0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property and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8.5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 to long-term receivables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5.5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in) investing activities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18.9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Principal receipts from notes, equipment contracts and other long-term receivables increased $7.0 million compared to 2019 due to the early payoff of several notes. Investing cash outflows in 2020 for additions to property and equipment and loans to franchisees were lower than 2019 by $8.5 million and $5.5 million, respectively. The decrease in additions to property and equipment was primarily due to a more focused capital expenditure program as well as some impact of COVID-19.</w:t>
      </w:r>
    </w:p>
    <w:p>
      <w:pPr>
        <w:spacing w:after="0" w:line="207"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The Company has long-term receivables for equipment and direct financing receivables as well as other notes receivable from franchisees totaling $84.6 million at December 31, 2020. The following table represents the timing of principal receipts from these receivables: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8"/>
                <w:szCs w:val="18"/>
                <w:color w:val="auto"/>
              </w:rPr>
              <w:t>Principal Receipts Due By Period</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leases</w:t>
            </w:r>
            <w:r>
              <w:rPr>
                <w:rFonts w:ascii="Times New Roman" w:cs="Times New Roman" w:eastAsia="Times New Roman" w:hAnsi="Times New Roman"/>
                <w:sz w:val="23"/>
                <w:szCs w:val="23"/>
                <w:color w:val="auto"/>
                <w:vertAlign w:val="superscript"/>
              </w:rPr>
              <w:t>(1)</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4"/>
                <w:szCs w:val="2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4"/>
                <w:szCs w:val="24"/>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134"/>
        </w:trPr>
        <w:tc>
          <w:tcPr>
            <w:tcW w:w="328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 financing leases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1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34"/>
        </w:trPr>
        <w:tc>
          <w:tcPr>
            <w:tcW w:w="3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5"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Equipment lease receivables extend through the year 2029.</w:t>
      </w:r>
    </w:p>
    <w:p>
      <w:pPr>
        <w:spacing w:after="0" w:line="5"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Direct financing lease receivables extend through the year 2040.</w:t>
      </w:r>
    </w:p>
    <w:p>
      <w:pPr>
        <w:spacing w:after="0" w:line="5"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Other notes receivable extend through the year 2024.</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ind w:right="100" w:firstLine="324"/>
        <w:spacing w:after="0" w:line="276" w:lineRule="auto"/>
        <w:rPr>
          <w:sz w:val="20"/>
          <w:szCs w:val="20"/>
          <w:color w:val="auto"/>
        </w:rPr>
      </w:pPr>
      <w:r>
        <w:rPr>
          <w:rFonts w:ascii="Times New Roman" w:cs="Times New Roman" w:eastAsia="Times New Roman" w:hAnsi="Times New Roman"/>
          <w:sz w:val="18"/>
          <w:szCs w:val="18"/>
          <w:color w:val="auto"/>
        </w:rPr>
        <w:t>Financing activities provided cash of $168.3 million for the year ended December 31, 2020, as compared to using cash of $182.9 million in 2019. The components of the increase of $351.3 million are as follows:</w:t>
      </w:r>
    </w:p>
    <w:tbl>
      <w:tblPr>
        <w:tblLayout w:type="fixed"/>
        <w:tblInd w:w="220" w:type="dxa"/>
        <w:tblCellMar>
          <w:top w:w="0" w:type="dxa"/>
          <w:left w:w="0" w:type="dxa"/>
          <w:bottom w:w="0" w:type="dxa"/>
          <w:right w:w="0" w:type="dxa"/>
        </w:tblCellMar>
      </w:tblPr>
      <w:tr>
        <w:trPr>
          <w:trHeight w:val="150"/>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right="136"/>
              <w:spacing w:after="0" w:line="150" w:lineRule="exact"/>
              <w:rPr>
                <w:sz w:val="20"/>
                <w:szCs w:val="20"/>
                <w:color w:val="auto"/>
              </w:rPr>
            </w:pPr>
            <w:r>
              <w:rPr>
                <w:rFonts w:ascii="Times New Roman" w:cs="Times New Roman" w:eastAsia="Times New Roman" w:hAnsi="Times New Roman"/>
                <w:sz w:val="14"/>
                <w:szCs w:val="14"/>
                <w:b w:val="1"/>
                <w:bCs w:val="1"/>
                <w:i w:val="1"/>
                <w:iCs w:val="1"/>
                <w:color w:val="auto"/>
              </w:rPr>
              <w:t>(Increase)</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decrease in cash</w:t>
            </w:r>
          </w:p>
        </w:tc>
        <w:tc>
          <w:tcPr>
            <w:tcW w:w="320" w:type="dxa"/>
            <w:vAlign w:val="bottom"/>
          </w:tcPr>
          <w:p>
            <w:pPr>
              <w:spacing w:after="0"/>
              <w:rPr>
                <w:sz w:val="11"/>
                <w:szCs w:val="11"/>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i w:val="1"/>
                <w:iCs w:val="1"/>
                <w:color w:val="auto"/>
              </w:rPr>
              <w:t>used</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79.8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9"/>
                <w:szCs w:val="19"/>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23.0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(repayment) issuance of long-term debt, including issuance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(6.4)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 (repayment) of revolving credit</w:t>
            </w:r>
          </w:p>
        </w:tc>
        <w:tc>
          <w:tcPr>
            <w:tcW w:w="2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tcPr>
          <w:p>
            <w:pPr>
              <w:spacing w:after="0"/>
              <w:rPr>
                <w:sz w:val="19"/>
                <w:szCs w:val="19"/>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245.0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9.8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351.2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actions noted above taken in response to the COVID-19 pandemic were the primary factors underlying the change. We drew $220 million on our Revolver in 2020 as opposed to repaying the $25 million outstanding balance of the Revolver in 2019, a net change of $245 million. Additionally, we stopped repurchasing our common stock and paying dividends on common stock after the declaration of the pandemic. Prior to taking these actions, we used cash totaling $53.8 million for dividends and stock repurchases in 2020 as compared to using cash of $156.6 million for dividends and stock repurchases in 2019, conserving cash of approximately $103 million as compared to the prior year.</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56" w:lineRule="exact"/>
        <w:rPr>
          <w:sz w:val="20"/>
          <w:szCs w:val="20"/>
          <w:color w:val="auto"/>
        </w:rPr>
      </w:pPr>
    </w:p>
    <w:p>
      <w:pPr>
        <w:jc w:val="both"/>
        <w:ind w:right="480"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207" w:lineRule="exact"/>
        <w:rPr>
          <w:sz w:val="20"/>
          <w:szCs w:val="20"/>
          <w:color w:val="auto"/>
        </w:rPr>
      </w:pPr>
    </w:p>
    <w:p>
      <w:pPr>
        <w:jc w:val="both"/>
        <w:ind w:right="60" w:firstLine="324"/>
        <w:spacing w:after="0" w:line="259"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tbl>
      <w:tblPr>
        <w:tblLayout w:type="fixed"/>
        <w:tblInd w:w="40" w:type="dxa"/>
        <w:tblCellMar>
          <w:top w:w="0" w:type="dxa"/>
          <w:left w:w="0" w:type="dxa"/>
          <w:bottom w:w="0" w:type="dxa"/>
          <w:right w:w="0" w:type="dxa"/>
        </w:tblCellMar>
      </w:tblPr>
      <w:tr>
        <w:trPr>
          <w:trHeight w:val="151"/>
        </w:trPr>
        <w:tc>
          <w:tcPr>
            <w:tcW w:w="4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118"/>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20" w:type="dxa"/>
            <w:vAlign w:val="bottom"/>
          </w:tcPr>
          <w:p>
            <w:pPr>
              <w:spacing w:after="0"/>
              <w:rPr>
                <w:sz w:val="11"/>
                <w:szCs w:val="11"/>
                <w:color w:val="auto"/>
              </w:rPr>
            </w:pPr>
          </w:p>
        </w:tc>
        <w:tc>
          <w:tcPr>
            <w:tcW w:w="106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Pr>
          <w:p>
            <w:pPr>
              <w:spacing w:after="0"/>
              <w:rPr>
                <w:sz w:val="11"/>
                <w:szCs w:val="11"/>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Variance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receipts from notes and equipment receivables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8.0</w:t>
            </w:r>
          </w:p>
        </w:tc>
        <w:tc>
          <w:tcPr>
            <w:tcW w:w="2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8.5</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decrease in adjusted free cash flow in 2020 compared to 2019 was primarily due to the decrease in cash provided by operating activities, partially offset by a decrease in capital expenditures, each of which was discussed in preceding sections of this MD&amp;A.</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2020, our cash and cash equivalents totaled $383.4 million, including $71.6 million of cash held for gift card programs and IHOP advertising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5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we paid dividends on common stock of $23.9 million, representing a cash dividend of $0.69 per share declared in the fourth quarter of 2019, paid in January 2020, and a cash dividend of $0.76 per share declared in the first quarter of 2020, paid in April 2020. In light of the COVID-19 pandemic, our Board of Directors did not declare a dividend for the second, third and fourth quarters of 2020. See Note 12 - Stockholders' Deficit, of the Notes to the Consolidated Financial Statements included in this report for dividends paid and declared in fiscal 2020, 2019 and 2018.</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2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2019, our Board of Directors approved a stock repurchase program authorizing us to repurchase up to $200 million of our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 In light of the COVID-19 pandemic, we suspended repurchases of our common stock in March, 2020. See Note 12 - Stockholders' Deficit, of the Notes to the Consolidated Financial Statements included in this report for dividends paid and declared in fiscal 2020, 2019 and 2018.</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 summary of shares repurchased under the 2019 Repurchase Program, during the year ended December 31, 2020 and cumulatively, is as follows:</w:t>
      </w:r>
    </w:p>
    <w:p>
      <w:pPr>
        <w:spacing w:after="0" w:line="52"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81"/>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4"/>
        </w:trPr>
        <w:tc>
          <w:tcPr>
            <w:tcW w:w="20" w:type="dxa"/>
            <w:vAlign w:val="bottom"/>
          </w:tcPr>
          <w:p>
            <w:pPr>
              <w:spacing w:after="0"/>
              <w:rPr>
                <w:sz w:val="16"/>
                <w:szCs w:val="16"/>
                <w:color w:val="auto"/>
              </w:rPr>
            </w:pPr>
          </w:p>
        </w:tc>
        <w:tc>
          <w:tcPr>
            <w:tcW w:w="6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2019 Repurchase Program:</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Repurchased during the year ended December 31, 2020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20" w:type="dxa"/>
            <w:vAlign w:val="bottom"/>
          </w:tcPr>
          <w:p>
            <w:pPr>
              <w:spacing w:after="0"/>
              <w:rPr>
                <w:sz w:val="19"/>
                <w:szCs w:val="19"/>
                <w:color w:val="auto"/>
              </w:rPr>
            </w:pPr>
          </w:p>
        </w:tc>
        <w:tc>
          <w:tcPr>
            <w:tcW w:w="6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1,697,597</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4" w:name="page55"/>
    <w:bookmarkEnd w:id="54"/>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 We will continue to evaluate our capital allocation strategy as industry and overall economic conditions impacted by the COVID-19 pandemic evolve and normal restaurant operations resume.</w:t>
      </w:r>
    </w:p>
    <w:p>
      <w:pPr>
        <w:spacing w:after="0" w:line="207"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5 for detail on all share repurchase activity during the fourth quarter of 2020.</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have obligations for guarantees on certain franchisee lease agreements, as disclosed below in “Contractual Obligations and Commitments” and Note 11 - Commitments and Contingencies, of the Notes to Consolidated Financial Statements. Other than such guarantees, we did not have any off-balance sheet arrangements, as defined in Item 303(a)(4) of SEC Regulation S-K as of December 31, 2020.</w:t>
      </w:r>
    </w:p>
    <w:p>
      <w:pPr>
        <w:spacing w:after="0" w:line="9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are not a party to any off-balance sheet arrangements that have, or are reasonably likely to have, a current or future material effect on our financial condition, changes in financial condition, sales, costs or expenses, results of operations, liquidity, capital expenditures or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our significant contractual obligations and commitments as of December 31,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6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1"/>
                <w:szCs w:val="11"/>
                <w:color w:val="auto"/>
              </w:rPr>
            </w:pP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2 - 3 Years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4 - 5 Years</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80" w:type="dxa"/>
            <w:vAlign w:val="bottom"/>
          </w:tcPr>
          <w:p>
            <w:pPr>
              <w:spacing w:after="0"/>
              <w:rPr>
                <w:sz w:val="11"/>
                <w:szCs w:val="11"/>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income tax benefits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interest calculated on balances as of December 31, 2020 using interest rates in effect as of December 31, 2020.</w:t>
      </w:r>
    </w:p>
    <w:p>
      <w:pPr>
        <w:ind w:left="160" w:hanging="152"/>
        <w:spacing w:after="0" w:line="187" w:lineRule="auto"/>
        <w:tabs>
          <w:tab w:leader="none" w:pos="1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interest calculated on balances as of December 31, 2020 using interest rates used to calculate operating lease liability.</w:t>
      </w:r>
    </w:p>
    <w:p>
      <w:pPr>
        <w:ind w:left="260" w:right="20" w:hanging="252"/>
        <w:spacing w:after="0" w:line="211" w:lineRule="auto"/>
        <w:tabs>
          <w:tab w:leader="none" w:pos="167"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While up to $0.8 million is expected to be paid within one year, there is no contractual obligation to do so. For the remaining liability, due to the uncertainties related to these tax matters, we are unable to make a reasonably reliable estimate when a cash settlement with a taxing authority will occur.</w:t>
      </w:r>
    </w:p>
    <w:p>
      <w:pPr>
        <w:spacing w:after="0" w:line="296"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By Period</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26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1"/>
                <w:szCs w:val="11"/>
                <w:color w:val="auto"/>
              </w:rPr>
            </w:pPr>
          </w:p>
        </w:tc>
        <w:tc>
          <w:tcPr>
            <w:tcW w:w="10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2 - 3 Years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4 - 5 Years</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80" w:type="dxa"/>
            <w:vAlign w:val="bottom"/>
          </w:tcPr>
          <w:p>
            <w:pPr>
              <w:spacing w:after="0"/>
              <w:rPr>
                <w:sz w:val="11"/>
                <w:szCs w:val="11"/>
                <w:color w:val="auto"/>
              </w:rPr>
            </w:pPr>
          </w:p>
        </w:tc>
        <w:tc>
          <w:tcPr>
            <w:tcW w:w="9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guarantees</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30"/>
        </w:trPr>
        <w:tc>
          <w:tcPr>
            <w:tcW w:w="47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Food purchases</w:t>
            </w:r>
            <w:r>
              <w:rPr>
                <w:rFonts w:ascii="Times New Roman" w:cs="Times New Roman" w:eastAsia="Times New Roman" w:hAnsi="Times New Roman"/>
                <w:sz w:val="23"/>
                <w:szCs w:val="23"/>
                <w:color w:val="auto"/>
                <w:vertAlign w:val="superscript"/>
              </w:rPr>
              <w:t>(6)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hanging="252"/>
        <w:spacing w:after="0" w:line="222" w:lineRule="auto"/>
        <w:tabs>
          <w:tab w:leader="none" w:pos="169"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amount represents the maximum potential liability for future payment guarantees under leases that have been assigned to third-party buyers of Applebee's company-operated restaurants and expire at the end of the respective lease terms, which range from 2021 through 2048. See Note 11 - Commitments and Contingencies, of the Notes to Consolidated Financial Statements for additional information.</w:t>
      </w:r>
    </w:p>
    <w:p>
      <w:pPr>
        <w:spacing w:after="0" w:line="2" w:lineRule="exact"/>
        <w:rPr>
          <w:rFonts w:ascii="Times New Roman" w:cs="Times New Roman" w:eastAsia="Times New Roman" w:hAnsi="Times New Roman"/>
          <w:sz w:val="19"/>
          <w:szCs w:val="19"/>
          <w:color w:val="auto"/>
          <w:vertAlign w:val="superscript"/>
        </w:rPr>
      </w:pPr>
    </w:p>
    <w:p>
      <w:pPr>
        <w:ind w:left="260" w:hanging="252"/>
        <w:spacing w:after="0" w:line="204" w:lineRule="auto"/>
        <w:tabs>
          <w:tab w:leader="none" w:pos="163"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used to satisfy insurance-related collateral requirements. These letters of credit expire annually, but typically are renewed in the same amount each year unless collateral requirements change.</w:t>
      </w:r>
    </w:p>
    <w:p>
      <w:pPr>
        <w:spacing w:after="0" w:line="1"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some instances, IHOP and Applebee's may be required to guarantee their purchase of any remaining inventory of certain food and other items purchased by CSCS.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Our significant accounting policies are comprehensively described in Note 2 - Basis of Presentation and Significant Accounting Policies, of the Notes to the Consolidated Financial Statements. We believe the accounting policies discussed below are particularly important to the understanding of our consolidated financial statements and require higher degree of judgment and/or complexity in the preparation of those consolidated financial statements. In exercising those judgments, we make estimates and assumptions that affect the carrying values of assets and liabilities at the date of the financial statements and the reported amounts of net revenues and expenses in the reporting periods covered by the financial statements. On an ongoing basis, we evaluate our estimates based on historical experience, current conditions and various other assumptions that we believe to be reasonable under the circumstances. We adjust such estimates and assumptions when facts and circumstances dictate. Accounting assumptions and estimates are inherently uncertain and actual results may differ materially from our estimates. Changes in estimates and judgments could significantly affect our results of operations, financial condition and cash flow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recognize revenue from our franchise and company-operated restaurants in accordance with Accounting Standards Codification 606 - Revenue from Contracts with Customers (“ASC 606”). Under ASC 606, revenue is recognized upon transfer of control of promised services or goods to customers in an amount that reflects the consideration we expect to receive for those services or goods. Our rental and financing revenues are recognized in accordance with other U.S. GAAP accounting standards and are not subject to ASC 606.</w:t>
      </w:r>
    </w:p>
    <w:p>
      <w:pPr>
        <w:spacing w:after="0" w:line="9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we make judgments as to whether uncertainty as to collectibility of the consideration that we are owed precludes recognition of the revenue on an accrual basis. These judgments are based on the facts specific to each circumstance. Primary factors considered include past payment history and our subjective assessment of the likelihood of receiving payment in the future. The timing of recognition does not require significant judgment as it is based on either the term of the franchise agreement, the month of reported sales by the franchisee or the date of product shipment, none of which require estimation.</w:t>
      </w:r>
    </w:p>
    <w:p>
      <w:pPr>
        <w:spacing w:after="0" w:line="114"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Significant judgments with respect to rental revenues are discussed below under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do not have to make significant judgments with respect to revenues from our company-operated restaurants or our financing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Goodwill and intangible assets considered to have an indefinite life (primarily the Applebee's tradename) are evaluated throughout the year to determine if indicators of impairment exist. Such indicators include, but are not limited to, events or circumstances such as a significant adverse change in our business, in the business overall climate, unanticipated competition, a loss of key personnel, adverse legal or regulatory developments or a significant decline in the market price of our common stock.</w:t>
      </w:r>
    </w:p>
    <w:p>
      <w:pPr>
        <w:spacing w:after="0" w:line="11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no indicators of impairment have been noted during these preliminary assessments, we perform an assessment of goodwill and intangible assets annually in the fourth fiscal quarter. We first assess qualitatively whether it is more-likely-than-not that an impairment does not exist. Significant factors considered in this assessment include, but are not limited to, macro-economic conditions, market and industry conditions, cost considerations, the competitive environment, share price fluctuations, overall financial performance and results of past impairment tests. If we do not qualitatively determine that it is more-likely-than-not that an impairment does not exist, we perform a quantitative impairment test.</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performing a quantitative test for impairment of goodwill, we primarily use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changes in working capital and an estimated income tax rate,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10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process of a quantitative test, if necessary, of the Applebee's tradename intangible asset, we primarily use the relief of royalty method under the income approach method of valuation. Significant assumptions used to determine fair value under the relief of royalty method include future trends in sales, a royalty rate, an estimated income tax rate and a discount rate to be applied to the forecast revenue stream.</w:t>
      </w:r>
    </w:p>
    <w:p>
      <w:pPr>
        <w:spacing w:after="0" w:line="108" w:lineRule="exact"/>
        <w:rPr>
          <w:sz w:val="20"/>
          <w:szCs w:val="20"/>
          <w:color w:val="auto"/>
        </w:rPr>
      </w:pPr>
    </w:p>
    <w:p>
      <w:pPr>
        <w:ind w:right="220" w:firstLine="243"/>
        <w:spacing w:after="0" w:line="282" w:lineRule="auto"/>
        <w:rPr>
          <w:sz w:val="20"/>
          <w:szCs w:val="20"/>
          <w:color w:val="auto"/>
        </w:rPr>
      </w:pPr>
      <w:r>
        <w:rPr>
          <w:rFonts w:ascii="Times New Roman" w:cs="Times New Roman" w:eastAsia="Times New Roman" w:hAnsi="Times New Roman"/>
          <w:sz w:val="18"/>
          <w:szCs w:val="18"/>
          <w:color w:val="auto"/>
        </w:rPr>
        <w:t>There is an inherent degree of uncertainty in preparing any forecast of future results. Future trends in system-wide sales are dependent to a significant extent on national, regional and local economic conditions, and, to a lesser extent, on global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6" w:name="page57"/>
    <w:bookmarkEnd w:id="56"/>
    <w:p>
      <w:pPr>
        <w:spacing w:after="0" w:line="253" w:lineRule="auto"/>
        <w:rPr>
          <w:sz w:val="20"/>
          <w:szCs w:val="20"/>
          <w:color w:val="auto"/>
        </w:rPr>
      </w:pPr>
      <w:r>
        <w:rPr>
          <w:rFonts w:ascii="Times New Roman" w:cs="Times New Roman" w:eastAsia="Times New Roman" w:hAnsi="Times New Roman"/>
          <w:sz w:val="18"/>
          <w:szCs w:val="18"/>
          <w:color w:val="auto"/>
        </w:rPr>
        <w:t>economic conditions, particularly those conditions affecting the demographics of the guests that frequently patronize Applebee's restaurants. Accordingly, there are a number of potential events that could reasonably be expected to negatively affect the forecast of system-wide sales, including a decrease in customers' disposable income available for discretionary spending (because of circumstances such as job losses, credit constraints, higher housing costs, increased tax rates, energy costs, interest rates or other costs) or a decrease in the perceived wealth of customers (because of circumstances such as lower residential real estate values, increased foreclosure rates, increased tax rates or other economic disruptions). As a result, our business could experience a decline in sales and/or customer traffic as potential customers choose lower-cost alternatives (such as quick-service restaurants) or other alternatives to dining out. Additionally, negative trends in the availability of credit and in expenses such as interest rates and the cost of construction materials could affect our franchisees' ability to maintain and remodel existing restaurants. Any decreases in customer traffic or average customer check due to these or other reasons could reduce gross sales at franchise restaurants, resulting in lower royalty and other payments from franchisees. This could reduce the profitability of franchise restaurants, potentially impacting the ability of franchisees to make royalty payments owed to us when due (which could adversely impact our current cash flow from franchise operations) and negatively impacting franchisees’ ability to develop new restaurants (which could adversely impact our future cash flows from franchise operations). Significant increases in either the estimated income tax rate or the discount rate could adversely impact estimated fair values used in quantitative tests for impairment.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 regular basis, we assess whether events or changes in circumstances have occurred that potentially indicate the carrying value of long-lived assets (primarily assets related to properties and equipment leased or subleased to franchisees) may not be recoverable. We test impairment using historical cash flows and other relevant facts and circumstances as the primary basis for our estimates of future cash flows. Significant factors considered include, but are not limited to, current and forecast sales, current and forecast cash flows, the number of years the franchisee's restaurant has been in operation, its remaining lease life, and other factors which apply on a case-by-case basis. The analysis is performed at the individual restaurant level for indicators of permanent impairment. Recoverability of the Company's assets is measured by comparing the assets' carrying value to the undiscounted cash flows expected to be generated over the assets' remaining useful life or remaining lease term, whichever is less. This process requires the use of estimates and assumptions, which are subject to a high degree of judgment. If these assumptions change in the future, we may be required to record impairment charges for these assets.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a regular basis, we assess whether events or changes in circumstances have occurred that potentially indicate the carrying value of intangible assets with finite lives, primarily assets related to Applebee's franchise rights. Recoverability of the asset is measured by comparing the assets' carrying value to the discounted future cash flows expected to be generated over the asset's remaining useful life. Significant factors considered include, but are not limited to, current and forecast sales, current and forecast cash flows and a discount rate to be applied to the forecast revenue stream.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4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our best estimate of the amount of probable credit losses in our existing receivables; however, changes in circumstances relating to receivables may result in additional allowances in the future. We determine the allowance based on historical experience, current payment patterns, future obligations and our assessment of the ability to pay outstanding balances. The primary indicator of credit quality is delinquency, which is considered to be a receivable balance greater than 90 days past due. We continually review our allowance for credit losses. Past due balances and future obligations are reviewed individually for collectability. Account balances are charged against the allowance after all collection efforts have been exhausted and the potential for recovery is considered remote.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restaurants are located on (i) sites owned by us, (ii) sites leased by us from third parties and (iii) sites owned or leased by franchisees. For sites owned by or leased by us from third parties, we, in turn, sublease to our franchisees. At the inception of the lease, each property is evaluated to determine whether the lease will be accounted for as an operating or finance lease in accordance with the provisions of U.S. GAAP governing the accounting for leases.</w:t>
      </w:r>
    </w:p>
    <w:p>
      <w:pPr>
        <w:spacing w:after="0" w:line="99" w:lineRule="exact"/>
        <w:rPr>
          <w:sz w:val="20"/>
          <w:szCs w:val="20"/>
          <w:color w:val="auto"/>
        </w:rPr>
      </w:pPr>
    </w:p>
    <w:p>
      <w:pPr>
        <w:ind w:right="100" w:firstLine="243"/>
        <w:spacing w:after="0" w:line="258" w:lineRule="auto"/>
        <w:rPr>
          <w:sz w:val="20"/>
          <w:szCs w:val="20"/>
          <w:color w:val="auto"/>
        </w:rPr>
      </w:pPr>
      <w:r>
        <w:rPr>
          <w:rFonts w:ascii="Times New Roman" w:cs="Times New Roman" w:eastAsia="Times New Roman" w:hAnsi="Times New Roman"/>
          <w:sz w:val="18"/>
          <w:szCs w:val="18"/>
          <w:color w:val="auto"/>
        </w:rPr>
        <w:t>The Company's lease agreements generally do not provide information to determine the implicit interest rate in the agreements. This requires the Company to make significant judgments in determining the incremental borrowing rate to be used in calculating operating lease liabilities as of the adoption date. The Company estimates the incremental borrowing rate primarily by reference to (i) yield rates on debt issuances by companies of a similar credit rating as the Company; (ii) U.S. Treasury rates as of the adoption or commencement date; and (iii) adjustments for differences between these rates and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7" w:name="page58"/>
    <w:bookmarkEnd w:id="57"/>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Management also makes judgments regarding the term for each restaurant property lease, which can impact the classification and accounting for a lease as finance or operating, the rent holiday and/or escalations in payment that are taken into consideration when calculating straight-line rent and the term over which the right-of-use asset (for operating leases) or equipment under finance lease is amortized. These judgments may produce materially different amounts of depreciation, amortization and rent expense than would be reported if different assumed lease terms were used.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provide for income taxes based on our estimate of federal and state income tax liabilities. We make certain estimates and judgments in the calculation of tax expense and the resulting tax liabilities and in the recoverability of deferred tax assets that arise from temporary differences between the tax and financial statement recognition of revenue and expense. Tax laws are complex and subject to different interpretations by the taxpayers and respective governmental authorities. We review our tax positions quarterly and adjust the balances as new information becomes available.</w:t>
      </w:r>
    </w:p>
    <w:p>
      <w:pPr>
        <w:spacing w:after="0" w:line="11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recognize deferred tax assets and liabilities using the enacted tax rates for the effect of temporary differences between the financial reporting basis and the tax basis of recorded assets and liabilities. Deferred tax accounting requires that deferred tax assets be reduced by a valuation allowance if it is more likely than not that some portions or all the net deferred tax assets will not be realized. This test requires projection of our taxable income into future years to determine if there will be taxable income sufficient to realize the tax assets. The preparation of the projections requires considerable judgment and is subject to change to reflect future events and changes in the tax laws. When we establish or reduce the valuation allowance against our deferred tax assets, our income tax expense will increase or decrease, respectively, in the period such determination is made.</w:t>
      </w:r>
    </w:p>
    <w:p>
      <w:pPr>
        <w:spacing w:after="0" w:line="10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FASB ASC Topic 740-10 requires that a position taken or expected to be taken in a tax return be recognized in the financial statement when it is more likely than not (i.e. a likelihood of more than 50 percent) that the position would be sustained upon examination by taxing authorities including all appeals or litigation processes, based on its technical merits. A recognized tax position is then measured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account for stock-based compensation in accordance with U.S. GAAP governing share-based payments. Accordingly, we measure stock-based compensation expense at the grant date, based on the fair value of the award, and recognize the expense over the employee's requisite service period using the straight-line method. The fair value of each employee stock option and restricted stock award is estimated on the date of grant using an option pricing model that meets certain requirements. We currently use the Black-Scholes option pricing model to estimate the fair value of our stock-based compensation. The Black-Scholes model meets the requirements of U.S. GAAP. The measurement of stock-based compensation expense is based on several criteria including, but not limited to, the valuation model used and associated input factors, such as expected term of the award, stock price volatility, risk free interest rate and forfeiture rate. These inputs are subjective and are determined using management's judgment. If differences arise between the assumptions used in determining stock-based compensation expense and the actual factors which become known over time, we may change the input factors used in determining future stock-based compensation expense. Any such changes could impact our operations in the period in which the changes are made and in subsequent periods.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the Current Fiscal Year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Note 2 - Basis of Presentation and Summary of Significant Accounting Policies, of the Notes to the Consolidated Financial Statements included in this report for a description of accounting standards we adopted in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See Note 2 - Basis of Presentation and Summary of Significant Accounting Policies, of the Notes to the Consolidated Financial Statements included in this report, for a description of newly issued accounting standards that may impact us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financial market risk, including interest rates and commodity prices. We address these risks through controlled risk management that may include the use of derivative financial instruments to economically hedge or reduce these exposures. We do not enter into financial instruments for trading or speculative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majority of our long-term debt outstanding at December 31, 2020 was issued at fixed interest rates (see Note 8 - Long-Term Debt, of the Notes to Consolidated Financial Statements).We are only exposed to interest rate risk on borrowings we make under our 2019 Class A-1 Notes, a revolving credit facility (the “Revolver”), borrowings from which are subject to variable interest rates. In March 2020, we drew down $220.0 million from the Revolver, all of which was outstanding at December 31, 2020. A 1% increase or decrease in interest rates would increase or decrease our annual interest expense by approximately $2.2 million.</w:t>
      </w:r>
    </w:p>
    <w:p>
      <w:pPr>
        <w:spacing w:after="0" w:line="62"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We do not engage in speculative transactions nor do we hold or issue financial instruments for trading purposes. We had no material amounts of derivative instruments at December 31, 2020 and did not hold any material amount of derivative instruments during the year ended December 31, 2020.</w:t>
      </w:r>
    </w:p>
    <w:p>
      <w:pPr>
        <w:spacing w:after="0" w:line="7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Investments in instruments earning a fixed rate of interest carry a degree of interest rate risk. Fixed rate securities may have their fair market value adversely impacted due to a rise in interest rates. We currently do not hold any fixed rate investments.</w:t>
      </w:r>
    </w:p>
    <w:p>
      <w:pPr>
        <w:spacing w:after="0" w:line="8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Based on our interest-earning cash, cash equivalents and restricted cash balances as of December 31, 2020, a 1% increase in interest rates would increase our annual interest income by approximately $4.1 million. A 1% decline in interest rates would decrease our annual interest income by less than this amount as the majority of our cash, cash equivalents and restricted cash are currently yielding less than 1%.</w:t>
      </w:r>
    </w:p>
    <w:p>
      <w:pPr>
        <w:spacing w:after="0" w:line="10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Many of the food products purchased by our franchisees and area licensees are affected by commodity pricing and are therefore subject to unpredictable price volatility. Extreme increases in commodity prices and/or long-term changes could affect our franchisees, area licensees and company-operated restaurants adversely. We expect that, in most cases, the IHOP and Applebee's systems would be able to pass increased commodity prices through to their customers via increases in menu prices. From time to time, competitive circumstances could limit short-term menu price flexibility, and in those cases, franchisees' margins would be negatively impacted by increased commodity prices. Since the significant majority of our restaurants are franchised, we believe that any changes in commodity pricing that cannot be adjusted for by changes in menu pricing or other strategies would not be material to our financial condition, results of operations or cash flows.</w:t>
      </w:r>
    </w:p>
    <w:p>
      <w:pPr>
        <w:spacing w:after="0" w:line="12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Company and owners of Applebee's and IHOP franchise restaurants are members of CSCS, a Co-op that manages procurement activities for the Applebee's and IHOP restaurants that belong to the Co-op. We believe the larger scale created by combining the supply chain requirements of both brands under one organization can provide cost savings and efficiency in the purchasing function. As of December 31, 2020, 100% of Applebee's domestic franchise restaurants and 97% IHOP domestic franchise restaurants are members of CSCS. In some instances, IHOP and Applebee's may be required to guarantee their purchase of any remaining inventory of certain food and other items purchased by CSCS for the purpose of supplying limited time promotions on behalf of the Applebee's and IHOP systems as a whole. None of these food product guarantees is a derivative instrument. At December 31, 2020, our outstanding guarantees for food product purchases were $11.2 million.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Currency Exchange Rate Risk</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minimal exposure to international currency exchange rate fluctuations. Revenue derived from all international country operations comprised less than 2% of total consolidated revenue for the year ended December 31, 2020, such that a hypothetical concurrent 10% adverse change in the currency of every international country in which our franchisees operate restaurants would have a negative impact of less than 0.2% of our consolidated revenue. We do not hold a material amount of cash and cash equivalents in currencies other than the U.S. Dollar.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spacing w:after="0" w:line="2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00" w:type="dxa"/>
            <w:vAlign w:val="bottom"/>
          </w:tcPr>
          <w:p>
            <w:pPr>
              <w:spacing w:after="0"/>
              <w:rPr>
                <w:sz w:val="13"/>
                <w:szCs w:val="13"/>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9"/>
        </w:trPr>
        <w:tc>
          <w:tcPr>
            <w:tcW w:w="10300" w:type="dxa"/>
            <w:vAlign w:val="bottom"/>
          </w:tcPr>
          <w:p>
            <w:pPr>
              <w:spacing w:after="0"/>
              <w:rPr>
                <w:sz w:val="16"/>
                <w:szCs w:val="16"/>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Reference</w:t>
            </w:r>
          </w:p>
        </w:tc>
      </w:tr>
      <w:tr>
        <w:trPr>
          <w:trHeight w:val="218"/>
        </w:trPr>
        <w:tc>
          <w:tcPr>
            <w:tcW w:w="10300" w:type="dxa"/>
            <w:vAlign w:val="bottom"/>
          </w:tcPr>
          <w:p>
            <w:pPr>
              <w:ind w:left="2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Report of Independent Registered Public Accounting Firm</w:t>
              </w:r>
            </w:hyperlink>
          </w:p>
        </w:tc>
        <w:tc>
          <w:tcPr>
            <w:tcW w:w="920" w:type="dxa"/>
            <w:vAlign w:val="bottom"/>
            <w:tcBorders>
              <w:top w:val="single" w:sz="8" w:color="auto"/>
            </w:tcBorders>
          </w:tcPr>
          <w:p>
            <w:pPr>
              <w:jc w:val="right"/>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61</w:t>
              </w:r>
            </w:hyperlink>
          </w:p>
        </w:tc>
        <w:tc>
          <w:tcPr>
            <w:tcW w:w="20" w:type="dxa"/>
            <w:vAlign w:val="bottom"/>
          </w:tcPr>
          <w:p>
            <w:pPr>
              <w:spacing w:after="0"/>
              <w:rPr>
                <w:sz w:val="18"/>
                <w:szCs w:val="18"/>
                <w:color w:val="auto"/>
              </w:rPr>
            </w:pPr>
          </w:p>
        </w:tc>
      </w:tr>
      <w:tr>
        <w:trPr>
          <w:trHeight w:val="229"/>
        </w:trPr>
        <w:tc>
          <w:tcPr>
            <w:tcW w:w="10300" w:type="dxa"/>
            <w:vAlign w:val="bottom"/>
          </w:tcPr>
          <w:p>
            <w:pPr>
              <w:ind w:left="2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Consolidated Balance Sheets as of December 31, 2020 and 2019</w:t>
              </w:r>
            </w:hyperlink>
          </w:p>
        </w:tc>
        <w:tc>
          <w:tcPr>
            <w:tcW w:w="92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63</w:t>
              </w:r>
            </w:hyperlink>
          </w:p>
        </w:tc>
        <w:tc>
          <w:tcPr>
            <w:tcW w:w="20" w:type="dxa"/>
            <w:vAlign w:val="bottom"/>
          </w:tcPr>
          <w:p>
            <w:pPr>
              <w:spacing w:after="0"/>
              <w:rPr>
                <w:sz w:val="19"/>
                <w:szCs w:val="19"/>
                <w:color w:val="auto"/>
              </w:rPr>
            </w:pPr>
          </w:p>
        </w:tc>
      </w:tr>
      <w:tr>
        <w:trPr>
          <w:trHeight w:val="230"/>
        </w:trPr>
        <w:tc>
          <w:tcPr>
            <w:tcW w:w="10300" w:type="dxa"/>
            <w:vAlign w:val="bottom"/>
          </w:tcPr>
          <w:p>
            <w:pPr>
              <w:ind w:left="2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Consolidated Statements of Comprehensive (Loss) Income for each of the three years in the period ended December 31, 2020</w:t>
              </w:r>
            </w:hyperlink>
          </w:p>
        </w:tc>
        <w:tc>
          <w:tcPr>
            <w:tcW w:w="920" w:type="dxa"/>
            <w:vAlign w:val="bottom"/>
          </w:tcPr>
          <w:p>
            <w:pPr>
              <w:jc w:val="right"/>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c>
          <w:tcPr>
            <w:tcW w:w="20" w:type="dxa"/>
            <w:vAlign w:val="bottom"/>
          </w:tcPr>
          <w:p>
            <w:pPr>
              <w:spacing w:after="0"/>
              <w:rPr>
                <w:sz w:val="19"/>
                <w:szCs w:val="19"/>
                <w:color w:val="auto"/>
              </w:rPr>
            </w:pPr>
          </w:p>
        </w:tc>
      </w:tr>
      <w:tr>
        <w:trPr>
          <w:trHeight w:val="229"/>
        </w:trPr>
        <w:tc>
          <w:tcPr>
            <w:tcW w:w="10300" w:type="dxa"/>
            <w:vAlign w:val="bottom"/>
          </w:tcPr>
          <w:p>
            <w:pPr>
              <w:ind w:left="2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Consolidated Statements of Stockholders' Deficit for each of the three years in the period ended December 31, 2020</w:t>
              </w:r>
            </w:hyperlink>
          </w:p>
        </w:tc>
        <w:tc>
          <w:tcPr>
            <w:tcW w:w="920" w:type="dxa"/>
            <w:vAlign w:val="bottom"/>
          </w:tcPr>
          <w:p>
            <w:pPr>
              <w:jc w:val="right"/>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65</w:t>
              </w:r>
            </w:hyperlink>
          </w:p>
        </w:tc>
        <w:tc>
          <w:tcPr>
            <w:tcW w:w="20" w:type="dxa"/>
            <w:vAlign w:val="bottom"/>
          </w:tcPr>
          <w:p>
            <w:pPr>
              <w:spacing w:after="0"/>
              <w:rPr>
                <w:sz w:val="19"/>
                <w:szCs w:val="19"/>
                <w:color w:val="auto"/>
              </w:rPr>
            </w:pPr>
          </w:p>
        </w:tc>
      </w:tr>
      <w:tr>
        <w:trPr>
          <w:trHeight w:val="230"/>
        </w:trPr>
        <w:tc>
          <w:tcPr>
            <w:tcW w:w="10300" w:type="dxa"/>
            <w:vAlign w:val="bottom"/>
          </w:tcPr>
          <w:p>
            <w:pPr>
              <w:ind w:left="20"/>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Consolidated Statements of Cash Flows for each of the three years in the period ended December 31, 2020</w:t>
              </w:r>
            </w:hyperlink>
          </w:p>
        </w:tc>
        <w:tc>
          <w:tcPr>
            <w:tcW w:w="920" w:type="dxa"/>
            <w:vAlign w:val="bottom"/>
          </w:tcPr>
          <w:p>
            <w:pPr>
              <w:jc w:val="right"/>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66</w:t>
              </w:r>
            </w:hyperlink>
          </w:p>
        </w:tc>
        <w:tc>
          <w:tcPr>
            <w:tcW w:w="20" w:type="dxa"/>
            <w:vAlign w:val="bottom"/>
          </w:tcPr>
          <w:p>
            <w:pPr>
              <w:spacing w:after="0"/>
              <w:rPr>
                <w:sz w:val="19"/>
                <w:szCs w:val="19"/>
                <w:color w:val="auto"/>
              </w:rPr>
            </w:pPr>
          </w:p>
        </w:tc>
      </w:tr>
      <w:tr>
        <w:trPr>
          <w:trHeight w:val="234"/>
        </w:trPr>
        <w:tc>
          <w:tcPr>
            <w:tcW w:w="10300" w:type="dxa"/>
            <w:vAlign w:val="bottom"/>
          </w:tcPr>
          <w:p>
            <w:pPr>
              <w:ind w:left="20"/>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Notes to the Consolidated Financial Statements</w:t>
              </w:r>
            </w:hyperlink>
          </w:p>
        </w:tc>
        <w:tc>
          <w:tcPr>
            <w:tcW w:w="920" w:type="dxa"/>
            <w:vAlign w:val="bottom"/>
          </w:tcPr>
          <w:p>
            <w:pPr>
              <w:jc w:val="right"/>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67</w:t>
              </w:r>
            </w:hyperlink>
          </w:p>
        </w:tc>
        <w:tc>
          <w:tcPr>
            <w:tcW w:w="20" w:type="dxa"/>
            <w:vAlign w:val="bottom"/>
          </w:tcPr>
          <w:p>
            <w:pPr>
              <w:spacing w:after="0"/>
              <w:rPr>
                <w:sz w:val="20"/>
                <w:szCs w:val="20"/>
                <w:color w:val="auto"/>
              </w:rPr>
            </w:pPr>
          </w:p>
        </w:tc>
      </w:tr>
      <w:tr>
        <w:trPr>
          <w:trHeight w:val="878"/>
        </w:trPr>
        <w:tc>
          <w:tcPr>
            <w:tcW w:w="103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Dine Brands Global, Inc. and Subsidiaries (the Company) as of January 3, 2021 and December 29, 2019, the related consolidated statements of comprehensive (loss) income, stockholders’ deficit and cash flows for each of the three years in the period ended January 3, 2021, and the related notes (collectively referred to as the “consolidated financial statements”). In our opinion, the consolidated financial statements present fairly, in all material respects, the financial position of the Company at January 3, 2021 and December 29, 2019, and the results of its operations and its cash flows for each of the three years in the period ended January 3, 2021, in conformity with U.S. generally accepted accounting principles.</w:t>
      </w:r>
    </w:p>
    <w:p>
      <w:pPr>
        <w:spacing w:after="0" w:line="211"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 2021, based on criteria established in Internal Control-Integrated Framework issued by the Committee of Sponsoring Organizations of the Treadway Commission (2013 framework) and our report dated March 2, 2021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1" w:name="page62"/>
    <w:bookmarkEnd w:id="61"/>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right="160"/>
        <w:spacing w:after="0" w:line="248"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Indefinite Lived Intangible Assets</w:t>
      </w:r>
    </w:p>
    <w:p>
      <w:pPr>
        <w:spacing w:after="0" w:line="4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At January 3, 2021, the Company’s goodwill and indefinite lived tradename intangible asset (tradename) were $251.6 million and $468.0 million, respectively. The majority of the goodwill and the entirety of the tradename relates to the Applebee's franchised restaurants reporting unit (Applebee’s franchise unit). As discussed in Notes 2, 6 and 7 to the consolidated financial statements, goodwill and tradename are tested for impairment at least annually, and more frequently if the Company believes indicators of impairment exist. During the second quarter of fiscal 2020, due primarily to the impact of the COVID-19 pandemic on the Company’s operations and stock price, management determined that impairment indicators existed and performed quantitative impairment tests. As a result of the impairment tests, the Company recognized a $92.2 million impairment related to goodwill and an $11.0 million impairment related to tradename, which represented the amounts by which the carrying values exceeded the estimated fair values of the reporting unit and tradename assets, respectively.</w:t>
      </w:r>
    </w:p>
    <w:p>
      <w:pPr>
        <w:spacing w:after="0" w:line="21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Auditing management’s goodwill and tradename impairment tests was especially challenging and complex due to the significant estimation underlying the determination of fair values. In particular, the fair value estimates were sensitive to changes in the significant assumptions used under the income and market approaches utilized to determine the fair value of goodwill and the relief of royalty method utilized to determine the fair value of tradename. Significant assumptions made by management in estimating fair value under the income and market approaches included future trends in sales and the appropriate discount rate, as well as the selection of guideline companies and the valuation multiples applied. Significant assumptions used to determine fair value under the relief of royalty method included future trends in sales, royalty rate and discount rate.</w:t>
      </w:r>
    </w:p>
    <w:p>
      <w:pPr>
        <w:spacing w:after="0" w:line="23"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and tradename impairment tests, including controls over the review of the indicators of potential impairment, assumptions used, financial forecasts and the accuracy of the underlying data.</w:t>
      </w:r>
    </w:p>
    <w:p>
      <w:pPr>
        <w:spacing w:after="0" w:line="20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testing of the Company’s impairment measurements included, among other procedures, evaluating the significant assumptions and data used in estimating fair values. For example, we compared the forecasted future sales growth rates to historical results, analyst projections and industry trends. We also performed sensitivity analyses on the significant assumptions used, agreed historical balances to accounting records, and recalculated management's estimates. Additionally, we involved our valuation specialists to assist with our evaluation of the methodology used and to assess whether assumptions such as discount rates were comparable to observable market data.</w:t>
      </w:r>
    </w:p>
    <w:p>
      <w:pPr>
        <w:spacing w:after="0" w:line="200" w:lineRule="exact"/>
        <w:rPr>
          <w:sz w:val="20"/>
          <w:szCs w:val="20"/>
          <w:color w:val="auto"/>
        </w:rPr>
      </w:pPr>
    </w:p>
    <w:p>
      <w:pPr>
        <w:sectPr>
          <w:pgSz w:w="11900" w:h="16838" w:orient="portrait"/>
          <w:cols w:equalWidth="0" w:num="2">
            <w:col w:w="1700" w:space="60"/>
            <w:col w:w="9420"/>
          </w:cols>
          <w:pgMar w:left="320" w:top="927" w:right="399" w:bottom="1440" w:gutter="0" w:footer="0" w:header="0"/>
        </w:sect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 net of allowance of $15,057 (2020) and $3,138 (2019)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136,869</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gift card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346,917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575,103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366,931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receivables, net of allowance of $7,999 (2020) and $8,155 (2019)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2,049,511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7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Gift card liability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159,019</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finance lease and financing obligations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advertising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franchise revenue, short-term</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payable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357,912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less current maturities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1,491,996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1,288,248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less current maturities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less current maturities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 less current maturities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franchise revenue, long-term</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2,429,596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2,291,285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40,000,000 authorized; 2020 -24,882,122 issued, 16,452,174</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2019 - 24,925,447 issued, 16,521,921 outstanding</w:t>
            </w: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246,192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61,653</w:t>
            </w:r>
          </w:p>
        </w:tc>
        <w:tc>
          <w:tcPr>
            <w:tcW w:w="0" w:type="dxa"/>
            <w:vAlign w:val="bottom"/>
          </w:tcPr>
          <w:p>
            <w:pPr>
              <w:spacing w:after="0"/>
              <w:rPr>
                <w:sz w:val="1"/>
                <w:szCs w:val="1"/>
                <w:color w:val="auto"/>
              </w:rPr>
            </w:pP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shares: 2020 - 8,429,948; 2019 - 8,403,526</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(556,917)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(549,810)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(354,651)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(241,774)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2,049,511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ectPr>
          <w:pgSz w:w="11900" w:h="16838" w:orient="portrait"/>
          <w:cols w:equalWidth="0" w:num="1">
            <w:col w:w="11200"/>
          </w:cols>
          <w:pgMar w:left="340" w:top="1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30" w:right="359" w:bottom="1440" w:gutter="0" w:footer="0" w:header="0"/>
          <w:type w:val="continuous"/>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 revenues: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375,640</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Advertising revenues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268,294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643,934</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Company restaurant sales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Rental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121,934</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Financing revenues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7,979</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780,931</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Advertising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269,590</w:t>
            </w:r>
          </w:p>
        </w:tc>
        <w:tc>
          <w:tcPr>
            <w:tcW w:w="0" w:type="dxa"/>
            <w:vAlign w:val="bottom"/>
          </w:tcPr>
          <w:p>
            <w:pPr>
              <w:spacing w:after="0"/>
              <w:rPr>
                <w:sz w:val="1"/>
                <w:szCs w:val="1"/>
                <w:color w:val="auto"/>
              </w:rPr>
            </w:pPr>
          </w:p>
        </w:tc>
      </w:tr>
      <w:tr>
        <w:trPr>
          <w:trHeight w:val="213"/>
        </w:trPr>
        <w:tc>
          <w:tcPr>
            <w:tcW w:w="6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Bad debt expense (credit)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franchise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60,577</w:t>
            </w:r>
          </w:p>
        </w:tc>
        <w:tc>
          <w:tcPr>
            <w:tcW w:w="0" w:type="dxa"/>
            <w:vAlign w:val="bottom"/>
          </w:tcPr>
          <w:p>
            <w:pPr>
              <w:spacing w:after="0"/>
              <w:rPr>
                <w:sz w:val="1"/>
                <w:szCs w:val="1"/>
                <w:color w:val="auto"/>
              </w:rPr>
            </w:pPr>
          </w:p>
        </w:tc>
      </w:tr>
      <w:tr>
        <w:trPr>
          <w:trHeight w:val="207"/>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330,619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Rental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Other rental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83,862</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rental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90,756</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Financing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427,844</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353,087</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166,683</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and closure charges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61,686</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refinancing costs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 benefit (provision)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(30,254)</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80,354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 to unrealized loss on available-for-sale investments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80,399</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available to common stockholders: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6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80,354</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available to common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available to common stockholders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1"/>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ectPr>
          <w:pgSz w:w="11900" w:h="16838" w:orient="portrait"/>
          <w:cols w:equalWidth="0" w:num="1">
            <w:col w:w="11180"/>
          </w:cols>
          <w:pgMar w:left="360" w:top="1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30" w:right="359" w:bottom="1440" w:gutter="0" w:footer="0" w:header="0"/>
          <w:type w:val="continuous"/>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2" w:lineRule="exact"/>
        <w:rPr>
          <w:sz w:val="20"/>
          <w:szCs w:val="20"/>
          <w:color w:val="auto"/>
        </w:rPr>
      </w:pPr>
    </w:p>
    <w:tbl>
      <w:tblPr>
        <w:tblLayout w:type="fixed"/>
        <w:tblInd w:w="3300" w:type="dxa"/>
        <w:tblCellMar>
          <w:top w:w="0" w:type="dxa"/>
          <w:left w:w="0" w:type="dxa"/>
          <w:bottom w:w="0" w:type="dxa"/>
          <w:right w:w="0" w:type="dxa"/>
        </w:tblCellMar>
      </w:tblPr>
      <w:tr>
        <w:trPr>
          <w:trHeight w:val="176"/>
        </w:trPr>
        <w:tc>
          <w:tcPr>
            <w:tcW w:w="16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tcPr>
          <w:p>
            <w:pPr>
              <w:jc w:val="center"/>
              <w:ind w:left="17"/>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Deficit) Retained</w:t>
            </w:r>
          </w:p>
        </w:tc>
        <w:tc>
          <w:tcPr>
            <w:tcW w:w="128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w:t>
            </w:r>
          </w:p>
        </w:tc>
        <w:tc>
          <w:tcPr>
            <w:tcW w:w="720" w:type="dxa"/>
            <w:vAlign w:val="bottom"/>
            <w:vMerge w:val="continue"/>
          </w:tcPr>
          <w:p>
            <w:pPr>
              <w:spacing w:after="0"/>
              <w:rPr>
                <w:sz w:val="14"/>
                <w:szCs w:val="14"/>
                <w:color w:val="auto"/>
              </w:rPr>
            </w:pPr>
          </w:p>
        </w:tc>
        <w:tc>
          <w:tcPr>
            <w:tcW w:w="10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2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09803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ectPr>
          <w:pgSz w:w="11900" w:h="16838" w:orient="portrait"/>
          <w:cols w:equalWidth="0" w:num="1">
            <w:col w:w="11160"/>
          </w:cols>
          <w:pgMar w:left="340" w:top="1130" w:right="399" w:bottom="1440" w:gutter="0" w:footer="0" w:header="0"/>
        </w:sectPr>
      </w:pPr>
    </w:p>
    <w:tbl>
      <w:tblPr>
        <w:tblLayout w:type="fixed"/>
        <w:tblInd w:w="0" w:type="dxa"/>
        <w:tblCellMar>
          <w:top w:w="0" w:type="dxa"/>
          <w:left w:w="0" w:type="dxa"/>
          <w:bottom w:w="0" w:type="dxa"/>
          <w:right w:w="0" w:type="dxa"/>
        </w:tblCellMar>
      </w:tblPr>
      <w:tr>
        <w:trPr>
          <w:trHeight w:val="205"/>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17,993</w:t>
            </w: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gain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168"/>
        </w:trPr>
        <w:tc>
          <w:tcPr>
            <w:tcW w:w="33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Dividends on common stock in excess of</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196"/>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17,644</w:t>
            </w: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tcPr>
          <w:p>
            <w:pPr>
              <w:spacing w:after="0"/>
              <w:rPr>
                <w:sz w:val="17"/>
                <w:szCs w:val="17"/>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Adoption of lease accounting guidance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gain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168"/>
        </w:trPr>
        <w:tc>
          <w:tcPr>
            <w:tcW w:w="33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Tax withheld related to settlement of restricted</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196"/>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16,522</w:t>
            </w: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00" w:type="dxa"/>
            <w:vAlign w:val="bottom"/>
          </w:tcPr>
          <w:p>
            <w:pPr>
              <w:spacing w:after="0"/>
              <w:rPr>
                <w:sz w:val="17"/>
                <w:szCs w:val="17"/>
                <w:color w:val="auto"/>
              </w:rPr>
            </w:pPr>
          </w:p>
        </w:tc>
      </w:tr>
      <w:tr>
        <w:trPr>
          <w:trHeight w:val="168"/>
        </w:trPr>
        <w:tc>
          <w:tcPr>
            <w:tcW w:w="33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Adoption of credit loss accounting guidance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(Note 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gain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168"/>
        </w:trPr>
        <w:tc>
          <w:tcPr>
            <w:tcW w:w="33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Tax withheld related to settlement of restricted</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r>
      <w:tr>
        <w:trPr>
          <w:trHeight w:val="188"/>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16,452</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276,408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(69,940)</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7,029</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(422,153)</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(215,540)</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80,354</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(34,929)</w:t>
            </w:r>
          </w:p>
        </w:tc>
      </w:tr>
      <w:tr>
        <w:trPr>
          <w:trHeight w:val="216"/>
        </w:trPr>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(2,551)</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(1,972)</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10,546</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10,546</w:t>
            </w:r>
          </w:p>
        </w:tc>
      </w:tr>
      <w:tr>
        <w:trPr>
          <w:trHeight w:val="381"/>
        </w:trPr>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(44,705)</w:t>
            </w:r>
          </w:p>
        </w:tc>
        <w:tc>
          <w:tcPr>
            <w:tcW w:w="2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(44,705)</w:t>
            </w:r>
          </w:p>
        </w:tc>
      </w:tr>
      <w:tr>
        <w:trPr>
          <w:trHeight w:val="193"/>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237,726</w:t>
            </w: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7,341</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(450,603)</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(202,273)</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104,346</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(111,697)</w:t>
            </w:r>
          </w:p>
        </w:tc>
      </w:tr>
      <w:tr>
        <w:trPr>
          <w:trHeight w:val="216"/>
        </w:trPr>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(520)</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11,969</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(2,728)</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10,808</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10,808</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982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(47,095)</w:t>
            </w:r>
          </w:p>
        </w:tc>
      </w:tr>
      <w:tr>
        <w:trPr>
          <w:trHeight w:val="381"/>
        </w:trPr>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c>
          <w:tcPr>
            <w:tcW w:w="2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3"/>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246,192</w:t>
            </w: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61,653</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8,404</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(549,810)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(241,774)</w:t>
            </w:r>
          </w:p>
        </w:tc>
      </w:tr>
      <w:tr>
        <w:trPr>
          <w:trHeight w:val="378"/>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(103,994)</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(26,527)</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1,102</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20,522</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(2,479)</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12,508</w:t>
            </w: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12,508</w:t>
            </w:r>
          </w:p>
        </w:tc>
      </w:tr>
      <w:tr>
        <w:trPr>
          <w:trHeight w:val="216"/>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507</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(12,208)</w:t>
            </w:r>
          </w:p>
        </w:tc>
      </w:tr>
      <w:tr>
        <w:trPr>
          <w:trHeight w:val="381"/>
        </w:trPr>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(205)</w:t>
            </w:r>
          </w:p>
        </w:tc>
        <w:tc>
          <w:tcPr>
            <w:tcW w:w="2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89"/>
        </w:trPr>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257,625</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(55,553)</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(556,917)</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(354,651)</w:t>
            </w:r>
          </w:p>
        </w:tc>
      </w:tr>
      <w:tr>
        <w:trPr>
          <w:trHeight w:val="21"/>
        </w:trPr>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-4551045</wp:posOffset>
            </wp:positionV>
            <wp:extent cx="709803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-4276725</wp:posOffset>
            </wp:positionV>
            <wp:extent cx="709803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-4002405</wp:posOffset>
            </wp:positionV>
            <wp:extent cx="709803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-3728085</wp:posOffset>
            </wp:positionV>
            <wp:extent cx="7098030" cy="3728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3728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240"/>
            <w:col w:w="5740"/>
          </w:cols>
          <w:pgMar w:left="340" w:top="1130" w:right="399" w:bottom="1440" w:gutter="0" w:footer="0" w:header="0"/>
          <w:type w:val="continuous"/>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130" w:right="399" w:bottom="1440" w:gutter="0" w:footer="0" w:header="0"/>
          <w:type w:val="continuous"/>
        </w:sectPr>
      </w:pPr>
    </w:p>
    <w:bookmarkStart w:id="65" w:name="page66"/>
    <w:bookmarkEnd w:id="6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(103,994)</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80,354</w:t>
            </w: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income to cash flows provided by operating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Impairment and closure charges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30"/>
        </w:trPr>
        <w:tc>
          <w:tcPr>
            <w:tcW w:w="6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Current income tax receivables and payables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Gift card receivables and payables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9"/>
        </w:trPr>
        <w:tc>
          <w:tcPr>
            <w:tcW w:w="6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29"/>
        </w:trPr>
        <w:tc>
          <w:tcPr>
            <w:tcW w:w="6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advertising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140,346</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Principal receipts from notes, equipment contracts and other long-term receivables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25,771</w:t>
            </w: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additions to property and equipment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Additions to long-term receivables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Acquisition of business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Borrowings from revolving credit facility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payments of finance lease obligations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Tax payments for share settlement of restricted stock units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(88,312)</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163,146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456,053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69,208</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66,059</w:t>
            </w: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Non-cash conversion of accounts receivable to notes receivable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ectPr>
          <w:pgSz w:w="11900" w:h="16838" w:orient="portrait"/>
          <w:cols w:equalWidth="0" w:num="1">
            <w:col w:w="11060"/>
          </w:cols>
          <w:pgMar w:left="320" w:top="1130" w:right="51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30" w:right="519" w:bottom="1109" w:gutter="0" w:footer="0" w:header="0"/>
          <w:type w:val="continuous"/>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58"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The first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restaurant opened in 1958 in Toluca Lake, California. Shortly thereafter, the Company began developing and franchising additional restaurants. The Company was incorporated as IHOP Corp. under the laws of the State of Delaware in 1976. In November 2007, the Company acquired Applebee's International, Inc., which became a wholly-owned subsidiary of the Company. Effective June 2, 2008, the name of the Company was changed to DineEquity, Inc. and on February 20, 2018, the name of the Company was changed to Dine Brands Global, Inc.</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xml:space="preserve"> (“Dine Brands Global”). The Company owns, franchises and operates two restaurant concepts: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in the bar and grill segment within the casual dining category of the restaurant industry, and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family dining category of the restaurant industry.</w:t>
      </w:r>
    </w:p>
    <w:p>
      <w:pPr>
        <w:spacing w:after="0" w:line="49" w:lineRule="exact"/>
        <w:rPr>
          <w:sz w:val="20"/>
          <w:szCs w:val="20"/>
          <w:color w:val="auto"/>
        </w:rPr>
      </w:pPr>
    </w:p>
    <w:p>
      <w:pPr>
        <w:ind w:right="280" w:firstLine="324"/>
        <w:spacing w:after="0" w:line="241" w:lineRule="auto"/>
        <w:rPr>
          <w:sz w:val="20"/>
          <w:szCs w:val="20"/>
          <w:color w:val="auto"/>
        </w:rPr>
      </w:pPr>
      <w:r>
        <w:rPr>
          <w:rFonts w:ascii="Times New Roman" w:cs="Times New Roman" w:eastAsia="Times New Roman" w:hAnsi="Times New Roman"/>
          <w:sz w:val="18"/>
          <w:szCs w:val="18"/>
          <w:color w:val="auto"/>
        </w:rPr>
        <w:t>As of December 31, 2020, there were 1,772 IHOP restaurants, of which 1,611 were subject to franchise agreements and 158 were subject to area license agreements. These IHOP restaurants were located in all 50 states of the United States, the District of Columbia, two United States territories and nine countries outside the United States. As of December 31, 2020, there were 1,711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of which 1,642 were subject to franchise agreements and 69 were company-operated restaurants. These Applebee's restaurants were located in 49 states of the United States, two United States territories and 11 countries outside the United States.</w:t>
      </w:r>
    </w:p>
    <w:p>
      <w:pPr>
        <w:spacing w:after="0" w:line="132"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References herein to Applebee's and IHOP restaurants are to these restaurant concepts, whether operated by franchisees, area licensees or the Company. Retail sales at restaurants that are owned by franchisees and area licensees are not attributable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4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Dine Brands Global, Inc. and its wholly-owned subsidiaries. All intercompany accounts and transactions have been eliminated in consolidation.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has a 52/53 week fiscal year that ends on the Sunday nearest to December 31 of each year. In a 52-week fiscal year, each fiscal quarter contains 13 weeks, comprised of two, four-week fiscal months followed by a five-week fiscal month. In a 53-week fiscal year, the last month of the fourth fiscal quarter contains six weeks. For convenience, the Company refers to its fiscal years as ending on December 31 and its fiscal quarters as ending on March 31, June 30 and September 30. The December 31, 2020 fiscal year ended January 3, 2021 and contained 53 weeks. The 2019 and 2018 fiscal years ended December 29, 2019 and December 30, 2018, respectively, and each contained 52 weeks.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(“U.S. GAAP”) requires the Company's management to make estimates and assumptions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Most of the Company's international restaurants were impacted as well as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4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result of restrictions put in place in various countries similar to those in the United States. Over the course of 2020,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our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possibly could cause a domestic and/or global economic recession.</w:t>
      </w:r>
    </w:p>
    <w:p>
      <w:pPr>
        <w:spacing w:after="0" w:line="21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7"/>
          <w:szCs w:val="17"/>
          <w:color w:val="auto"/>
        </w:rPr>
        <w:t>The Company has taken several actions to mitigate the effects of the COVID-19 pandemic on its operations and its franchisees, as follows: (i) drew down $220 million from its revolving credit facility, leaving available remaining borrowing under the facility of approximately $2 million; (ii) terminated repurchases of common stock for the foreseeable future; (iii) the Company's Board of Directors decided not to declare a dividend for the second, third and fourth quarters of 2020; (iv) voluntarily increased the interest reserve for securitized debt from the required $16.4 million (one quarter of estimated interest) to $32.8 million; (v) reduced discretionary costs, limited new hiring and reduced the use of independent contractors; (vi) temporarily furloughed certain team members across various functional groups at its restaurant support centers during 2020; (vii) deferred franchisee payment of royalty, advertising and other fees, and lease obligations for up to two months on a case-by-case basis; (viii) deferred franchisee development obligations for up to 15 months and franchisee remodel obligation until the end of 2022; (ix) engaged a national real estate firm to assist franchisees with landlord discussions regarding rent deferrals, abatements and other modifications to lease agreements; (x) negotiated deferrals and abatements for properties on which the Company was lessee and (xi) hired external consultants to work with franchisees in assessing their financial health and to better understand performance variability.</w:t>
      </w:r>
    </w:p>
    <w:p>
      <w:pPr>
        <w:spacing w:after="0" w:line="20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the length of time dine-in restrictions are in place and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remains highly uncertain.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3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cash, cash equivalents, restricted cash and accounts receivable are potentially subject to concentration of credit risk. Cash and cash equivalents are placed with financial institutions that management believes are creditworthy. The Company does not believe that it is exposed to any significant credit risk on cash, cash equivalents and restricted cash. At times, cash, cash equivalents and restricted cash balances may be in excess of FDIC insurance limits.</w:t>
      </w:r>
    </w:p>
    <w:p>
      <w:pPr>
        <w:spacing w:after="0" w:line="9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are derived from revenues earned from franchisees and area licensees located primarily in the United States. Financing receivables arise from the financing of restaurant equipment, leases or franchise fees with the Company by IHOP franchisees. The Company is subject to a concentration of credit risk with respect to receivables from franchisees that own a large number of Applebee's or IHOP restaurants. As of December 31, 2020, two franchisees (one Applebee's franchisee and one franchisee with cross-brand ownership) operated a combined total of 830 Applebee's and IHOP restaurants in the United States, which comprised 26.0% of the total Applebee's and IHOP franchise and area license restaurants in the United States. Revenues from these two franchisees represented 17.1%, 17.4%, and 19.8% of total consolidated revenue for the years ended December 31, 2020, 2019 and 2018, respectively. One franchisee represented 11.0%, 10.6% and 11.9% of total consolidated revenue for the years ended December 31, 2020, 2019 and 2018, respectively. Receivables from these franchisees totaled $20.4 million and $14.4 million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 The components of cash and cash equivalents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372"/>
        </w:trPr>
        <w:tc>
          <w:tcPr>
            <w:tcW w:w="824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8"/>
        </w:trPr>
        <w:tc>
          <w:tcPr>
            <w:tcW w:w="8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Current</w:t>
      </w:r>
    </w:p>
    <w:p>
      <w:pPr>
        <w:spacing w:after="0" w:line="16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 The components of current restricted cash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372"/>
        </w:trPr>
        <w:tc>
          <w:tcPr>
            <w:tcW w:w="8240" w:type="dxa"/>
            <w:vAlign w:val="bottom"/>
          </w:tcPr>
          <w:p>
            <w:pPr>
              <w:spacing w:after="0"/>
              <w:rPr>
                <w:sz w:val="24"/>
                <w:szCs w:val="24"/>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8"/>
        </w:trPr>
        <w:tc>
          <w:tcPr>
            <w:tcW w:w="8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160" w:lineRule="exact"/>
        <w:rPr>
          <w:sz w:val="20"/>
          <w:szCs w:val="20"/>
          <w:color w:val="auto"/>
        </w:rPr>
      </w:pPr>
    </w:p>
    <w:p>
      <w:pPr>
        <w:ind w:right="140" w:firstLine="364"/>
        <w:spacing w:after="0" w:line="266" w:lineRule="auto"/>
        <w:rPr>
          <w:sz w:val="20"/>
          <w:szCs w:val="20"/>
          <w:color w:val="auto"/>
        </w:rPr>
      </w:pPr>
      <w:r>
        <w:rPr>
          <w:rFonts w:ascii="Times New Roman" w:cs="Times New Roman" w:eastAsia="Times New Roman" w:hAnsi="Times New Roman"/>
          <w:sz w:val="18"/>
          <w:szCs w:val="18"/>
          <w:color w:val="auto"/>
        </w:rPr>
        <w:t>Non-current restricted cash of $32.8 million and $15.7 million at December 31, 2020 and 2019, respectively, represents interest reserves set aside for the duration of the securitized debt. The required reserve is approximately one quarter's interest payment on the Company's securitized. The Company voluntarily increased the amount held in non-current cash to twice the required amount during the year ended December 31, 2020.</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Properties under finance leases are stated at the present value of the minimum lease payments. Depreciation is computed using the straight-line method over the estimated useful lives of the assets or remaining useful lives. Leasehold improvements and properties under finance leases are amortized on a straight-line basis over their estimated useful lives or the lease term, if less. The general ranges of depreciable and amortizable lives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7260" w:type="dxa"/>
            <w:vAlign w:val="bottom"/>
            <w:gridSpan w:val="2"/>
          </w:tcPr>
          <w:p>
            <w:pPr>
              <w:ind w:left="3100"/>
              <w:spacing w:after="0"/>
              <w:rPr>
                <w:sz w:val="20"/>
                <w:szCs w:val="20"/>
                <w:color w:val="auto"/>
              </w:rPr>
            </w:pPr>
            <w:r>
              <w:rPr>
                <w:rFonts w:ascii="Times New Roman" w:cs="Times New Roman" w:eastAsia="Times New Roman" w:hAnsi="Times New Roman"/>
                <w:sz w:val="14"/>
                <w:szCs w:val="14"/>
                <w:b w:val="1"/>
                <w:bCs w:val="1"/>
                <w:color w:val="auto"/>
              </w:rPr>
              <w:t>Depreciable Life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to 40 years</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Shorter of primary lease term or between three to 40 years</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fixtures</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to five years</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to 10 years</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lease term or remaining primary lease term</w:t>
            </w:r>
          </w:p>
        </w:tc>
        <w:tc>
          <w:tcPr>
            <w:tcW w:w="60" w:type="dxa"/>
            <w:vAlign w:val="bottom"/>
          </w:tcPr>
          <w:p>
            <w:pPr>
              <w:spacing w:after="0"/>
              <w:rPr>
                <w:sz w:val="19"/>
                <w:szCs w:val="19"/>
                <w:color w:val="auto"/>
              </w:rPr>
            </w:pPr>
          </w:p>
        </w:tc>
      </w:tr>
      <w:tr>
        <w:trPr>
          <w:trHeight w:val="8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7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a regular basis, the Company assesses whether events or changes in circumstances have occurred that potentially indicate the carrying value of long-lived assets (primarily assets related to property and equipment leased or subleased to franchisees) may not be recoverable. The Company tests impairment using historical cash flows and other relevant facts and circumstances as the primary basis for estimates of future cash flows. The Company considers factors such as the number of years the franchisee's restaurant has been in operation, sales trends, cash flow trends, remaining lease life and other factors which apply on a case-by-case basis. The analysis is performed at the restaurant level for indicators of permanent impairment.</w:t>
      </w:r>
    </w:p>
    <w:p>
      <w:pPr>
        <w:spacing w:after="0" w:line="11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Recoverability of the Company's assets is measured by comparing the assets' carrying value to the undiscounted future cash flows expected to be generated over the assets' remaining useful life or remaining lease term, whichever is less. Total expected undiscounted future cash flows that are less than the carrying amount of the assets is an indicator of impairment. If it is decided that there has been an impairment, the carrying amount of the asset is written down to the estimated fair value as determined in accordance with U.S. GAAP governing fair value measurements. The primary method of estimating fair value is based on a discounted cash flow analysis. Any loss resulting from impairment is recognized as a charge against operations.</w:t>
      </w:r>
    </w:p>
    <w:p>
      <w:pPr>
        <w:spacing w:after="0" w:line="10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See Note 13 - Long-lived Tangible Asset Impairment and Closure Charges, of the Notes to the Consolidated Financial Statements for additional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6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Goodwill is recorded when the aggregate purchase price of an acquisition exceeds the estimated fair value of the net identified tangible and intangible assets acquired. Intangible assets resulting from an acquisition are accounted for using the purchase method of accounting and are estimated by management based on the fair value of the assets received. The Company's identifiable intangible assets are comprised primarily of the Applebee's tradename and Applebee's franchise agreements. Identifiable intangible assets with finite lives (franchise agreements) are amortized over the period of estimated benefit using the straight-line method and estimated useful lives. Goodwill and intangible assets considered to have an indefinite life (primarily the Applebee's tradename) are not subject to amortization. The determination of indefinite life is subject to reassessment if changes in facts and circumstances indicate the period of benefit has become finite.</w:t>
      </w:r>
    </w:p>
    <w:p>
      <w:pPr>
        <w:spacing w:after="0" w:line="108"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Goodwill has been allocated to three reporting units. The significant majority of the Company's goodwill resulted from the November 29, 2007 acquisition of Applebee's and was allocated to the Applebee's franchised restaurants unit (“Applebee's franchise unit”). Smaller amounts of goodwill arising from other business combinations have been allocated to the IHOP franchised restaurants unit (“IHOP franchise unit”) and the Applebee's company restaurants unit (“Applebee's company unit”). See Note 6 - Goodwill, of the Notes to the Consolidated Financial Statements for additional information.</w:t>
      </w:r>
    </w:p>
    <w:p>
      <w:pPr>
        <w:spacing w:after="0" w:line="9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the goodwill of the Applebee's franchise and company units and the indefinite-lived Applebee's tradename for impairment as of October 31 of each year. The Company evaluates the goodwill of the IHOP franchise unit for impairment as of December 31 of each year. In addition to the annual evaluation for impairment, goodwill and indefinite-lived intangible assets are evaluated more frequently if the Company believes indicators of impairment exist.</w:t>
      </w:r>
    </w:p>
    <w:p>
      <w:pPr>
        <w:spacing w:after="0" w:line="11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When evaluating goodwill and indefinite-lived intangible assets for impairment, under U.S. GAAP, the Company may first perform an assessment of qualitative factors to determine if the fair value of the reporting unit or the intangible asset is more-likely-than-not greater than the carrying amount. Such qualitative factors include, but are not limited to, macro-economic conditions, market and industry conditions, cost considerations, the competitive environment, share price fluctuations, overall financial performance and results of past impairment tests. If, based on a review of the qualitative factors, the Company determines it is more-likely-than-not that the fair value is greater than the carrying value, the Company may bypass a quantitative test for impairment.</w:t>
      </w:r>
    </w:p>
    <w:p>
      <w:pPr>
        <w:spacing w:after="0" w:line="10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the Company primarily uses the income approach method of valuation that includes the discounted cash flow method and the market approach that includes the guideline public company method. Significant assumptions used to determine fair value under the discounted cash flow method include expected future trends in sales, operating expenses, overhead expenses,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 The Company measures impairment as the excess of a reporting unit's carrying amount over its fair value as determined by the quantitative test described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process of performing its quantitative impairment review of intangible assets considered to have an indefinite life, the Company primarily uses the relief of royalty method under the income approach method of valuation. Significant assumptions used to determine fair value under the relief of royalty method include future trends in sales, a royalty rate and an appropriate discount rate based on the Company's estimated cost of equity capital and after-tax cost of debt to be applied to the forecast revenue stream.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Company's revenues are recorded in four categories: franchise operations, company restaurant operations, rental operations and financing operations. Franchise revenue (which comprises most of the Company's revenues) and revenue from company-operated restaurants are recognized in accordance with Accounting Standards Codification 606 - Revenue from Contracts with Customers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other U.S. GAAP accounting standards and are not subject to ASC 606.</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Franchise Revenues</w:t>
      </w:r>
    </w:p>
    <w:p>
      <w:pPr>
        <w:spacing w:after="0" w:line="14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owns and franchises the Applebee’s and IHOP restaurant concepts.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12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44" w:lineRule="exact"/>
        <w:rPr>
          <w:sz w:val="20"/>
          <w:szCs w:val="20"/>
          <w:color w:val="auto"/>
        </w:rPr>
      </w:pPr>
    </w:p>
    <w:p>
      <w:pPr>
        <w:ind w:left="660" w:right="14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revenues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108" w:lineRule="exact"/>
        <w:rPr>
          <w:rFonts w:ascii="Times New Roman" w:cs="Times New Roman" w:eastAsia="Times New Roman" w:hAnsi="Times New Roman"/>
          <w:sz w:val="18"/>
          <w:szCs w:val="18"/>
          <w:color w:val="auto"/>
        </w:rPr>
      </w:pPr>
    </w:p>
    <w:p>
      <w:pPr>
        <w:ind w:left="660" w:right="140" w:hanging="328"/>
        <w:spacing w:after="0" w:line="289"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a contract asset (unbilled receivable) or, once billed, accounts receivable, on the balance sheet;</w:t>
      </w:r>
    </w:p>
    <w:p>
      <w:pPr>
        <w:spacing w:after="0" w:line="90" w:lineRule="exact"/>
        <w:rPr>
          <w:rFonts w:ascii="Times New Roman" w:cs="Times New Roman" w:eastAsia="Times New Roman" w:hAnsi="Times New Roman"/>
          <w:sz w:val="17"/>
          <w:szCs w:val="17"/>
          <w:color w:val="auto"/>
        </w:rPr>
      </w:pPr>
    </w:p>
    <w:p>
      <w:pPr>
        <w:ind w:left="660" w:right="3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sales of proprietary pancake and waffle dry mix is recognized in the period in which distributors ship the franchisee's order; recognition of revenue results in accounts receivable on the balance sheet.</w:t>
      </w:r>
    </w:p>
    <w:p>
      <w:pPr>
        <w:spacing w:after="0" w:line="8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 as it is based on either the franchise term, the month of sale as reported by the franchisee or the date of product shipment, none of which require estimation.</w:t>
      </w:r>
    </w:p>
    <w:p>
      <w:pPr>
        <w:spacing w:after="0" w:line="10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its franchising activities. The Company believes its franchising arrangements do not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Any excess or deficiency of advertising fee revenue compared to advertising expenditures, is recognized in the fourth quarter of the Company's fiscal year. Any excess of revenue over expenditures is recognized only to the extent of previously recognized deficits. When advertising revenues exceed the related advertising expenses and there is no recovery of a previously recognized deficit of advertising revenues, advertising costs are accrued up to the amount of revenues.</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Company Restaurant Revenues</w:t>
      </w:r>
    </w:p>
    <w:p>
      <w:pPr>
        <w:spacing w:after="0" w:line="15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judgments required.</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Rental Revenues</w:t>
      </w:r>
    </w:p>
    <w:p>
      <w:pPr>
        <w:spacing w:after="0" w:line="156"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Rental operations revenues include revenues from operating leases and interest income from direct financing leases. See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 - Leases.</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Financing Revenues</w:t>
      </w:r>
    </w:p>
    <w:p>
      <w:pPr>
        <w:spacing w:after="0" w:line="14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Financing operations revenues consist primarily of interest income from the financing of franchise fees and equipment leases, other notes receivable from franchisees and sales of equipment associated with refranchised IHOP restaurants. Interest income is recorded as earned.</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Gift Card</w:t>
      </w:r>
    </w:p>
    <w:p>
      <w:pPr>
        <w:spacing w:after="0" w:line="15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administers gift card programs for Applebee's and IHOP. The Company records a liability in the period in which a gift card is sold and recognizes costs associated with its administration of the gift card programs as prepaid assets when the costs are incurred. The liability and prepaid asset recorded on the Company's books are relieved when gift cards are redeemed. If redemption occurs at a franchisee-operated restaurant, the gift card revenue, net of costs, is remitted to the franchisee. The Company receives gift card breakage revenue only from gift cards redeemed at company-operated restaurants. Breakage revenue for gift cards redeemed at company-operated restaurants for the year ended December 31, 2020 was not material. Breakage revenue was not recorded for the years ended 2019 and 2018 as the Company did not have sufficient history from operating the restaurants on which to base an estimate for breakage.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probable credit losses incurred on existing receivables; however, changes in circumstances relating to receivables may result in changes to the allowance in the future. The Company determines the allowance based on historical losses, current conditions, and reasonable and supportable forecasts used in assessing the franchisee's or area licensee's ability to pay outstanding balances. The primary indicator of credit quality is delinquency, which is considered to be a receivable balance greater than 90 days past due. The Company continually reviews the allowance for credit losses. Past due balances and future obligations are reviewed individually for collectability. Account balances are charged against the allowance after all collection efforts have been exhausted and the potential for recovery is considered remote. Credit losses historically have been within management's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its leasing activities in accordance with accounting guidance for leases, as codified in Accounting Standards Topic 842 (“ASC 842”), adopted as of the beginning of its 2019 fiscal year. In adopting ASC 842, the Company utilized expedients that allowed it to retain the classification, as either an operating lease or a finance lease, that was previously determined under prior accounting guidance for leases. The Company reassesses this classification upon renewal, extension or the modification of an existing lease agreement. The Company determines the appropriate classification upon entering into a new contract determined to contain a lease.</w:t>
      </w:r>
    </w:p>
    <w:p>
      <w:pPr>
        <w:spacing w:after="0" w:line="11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or were recognized upon adoption of ASC 842. Operating lease liabilities represent the present value of lease payments not yet paid. Operating lease assets represent the Company's right to use an underlying asset and are based upon the operating lease liabilities adjusted for prepayments or accrued lease payments, initial direct costs, lease incentives, and impairment of operating lease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46" w:lineRule="exact"/>
        <w:rPr>
          <w:sz w:val="20"/>
          <w:szCs w:val="20"/>
          <w:color w:val="auto"/>
        </w:rPr>
      </w:pPr>
    </w:p>
    <w:p>
      <w:pPr>
        <w:ind w:firstLine="243"/>
        <w:spacing w:after="0" w:line="258" w:lineRule="auto"/>
        <w:rPr>
          <w:sz w:val="20"/>
          <w:szCs w:val="20"/>
          <w:color w:val="auto"/>
        </w:rPr>
      </w:pPr>
      <w:r>
        <w:rPr>
          <w:rFonts w:ascii="Times New Roman" w:cs="Times New Roman" w:eastAsia="Times New Roman" w:hAnsi="Times New Roman"/>
          <w:sz w:val="18"/>
          <w:szCs w:val="18"/>
          <w:color w:val="auto"/>
        </w:rPr>
        <w:t>The Company's lease agreements generally do not provide information to determine the implicit interest rate in the agreements. This requires the Company to make significant judgments in determining the incremental borrowing rate to be used in calculating operating lease liabilities as of the adoption or commencement date. The Company estimates the incremental borrowing rate primarily by reference to (i) yield rates on debt issuances by companies of a similar credit rating as the Company; (ii) U.S. Treasury rates as of the adoption or commencement date; and (iii) adjustments for differences between these rates and the lease term.</w:t>
      </w:r>
    </w:p>
    <w:p>
      <w:pPr>
        <w:spacing w:after="0" w:line="11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cost of an operating lease is recognized over the lease term on a straight-line basis. The lease term commences on the date the Company has the right to control the use of the leased property. </w:t>
      </w:r>
      <w:r>
        <w:rPr>
          <w:rFonts w:ascii="Times New Roman" w:cs="Times New Roman" w:eastAsia="Times New Roman" w:hAnsi="Times New Roman"/>
          <w:sz w:val="18"/>
          <w:szCs w:val="18"/>
          <w:color w:val="252525"/>
        </w:rPr>
        <w:t>Certain leases may contain provisions for rent holidays and fixed-step escalations in payments over the 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lease term, as well as renewal periods. The effects of the holidays and fixed-step escalations are reflected in rent expense on a straight-line basis over the expected lease term. Differences between amounts paid and amounts expensed are recorded as deferred rent. Certain leases may include rent escalations based on inflation indexes and fair market value adjustments. Certain leases may contain contingent rental provisions that include a fixed base rent plus an additional percentage of the restaurant’s sales. Subsequent escalations subject to such an index and contingent rental payments are recognized as variable lease expense.</w:t>
      </w:r>
    </w:p>
    <w:p>
      <w:pPr>
        <w:spacing w:after="0" w:line="108"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rental payments or receipts on those property leases that meet the finance lease criteria result in the recognition of interest expense or interest income and a reduction of finance lease obligation or financing lease receivable, respectively. Finance lease obligations are amortized based on the Company's incremental borrowing rate and direct financing lease receivables are amortized using the implicit interest 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Expenditures related to the opening of new or relocated restaurants are charged to expense when incurred.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Advertising fees included as franchise revenue for the years ended December 31, 2020, 2019 and 2018 were $201.5 million, $283.0 million and $268.3 million, respectively.</w:t>
      </w:r>
    </w:p>
    <w:p>
      <w:pPr>
        <w:spacing w:after="0" w:line="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Advertising expense reflected in the Consolidated Statements of Comprehensive (Loss) Income includes contributions to the national advertising fund made by Applebee's and IHOP, local marketing advertising costs incurred by company-operated restaurants, and certain advertising costs incurred by the Company to benefit future franchise operations. Costs of advertising typically are expensed either as incurred or the first time the advertising takes place. Advertising expense included in company restaurant operations for the years ended December 31, 2020, 2019 and 2018 was $5.2 million, $6.1 million, and $0.3 million,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the fair market values of its financial assets and liabilities, as well as non-financial assets and liabilities that are recognized or disclosed at fair value on a recurring basis, based on the fair value hierarchy established in U.S. GAAP. As necessary, the Company measures its financial assets and liabilities using inputs from the following three levels of the fair value hierarchy:</w:t>
      </w:r>
    </w:p>
    <w:p>
      <w:pPr>
        <w:spacing w:after="0" w:line="1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for the asset or liability, either directly or indirectly, including quoted prices in active markets for similar assets or liabilities.</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and reflect the Company's own assumptions.</w:t>
      </w:r>
    </w:p>
    <w:p>
      <w:pPr>
        <w:spacing w:after="0" w:line="12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at fair value on a recurring basis. None of the Company's non-financial assets or non-financial liabilities is required to be measured at fair value on a recurring basis. Assets recognized or disclosed at fair value in the consolidated financial statements on a nonrecurring basis include items such as property and equipment, operating lease assets, goodwill and other intangible assets, which are measured at fair value if determined to be impaired. The Company has not elected to use fair value measurement for any assets or liabilities for which fair value measurement is not presently required.</w:t>
      </w:r>
    </w:p>
    <w:p>
      <w:pPr>
        <w:spacing w:after="0" w:line="116"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and cash equivalents, restricted cash, accounts receivable and accounts payable approximate their carrying amounts due to their short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values of non-current financial instruments, determined based on Level 2 inputs, are shown in the following table:</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88"/>
        </w:trPr>
        <w:tc>
          <w:tcPr>
            <w:tcW w:w="7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r>
      <w:tr>
        <w:trPr>
          <w:trHeight w:val="178"/>
        </w:trPr>
        <w:tc>
          <w:tcPr>
            <w:tcW w:w="7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Face value of Series 2019-1 Fixed Rate Senior Secured Notes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0"/>
                <w:szCs w:val="20"/>
                <w:color w:val="auto"/>
              </w:rPr>
            </w:pPr>
          </w:p>
        </w:tc>
      </w:tr>
      <w:tr>
        <w:trPr>
          <w:trHeight w:val="21"/>
        </w:trPr>
        <w:tc>
          <w:tcPr>
            <w:tcW w:w="7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Series 2019-1 Fixed Rate Senior Secured Notes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00" w:type="dxa"/>
            <w:vAlign w:val="bottom"/>
          </w:tcPr>
          <w:p>
            <w:pPr>
              <w:spacing w:after="0"/>
              <w:rPr>
                <w:sz w:val="19"/>
                <w:szCs w:val="19"/>
                <w:color w:val="auto"/>
              </w:rPr>
            </w:pPr>
          </w:p>
        </w:tc>
      </w:tr>
      <w:tr>
        <w:trPr>
          <w:trHeight w:val="21"/>
        </w:trPr>
        <w:tc>
          <w:tcPr>
            <w:tcW w:w="7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the liability method of accounting for income taxes. Under the liability method, deferred taxes are determined based on the temporary differences between the financial statement and tax basis of assets and liabilities using enacted tax rates. A valuation allowance is recorded when it is more likely than not that some or all of the deferred tax assets will not be realized. The Company records estimated tax liabilities to the extent the contingencies are probable and can be reasonably estimated. The Company recognizes interest accrued related to unrecognizable tax benefits and penalties as a component of the income tax provision recognized in the Consolidated Statements of Comprehensive (Loss) Income.</w:t>
      </w:r>
    </w:p>
    <w:p>
      <w:pPr>
        <w:spacing w:after="0" w:line="210"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upon examination by taxing authorities based on its technical merits, including all appeals or litigation processes. The tax benefits recognized in the financial statements from such a position are measured based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Members of the Board of Directors and certain employees are eligible to receive stock options, restricted stock, restricted stock units and performance units pursuant to the Dine Brands Global, Inc. 2019 Stock Incentive Plan. Shares of unvested restricted stock are subject to restrictions on transfer and forfeiture under certain circumstances. The holder of unvested restricted stock has the right to vote and receive regular cash dividends with respect to the shares of unvested restricted stock.</w:t>
      </w:r>
    </w:p>
    <w:p>
      <w:pPr>
        <w:spacing w:after="0" w:line="20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 directors, including grants of stock options, restricted stock, restricted stock units and performance units to be recognized in the financial statements, based on their respective grant date fair values. The value of the portion of the award that is ultimately expected to vest is recognized as expense ratably over the requisite service periods.</w:t>
      </w:r>
    </w:p>
    <w:p>
      <w:pPr>
        <w:spacing w:after="0" w:line="20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grant date fair value of restricted stock and stock-settled restricted stock units is determined based on the Company's stock price on the grant date. The Company estimates the grant date fair value of stock option awards using the Black-Scholes option pricing model, which considers, among other factors, a risk-free interest rate, the expected life of the award and the historical volatility of the Company's stock price. The Company estimates the grant date fair value of awards with performance-based market conditions using a Monte Carlo simulation method which considers, among other factors, the performance-based market condition, a risk-free interest rate, the expected life of the award and the historical volatility of the Company's stock price. Awards of cash-settled restricted stock units are classified as liabilities with the liability and compensation expense related to cash-settled awards adjusted to fair value at each balance sheet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14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Net (loss) income per share is calculated using the two-class method prescribed in U.S. GAAP. Basic net (loss) income per share is computed by dividing the net (loss) income available to common stockholders for the period by the weighted average number of common shares outstanding during the period. Diluted net (loss) income per share is computed by dividing the net (loss) income available to common stockholders for the period by the weighted average number of common shares and potential shares of common stock outstanding during the period if their effect is dilutive. The Company uses the treasury stock method to calculate the weighted average shares used in the diluted earnings per share calculation. Potentially dilutive common shares include the assumed exercise of stock options and assumed vesting of restricted stock.</w:t>
      </w:r>
    </w:p>
    <w:p>
      <w:pPr>
        <w:sectPr>
          <w:pgSz w:w="11900" w:h="16838" w:orient="portrait"/>
          <w:cols w:equalWidth="0" w:num="1">
            <w:col w:w="11220"/>
          </w:cols>
          <w:pgMar w:left="320" w:top="3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(Loss) Income</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the income tax benefit or provision allocated to items of other comprehensive (loss) income was not significant.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4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utilize treasury stock when vested stock options are exercised, when restricted stock awards are granted and when restricted stock units settle in stock upon vesting. The cost of treasury stock re-issued is determined using the first-in, first-out method.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Dividends declared on common stock are recorded as a reduction of retained earnings to the extent retained earnings are available at the close of the period prior to the date of the declared dividend. Dividends declared in excess of retained earnings are recorded as a reduction of additional paid-in capital.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Segments</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has five operating segments: Applebee's franchise operations, IHOP franchise operations, rental operations, financing operations and company-operated restaurant operations. The Company has four reporting segments: franchise operations, (an aggregation of Applebee's and IHOP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Franchise Segment</w:t>
      </w:r>
    </w:p>
    <w:p>
      <w:pPr>
        <w:spacing w:after="0" w:line="14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2020, the franchise operations reportable segment consisted of 1,642 restaurants operated by Applebee's franchisees in the United States, two United States territories and 11 countries outside the United States and 1,769 restaurants operated by IHOP franchisees and area licensees in the United States, two United States territories and 9 countries outside the United States. Franchise operations revenue consists primarily of royalties and advertising fees based on a percentage of the franchisee's gross sales, sales of proprietary products (primarily IHOP pancake and waffle dry mixes) and other franchise fees.</w:t>
      </w:r>
    </w:p>
    <w:p>
      <w:pPr>
        <w:spacing w:after="0" w:line="11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Franchise operations expenses include advertising expense, the cost of proprietary products, pre-opening training expenses and other franchise-related costs.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Rental Segment</w:t>
      </w:r>
    </w:p>
    <w:p>
      <w:pPr>
        <w:spacing w:after="0" w:line="14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direct financing leases. Rental operations expenses are costs of operating leases and interest expense of finance leases on franchisee-operated restaurants. The rental operations revenue and expenses are primarily generated by IHOP. Applebee's has an insignificant amount of rental activity.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Financing Segment</w:t>
      </w:r>
    </w:p>
    <w:p>
      <w:pPr>
        <w:spacing w:after="0" w:line="15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IHOP franchise fees and equipment leases, notes receivable from Applebee's franchisees and sales of equipment associated with refranchised IHOP restaurants. Financing expenses are the cost of restaurant equipment.</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Company Segment</w:t>
      </w:r>
    </w:p>
    <w:p>
      <w:pPr>
        <w:spacing w:after="0" w:line="15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 operated 69 Applebee's restaurants that were acquired from a former franchisee in December 2018. The company segment presented in these financial statements consists of these 69 Applebee's restaurants in 2020 and 2019 and for three weeks in December of 2018. All company-operated restaurants were located in the United States. Company restaurant sales are retail sales at company-operated restaurants. Company restaurant expenses are operating expenses at company-operated restaurants and include food, beverage, labor, benefits, utilities, rent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Effective January 1, 2020</w:t>
      </w:r>
    </w:p>
    <w:p>
      <w:pPr>
        <w:spacing w:after="0" w:line="25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new guidance on the measurement of current expected credit losses (“CECL”) on financial instruments. The new guidance has replaced the incurred loss methodology of recognizing credit losses on financial instruments with a methodology that estimates the expected credit loss on financial instruments and reflects the net amount expected to be collected on the financial instrument. The Company adopted this change in accounting principle as of the first day of the first fiscal quarter of 2020 using the modified retrospective method. Accordingly, financial information for periods prior to the date of initial application has not been adjusted.</w:t>
      </w:r>
    </w:p>
    <w:p>
      <w:pPr>
        <w:spacing w:after="0" w:line="21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Upon adoption of the new CECL guidance, the Company recognized an increase to its allowance for credit losses of $0.7 million. The Company recognized an adjustment to retained earnings upon adoption of $0.5 million, net of tax of $0.2 million.</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2020 that the Company reviewed and concluded was either not applicable to its operations or had no material effect on its consolidated financial statements in the current or future fiscal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25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new guidance intended to simplify the accounting for income taxes, change the accounting for certain income tax transactions, and make other minor changes. The Company will be required to adopt the new guidance beginning with its first fiscal quarter of 2021; early adoption in any interim period after issuance of the new guidance is permitted. The Company is currently assessing the impact this guidance will have on its consolidated financial statements but does not expect this standard to have a material effect on its financial statements. The Company did not adopt the standard early.</w:t>
      </w:r>
    </w:p>
    <w:p>
      <w:pPr>
        <w:spacing w:after="0" w:line="210" w:lineRule="exact"/>
        <w:rPr>
          <w:sz w:val="20"/>
          <w:szCs w:val="20"/>
          <w:color w:val="auto"/>
        </w:rPr>
      </w:pPr>
    </w:p>
    <w:p>
      <w:pPr>
        <w:ind w:right="80" w:firstLine="324"/>
        <w:spacing w:after="0" w:line="241" w:lineRule="auto"/>
        <w:rPr>
          <w:sz w:val="20"/>
          <w:szCs w:val="20"/>
          <w:color w:val="auto"/>
        </w:rPr>
      </w:pPr>
      <w:r>
        <w:rPr>
          <w:rFonts w:ascii="Times New Roman" w:cs="Times New Roman" w:eastAsia="Times New Roman" w:hAnsi="Times New Roman"/>
          <w:sz w:val="18"/>
          <w:szCs w:val="18"/>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The Company is currently evaluating our contracts that reference LIBOR and the potential effects of adopting this new guidance. The Company is currently assessing the impact this guidance will have on its consolidated financial statements but does not expect this standard to have a material effect on its financial statements. The Company does not intend to adopt the standard early.</w:t>
      </w:r>
    </w:p>
    <w:p>
      <w:pPr>
        <w:spacing w:after="0" w:line="211"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our franchise revenues by major type for the years ended December 31, 2020, 2019 and 2018:</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79"/>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311,568</w:t>
            </w:r>
          </w:p>
        </w:tc>
      </w:tr>
      <w:tr>
        <w:trPr>
          <w:trHeight w:val="229"/>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Advertising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268,294</w:t>
            </w: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Pancake and waffle dry mix sales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52,108</w:t>
            </w: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11,964</w:t>
            </w:r>
          </w:p>
        </w:tc>
      </w:tr>
      <w:tr>
        <w:trPr>
          <w:trHeight w:val="248"/>
        </w:trPr>
        <w:tc>
          <w:tcPr>
            <w:tcW w:w="2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643,934</w:t>
            </w: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Revenue Disclosures (Continued)</w:t>
      </w:r>
    </w:p>
    <w:p>
      <w:pPr>
        <w:spacing w:after="0" w:line="24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Accounts and other receivables related to franchise revenues as of December 31, 2020 and 2019 were $76.3 million (net of allowance of $11.4 million) and $63.5 million (net of allowance of $0.7 million), respectively, and were included in receivables, net in the Consolidated Balance Sheets.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revenues during the year ended December 31, 2020 were as follows: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06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 Franchise Revenue</w:t>
            </w:r>
          </w:p>
        </w:tc>
      </w:tr>
      <w:tr>
        <w:trPr>
          <w:trHeight w:val="214"/>
        </w:trPr>
        <w:tc>
          <w:tcPr>
            <w:tcW w:w="9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(short- and long-term)</w:t>
            </w:r>
          </w:p>
        </w:tc>
      </w:tr>
      <w:tr>
        <w:trPr>
          <w:trHeight w:val="184"/>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as revenues during the year ended December 31, 2020</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deferred during the year ended December 31, 2020</w:t>
            </w:r>
          </w:p>
        </w:tc>
        <w:tc>
          <w:tcPr>
            <w:tcW w:w="200" w:type="dxa"/>
            <w:vAlign w:val="bottom"/>
            <w:tcBorders>
              <w:bottom w:val="single" w:sz="8" w:color="auto"/>
            </w:tcBorders>
            <w:shd w:val="clear" w:color="auto" w:fill="BFE4FF"/>
          </w:tcPr>
          <w:p>
            <w:pPr>
              <w:spacing w:after="0"/>
              <w:rPr>
                <w:sz w:val="19"/>
                <w:szCs w:val="19"/>
                <w:color w:val="auto"/>
              </w:rPr>
            </w:pPr>
          </w:p>
        </w:tc>
        <w:tc>
          <w:tcPr>
            <w:tcW w:w="1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5,802</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59,919</w:t>
            </w:r>
          </w:p>
        </w:tc>
      </w:tr>
      <w:tr>
        <w:trPr>
          <w:trHeight w:val="21"/>
        </w:trPr>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of deferred franchise revenues as of December 31, 2020 is expected to be recognized as follows:</w:t>
      </w:r>
    </w:p>
    <w:p>
      <w:pPr>
        <w:spacing w:after="0" w:line="43" w:lineRule="exact"/>
        <w:rPr>
          <w:sz w:val="20"/>
          <w:szCs w:val="20"/>
          <w:color w:val="auto"/>
        </w:rPr>
      </w:pPr>
    </w:p>
    <w:tbl>
      <w:tblPr>
        <w:tblLayout w:type="fixed"/>
        <w:tblInd w:w="262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26,676</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Current Expected Credit Losses</w:t>
      </w:r>
    </w:p>
    <w:p>
      <w:pPr>
        <w:spacing w:after="0" w:line="25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Prior to the adoption of CECL, the Company recorded incurred loss reserves against receivable balances based on current and historical information, with delinquency status being the primary indicator of a deterioration in credit quality. The recently adopted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21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Upon adoption of the CECL methodology, the Company developed its estimated loss reserves in the following manner. The Company continued to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following CECL methodology that assesses four components - historical losses, current conditions, reasonable and supportable forecasts, and a reversion to history, if applicable.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Historical Losses</w:t>
      </w:r>
    </w:p>
    <w:p>
      <w:pPr>
        <w:spacing w:after="0" w:line="25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Historical loss rates over a five-year span were calculated for financial assets with common risk characteristics. The Company determined historical loss rate data for each franchise brand concept was more relevant than a single blended rate. Historical losses were determined based on the average charge-off method. Historical loss rates are further adjusted by factors related to current conditions and forecasts of future economic conditions.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Current Conditions</w:t>
      </w:r>
    </w:p>
    <w:p>
      <w:pPr>
        <w:spacing w:after="0" w:line="25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identified three metrics that it believes provide the most relevant reflection of the current risks inherent in the Company’s franchisee-based restaurant business, as follows: (1) delinquency status, (2) system-wide same-restaurant sales, and (3) restaurant unit-level economics. The current conditions adjustment factor was increased to account for the impact of the COVID-19 pandemic.</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Reasonable and Supportable Forecasts</w:t>
      </w:r>
    </w:p>
    <w:p>
      <w:pPr>
        <w:spacing w:after="0" w:line="25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third component in the CECL methodology involves consideration of macroeconomic conditions that can impact the estimate of expected credit losses in the future. The Company has not developed an internal methodology in this regard; rather, the Company utilizes existing, publicly accessible sources of economic data, primarily forecasts of overall unemployment rate as well as consumer spending based on the personal consumption expenditure index.</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Reversion to History</w:t>
      </w:r>
    </w:p>
    <w:p>
      <w:pPr>
        <w:spacing w:after="0" w:line="23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reversion to history was not required since the remaining average lives of the Company’s financial assets are not exceedingly lengthy.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Accounts Receivable (Franchise-Related)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Gift Card Receivables</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 end as a result of the December holiday season.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252" w:lineRule="exact"/>
        <w:rPr>
          <w:sz w:val="20"/>
          <w:szCs w:val="20"/>
          <w:color w:val="auto"/>
        </w:rPr>
      </w:pPr>
    </w:p>
    <w:p>
      <w:pPr>
        <w:ind w:right="100" w:firstLine="324"/>
        <w:spacing w:after="0" w:line="272" w:lineRule="auto"/>
        <w:rPr>
          <w:sz w:val="20"/>
          <w:szCs w:val="20"/>
          <w:color w:val="auto"/>
        </w:rPr>
      </w:pPr>
      <w:r>
        <w:rPr>
          <w:rFonts w:ascii="Times New Roman" w:cs="Times New Roman" w:eastAsia="Times New Roman" w:hAnsi="Times New Roman"/>
          <w:sz w:val="17"/>
          <w:szCs w:val="17"/>
          <w:color w:val="auto"/>
        </w:rPr>
        <w:t>Notes receivable balances primarily relate to the conversion of certain Applebee's franchisee accounts receivable to notes receivable, cash loans to franchisees for working capital purposes, a note receivable in connection with the sale of IHOP company restaurants in June 2017, and IHOP franchise fee and other notes. The notes are typically collateralized by the franchise. The notes have a term from two to ten years and bear interest averaging 4.7% and</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5.1% per annum at December 31, 2020 and 2019, respectively. Due to the risk inherent in Applebee's notes that were converted from previously delinquent franchisee accounts receivable balances, a significant portion of these notes have specific reserves recorded against them totaling $8.9 million as of December 31, 2020.</w:t>
      </w: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15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Equipment leases receivable also relate to IHOP franchise development activity prior to 2003. IHOP provided the financing for the leasing of the equipment. Equipment lease contracts are collateralized by the equipment in the restaurant. Equipment lease contracts are due in equal weekly installments, primarily bear interest averaging 9.8% and 9.9% per annum at December 31, 2020 and 2019, respectively. The term of an equipment lease contract coincides with the term of the corresponding restaurant building lease. The weighted average remaining life of the Company’s equipment leases is 5.5 years as of December 31, 2020. The estimated fair value of the equipment collateralizing these lease contracts are not deemed to be significant given the very seasoned and mature nature of this portfolio.</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Direct Financing Leases Receivable</w:t>
      </w:r>
    </w:p>
    <w:p>
      <w:pPr>
        <w:spacing w:after="0" w:line="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Direct financing lease receivables relate to IHOP franchise development activity prior to 2003 when IHOP typically leased or purchased the restaurant site, built and equipped the restaurant, then franchised the restaurant to a franchisee. IHOP provided the financing for leasing or subleasing the site. Direct financing leases at December 31, 2020, comprised 90 leases with a weighted average remaining life of 4.1 years, and relate to locations that IHOP is leasing from third parties and subleasing to franchisees. Where applicable, building leases and equipment contracts contain cross-default provisions wherein a default under one constitutes a default under all.</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Distributor Receivables</w:t>
      </w:r>
    </w:p>
    <w:p>
      <w:pPr>
        <w:spacing w:after="0" w:line="25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receivables balances at December 31, 2020 and 2019 were as follows: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Receivables</w:t>
      </w: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2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Gift card receivables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Financing receivables: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financing leases receivable</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Franchise fee notes receivable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Less: allowance for doubtful accounts and notes receivable</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receivables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140" w:type="dxa"/>
            <w:vAlign w:val="bottom"/>
            <w:gridSpan w:val="10"/>
            <w:vMerge w:val="restart"/>
          </w:tcPr>
          <w:p>
            <w:pPr>
              <w:ind w:left="240"/>
              <w:spacing w:after="0"/>
              <w:rPr>
                <w:sz w:val="20"/>
                <w:szCs w:val="20"/>
                <w:color w:val="auto"/>
              </w:rPr>
            </w:pPr>
            <w:r>
              <w:rPr>
                <w:rFonts w:ascii="Times New Roman" w:cs="Times New Roman" w:eastAsia="Times New Roman" w:hAnsi="Times New Roman"/>
                <w:sz w:val="18"/>
                <w:szCs w:val="18"/>
                <w:color w:val="auto"/>
              </w:rPr>
              <w:t>Changes in the allowance for credit losses during the year ended December 31, 2020 were as follows: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40" w:type="dxa"/>
            <w:vAlign w:val="bottom"/>
            <w:gridSpan w:val="10"/>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24"/>
                <w:szCs w:val="24"/>
                <w:color w:val="auto"/>
              </w:rPr>
            </w:pPr>
          </w:p>
        </w:tc>
        <w:tc>
          <w:tcPr>
            <w:tcW w:w="8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24"/>
                <w:szCs w:val="24"/>
                <w:color w:val="auto"/>
              </w:rPr>
            </w:pPr>
          </w:p>
        </w:tc>
        <w:tc>
          <w:tcPr>
            <w:tcW w:w="8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Lease</w:t>
            </w:r>
          </w:p>
        </w:tc>
        <w:tc>
          <w:tcPr>
            <w:tcW w:w="240" w:type="dxa"/>
            <w:vAlign w:val="bottom"/>
          </w:tcPr>
          <w:p>
            <w:pPr>
              <w:spacing w:after="0"/>
              <w:rPr>
                <w:sz w:val="24"/>
                <w:szCs w:val="24"/>
                <w:color w:val="auto"/>
              </w:rPr>
            </w:pPr>
          </w:p>
        </w:tc>
        <w:tc>
          <w:tcPr>
            <w:tcW w:w="8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6"/>
              </w:rPr>
              <w:t xml:space="preserve">Other </w:t>
            </w:r>
            <w:r>
              <w:rPr>
                <w:rFonts w:ascii="Times New Roman" w:cs="Times New Roman" w:eastAsia="Times New Roman" w:hAnsi="Times New Roman"/>
                <w:sz w:val="9"/>
                <w:szCs w:val="9"/>
                <w:b w:val="1"/>
                <w:bCs w:val="1"/>
                <w:color w:val="auto"/>
                <w:w w:val="96"/>
              </w:rPr>
              <w:t>(1)</w:t>
            </w:r>
          </w:p>
        </w:tc>
        <w:tc>
          <w:tcPr>
            <w:tcW w:w="280" w:type="dxa"/>
            <w:vAlign w:val="bottom"/>
          </w:tcPr>
          <w:p>
            <w:pPr>
              <w:spacing w:after="0"/>
              <w:rPr>
                <w:sz w:val="11"/>
                <w:szCs w:val="11"/>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20" w:type="dxa"/>
            <w:vAlign w:val="bottom"/>
          </w:tcPr>
          <w:p>
            <w:pPr>
              <w:spacing w:after="0"/>
              <w:rPr>
                <w:sz w:val="16"/>
                <w:szCs w:val="16"/>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6"/>
                <w:szCs w:val="16"/>
                <w:color w:val="auto"/>
              </w:rPr>
            </w:pPr>
          </w:p>
        </w:tc>
        <w:tc>
          <w:tcPr>
            <w:tcW w:w="8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26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24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32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due to CECL adoption</w:t>
            </w:r>
          </w:p>
        </w:tc>
        <w:tc>
          <w:tcPr>
            <w:tcW w:w="14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Bad debt expense for the year ended December 31,</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5"/>
                <w:szCs w:val="15"/>
                <w:color w:val="auto"/>
              </w:rPr>
            </w:pP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gridSpan w:val="2"/>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520" w:hanging="188"/>
        <w:spacing w:after="0"/>
        <w:tabs>
          <w:tab w:leader="none" w:pos="5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Primarily distributor receivables, gift card receivables and credit card receivables</w:t>
      </w:r>
    </w:p>
    <w:p>
      <w:pPr>
        <w:spacing w:after="0" w:line="231" w:lineRule="exact"/>
        <w:rPr>
          <w:sz w:val="20"/>
          <w:szCs w:val="20"/>
          <w:color w:val="auto"/>
        </w:rPr>
      </w:pPr>
    </w:p>
    <w:p>
      <w:pPr>
        <w:ind w:right="220" w:firstLine="324"/>
        <w:spacing w:after="0" w:line="275"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The delinquency status of receivables (other than accounts receivable, gift card receivables and distributor receivables) at December 31, 2020 was as follows:</w:t>
      </w:r>
    </w:p>
    <w:tbl>
      <w:tblPr>
        <w:tblLayout w:type="fixed"/>
        <w:tblInd w:w="160" w:type="dxa"/>
        <w:tblCellMar>
          <w:top w:w="0" w:type="dxa"/>
          <w:left w:w="0" w:type="dxa"/>
          <w:bottom w:w="0" w:type="dxa"/>
          <w:right w:w="0" w:type="dxa"/>
        </w:tblCellMar>
      </w:tblPr>
      <w:tr>
        <w:trPr>
          <w:trHeight w:val="165"/>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3"/>
              <w:spacing w:after="0" w:line="165" w:lineRule="exact"/>
              <w:rPr>
                <w:sz w:val="20"/>
                <w:szCs w:val="20"/>
                <w:color w:val="auto"/>
              </w:rPr>
            </w:pPr>
            <w:r>
              <w:rPr>
                <w:rFonts w:ascii="Times New Roman" w:cs="Times New Roman" w:eastAsia="Times New Roman" w:hAnsi="Times New Roman"/>
                <w:sz w:val="16"/>
                <w:szCs w:val="16"/>
                <w:b w:val="1"/>
                <w:bCs w:val="1"/>
                <w:color w:val="auto"/>
              </w:rPr>
              <w:t>Notes</w:t>
            </w:r>
          </w:p>
        </w:tc>
        <w:tc>
          <w:tcPr>
            <w:tcW w:w="240" w:type="dxa"/>
            <w:vAlign w:val="bottom"/>
          </w:tcPr>
          <w:p>
            <w:pPr>
              <w:spacing w:after="0"/>
              <w:rPr>
                <w:sz w:val="14"/>
                <w:szCs w:val="14"/>
                <w:color w:val="auto"/>
              </w:rPr>
            </w:pPr>
          </w:p>
        </w:tc>
        <w:tc>
          <w:tcPr>
            <w:tcW w:w="980" w:type="dxa"/>
            <w:vAlign w:val="bottom"/>
          </w:tcPr>
          <w:p>
            <w:pPr>
              <w:jc w:val="center"/>
              <w:ind w:right="93"/>
              <w:spacing w:after="0" w:line="165" w:lineRule="exact"/>
              <w:rPr>
                <w:sz w:val="20"/>
                <w:szCs w:val="20"/>
                <w:color w:val="auto"/>
              </w:rPr>
            </w:pPr>
            <w:r>
              <w:rPr>
                <w:rFonts w:ascii="Times New Roman" w:cs="Times New Roman" w:eastAsia="Times New Roman" w:hAnsi="Times New Roman"/>
                <w:sz w:val="16"/>
                <w:szCs w:val="16"/>
                <w:b w:val="1"/>
                <w:bCs w:val="1"/>
                <w:color w:val="auto"/>
              </w:rPr>
              <w:t>Notes</w:t>
            </w:r>
          </w:p>
        </w:tc>
        <w:tc>
          <w:tcPr>
            <w:tcW w:w="220" w:type="dxa"/>
            <w:vAlign w:val="bottom"/>
          </w:tcPr>
          <w:p>
            <w:pPr>
              <w:spacing w:after="0"/>
              <w:rPr>
                <w:sz w:val="14"/>
                <w:szCs w:val="14"/>
                <w:color w:val="auto"/>
              </w:rPr>
            </w:pPr>
          </w:p>
        </w:tc>
        <w:tc>
          <w:tcPr>
            <w:tcW w:w="104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40" w:type="dxa"/>
            <w:vAlign w:val="bottom"/>
          </w:tcPr>
          <w:p>
            <w:pPr>
              <w:spacing w:after="0"/>
              <w:rPr>
                <w:sz w:val="14"/>
                <w:szCs w:val="14"/>
                <w:color w:val="auto"/>
              </w:rPr>
            </w:pPr>
          </w:p>
        </w:tc>
        <w:tc>
          <w:tcPr>
            <w:tcW w:w="112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13"/>
              <w:spacing w:after="0" w:line="162" w:lineRule="exact"/>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4"/>
                <w:szCs w:val="14"/>
                <w:color w:val="auto"/>
              </w:rPr>
            </w:pPr>
          </w:p>
        </w:tc>
        <w:tc>
          <w:tcPr>
            <w:tcW w:w="98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receivable,</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340" w:type="dxa"/>
            <w:vAlign w:val="bottom"/>
          </w:tcPr>
          <w:p>
            <w:pPr>
              <w:spacing w:after="0"/>
              <w:rPr>
                <w:sz w:val="14"/>
                <w:szCs w:val="14"/>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30-59 days</w:t>
            </w:r>
          </w:p>
        </w:tc>
        <w:tc>
          <w:tcPr>
            <w:tcW w:w="1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60-89 days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90-119 days</w:t>
            </w:r>
          </w:p>
        </w:tc>
        <w:tc>
          <w:tcPr>
            <w:tcW w:w="1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 days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20" w:hanging="188"/>
        <w:spacing w:after="0"/>
        <w:tabs>
          <w:tab w:leader="none" w:pos="52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c</w:t>
      </w:r>
      <w:r>
        <w:rPr>
          <w:rFonts w:ascii="Times New Roman" w:cs="Times New Roman" w:eastAsia="Times New Roman" w:hAnsi="Times New Roman"/>
          <w:sz w:val="16"/>
          <w:szCs w:val="16"/>
          <w:color w:val="auto"/>
        </w:rPr>
        <w:t>redit card receivables</w:t>
      </w:r>
    </w:p>
    <w:p>
      <w:pPr>
        <w:sectPr>
          <w:pgSz w:w="11900" w:h="16838" w:orient="portrait"/>
          <w:cols w:equalWidth="0" w:num="1">
            <w:col w:w="11220"/>
          </w:cols>
          <w:pgMar w:left="320" w:top="367" w:right="359" w:bottom="7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785"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is as follows:</w:t>
      </w:r>
    </w:p>
    <w:p>
      <w:pPr>
        <w:spacing w:after="0" w:line="32"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Notes receivable,</w:t>
            </w:r>
          </w:p>
        </w:tc>
        <w:tc>
          <w:tcPr>
            <w:tcW w:w="220" w:type="dxa"/>
            <w:vAlign w:val="bottom"/>
          </w:tcPr>
          <w:p>
            <w:pPr>
              <w:spacing w:after="0"/>
              <w:rPr>
                <w:sz w:val="16"/>
                <w:szCs w:val="16"/>
                <w:color w:val="auto"/>
              </w:rPr>
            </w:pPr>
          </w:p>
        </w:tc>
        <w:tc>
          <w:tcPr>
            <w:tcW w:w="104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6"/>
                <w:szCs w:val="16"/>
                <w:color w:val="auto"/>
              </w:rPr>
            </w:pPr>
          </w:p>
        </w:tc>
        <w:tc>
          <w:tcPr>
            <w:tcW w:w="102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short and long-</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term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158" w:lineRule="exact"/>
        <w:rPr>
          <w:sz w:val="20"/>
          <w:szCs w:val="20"/>
          <w:color w:val="auto"/>
        </w:rPr>
      </w:pPr>
    </w:p>
    <w:p>
      <w:pPr>
        <w:jc w:val="both"/>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doubtful accounts and notes receivable for the years ended December 31, 2019 and 2018, prior to the adoption of CECL: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220" w:type="dxa"/>
            <w:vAlign w:val="bottom"/>
          </w:tcPr>
          <w:p>
            <w:pPr>
              <w:spacing w:after="0"/>
              <w:rPr>
                <w:sz w:val="17"/>
                <w:szCs w:val="17"/>
                <w:color w:val="auto"/>
              </w:rPr>
            </w:pPr>
          </w:p>
        </w:tc>
        <w:tc>
          <w:tcPr>
            <w:tcW w:w="12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2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Provision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0" w:type="dxa"/>
            <w:vAlign w:val="bottom"/>
          </w:tcPr>
          <w:p>
            <w:pPr>
              <w:spacing w:after="0"/>
              <w:rPr>
                <w:sz w:val="19"/>
                <w:szCs w:val="19"/>
                <w:color w:val="auto"/>
              </w:rPr>
            </w:pPr>
          </w:p>
        </w:tc>
        <w:tc>
          <w:tcPr>
            <w:tcW w:w="9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by category at December 31, 2020 and 2019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7"/>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of $31.9 million, $30.8 million and $22.1 million for the years ended December 31, 2020, 2019 and 2018, respectively.</w:t>
      </w:r>
    </w:p>
    <w:p>
      <w:pPr>
        <w:spacing w:after="0" w:line="9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Accumulated depreciation and amortization includes accumulated amortization for properties under finance leases in the amount of $49.6 million and $51.1 million at December 31, 2020 and 2019, respectively.</w:t>
      </w:r>
    </w:p>
    <w:p>
      <w:pPr>
        <w:sectPr>
          <w:pgSz w:w="11900" w:h="16838" w:orient="portrait"/>
          <w:cols w:equalWidth="0" w:num="1">
            <w:col w:w="11220"/>
          </w:cols>
          <w:pgMar w:left="320" w:top="367" w:right="359" w:bottom="10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082" w:gutter="0" w:footer="0" w:header="0"/>
          <w:type w:val="continuous"/>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significant majority of the Company's goodwill arose from the November 29, 2007 acquisition of Applebee's. Changes in the carrying amount of goodwill for the years ended December 31, 2020, 2019 and 2018 are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9"/>
              </w:rPr>
              <w:t>Applebee's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20" w:type="dxa"/>
            <w:vAlign w:val="bottom"/>
          </w:tcPr>
          <w:p>
            <w:pPr>
              <w:spacing w:after="0"/>
              <w:rPr>
                <w:sz w:val="16"/>
                <w:szCs w:val="16"/>
                <w:color w:val="auto"/>
              </w:rPr>
            </w:pPr>
          </w:p>
        </w:tc>
        <w:tc>
          <w:tcPr>
            <w:tcW w:w="14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IHOP Franchise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Franchise Unit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Company Unit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Unit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gridSpan w:val="7"/>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left="81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29"/>
        </w:trPr>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adjustment related to business acquisition</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0"/>
        </w:trPr>
        <w:tc>
          <w:tcPr>
            <w:tcW w:w="47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060" w:type="dxa"/>
            <w:vAlign w:val="bottom"/>
            <w:gridSpan w:val="11"/>
          </w:tcPr>
          <w:p>
            <w:pPr>
              <w:ind w:left="300"/>
              <w:spacing w:after="0"/>
              <w:rPr>
                <w:sz w:val="20"/>
                <w:szCs w:val="20"/>
                <w:color w:val="auto"/>
              </w:rPr>
            </w:pPr>
            <w:r>
              <w:rPr>
                <w:rFonts w:ascii="Times New Roman" w:cs="Times New Roman" w:eastAsia="Times New Roman" w:hAnsi="Times New Roman"/>
                <w:sz w:val="18"/>
                <w:szCs w:val="18"/>
                <w:color w:val="auto"/>
              </w:rPr>
              <w:t>Gross and net carrying amounts of goodwill at December 31, 2020 and 2019 are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1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Applebee's Franchise Unit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3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(358.2)</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Applebee's Company Unit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left="795"/>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IHOP Franchise Unit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702.1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assesses goodwill for impairment in accordance with its policy described in Note 2 - Basis of Presentation and Summary of Significant Accounting Policies.</w:t>
      </w:r>
    </w:p>
    <w:p>
      <w:pPr>
        <w:spacing w:after="0" w:line="9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Because of the risks and uncertainties associated with the COVID-19 pandemic, the Company performed an interim assessment to determine whether the impact of COVID-19 indicated a potential impairment to its goodwill and intangible assets. In the second quarter of 2020, the Company noted that its common stock had recovered less of its early March 2020 (pre-pandemic) market value than the overall U.S. stock market had recovered. The Company also was able to assess several months of data as to the impact of the COVID-19 pandemic on its operations and, in turn, assess the impact that might have on the risk premium incorporated into its discount rate. Based on these developments, the Company determined that an interim quantitative test for impairment of the goodwill of the Applebee's Franchise and Company units should be performed as of May 24, 2020.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124"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As a result of performing the quantitative test of impairment, the Company recognized an impairment loss of $92.2 million to the goodwill of the Applebee's Franchise unit. The majority of the impairment was due to an increase in the assessed risk premium incorporated into the discount rate assumption. There was no impairment of the Applebee's Company unit.</w:t>
      </w:r>
    </w:p>
    <w:p>
      <w:pPr>
        <w:spacing w:after="0" w:line="9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the fourth quarter of 2020, the Company performed qualitative assessments of the goodwill of the Applebee's Franchise unit, the Applebee's Company unit and the IHOP franchise unit. In performing that analysis the Company considered, among other things, the Company's operating performance subsequent to May 2020 and what, if any, impact that performance had on the long-term forecast of future trends in sales, operating expenses, overhead expenses, depreciation, capital expenditures and changes in working capital that had been used in performing a quantitative impairment test as of May 2020. The Company also considered the market value of the Company's stock, absolute and relative to peers, the continuing favorable impact of the Tax Cuts and Jobs Act (the “Tax Act”) on future cash flows and general economic conditions and the impact these changes might have on an appropriate discount rate. As result of the qualitative test, the Company concluded it was more likely than not that the fair values of each unit exceeded the respective carrying amounts and therefore, a quantitative test of impairment was not necessary.</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Goodwill (Continued)</w:t>
      </w:r>
    </w:p>
    <w:p>
      <w:pPr>
        <w:spacing w:after="0" w:line="24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the fourth quarter of 2019, the Company performed qualitative assessments of the goodwill of the Applebee's Franchise unit, the Applebee's Company unit and the IHOP franchise unit. In performing that analysis the Company considered, among other things, Applebee's key performance indicators during 2019 and what, if any, impact that performance had on the long-term forecast of future trends in sales, operating expenses, overhead expenses, depreciation, capital expenditures and changes in working capital that had been used in performing a quantitative impairment test in the third quarter of 2017. The Company also considered the current market price of its common stock, the favorable impact of the Tax Act on future cash flows and the impact these changes would have on an appropriate discount rate. As result of the qualitative test, the Company concluded it was more likely than not that the fair values of each unit exceeded the respective carrying amounts and therefore, a quantitative test of impairment was not necessary.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Intangible Assets</w:t>
      </w:r>
    </w:p>
    <w:p>
      <w:pPr>
        <w:spacing w:after="0" w:line="148"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significant majority of the Company's other intangible assets arose from the November 29, 2007 acquisition of Applebee's. Changes in the carrying amount of intangible assets for the years ended December 31, 2020, 2019 and 2018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Not Subject to Amortization</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Subject to Amortization</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22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Franchising</w:t>
            </w:r>
          </w:p>
        </w:tc>
        <w:tc>
          <w:tcPr>
            <w:tcW w:w="200" w:type="dxa"/>
            <w:vAlign w:val="bottom"/>
          </w:tcPr>
          <w:p>
            <w:pPr>
              <w:spacing w:after="0"/>
              <w:rPr>
                <w:sz w:val="11"/>
                <w:szCs w:val="11"/>
                <w:color w:val="auto"/>
              </w:rPr>
            </w:pPr>
          </w:p>
        </w:tc>
        <w:tc>
          <w:tcPr>
            <w:tcW w:w="1020" w:type="dxa"/>
            <w:vAlign w:val="bottom"/>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Reacquired</w:t>
            </w:r>
          </w:p>
        </w:tc>
        <w:tc>
          <w:tcPr>
            <w:tcW w:w="160" w:type="dxa"/>
            <w:vAlign w:val="bottom"/>
          </w:tcPr>
          <w:p>
            <w:pPr>
              <w:spacing w:after="0"/>
              <w:rPr>
                <w:sz w:val="11"/>
                <w:szCs w:val="11"/>
                <w:color w:val="auto"/>
              </w:rPr>
            </w:pPr>
          </w:p>
        </w:tc>
        <w:tc>
          <w:tcPr>
            <w:tcW w:w="940" w:type="dxa"/>
            <w:vAlign w:val="bottom"/>
          </w:tcPr>
          <w:p>
            <w:pPr>
              <w:jc w:val="center"/>
              <w:ind w:right="73"/>
              <w:spacing w:after="0" w:line="134"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2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Franchise Rights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Leaseholds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December 2018, the Company acquired 69 Applebee's restaurants. In its allocation of the purchase price, the Company recorded $11.6 million of reacquired franchise rights as an intangible asset. Other additions to favorable leaseholds and other intangibles for the years ended December 31, 2020, 2019 and 2018 are individually insignificant.</w:t>
      </w:r>
    </w:p>
    <w:p>
      <w:pPr>
        <w:spacing w:after="0" w:line="20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discussed in Note 6 - Goodwill, the Company determined that indicators of impairment existed prior to the annual test for impairment and performed an interim quantitative test for impairment of Applebee's tradename and reacquired franchise rights in the second quarter of 2020. In performing the impairment test of the tradename, the Company used the relief of royalty method under the income approach method of valuation. Significant assumptions used to determine fair value under the relief of royalty method include future trends in sales, a royalty rate and a discount rate applied to the forecast revenue stream. As a result of performing the quantitative test of impairment, the Company recognized an impairment of $11.0 million to Applebee's tradename. The majority of the impairment was due to an increase in the assessed risk premium incorporated into the discount rate assumption. In addition, the Company determined that the carrying amounts of reacquired franchise rights and favorable leaseholds exceeded the estimated fair value by $3.3 million and $0.8 million, respectively, and recorded impairments to those intangible assets.</w:t>
      </w:r>
    </w:p>
    <w:p>
      <w:pPr>
        <w:spacing w:after="0" w:line="21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Annual amortization expense for the next five fiscal years is estimated to be approximately $10.7 million per year. The weighted average life of the intangible assets subject to amortization was 19.9 years and 18.5 years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Other Intangible Assets (Continued)</w:t>
      </w: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and net carrying amounts of intangible assets subject to amortization at December 31, 2020 and 2019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Franchising rights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0"/>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Favorable leaseholds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fiscal 2020 and 2019, the Company performed a qualitative assessment of the Applebee's tradename and concluded the fair value exceeded the carrying amount.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at December 31, 2020 and 2019 consists of the following components: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8"/>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r>
      <w:tr>
        <w:trPr>
          <w:trHeight w:val="229"/>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4.194%</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4.723%</w:t>
            </w: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Funding Senior Notes Class A-1, variable interest rate of 2.42% at December 31, 2020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30"/>
        </w:trPr>
        <w:tc>
          <w:tcPr>
            <w:tcW w:w="8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6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5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w:t>
      </w:r>
    </w:p>
    <w:p>
      <w:pPr>
        <w:spacing w:after="0" w:line="2" w:lineRule="exact"/>
        <w:rPr>
          <w:sz w:val="20"/>
          <w:szCs w:val="20"/>
          <w:color w:val="auto"/>
        </w:rPr>
      </w:pPr>
    </w:p>
    <w:p>
      <w:pPr>
        <w:ind w:right="40" w:firstLine="8"/>
        <w:spacing w:after="0" w:line="260" w:lineRule="auto"/>
        <w:tabs>
          <w:tab w:leader="none" w:pos="1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6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Co-Issuers also replaced their existing revolving financing facility, the 2018-1 Variable Funding Senior Notes, Class A-1 (“2018 Class A-1 Notes”), with a new revolving financing facility, the 2019-1 Variable Funding Senior Notes, Class A-1 (the “Revolver”), on substantially the same terms as the 2018 Class A-1 Notes in order to conform the term of the Revolver to the anticipated repayment dates for the 2019 Class A-2 Notes. The Revolver and the 2019 Class A-2 Notes are referred to collectively herein as the “New Notes.”</w:t>
      </w:r>
    </w:p>
    <w:p>
      <w:pPr>
        <w:spacing w:after="0" w:line="5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New Notes were issued in a securitization transaction pursuant to which substantially all of the domestic revenue-generating assets and domestic intellectual property, as further described below, held by the Co-Issuers and certain other special-purpose, wholly-owned indirect subsidiaries of the Company (the “Guarantors”) were pledged as collateral to secure the New Notes.</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New Notes were issued under a Base Indenture, dated as of September 30, 2014, amended and restated as of June 5, 2019 (the “Base Indenture”), and the related Series 2019-1 Supplement to the Base Indenture, dated June 5, 2019 (the “Series 2019-1 Supplement”), among the Co-Issuers and Citibank, N.A., as the trustee (in such capacity, the “Trustee”) and securities</w:t>
      </w:r>
    </w:p>
    <w:p>
      <w:pPr>
        <w:sectPr>
          <w:pgSz w:w="11900" w:h="16838" w:orient="portrait"/>
          <w:cols w:equalWidth="0" w:num="1">
            <w:col w:w="11220"/>
          </w:cols>
          <w:pgMar w:left="320" w:top="3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3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intermediary. The Base Indenture and the Series 2019-1 Supplement (collectively, the “Indenture”) will allow the Co-Issuers to issue additional series of notes in the future subject to certain conditions set forth therein.</w:t>
      </w:r>
    </w:p>
    <w:p>
      <w:pPr>
        <w:spacing w:after="0" w:line="2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Exceeding the leverage ratio of 5.25x does not violate any covenant related to the New Notes.</w:t>
      </w:r>
    </w:p>
    <w:p>
      <w:pPr>
        <w:spacing w:after="0" w:line="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Company's leverage ratio exceeded 5.25x as of June 30, 2020 and has remained greater than 5.25x since then. As of December 31, 2020 the Company's leverage ratio was 7.20x. Accordingly, the Company began making principal payments in the fourth quarter of 2020, and will continue to make payments as long as the leverage ratio exceeds 5.25x.</w:t>
      </w:r>
    </w:p>
    <w:p>
      <w:pPr>
        <w:spacing w:after="0" w:line="29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Company may voluntarily repay the New Notes at any time; however, if the Company repays the New Notes prior to certain dates, it would be required to pay make-whole premiums. As of December 31, 2020, the make-whole premium associated with voluntary prepayment of the Class A-2-I Notes was approximately $35 million; this amount declines each quarter to zero in June 2022. As of December 31, 2020, the make-whole premium associated with voluntary prepayment of the Class A-2-II Notes was approximately $74 million; this amount declines each quarter to zero in June 2024. 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December 31, 2020, based on the probability-weighted discounted cash flows associated with either event.</w:t>
      </w:r>
    </w:p>
    <w:p>
      <w:pPr>
        <w:spacing w:after="0" w:line="1"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legal final maturity of the 2019 Class A-2 Notes is in June 2049, but it is anticipated that, unless earlier prepaid to the extent permitted under the Indenture, the Class A-2-I Notes will be repaid in June 2024 (the “Class A-2-I Anticipated Repayment Date”) and the Class A-2-II Notes will be repaid in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Class A-2 Note interest rate: (x) the yield to maturity (adjusted to a quarterly bond-equivalent basis) on the applicable anticipated repayment date of the United States Treasury Security having a term closest to 10 years plus (y) 5.0%, plus (z) 2.15% for the Class A-2-I Notes and 2.64% for the Class A-2-II Notes.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31"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Co-Issuers also entered into the Revolver that allows for drawings up to $225 million of variable funding notes and the issuance of letters of credit. The Revolver Notes were issued under the Indenture. Drawings and certain additional terms related to the Revolver are governed by the 2019 Class A-1 Note Purchase Agreement, dated June 5, 2019, among the Co-Issuers, certain special-purpose, wholly-owned indirect subsidiaries of the Company, each as a Guarantor (“the Guarantors”), the Company, as manager, certain conduit investors, financial institutions and funding agents, and Barclays Bank PLC, as provider of letters of credit, swingline lender and administrative agent (the “Purchase Agreement”).</w:t>
      </w:r>
    </w:p>
    <w:p>
      <w:pPr>
        <w:spacing w:after="0" w:line="52"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The Revolver is governed, in part, by the Purchase Agreement and by certain generally applicable terms contained in the Indenture. The applicable interest rate under the Revolver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1.15% plus (b) the greatest of (i) the Prime Rate in effect from time to time, (ii) the Federal Funds Rate in effect from time to time plus 0.50% and (iii) the one-month Eurodollar Funding Rate plus 1.00%. There is no upfront fee for the Revolver. There is a fee of 50 basis points on any unused portion of the Revolver. Undrawn face amounts of outstanding letters of credit that are not cash collateralized accrue a fee of 2.15% per annum. It is anticipated that the principal and interest on the Revolver will be repaid in full on or prior to the quarterly payment date in June 2024 (the “2019 Class A-1 Anticipated Repayment Date”), subject to two additional one-year extensions at the option of the Company upon the satisfaction of certain conditions.</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Management Agreement, dated September 30, 2014, as amended and restated as of September 5, 2018, as further amended and restated as of June 5, 2019 and as amended by that certain Amendment No. 1 to Management Agreement dated November 21, 2019, among the Co-Issuers and the Guarantors (collectively, the “Securitization Entities”), the Company, Applebee’s Services, Inc., International House of Pancakes, LLC and the Trustee, the Company will act as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manager with respect to substantially all of the assets of the Securitization Entities (the “Securitized Assets”) .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 The Company, as Manager, voluntarily began waiving its receipt of the weekly management fee in April 2020 and this waiver remains in place as of December 31, 2020.</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94"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7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amount and any accrued but unpaid interest can be called to become immediately due and payable. Key DSCRs are as follows:</w:t>
      </w:r>
    </w:p>
    <w:p>
      <w:pPr>
        <w:spacing w:after="0" w:line="252"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DSCR for the reporting period ended December 31, 2020 was approximately 3.3x.</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Use of Credit Facilities</w:t>
      </w:r>
    </w:p>
    <w:p>
      <w:pPr>
        <w:spacing w:after="0" w:line="29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March 2020, the Co-Issuers drew down a total of $220.0 million of the amount then available under the Revolver. Although the Company had no immediate need for additional liquidity, the Co-Issuers drew on the Revolver to increase the Company’s financial flexibility in light of then-current market conditions and uncertainty due to the COVID-19 outbreak. It is anticipated that the principal and interest on the Revolver will be repaid in full on or prior to the quarterly payment date in June 2024, subject to two additional one-year extensions at the option of the Company upon the satisfaction of certain conditions. The current interest rate for borrowings under the Revolver is the three-month LIBOR rate plus 2.15% for 60% of the advances and the commercial paper funding rate of our conduit investor plus 2.15% for 40% of the advances. The interest rate on Revolver borrowings at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was 2.42%</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weighted average interest rate on Revolver borrowings for the period outstanding during the year ended December 31, 2020 was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w:t>
      </w:r>
    </w:p>
    <w:p>
      <w:pPr>
        <w:spacing w:after="0" w:line="8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2020, $2.8 million was pledged against the Revolver for outstanding letters of credit, leaving $2.2 million of the Revolver available for borrowing. The letters of credit are used primarily to satisfy insurance-related collateral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repayment of the 2014 Class A-2 Notes, during the year ended December 31, 2019, the Company recognized a loss on extinguishment of debt of $8.3 million, representing the remaining unamortized costs related to the 2014 Class A-2 Notes at the time of repayment. Prior to the extinguishment on June 5, 2019, amortization costs of $1.4 million and $3.4 million associated with the 2014 Class A-2 Notes was included in interest expense for the years ended December 31, 2019 and 2018 respectively.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5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$2.1 million and $1.2 million were included in interest expense for the years ended December 31, 2020 and 2019, respectively. Unamortized debt issuance costs of $9.6 million are reported as a direct reduction of the Class A-2 Notes in the Consolidated Balance Sheets.</w:t>
      </w:r>
    </w:p>
    <w:p>
      <w:pPr>
        <w:spacing w:after="0" w:line="20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Company incurred costs of approximately $0.2 million in connection with the replacement of the 2018-1 Class A-1 Notes with the Revolver in 2019. These debt issuance costs have been added to the remaining unamortized costs of approximately $2.8 million related to the 2018 Class A-1 Notes, the total of which costs is now being amortized using the effective interest method over the estimated five-year life of the Revolver. Amortization costs of $0.6 million were included in interest expense for the year ended December 31, 2020. Unamortized debt issuance costs of $2.2 million are reported as a direct reduction of the Class A-1 Notes in the Consolidated Balance Sheets.</w:t>
      </w:r>
    </w:p>
    <w:p>
      <w:pPr>
        <w:spacing w:after="0" w:line="21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2019, $2.7 million of unamortized debt issuance costs related to the Revolver were classified as other long-term assets because there had been no borrowing against the Revolver.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 Refinancing Costs</w:t>
      </w:r>
    </w:p>
    <w:p>
      <w:pPr>
        <w:spacing w:after="0" w:line="25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termination of the 2014 Purchase Agreement, the Company recognized as expense $0.9 million of unamortized debt issuance costs associated with the 2014 Variable Funding Notes during the year ended December 31, 2018. In addition, the Company incurred costs of $1.6 million associated with the evaluation of various alternatives for refinancing the Company's securitized indebtedness that were also charged to expense during the year ended December 31, 2018. These costs totaling $2.5 million were reported as “Debt refinancing costs” in the Consolidated Statements of Comprehensive (Loss) Income for the year ended December 31, 2018.</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Face-value maturities of long-term debt for each of the next five years, assuming the Company's leverage ratio remains greater than 5.25x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Revolver is not extended beyond the 2019 Class A-1 Anticipated Repayment Date,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1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4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Financing Obligations</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May 19, 2008, the Company entered into a Purchase and Sale Agreement relating to the sale and leaseback of 181 parcels of real property (the “Sale-Leaseback Transaction”), each of which is improved with a restaurant operating as an Applebee's Neighborhood Grill and Bar (the “Properties”). On June 13, 2008, the closing date of the Sale-Leaseback Transaction, the Company entered into a Master Land and Building Lease (“Master Lease”) for the Properties. The proceeds received from the transaction were $337.2 million. The Master Lease calls for an initial term of twenty years and four, five-year options to extend the term.</w:t>
      </w:r>
    </w:p>
    <w:p>
      <w:pPr>
        <w:spacing w:after="0" w:line="102"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The Sale-Leaseback Transaction does not qualify as a sale under current U.S. GAAP. Accordingly, the Sale-Leaseback Transaction continues to be recorded under the financing method. The value of the land and leasehold improvements will remain on the Company's books and the leasehold improvements will continue to be depreciated over their remaining useful lives. The net proceeds received were recorded as a financing obligation. A portion of the lease payments is recorded as a decrease to the financing obligation and a portion is recognized as interest expense. In the event the lease obligation of any individual property or group of properties is assumed by a qualified franchisee, the portion of the transaction related to that property or group of properties is recorded as a sale in accordance with U.S. GAAP and the net book value of those properties will be removed from the Company's books, along with a ratable portion of the remaining financing obligation.</w:t>
      </w:r>
    </w:p>
    <w:p>
      <w:pPr>
        <w:spacing w:after="0" w:line="121"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the portion of the original Sale-Leaseback Transaction related to 158 of the 181 Properties has qualified as a sale by assignment of the lease obligation to a qualified franchisee or a release from the lessor. In accordance with the accounting described above, the property and equipment and financing obligations have each been cumulatively reduced by approximately $284.2 million.</w:t>
      </w:r>
    </w:p>
    <w:p>
      <w:pPr>
        <w:spacing w:after="0" w:line="108"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8"/>
          <w:szCs w:val="18"/>
          <w:color w:val="auto"/>
        </w:rPr>
        <w:t>As of December 31, 2020, future minimum lease payments under financing obligations during the initial terms of the leases related to the sale-leaseback transactions are as follows: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40" w:type="dxa"/>
            <w:vAlign w:val="bottom"/>
          </w:tcPr>
          <w:p>
            <w:pPr>
              <w:spacing w:after="0"/>
              <w:rPr>
                <w:sz w:val="13"/>
                <w:szCs w:val="13"/>
                <w:color w:val="auto"/>
              </w:rPr>
            </w:pPr>
          </w:p>
        </w:tc>
        <w:tc>
          <w:tcPr>
            <w:tcW w:w="12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0" w:type="dxa"/>
            <w:vAlign w:val="bottom"/>
            <w:tcBorders>
              <w:bottom w:val="single" w:sz="8" w:color="CCEEFF"/>
            </w:tcBorders>
          </w:tcPr>
          <w:p>
            <w:pPr>
              <w:spacing w:after="0"/>
              <w:rPr>
                <w:sz w:val="19"/>
                <w:szCs w:val="19"/>
                <w:color w:val="auto"/>
              </w:rPr>
            </w:pPr>
          </w:p>
        </w:tc>
        <w:tc>
          <w:tcPr>
            <w:tcW w:w="9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9"/>
        </w:trPr>
        <w:tc>
          <w:tcPr>
            <w:tcW w:w="20" w:type="dxa"/>
            <w:vAlign w:val="bottom"/>
            <w:tcBorders>
              <w:bottom w:val="single" w:sz="8" w:color="CCEEFF"/>
            </w:tcBorders>
          </w:tcPr>
          <w:p>
            <w:pPr>
              <w:spacing w:after="0"/>
              <w:rPr>
                <w:sz w:val="19"/>
                <w:szCs w:val="19"/>
                <w:color w:val="auto"/>
              </w:rPr>
            </w:pPr>
          </w:p>
        </w:tc>
        <w:tc>
          <w:tcPr>
            <w:tcW w:w="9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20" w:type="dxa"/>
            <w:vAlign w:val="bottom"/>
            <w:tcBorders>
              <w:bottom w:val="single" w:sz="8" w:color="CCEEFF"/>
            </w:tcBorders>
          </w:tcPr>
          <w:p>
            <w:pPr>
              <w:spacing w:after="0"/>
              <w:rPr>
                <w:sz w:val="19"/>
                <w:szCs w:val="19"/>
                <w:color w:val="auto"/>
              </w:rPr>
            </w:pPr>
          </w:p>
        </w:tc>
        <w:tc>
          <w:tcPr>
            <w:tcW w:w="94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financing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w:t>
      </w:r>
    </w:p>
    <w:p>
      <w:pPr>
        <w:spacing w:after="0" w:line="177" w:lineRule="exact"/>
        <w:rPr>
          <w:sz w:val="20"/>
          <w:szCs w:val="20"/>
          <w:color w:val="auto"/>
        </w:rPr>
      </w:pPr>
    </w:p>
    <w:p>
      <w:pPr>
        <w:ind w:left="160" w:hanging="152"/>
        <w:spacing w:after="0"/>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current maturities of finance lease and financing obligations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 Disclosures</w:t>
      </w:r>
    </w:p>
    <w:p>
      <w:pPr>
        <w:spacing w:after="0" w:line="162"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3" w:lineRule="exact"/>
        <w:rPr>
          <w:sz w:val="20"/>
          <w:szCs w:val="20"/>
          <w:color w:val="auto"/>
        </w:rPr>
      </w:pPr>
    </w:p>
    <w:p>
      <w:pPr>
        <w:ind w:right="100" w:firstLine="243"/>
        <w:spacing w:after="0" w:line="252" w:lineRule="auto"/>
        <w:rPr>
          <w:sz w:val="20"/>
          <w:szCs w:val="20"/>
          <w:color w:val="auto"/>
        </w:rPr>
      </w:pPr>
      <w:r>
        <w:rPr>
          <w:rFonts w:ascii="Times New Roman" w:cs="Times New Roman" w:eastAsia="Times New Roman" w:hAnsi="Times New Roman"/>
          <w:sz w:val="18"/>
          <w:szCs w:val="18"/>
          <w:color w:val="auto"/>
        </w:rPr>
        <w:t>The Company currently leases from third parties the real property on which approximately 600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60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pacing w:after="0" w:line="217" w:lineRule="exact"/>
        <w:rPr>
          <w:sz w:val="20"/>
          <w:szCs w:val="20"/>
          <w:color w:val="auto"/>
        </w:rPr>
      </w:pPr>
    </w:p>
    <w:p>
      <w:pPr>
        <w:ind w:right="160" w:firstLine="243"/>
        <w:spacing w:after="0" w:line="241"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320 of the Company's leases met the sales levels that required variable rent payments to the Company (as lessor), based on a percentage of restaurant sales in 2020. Approximately 50 of the leases met the sales levels that required variable rent payments by the Company (as lessee), based on a percentage of restaurant sales in 2020.</w:t>
      </w:r>
    </w:p>
    <w:p>
      <w:pPr>
        <w:spacing w:after="0" w:line="211" w:lineRule="exact"/>
        <w:rPr>
          <w:sz w:val="20"/>
          <w:szCs w:val="20"/>
          <w:color w:val="auto"/>
        </w:rPr>
      </w:pPr>
    </w:p>
    <w:p>
      <w:pPr>
        <w:ind w:right="100" w:firstLine="243"/>
        <w:spacing w:after="0" w:line="258" w:lineRule="auto"/>
        <w:rPr>
          <w:sz w:val="20"/>
          <w:szCs w:val="20"/>
          <w:color w:val="auto"/>
        </w:rPr>
      </w:pPr>
      <w:r>
        <w:rPr>
          <w:rFonts w:ascii="Times New Roman" w:cs="Times New Roman" w:eastAsia="Times New Roman" w:hAnsi="Times New Roman"/>
          <w:sz w:val="18"/>
          <w:szCs w:val="18"/>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lease cost for the years ended December 31, 2020 and 2019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3900" w:type="dxa"/>
            <w:vAlign w:val="bottom"/>
            <w:gridSpan w:val="2"/>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940" w:type="dxa"/>
            <w:vAlign w:val="bottom"/>
            <w:gridSpan w:val="3"/>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(110.9)</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38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1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Lease Disclosures (Continued)</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lessee as of December 31, 2020 were as follows:</w:t>
      </w:r>
    </w:p>
    <w:p>
      <w:pPr>
        <w:spacing w:after="0" w:line="2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60" w:type="dxa"/>
            <w:vAlign w:val="bottom"/>
          </w:tcPr>
          <w:p>
            <w:pPr>
              <w:spacing w:after="0"/>
              <w:rPr>
                <w:sz w:val="13"/>
                <w:szCs w:val="13"/>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9"/>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83"/>
        </w:trPr>
        <w:tc>
          <w:tcPr>
            <w:tcW w:w="7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5"/>
                <w:szCs w:val="15"/>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obligations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December 31, 2020 was 9.2 years for finance leases and 7.3 years for operating leases. The weighted average discount rate as of December 31, 2020 was 10.2% for finance leases and 5.7% for operating leases.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2020 and 2019, the Company made the following cash payments for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64"/>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4"/>
                <w:szCs w:val="14"/>
                <w:color w:val="auto"/>
              </w:rPr>
            </w:pPr>
          </w:p>
        </w:tc>
      </w:tr>
      <w:tr>
        <w:trPr>
          <w:trHeight w:val="23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income from operating leases for the years ended December 31, 2020 and 2019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188"/>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r>
      <w:tr>
        <w:trPr>
          <w:trHeight w:val="164"/>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0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4"/>
                <w:szCs w:val="14"/>
                <w:color w:val="auto"/>
              </w:rPr>
            </w:pP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20"/>
                <w:szCs w:val="20"/>
                <w:color w:val="auto"/>
              </w:rPr>
            </w:pP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1120" w:type="dxa"/>
            <w:vAlign w:val="bottom"/>
            <w:tcBorders>
              <w:bottom w:val="single" w:sz="8" w:color="auto"/>
            </w:tcBorders>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noncancelable operating leases as of December 31, 2020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9"/>
        </w:trPr>
        <w:tc>
          <w:tcPr>
            <w:tcW w:w="4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5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5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55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520" w:type="dxa"/>
            <w:vAlign w:val="bottom"/>
            <w:vMerge w:val="restart"/>
          </w:tcPr>
          <w:p>
            <w:pPr>
              <w:jc w:val="right"/>
              <w:ind w:right="377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 Disclosures (Continued)</w:t>
      </w:r>
    </w:p>
    <w:p>
      <w:pPr>
        <w:spacing w:after="0" w:line="245" w:lineRule="exact"/>
        <w:rPr>
          <w:rFonts w:ascii="Times New Roman" w:cs="Times New Roman" w:eastAsia="Times New Roman" w:hAnsi="Times New Roman"/>
          <w:sz w:val="16"/>
          <w:szCs w:val="16"/>
          <w:b w:val="1"/>
          <w:bCs w:val="1"/>
          <w:color w:val="auto"/>
        </w:rPr>
      </w:pPr>
    </w:p>
    <w:p>
      <w:pPr>
        <w:ind w:left="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Company's income from direct financing leases at December 31, 2020 and 2019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8"/>
        </w:trPr>
        <w:tc>
          <w:tcPr>
            <w:tcW w:w="7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r>
      <w:tr>
        <w:trPr>
          <w:trHeight w:val="164"/>
        </w:trPr>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gridSpan w:val="3"/>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4"/>
                <w:szCs w:val="14"/>
                <w:color w:val="auto"/>
              </w:rPr>
            </w:pPr>
          </w:p>
        </w:tc>
      </w:t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financing lease income</w:t>
            </w:r>
          </w:p>
        </w:tc>
        <w:tc>
          <w:tcPr>
            <w:tcW w:w="1360" w:type="dxa"/>
            <w:vAlign w:val="bottom"/>
            <w:tcBorders>
              <w:bottom w:val="single" w:sz="8" w:color="auto"/>
            </w:tcBorders>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noncancelable direct financing leases as of December 31, 2020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financing leases receivable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direct financing leases receivable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
        </w:trPr>
        <w:tc>
          <w:tcPr>
            <w:tcW w:w="9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some instances, the Company enters into commitments to purchase advertising and other items. Most of these agreements are fixed price purchase commitments. At December 31, 2020, the outstanding purchase commitments were $90.0 million, the majority of which related to advertising.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4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sale of Applebee's restaurants to franchisees and other parties, the Company has, in certain cases, guaranteed or had potential continuing liability for lease payments. The Company had outstanding lease guarantees or was contingently liable for approximately $245.6 million and $257.2 million as of December 31, 2020 and 2019 respectively. These amounts represent the maximum potential liability of future payments under these leases. Excluding unexercised option periods, the Company's potential liability for future payments under these leases as of December 31, 2020 was $36.6 million. These leases have been assigned to the buyers and expire at the end of the respective lease terms, which range from 2021 through 2048. In the event of default, the indemnity and default clauses in our sale or assignment agreements govern our ability to pursue and recover damages incurred. No material liabilities for these guarantees have been recorded as of December 31,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the Company's litigation are expensed as such fees and expenses are incurred. In the opinion of management, these matters are adequately covered by insurance or, if not so covered, are without merit or are of such a nature or involve amounts that would not have a material adverse impact on the Company's business or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Contingencies (Continued)</w:t>
      </w:r>
    </w:p>
    <w:p>
      <w:pPr>
        <w:spacing w:after="0" w:line="2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ultimately have a material adverse impact on the Company, there can be no assurance that the Company will prevail in all the proceedings the Company is party to, or that the Company will not incur material losses from them.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4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Company provides letters of credit, primarily to various insurance carriers to collateralize obligations for outstanding claims. As of December 31, 2020, the Company had approximately $2.8 million of unused letters of credit outstanding that reduce the Company's available borrowing under its 2019 Class A-1 Notes. These letters of credit expire on various dates in 2021 and are automatically renewed for an additional year if no cancellation notice is submitted.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Deficit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6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 In connection with the approval of the 2019 Repurchase Program, the Board of Directors terminated the prior repurchase program approved in October 2015 (the “2015 Repurchase Program”) which had authorized the Company to repurchase up to $150 million of the Company’s common stock.</w:t>
      </w:r>
    </w:p>
    <w:p>
      <w:pPr>
        <w:spacing w:after="0" w:line="21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summary of shares repurchased under the 2019 Repurchase Program and the 2015 Repurchase Program, during the years ended December 31, 2020 and 2019, and cumulatively for each program, is as follows:</w:t>
      </w:r>
    </w:p>
    <w:p>
      <w:pPr>
        <w:spacing w:after="0" w:line="124"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81"/>
        </w:trPr>
        <w:tc>
          <w:tcPr>
            <w:tcW w:w="19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4"/>
        </w:trPr>
        <w:tc>
          <w:tcPr>
            <w:tcW w:w="8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2019 Repurchase Program:</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8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Repurchased during the year ended December 31, 2020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8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Repurchased during the year ended December 31, 2019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1,237,698</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0"/>
        </w:trPr>
        <w:tc>
          <w:tcPr>
            <w:tcW w:w="8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29"/>
        </w:trPr>
        <w:tc>
          <w:tcPr>
            <w:tcW w:w="8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4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19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9"/>
        </w:trPr>
        <w:tc>
          <w:tcPr>
            <w:tcW w:w="80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2015 Repurchase Program:</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8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Repurchased during the year ended December 31, 2019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1,589,995</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30"/>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4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On February 20, 2020, our Board of Directors approved payment of a cash dividend of $0.76 per share of common stock, payable at the close of business on April 3, 2020 to the stockholders of record as of the close of business on March 20, 2020. Dividends were not declared for the second, third and fourth quarters of 2020.</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fiscal years ended December 31, 2020, 2019 and 2018, the Company declared and paid dividends on common stock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dividends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19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13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share</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tcPr>
          <w:p>
            <w:pPr>
              <w:spacing w:after="0"/>
              <w:rPr>
                <w:sz w:val="15"/>
                <w:szCs w:val="15"/>
                <w:color w:val="auto"/>
              </w:rPr>
            </w:pPr>
          </w:p>
        </w:tc>
        <w:tc>
          <w:tcPr>
            <w:tcW w:w="1040" w:type="dxa"/>
            <w:vAlign w:val="bottom"/>
          </w:tcPr>
          <w:p>
            <w:pPr>
              <w:jc w:val="right"/>
              <w:ind w:right="296"/>
              <w:spacing w:after="0" w:line="176" w:lineRule="exact"/>
              <w:rPr>
                <w:sz w:val="20"/>
                <w:szCs w:val="20"/>
                <w:color w:val="auto"/>
              </w:rPr>
            </w:pPr>
            <w:r>
              <w:rPr>
                <w:rFonts w:ascii="Times New Roman" w:cs="Times New Roman" w:eastAsia="Times New Roman" w:hAnsi="Times New Roman"/>
                <w:sz w:val="15"/>
                <w:szCs w:val="15"/>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8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January 10, 2020</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8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February 20, 2020</w:t>
            </w:r>
          </w:p>
        </w:tc>
        <w:tc>
          <w:tcPr>
            <w:tcW w:w="19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3, 2020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151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12. Stockholders' Deficit (Continued)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dividends</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 2019</w:t>
            </w:r>
          </w:p>
        </w:tc>
        <w:tc>
          <w:tcPr>
            <w:tcW w:w="1340" w:type="dxa"/>
            <w:vAlign w:val="bottom"/>
            <w:vMerge w:val="restart"/>
          </w:tcPr>
          <w:p>
            <w:pPr>
              <w:spacing w:after="0"/>
              <w:rPr>
                <w:sz w:val="14"/>
                <w:szCs w:val="14"/>
                <w:color w:val="auto"/>
              </w:rPr>
            </w:pPr>
          </w:p>
        </w:tc>
        <w:tc>
          <w:tcPr>
            <w:tcW w:w="1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13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share</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per share</w:t>
            </w:r>
          </w:p>
        </w:tc>
        <w:tc>
          <w:tcPr>
            <w:tcW w:w="240" w:type="dxa"/>
            <w:vAlign w:val="bottom"/>
          </w:tcPr>
          <w:p>
            <w:pPr>
              <w:spacing w:after="0"/>
              <w:rPr>
                <w:sz w:val="15"/>
                <w:szCs w:val="15"/>
                <w:color w:val="auto"/>
              </w:rPr>
            </w:pPr>
          </w:p>
        </w:tc>
        <w:tc>
          <w:tcPr>
            <w:tcW w:w="960" w:type="dxa"/>
            <w:vAlign w:val="bottom"/>
          </w:tcPr>
          <w:p>
            <w:pPr>
              <w:jc w:val="right"/>
              <w:ind w:right="311"/>
              <w:spacing w:after="0" w:line="176" w:lineRule="exact"/>
              <w:rPr>
                <w:sz w:val="20"/>
                <w:szCs w:val="20"/>
                <w:color w:val="auto"/>
              </w:rPr>
            </w:pPr>
            <w:r>
              <w:rPr>
                <w:rFonts w:ascii="Times New Roman" w:cs="Times New Roman" w:eastAsia="Times New Roman" w:hAnsi="Times New Roman"/>
                <w:sz w:val="15"/>
                <w:szCs w:val="15"/>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460" w:type="dxa"/>
            <w:vAlign w:val="bottom"/>
            <w:gridSpan w:val="2"/>
            <w:vMerge w:val="continue"/>
          </w:tcPr>
          <w:p>
            <w:pPr>
              <w:spacing w:after="0"/>
              <w:rPr>
                <w:sz w:val="19"/>
                <w:szCs w:val="19"/>
                <w:color w:val="auto"/>
              </w:rPr>
            </w:pPr>
          </w:p>
        </w:tc>
        <w:tc>
          <w:tcPr>
            <w:tcW w:w="17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4, 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20, 2019</w:t>
            </w:r>
          </w:p>
        </w:tc>
        <w:tc>
          <w:tcPr>
            <w:tcW w:w="2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April 5, 2019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13, 2019</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July 12, 2019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 2019</w:t>
            </w:r>
          </w:p>
        </w:tc>
        <w:tc>
          <w:tcPr>
            <w:tcW w:w="2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October 4, 2019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8, 2019</w:t>
            </w:r>
          </w:p>
        </w:tc>
        <w:tc>
          <w:tcPr>
            <w:tcW w:w="188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 w:type="dxa"/>
            <w:vAlign w:val="bottom"/>
            <w:tcBorders>
              <w:right w:val="single" w:sz="8" w:color="CCEEFF"/>
            </w:tcBorders>
          </w:tcPr>
          <w:p>
            <w:pPr>
              <w:spacing w:after="0"/>
              <w:rPr>
                <w:sz w:val="21"/>
                <w:szCs w:val="21"/>
                <w:color w:val="auto"/>
              </w:rPr>
            </w:pPr>
          </w:p>
        </w:tc>
        <w:tc>
          <w:tcPr>
            <w:tcW w:w="3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7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January 5, 2018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14, 2018</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6, 2018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14, 2018</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6, 2018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 2018</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5, 2018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October 6, 2018</w:t>
            </w:r>
          </w:p>
        </w:tc>
        <w:tc>
          <w:tcPr>
            <w:tcW w:w="188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dividend equivalents paid on restricted stock units</w:t>
      </w:r>
    </w:p>
    <w:p>
      <w:pPr>
        <w:ind w:left="180" w:hanging="172"/>
        <w:spacing w:after="0" w:line="187" w:lineRule="auto"/>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2019 dividend of $11.7 million was paid on January 10, 2020.</w:t>
      </w:r>
    </w:p>
    <w:p>
      <w:pPr>
        <w:ind w:left="180" w:hanging="172"/>
        <w:spacing w:after="0" w:line="187" w:lineRule="auto"/>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2018 dividend of $11.4 million was paid on January 4, 2019.</w:t>
      </w:r>
    </w:p>
    <w:p>
      <w:pPr>
        <w:ind w:left="180" w:hanging="172"/>
        <w:spacing w:after="0"/>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2017 dividend of $17.7 million was paid on January 5, 2018.</w:t>
      </w:r>
    </w:p>
    <w:p>
      <w:pPr>
        <w:spacing w:after="0" w:line="27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Dividends declared on common stock are recorded as a reduction of retained earnings to the extent retained earnings are available at the close of the period prior to the date of the declared dividend. Dividends in excess of retained earnings are recorded as a reduction of additional paid-in capital.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Dividends recorded during the fiscal years ended December 31, 2020, 2019 and 2018 were as follows:</w:t>
      </w:r>
    </w:p>
    <w:p>
      <w:pPr>
        <w:spacing w:after="0" w:line="8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6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from retained earnings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from additional paid-in capital</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vested stock options are exercised, when restricted stock awards are granted and when restricted stock units settle in stock upon vesting. The cost of treasury stock re-issued is determined on the first-in, first-out (“FIFO”) method. The Company re-issued 433,477 shares, 285,302 shares and 167,396 shares, respectively, during the years ended December 31, 2020, 2019 and 2018 at a total FIFO cost of $19.4 million, $12.5 million and $6.5 million, respectively.</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Long-lived Tangible Asset Impairment and Closure Charges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Long-lived tangible asset impairment and closure charges for the years ended December 31, 2020, 2019 and 2018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8"/>
        </w:trPr>
        <w:tc>
          <w:tcPr>
            <w:tcW w:w="6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Closure charges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6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long-lived tangible asset impairment and closure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type w:val="continuous"/>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Long-lived Tangible Asset Impairment and Closure Charges (continued)</w:t>
      </w:r>
    </w:p>
    <w:p>
      <w:pPr>
        <w:spacing w:after="0" w:line="200" w:lineRule="exact"/>
        <w:rPr>
          <w:sz w:val="20"/>
          <w:szCs w:val="20"/>
          <w:color w:val="auto"/>
        </w:rPr>
      </w:pPr>
    </w:p>
    <w:p>
      <w:pPr>
        <w:spacing w:after="0" w:line="2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Long-lived Tangible Asset Impairment</w:t>
      </w:r>
    </w:p>
    <w:p>
      <w:pPr>
        <w:spacing w:after="0" w:line="243"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The long-lived asset impairment for the year ended December 31, 2020 related to 29 Applebee's company-operated restaurants and 41 IHOP franchisee-operated restaurants for which the carrying amount exceeded the undiscounted cash flows. The primary method of estimating fair value is based on a discounted cash flow analysis. The Company also considers factors such as the number of years the restaurant has been in operation, sales trends, cash flow trends, remaining lease life and other factors which apply on a case-by-case basis. For locations owned by the Company, current purchase offers, if any, or valuations from independent third party sources are utilized, if available. The analysis is performed at the restaurant level for indicators of permanent impairment. The impairment recorded represents the difference between the carrying value and the estimated fair value. Approximately $15.1 million of the total impairment related to operating lease right-of-use assets that had been recorded in 2019 upon adoption of new lease accounting guidance codified in ASC 842, while $7.2 million related to impairments of land, building, leasehold improvements and finance leases. The impairments by individual property varied in amount, ranging from the largest single-property impairment of $1.3 million to less than $5,000.</w:t>
      </w:r>
    </w:p>
    <w:p>
      <w:pPr>
        <w:spacing w:after="0" w:line="110"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There were no long-lived tangible asset impairment charges for the year ended December 31, 2019. Long-lived tangible asset impairment charges for the year ended December 31, 2018 were insignificant.</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Closure Charges</w:t>
      </w:r>
    </w:p>
    <w:p>
      <w:pPr>
        <w:spacing w:after="0" w:line="243" w:lineRule="exact"/>
        <w:rPr>
          <w:sz w:val="20"/>
          <w:szCs w:val="20"/>
          <w:color w:val="auto"/>
        </w:rPr>
      </w:pPr>
    </w:p>
    <w:p>
      <w:pPr>
        <w:ind w:firstLine="364"/>
        <w:spacing w:after="0" w:line="256" w:lineRule="auto"/>
        <w:rPr>
          <w:sz w:val="20"/>
          <w:szCs w:val="20"/>
          <w:color w:val="auto"/>
        </w:rPr>
      </w:pPr>
      <w:r>
        <w:rPr>
          <w:rFonts w:ascii="Times New Roman" w:cs="Times New Roman" w:eastAsia="Times New Roman" w:hAnsi="Times New Roman"/>
          <w:sz w:val="18"/>
          <w:szCs w:val="18"/>
          <w:color w:val="auto"/>
        </w:rPr>
        <w:t>Approximately $1.6 million of closure charges for the year ended December 31, 2020 related to seven IHOP restaurants closed during 2020, with the remainder primarily related to adjustments to the reserve for IHOP and Applebee's restaurants closed prior to 2020. Approximately $0.5 million of closure charges for the year ended December 31, 2019 related to two IHOP restaurants and one Applebee's restaurant closed during 2019, with the remainder primarily related to adjustments to the reserve for IHOP and Applebee's restaurants closed prior to 2019. Approximately $1.8 million of closure charges for the year ended December 31, 2018 related to one IHOP franchise restaurant closed during 2018, with the remainder primarily related to adjustments to the reserve for IHOP and Applebee's restaurants closed prior to 2018.</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Incentive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Description</w:t>
      </w:r>
    </w:p>
    <w:p>
      <w:pPr>
        <w:spacing w:after="0" w:line="14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Currently, the Company is authorized to grant stock options, stock appreciation rights, restricted stock, cash-settled and stock-settled restricted stock units and performance units to officers, other employees and non-employee directors under the Dine Brands Global, Inc. 2019 Stock Incentive Plan (the “2019 Plan”). The 2019 Plan was approved by stockholders on May 14, 2019 to permit the issuance of up to 2,050,000 shares (subject to adjustment as defined in the 2019 Plan for shares that may become available from prior plans) of the Company’s common stock for incentive stock awards. The 2019 Plan will expire in May 2029.</w:t>
      </w:r>
    </w:p>
    <w:p>
      <w:pPr>
        <w:spacing w:after="0" w:line="21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Dine Brands Global, Inc. 2016 Stock Incentive Plan (the “2016 Plan”) was adopted in 2016 to permit the issuance of up to 3,750,000 shares of the Company’s common stock for incentive stock awards. The 2016 Plan was terminated upon adoption of the 2019 Plan, but there are stock options (vested and unvested) and unvested restricted stock and restricted stock units issued under the 2016 Plan that are outstanding as of December 31, 2020.</w:t>
      </w:r>
    </w:p>
    <w:p>
      <w:pPr>
        <w:spacing w:after="0" w:line="10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DineEquity, Inc. 2011 Stock Incentive Plan (the “2011 Plan”) was adopted in 2011 to permit the issuance of up to 1,500,000 shares of the Company’s common stock for incentive stock awards. The 2011 Plan was terminated upon adoption of the 2016 Plan, but there are vested stock options issued under the 2011 Plan that are outstanding as of December 31, 2020.</w:t>
      </w:r>
    </w:p>
    <w:p>
      <w:pPr>
        <w:spacing w:after="0" w:line="108" w:lineRule="exact"/>
        <w:rPr>
          <w:sz w:val="20"/>
          <w:szCs w:val="20"/>
          <w:color w:val="auto"/>
        </w:rPr>
      </w:pPr>
    </w:p>
    <w:p>
      <w:pPr>
        <w:ind w:right="4620" w:firstLine="324"/>
        <w:spacing w:after="0" w:line="414" w:lineRule="auto"/>
        <w:rPr>
          <w:sz w:val="20"/>
          <w:szCs w:val="20"/>
          <w:color w:val="auto"/>
        </w:rPr>
      </w:pPr>
      <w:r>
        <w:rPr>
          <w:rFonts w:ascii="Times New Roman" w:cs="Times New Roman" w:eastAsia="Times New Roman" w:hAnsi="Times New Roman"/>
          <w:sz w:val="18"/>
          <w:szCs w:val="18"/>
          <w:color w:val="auto"/>
        </w:rPr>
        <w:t xml:space="preserve">The 2019 Plan, 2016 Plan and the 2011 Plan are collectively referred to as the “Plans.” </w:t>
      </w:r>
      <w:r>
        <w:rPr>
          <w:rFonts w:ascii="Times New Roman" w:cs="Times New Roman" w:eastAsia="Times New Roman" w:hAnsi="Times New Roman"/>
          <w:sz w:val="18"/>
          <w:szCs w:val="18"/>
          <w:b w:val="1"/>
          <w:bCs w:val="1"/>
          <w:i w:val="1"/>
          <w:iCs w:val="1"/>
          <w:color w:val="auto"/>
        </w:rPr>
        <w:t>Stock-Based Compensation Expense</w:t>
      </w:r>
    </w:p>
    <w:p>
      <w:pPr>
        <w:spacing w:after="0" w:line="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granted nonqualified stock options, restricted stock, cash-settled and stock-settled restricted stock units and performance units to officers, other employees and non-employee directors of the Company under the Plans. The nonqualified stock options generally vest ratably over a three-year period in one-third increments and have a maturity of ten years from the grant date. Options vest immediately upon a change in control of the Company, as defined in the Plans. Option exercise prices equal the closing price of the Company's common stock on the New York Stock Exchange on the date of grant. Restricted stock and restricted stock units are issued at no cost to the holder and vest over terms determined by the Compensation Committee of the Company's Board of Directors, generally three years from the date of grant or immediately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7" w:right="37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39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upon a change in control of the Company, as defined in the Plans. The Company either utilizes treasury stock or issues new shares from its authorized but unissued share pool when vested stock options are exercised, when restricted stock awards are granted and when restricted stock units settle in stock upon vesting.</w:t>
      </w:r>
    </w:p>
    <w:p>
      <w:pPr>
        <w:spacing w:after="0" w:line="9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included as a component of general and administrative expenses in the consolidated financial statements: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78"/>
        </w:trPr>
        <w:tc>
          <w:tcPr>
            <w:tcW w:w="6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Book income tax benefit</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total unrecognized compensation cost related to restricted stock and restricted stock units of $16.5 million and $2.6 million related to stock options is expected to be recognized over a weighted average period of approximately 1.2 years for restricted stock and restricted stock units and 1.3 years for stock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4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per share fair values of the stock options granted have been estimated as of the date of grant using the Black-Scholes option pricing model. The Black-Scholes model considers, among other factors, the expected life of the option and the historical volatility of the Company's stock price. The Black-Scholes model meets the requirements of U.S. GAAP, but the fair values generated by the model may not be indicative of the actual fair values of the Company's stock-based awards.</w:t>
      </w:r>
    </w:p>
    <w:p>
      <w:pPr>
        <w:spacing w:after="0" w:line="112"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8"/>
          <w:szCs w:val="18"/>
          <w:color w:val="auto"/>
        </w:rPr>
        <w:t>The Company granted 167,969 stock options during the year ended December 31, 2020 for which the fair value was estimated using a Black-Scholes option pricing model. The following table summarizes the assumptions used in the Black-Scholes model:</w:t>
      </w:r>
    </w:p>
    <w:tbl>
      <w:tblPr>
        <w:tblLayout w:type="fixed"/>
        <w:tblInd w:w="0" w:type="dxa"/>
        <w:tblCellMar>
          <w:top w:w="0" w:type="dxa"/>
          <w:left w:w="0" w:type="dxa"/>
          <w:bottom w:w="0" w:type="dxa"/>
          <w:right w:w="0" w:type="dxa"/>
        </w:tblCellMar>
      </w:tblPr>
      <w:tr>
        <w:trPr>
          <w:trHeight w:val="195"/>
        </w:trPr>
        <w:tc>
          <w:tcPr>
            <w:tcW w:w="6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historical volatility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11.94</w:t>
            </w:r>
          </w:p>
        </w:tc>
      </w:tr>
    </w:tbl>
    <w:p>
      <w:pPr>
        <w:spacing w:after="0" w:line="33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granted 25,330 performance-based stock options and 55,245 performance-based restricted stock units during the year ended December 31, 2018, with performance periods ranging from 36 to 40 months. The following summarizes the assumptions used in estimating the fair values:</w:t>
      </w:r>
    </w:p>
    <w:p>
      <w:pPr>
        <w:spacing w:after="0" w:line="12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9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8"/>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historical volatility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9.79</w:t>
            </w: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restricted stock units granted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53.72</w:t>
            </w:r>
          </w:p>
        </w:tc>
      </w:tr>
    </w:tbl>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2020, all of the stock options and 26,670 of the restricted stock units have been forfeited.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2020, 2019 and 2018 is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3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20" w:type="dxa"/>
            <w:vAlign w:val="bottom"/>
          </w:tcPr>
          <w:p>
            <w:pPr>
              <w:spacing w:after="0"/>
              <w:rPr>
                <w:sz w:val="16"/>
                <w:szCs w:val="16"/>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Value (in Millions)</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December 31, 2020</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996,118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63.71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2020, 2019 and 2018 was $4.3 million, $6.9 million and $2.4 million, respectively.</w:t>
      </w:r>
    </w:p>
    <w:p>
      <w:pPr>
        <w:spacing w:after="0" w:line="8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Cash received from options exercised under all stock-based payment arrangements for the years ended December 31, 2020, 2019 and 2018 was $20.5 million, $12.0 million and $3.9 million, respectively. The actual tax benefit realized for the tax deduction from option exercises under the stock-based payment arrangements totaled $1.1 million, $1.8 million and $0.6 million, respectively, for the years ended December 31, 2020, 2019 and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in equity classified awards of restricted stock and restricted stock units for the years ended December 31, 2020, 2019 and 2018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5"/>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Grant-Date Per</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55"/>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Share</w:t>
            </w: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55"/>
              <w:spacing w:after="0" w:line="13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4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254,331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355,570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type w:val="continuous"/>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256" w:lineRule="exact"/>
        <w:rPr>
          <w:sz w:val="20"/>
          <w:szCs w:val="20"/>
          <w:color w:val="auto"/>
        </w:rPr>
      </w:pPr>
    </w:p>
    <w:p>
      <w:pPr>
        <w:ind w:right="200" w:firstLine="324"/>
        <w:spacing w:after="0" w:line="275"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These instruments are recorded as liabilities at fair value as of the respective period end.</w:t>
      </w:r>
    </w:p>
    <w:tbl>
      <w:tblPr>
        <w:tblLayout w:type="fixed"/>
        <w:tblInd w:w="0" w:type="dxa"/>
        <w:tblCellMar>
          <w:top w:w="0" w:type="dxa"/>
          <w:left w:w="0" w:type="dxa"/>
          <w:bottom w:w="0" w:type="dxa"/>
          <w:right w:w="0" w:type="dxa"/>
        </w:tblCellMar>
      </w:tblPr>
      <w:tr>
        <w:trPr>
          <w:trHeight w:val="165"/>
        </w:trPr>
        <w:tc>
          <w:tcPr>
            <w:tcW w:w="9820" w:type="dxa"/>
            <w:vAlign w:val="bottom"/>
          </w:tcPr>
          <w:p>
            <w:pPr>
              <w:spacing w:after="0"/>
              <w:rPr>
                <w:sz w:val="14"/>
                <w:szCs w:val="14"/>
                <w:color w:val="auto"/>
              </w:rPr>
            </w:pPr>
          </w:p>
        </w:tc>
        <w:tc>
          <w:tcPr>
            <w:tcW w:w="13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Cash-Settled</w:t>
            </w:r>
          </w:p>
        </w:tc>
      </w:tr>
      <w:tr>
        <w:trPr>
          <w:trHeight w:val="162"/>
        </w:trPr>
        <w:tc>
          <w:tcPr>
            <w:tcW w:w="9820" w:type="dxa"/>
            <w:vAlign w:val="bottom"/>
          </w:tcPr>
          <w:p>
            <w:pPr>
              <w:spacing w:after="0"/>
              <w:rPr>
                <w:sz w:val="14"/>
                <w:szCs w:val="14"/>
                <w:color w:val="auto"/>
              </w:rPr>
            </w:pP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Restricted</w:t>
            </w:r>
          </w:p>
        </w:tc>
      </w:tr>
      <w:tr>
        <w:trPr>
          <w:trHeight w:val="214"/>
        </w:trPr>
        <w:tc>
          <w:tcPr>
            <w:tcW w:w="98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25"/>
        </w:trPr>
        <w:tc>
          <w:tcPr>
            <w:tcW w:w="9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19"/>
                <w:szCs w:val="19"/>
                <w:color w:val="auto"/>
              </w:rPr>
            </w:pPr>
          </w:p>
        </w:tc>
      </w:tr>
      <w:tr>
        <w:trPr>
          <w:trHeight w:val="23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r>
      <w:tr>
        <w:trPr>
          <w:trHeight w:val="229"/>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00" w:type="dxa"/>
            <w:vAlign w:val="bottom"/>
            <w:tcBorders>
              <w:bottom w:val="single" w:sz="8" w:color="CCEEFF"/>
            </w:tcBorders>
          </w:tcPr>
          <w:p>
            <w:pPr>
              <w:spacing w:after="0"/>
              <w:rPr>
                <w:sz w:val="19"/>
                <w:szCs w:val="19"/>
                <w:color w:val="auto"/>
              </w:rPr>
            </w:pPr>
          </w:p>
        </w:tc>
      </w:tr>
      <w:tr>
        <w:trPr>
          <w:trHeight w:val="248"/>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$0.3 million, $1.6 million and, $0.8 million respectively, was included as stock-based compensation expense related to cash-settled restricted stock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Company has granted cash long-term incentive awards to certain employees (“LTIP awards”). Annual LTIP awards vest over a three-year period and are determined using a multiplier from 0% to 200% of the target award based on the total stockholder return of the Company's common stock compared to the total stockholder returns of a peer group of companies. Though LTIP awards are only paid in cash, since the multiplier is primarily based on the price of the Company's common stock, the awards are considered stock-based compensation in accordance with U.S. GAAP and are classified as liabilities. For the years ended December 31, 2020, 2019 and 2018, expense of $0.7 million, $1.7 million and $2.3 million, respectively, was included in stock-based compensation expense related to the LTIP awards. At December 31, 2020 and 2019, liabilities of $2.1 million and $2.9 million, respectively, were included as accrued employee compensation and benefits in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Savings and Investment Plan</w:t>
      </w:r>
    </w:p>
    <w:p>
      <w:pPr>
        <w:spacing w:after="0" w:line="16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Effective January 1, 2013, the Company amended the Dine Brands Global, Inc. 401(k) Plan to (i) modify the Company matching formula and (ii) eliminate the one-year completed service requirement that previously had to be met to become eligible for Company matching contributions. As amended, the Company matches 100% of the first four percent of the employee's eligible compensation deferral and 50% of the next two percent of the employee's eligible compensation deferral. All contributions under this plan vest immediately. Company common stock is not an investment option for employees in the 401(k) Plan, other than shares transferred from a prior employee stock ownership plan. Substantially all of the administrative cost of the 401(k) plan is borne by the Company. The Company's matching contribution expense was $2.8 million, $3.0 million and $2.4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7" w:right="379" w:bottom="1440" w:gutter="0" w:footer="0" w:header="0"/>
        </w:sectPr>
      </w:pPr>
    </w:p>
    <w:bookmarkStart w:id="96" w:name="page97"/>
    <w:bookmarkEnd w:id="96"/>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(benefit) provision for income taxes for the years ended December 31, 2020, 2019 and 2018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(benefit) provision for income taxes differs from the expected federal income tax rates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6"/>
                <w:szCs w:val="16"/>
                <w:color w:val="auto"/>
              </w:rPr>
            </w:pPr>
          </w:p>
        </w:tc>
      </w:tr>
      <w:tr>
        <w:trPr>
          <w:trHeight w:val="188"/>
        </w:trPr>
        <w:tc>
          <w:tcPr>
            <w:tcW w:w="62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Non-deductibility of goodwill impairment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other taxes, net of federal tax benefit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tax rates and state tax laws</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accounting for excess tax deficiencies/benefits</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business credits</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0"/>
        </w:trPr>
        <w:tc>
          <w:tcPr>
            <w:tcW w:w="6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$92.2 million impairment of goodwill during the second quarter of 2020 that was not deductible for federal income tax purposes and therefore had no associated tax benefit. The impairment of goodwill lowered the 2020 effective tax rate by 17.9% when compared to the U.S. statutory rate.</w:t>
      </w:r>
    </w:p>
    <w:p>
      <w:pPr>
        <w:spacing w:after="0" w:line="20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difference in the 2019 overall effective tax rate from the U.S. statutory rate was primarily attributed to state taxes and unrecognized tax benefits offset by benefits associated with an increase in general business credits.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applied a lower state tax rate to the deferred tax balances during fourth quarter of 2018, a result of the state legislative changes and the acquisition of 69 Applebee’s restaurants in December 2018. The change in the state tax rate applied to the deferred tax balances lowered the 2018 effective tax rate by 1.6%.</w:t>
      </w:r>
    </w:p>
    <w:p>
      <w:pPr>
        <w:spacing w:after="0" w:line="20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The Internal Revenue Service examination of tax years 2014 to 2016 concluded during the fourth quarter of 2020, and the Company received a refund of $12.3 million, inclusive of interest income of $1.1 million. With few exceptions, the Company is no longer subject to federal tax examinations by tax authorities for years before 2017 and state or non-United States tax examinations by tax authorities for years before 2011. The Company believes that adequate reserves have been recorded relating to all matters contained in the tax periods open to examination.</w:t>
      </w:r>
    </w:p>
    <w:p>
      <w:pPr>
        <w:sectPr>
          <w:pgSz w:w="11900" w:h="16838" w:orient="portrait"/>
          <w:cols w:equalWidth="0" w:num="1">
            <w:col w:w="11180"/>
          </w:cols>
          <w:pgMar w:left="320" w:top="36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7" w:right="399" w:bottom="1440" w:gutter="0" w:footer="0" w:header="0"/>
          <w:type w:val="continuous"/>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 (Continued)</w:t>
      </w: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deferred tax assets (liabilities) at December 31, 2020 and 2019 consisted of the following components: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5"/>
                <w:szCs w:val="15"/>
                <w:color w:val="auto"/>
              </w:rPr>
            </w:pP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Lease liability </w:t>
            </w:r>
            <w:r>
              <w:rPr>
                <w:rFonts w:ascii="Times New Roman" w:cs="Times New Roman" w:eastAsia="Times New Roman" w:hAnsi="Times New Roman"/>
                <w:sz w:val="21"/>
                <w:szCs w:val="21"/>
                <w:color w:val="auto"/>
                <w:vertAlign w:val="superscript"/>
              </w:rPr>
              <w:t>(1)</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franchise and equipment sales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Capitalization and depreciation </w:t>
            </w:r>
            <w:r>
              <w:rPr>
                <w:rFonts w:ascii="Times New Roman" w:cs="Times New Roman" w:eastAsia="Times New Roman" w:hAnsi="Times New Roman"/>
                <w:sz w:val="21"/>
                <w:szCs w:val="21"/>
                <w:color w:val="auto"/>
                <w:vertAlign w:val="superscript"/>
              </w:rPr>
              <w:t>(2)</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30"/>
        </w:trPr>
        <w:tc>
          <w:tcPr>
            <w:tcW w:w="8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Lease assets </w:t>
            </w:r>
            <w:r>
              <w:rPr>
                <w:rFonts w:ascii="Times New Roman" w:cs="Times New Roman" w:eastAsia="Times New Roman" w:hAnsi="Times New Roman"/>
                <w:sz w:val="21"/>
                <w:szCs w:val="21"/>
                <w:color w:val="auto"/>
                <w:vertAlign w:val="superscript"/>
              </w:rPr>
              <w:t>(1)</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related to the adoption of ASC 842</w:t>
      </w:r>
    </w:p>
    <w:p>
      <w:pPr>
        <w:ind w:left="160" w:hanging="152"/>
        <w:spacing w:after="0" w:line="189" w:lineRule="auto"/>
        <w:tabs>
          <w:tab w:leader="none" w:pos="1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related to the 2007 Applebee's acquisition.</w:t>
      </w:r>
    </w:p>
    <w:p>
      <w:pPr>
        <w:spacing w:after="0" w:line="221"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As of each reporting date, the Company’s management considers new evidence, both positive and negative, that could impact management’s view with regards to future realization of deferred tax assets. As of December 31, 2020, management determined it is more likely than not that the benefit from foreign tax credit carryforward and certain state deferred tax assets, including net operating loss carryforwards from the Applebee’s company-operated restaurants, will not be realized. In recognition of this risk, the Company provided a valuation allowance of $3.0 million.</w:t>
      </w:r>
    </w:p>
    <w:p>
      <w:pPr>
        <w:spacing w:after="0" w:line="20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had gross operating loss carryforwards for state tax purposes of $13.3 million and $0.5 million as of December 31, 2020 and 2019, respectively. The net operating loss carryforwards begin to expire in 2032 if not utilized.</w:t>
      </w:r>
    </w:p>
    <w:p>
      <w:pPr>
        <w:spacing w:after="0" w:line="18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total gross unrecognized tax benefit as of December 31, 2020 and 2019 was $2.2 million and $7.6 million, respectively, excluding interest, penalties and related income tax benefits. If recognized, these amounts would affect the Company's effective income tax rates.</w:t>
      </w:r>
    </w:p>
    <w:p>
      <w:pPr>
        <w:spacing w:after="0" w:line="189" w:lineRule="exact"/>
        <w:rPr>
          <w:sz w:val="20"/>
          <w:szCs w:val="20"/>
          <w:color w:val="auto"/>
        </w:rPr>
      </w:pPr>
    </w:p>
    <w:p>
      <w:pPr>
        <w:ind w:right="200" w:firstLine="324"/>
        <w:spacing w:after="0" w:line="244" w:lineRule="auto"/>
        <w:rPr>
          <w:sz w:val="20"/>
          <w:szCs w:val="20"/>
          <w:color w:val="auto"/>
        </w:rPr>
      </w:pPr>
      <w:r>
        <w:rPr>
          <w:rFonts w:ascii="Times New Roman" w:cs="Times New Roman" w:eastAsia="Times New Roman" w:hAnsi="Times New Roman"/>
          <w:sz w:val="18"/>
          <w:szCs w:val="18"/>
          <w:color w:val="auto"/>
        </w:rPr>
        <w:t>The Company estimates the unrecognized tax benefits may decrease over the upcoming 12 months by an amount up to $0.8 million related to settlements with taxing authorities, statutes of limitations expirations and method changes. For the remaining liability, due to the uncertainties related to these tax matters, the Company is unable to make a reasonable estimate as to when cash settlement with a taxing authority will occur. A reconciliation of the beginning and ending amount of unrecognized tax benefits is as follows:</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8"/>
        </w:trPr>
        <w:tc>
          <w:tcPr>
            <w:tcW w:w="66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January 1</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5.9</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for tax positions of prior years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715"/>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3.8</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0.4</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relating to settlements and lapsing of statutes of limitations</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9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December 31</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7"/>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5.2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the accrued interest was $0.9 million and accrued penalties were less than $0.1 million, excluding any related income tax benefits. As of December 31, 2019, the accrued interest and penalties were $2.5 million and less than $0.1 million, respectively, excluding any related income tax benefits. The Company recognizes interest accrued related to unrecognized tax benefits and penalties as a component of the income tax provision recognized in the Consolidated Statements of Comprehensive (Loss) Income.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 response to the COVID-19 pandemic.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CARES Act did not result in a material impact on our income tax benefit for the year ended December 31, 2020.</w:t>
      </w:r>
    </w:p>
    <w:p>
      <w:pPr>
        <w:sectPr>
          <w:pgSz w:w="11900" w:h="16838" w:orient="portrait"/>
          <w:cols w:equalWidth="0" w:num="1">
            <w:col w:w="11220"/>
          </w:cols>
          <w:pgMar w:left="320" w:top="367"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type w:val="continuous"/>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Income Per Share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computation of the Company's basic and diluted net (loss) income per share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78"/>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7"/>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(loss) income per common share: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(103,994)</w:t>
            </w:r>
          </w:p>
        </w:tc>
        <w:tc>
          <w:tcPr>
            <w:tcW w:w="4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available to common stockholders - basic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Effect of unvested participating restricted stock</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 (loss) income available to common shareholders -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diluted loss per common share was computed using the basic weighted average number of shares outstanding during the period as the 100,056 shares from common stock equivalents would have been antidilutive.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7" w:right="37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on segments and a reconciliation of gross profit to income before income tax provision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 by segment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of goodwill and intangible assets, closure and other impairment charges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(franchise segment)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7" w:right="35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7" w:right="359" w:bottom="1055" w:gutter="0" w:footer="0" w:header="0"/>
          <w:type w:val="continuous"/>
        </w:sectPr>
      </w:pPr>
    </w:p>
    <w:bookmarkStart w:id="100" w:name="page101"/>
    <w:bookmarkEnd w:id="100"/>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Selected Quarterly Financial Data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Pr>
          <w:p>
            <w:pPr>
              <w:spacing w:after="0"/>
              <w:rPr>
                <w:sz w:val="13"/>
                <w:szCs w:val="13"/>
                <w:color w:val="auto"/>
              </w:rPr>
            </w:pPr>
          </w:p>
        </w:tc>
        <w:tc>
          <w:tcPr>
            <w:tcW w:w="10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1"/>
                <w:szCs w:val="11"/>
                <w:color w:val="auto"/>
              </w:rPr>
            </w:pPr>
          </w:p>
        </w:tc>
        <w:tc>
          <w:tcPr>
            <w:tcW w:w="10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Pr>
          <w:p>
            <w:pPr>
              <w:spacing w:after="0"/>
              <w:rPr>
                <w:sz w:val="11"/>
                <w:szCs w:val="11"/>
                <w:color w:val="auto"/>
              </w:rPr>
            </w:pPr>
          </w:p>
        </w:tc>
        <w:tc>
          <w:tcPr>
            <w:tcW w:w="108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1"/>
                <w:szCs w:val="11"/>
                <w:color w:val="auto"/>
              </w:rPr>
            </w:pPr>
          </w:p>
        </w:tc>
        <w:tc>
          <w:tcPr>
            <w:tcW w:w="104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5"/>
              <w:spacing w:after="0" w:line="189" w:lineRule="exact"/>
              <w:rPr>
                <w:sz w:val="20"/>
                <w:szCs w:val="20"/>
                <w:color w:val="auto"/>
              </w:rPr>
            </w:pPr>
            <w:r>
              <w:rPr>
                <w:rFonts w:ascii="Times New Roman" w:cs="Times New Roman" w:eastAsia="Times New Roman" w:hAnsi="Times New Roman"/>
                <w:sz w:val="14"/>
                <w:szCs w:val="14"/>
                <w:b w:val="1"/>
                <w:bCs w:val="1"/>
                <w:color w:val="auto"/>
                <w:w w:val="91"/>
              </w:rPr>
              <w:t>Basic</w:t>
            </w:r>
            <w:r>
              <w:rPr>
                <w:rFonts w:ascii="Times New Roman" w:cs="Times New Roman" w:eastAsia="Times New Roman" w:hAnsi="Times New Roman"/>
                <w:sz w:val="18"/>
                <w:szCs w:val="18"/>
                <w:b w:val="1"/>
                <w:bCs w:val="1"/>
                <w:color w:val="auto"/>
                <w:w w:val="91"/>
                <w:vertAlign w:val="superscript"/>
              </w:rPr>
              <w:t>(2)</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5"/>
              <w:spacing w:after="0" w:line="189" w:lineRule="exact"/>
              <w:rPr>
                <w:sz w:val="20"/>
                <w:szCs w:val="20"/>
                <w:color w:val="auto"/>
              </w:rPr>
            </w:pPr>
            <w:r>
              <w:rPr>
                <w:rFonts w:ascii="Times New Roman" w:cs="Times New Roman" w:eastAsia="Times New Roman" w:hAnsi="Times New Roman"/>
                <w:sz w:val="14"/>
                <w:szCs w:val="14"/>
                <w:b w:val="1"/>
                <w:bCs w:val="1"/>
                <w:color w:val="auto"/>
                <w:w w:val="99"/>
              </w:rPr>
              <w:t>Diluted</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Quarter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206,884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84,427</w:t>
            </w:r>
          </w:p>
        </w:tc>
        <w:tc>
          <w:tcPr>
            <w:tcW w:w="3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Quarter</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109,712</w:t>
            </w:r>
          </w:p>
        </w:tc>
        <w:tc>
          <w:tcPr>
            <w:tcW w:w="24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30,122</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(134,779)</w:t>
            </w:r>
          </w:p>
        </w:tc>
        <w:tc>
          <w:tcPr>
            <w:tcW w:w="220" w:type="dxa"/>
            <w:vAlign w:val="bottom"/>
          </w:tcPr>
          <w:p>
            <w:pPr>
              <w:spacing w:after="0"/>
              <w:rPr>
                <w:sz w:val="19"/>
                <w:szCs w:val="19"/>
                <w:color w:val="auto"/>
              </w:rPr>
            </w:pPr>
          </w:p>
        </w:tc>
        <w:tc>
          <w:tcPr>
            <w:tcW w:w="108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tcPr>
          <w:p>
            <w:pPr>
              <w:spacing w:after="0"/>
              <w:rPr>
                <w:sz w:val="19"/>
                <w:szCs w:val="19"/>
                <w:color w:val="auto"/>
              </w:rPr>
            </w:pPr>
          </w:p>
        </w:tc>
        <w:tc>
          <w:tcPr>
            <w:tcW w:w="104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6"/>
              </w:rPr>
              <w:t>(8.33)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4"/>
                <w:szCs w:val="14"/>
                <w:color w:val="auto"/>
              </w:rPr>
              <w:t>rd</w:t>
            </w:r>
            <w:r>
              <w:rPr>
                <w:rFonts w:ascii="Times New Roman" w:cs="Times New Roman" w:eastAsia="Times New Roman" w:hAnsi="Times New Roman"/>
                <w:sz w:val="18"/>
                <w:szCs w:val="18"/>
                <w:color w:val="auto"/>
              </w:rPr>
              <w:t xml:space="preserve"> Quarter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176,643</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66,784</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10,018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Quarter</w:t>
            </w:r>
          </w:p>
        </w:tc>
        <w:tc>
          <w:tcPr>
            <w:tcW w:w="2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196,029</w:t>
            </w:r>
          </w:p>
        </w:tc>
        <w:tc>
          <w:tcPr>
            <w:tcW w:w="24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67,383</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20" w:type="dxa"/>
            <w:vAlign w:val="bottom"/>
          </w:tcPr>
          <w:p>
            <w:pPr>
              <w:spacing w:after="0"/>
              <w:rPr>
                <w:sz w:val="19"/>
                <w:szCs w:val="19"/>
                <w:color w:val="auto"/>
              </w:rPr>
            </w:pPr>
          </w:p>
        </w:tc>
        <w:tc>
          <w:tcPr>
            <w:tcW w:w="108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19"/>
                <w:szCs w:val="19"/>
                <w:color w:val="auto"/>
              </w:rPr>
            </w:pPr>
          </w:p>
        </w:tc>
        <w:tc>
          <w:tcPr>
            <w:tcW w:w="104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6"/>
              </w:rPr>
              <w:t>(0.10)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Quarter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237,182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102,571</w:t>
            </w:r>
          </w:p>
        </w:tc>
        <w:tc>
          <w:tcPr>
            <w:tcW w:w="3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Quarter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228,080</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94,855</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21,390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4"/>
                <w:szCs w:val="14"/>
                <w:color w:val="auto"/>
              </w:rPr>
              <w:t>rd</w:t>
            </w:r>
            <w:r>
              <w:rPr>
                <w:rFonts w:ascii="Times New Roman" w:cs="Times New Roman" w:eastAsia="Times New Roman" w:hAnsi="Times New Roman"/>
                <w:sz w:val="18"/>
                <w:szCs w:val="18"/>
                <w:color w:val="auto"/>
              </w:rPr>
              <w:t xml:space="preserve"> Quarter</w:t>
            </w:r>
          </w:p>
        </w:tc>
        <w:tc>
          <w:tcPr>
            <w:tcW w:w="22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217,405</w:t>
            </w:r>
          </w:p>
        </w:tc>
        <w:tc>
          <w:tcPr>
            <w:tcW w:w="24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89,720</w:t>
            </w:r>
          </w:p>
        </w:tc>
        <w:tc>
          <w:tcPr>
            <w:tcW w:w="3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23,917</w:t>
            </w:r>
          </w:p>
        </w:tc>
        <w:tc>
          <w:tcPr>
            <w:tcW w:w="220" w:type="dxa"/>
            <w:vAlign w:val="bottom"/>
          </w:tcPr>
          <w:p>
            <w:pPr>
              <w:spacing w:after="0"/>
              <w:rPr>
                <w:sz w:val="19"/>
                <w:szCs w:val="19"/>
                <w:color w:val="auto"/>
              </w:rPr>
            </w:pPr>
          </w:p>
        </w:tc>
        <w:tc>
          <w:tcPr>
            <w:tcW w:w="10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9"/>
                <w:szCs w:val="19"/>
                <w:color w:val="auto"/>
              </w:rPr>
            </w:pPr>
          </w:p>
        </w:tc>
        <w:tc>
          <w:tcPr>
            <w:tcW w:w="10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Quarter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227,511</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95,668</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27,396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 w:lineRule="exact"/>
        <w:rPr>
          <w:sz w:val="20"/>
          <w:szCs w:val="20"/>
          <w:color w:val="auto"/>
        </w:rPr>
      </w:pPr>
    </w:p>
    <w:p>
      <w:pPr>
        <w:ind w:left="160" w:hanging="152"/>
        <w:spacing w:after="0"/>
        <w:tabs>
          <w:tab w:leader="none" w:pos="1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recognized a pretax charge of $123.7 million for impairments of goodwill, intangible assets and long-lived assets in the second quarter of 2020. See Note 6</w:t>
      </w:r>
    </w:p>
    <w:p>
      <w:pPr>
        <w:ind w:left="340" w:right="500" w:hanging="8"/>
        <w:spacing w:after="0" w:line="246" w:lineRule="auto"/>
        <w:tabs>
          <w:tab w:leader="none" w:pos="434"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Note 7 - Other Intangible Assets and Note 13 - Long-lived Tangible Asset Impairment and Closure Charges, of Notes to the Consolidated Financial Statements.</w:t>
      </w:r>
    </w:p>
    <w:p>
      <w:pPr>
        <w:ind w:left="160" w:hanging="152"/>
        <w:spacing w:after="0" w:line="211" w:lineRule="auto"/>
        <w:tabs>
          <w:tab w:leader="none" w:pos="16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quarterly amounts of earnings per share may not add to the full year amount as each quarterly calculation is discrete from the full-year calculation.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7" w:right="399" w:bottom="1440" w:gutter="0" w:footer="0" w:header="0"/>
        </w:sectPr>
      </w:pPr>
    </w:p>
    <w:bookmarkStart w:id="101" w:name="page102"/>
    <w:bookmarkEnd w:id="10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terms are defined in Rule 13a-15(e) and 15d-15(e) promulgated under the Exchange Act of 1934, as amended,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1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Based on their assessment as of the end of the period covered by this report, our Chief Executive Officer and Chief Financial Officer have concluded that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as of January 3, 2021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that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concluded that our internal control over financial reporting was effective as of January 3, 2021.</w:t>
      </w:r>
    </w:p>
    <w:p>
      <w:pPr>
        <w:spacing w:after="0" w:line="11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 2021 has been audited by Ernst &amp; Young LLP, an independent registered public accounting firm, as stated in their report that appears herein.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We have audited Dine Brands Global, Inc. and Subsidiaries’ internal control over financial reporting as of January 3, 2021, based on criteria established in Internal Control—Integrated Framework issued by the Committee of Sponsoring Organizations of the Treadway Commission (2013 framework) (the COSO criteria). In our opinion, Dine Brands Global, Inc. and Subsidiaries (the Company) maintained, in all material respects, effective internal control over financial reporting as of January 3, 2021, based on the COSO criteria</w:t>
      </w:r>
      <w:r>
        <w:rPr>
          <w:rFonts w:ascii="Times New Roman" w:cs="Times New Roman" w:eastAsia="Times New Roman" w:hAnsi="Times New Roman"/>
          <w:sz w:val="18"/>
          <w:szCs w:val="18"/>
          <w:b w:val="1"/>
          <w:bCs w:val="1"/>
          <w:color w:val="auto"/>
        </w:rPr>
        <w:t>.</w:t>
      </w:r>
    </w:p>
    <w:p>
      <w:pPr>
        <w:spacing w:after="0" w:line="208"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 2021 and December 29, 2019, the related consolidated statements of comprehensive (loss) income, stockholders’ deficit and cash flows for each of the three years in the period ended January 3, 2021, and the related notes and our report dated March 2, 2021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fiscal 2020 that has materially affected, or is reasonably likely to materially affect, our internal control over financial reporting.</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 and “Executive Compensation-Executive Officers of the Corporation” to be set forth in our Proxy Statement for the 2021 Annual Meeting of Shareholders (“2021 Proxy Statement”) is hereby incorporated by reference into this Item.</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included in the sections entitled “Executive Compensation” and “Director Compensation” to be set forth in our 2021 Proxy Statement is hereby incorporated by reference into this Item.</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included in the section entitled “Security Ownership of Certain Beneficial Owners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to be set forth in our 2021 Proxy Statement is hereby incorporated by reference into this Item.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2020, regarding shares outstanding and available for issuance under the Dine Brands Global, Inc. 2019 Stock Incentive Plan (the “2019 Plan”):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60" w:type="dxa"/>
            <w:vAlign w:val="bottom"/>
          </w:tcPr>
          <w:p>
            <w:pPr>
              <w:spacing w:after="0"/>
              <w:rPr>
                <w:sz w:val="11"/>
                <w:szCs w:val="11"/>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60" w:type="dxa"/>
            <w:vAlign w:val="bottom"/>
          </w:tcPr>
          <w:p>
            <w:pPr>
              <w:spacing w:after="0"/>
              <w:rPr>
                <w:sz w:val="11"/>
                <w:szCs w:val="11"/>
                <w:color w:val="auto"/>
              </w:rPr>
            </w:pPr>
          </w:p>
        </w:tc>
        <w:tc>
          <w:tcPr>
            <w:tcW w:w="16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1"/>
                <w:szCs w:val="11"/>
                <w:color w:val="auto"/>
              </w:rPr>
            </w:pPr>
          </w:p>
        </w:tc>
        <w:tc>
          <w:tcPr>
            <w:tcW w:w="16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1,707,882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1,707,882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number of securities remaining available for future issuance represents shares under the 2019 Plan. Please refer to Note 14 - Stock-Based Incentive Plans, of the Notes to the Consolidated Financial Statements for a description of the 2019 Plan.</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8" w:lineRule="exact"/>
        <w:rPr>
          <w:sz w:val="20"/>
          <w:szCs w:val="20"/>
          <w:color w:val="auto"/>
        </w:rPr>
      </w:pPr>
    </w:p>
    <w:p>
      <w:pPr>
        <w:ind w:right="800" w:firstLine="324"/>
        <w:spacing w:after="0" w:line="312" w:lineRule="auto"/>
        <w:rPr>
          <w:sz w:val="20"/>
          <w:szCs w:val="20"/>
          <w:color w:val="auto"/>
        </w:rPr>
      </w:pPr>
      <w:r>
        <w:rPr>
          <w:rFonts w:ascii="Times New Roman" w:cs="Times New Roman" w:eastAsia="Times New Roman" w:hAnsi="Times New Roman"/>
          <w:sz w:val="17"/>
          <w:szCs w:val="17"/>
          <w:color w:val="auto"/>
        </w:rPr>
        <w:t>The information included in the sections entitled “Corporate Governance—Certain Relationships and Related Transactions” and “Corporate Governance—Director Independence” to be set forth in our 2021 Proxy Statement is hereby incorporated by reference into this item.</w:t>
      </w:r>
    </w:p>
    <w:p>
      <w:pPr>
        <w:spacing w:after="0" w:line="16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6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 entitled “Audit-Related Matters” to be set forth in our 2021 Proxy Statement is hereby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05" w:name="page106"/>
    <w:bookmarkEnd w:id="10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b w:val="1"/>
          <w:bCs w:val="1"/>
          <w:color w:val="auto"/>
        </w:rPr>
        <w:t>Consolidated Financial Statements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are contained in Part II, Item 8 of this Annual Report on Form 10-K:</w:t>
      </w:r>
    </w:p>
    <w:p>
      <w:pPr>
        <w:spacing w:after="0" w:line="158" w:lineRule="exact"/>
        <w:rPr>
          <w:sz w:val="20"/>
          <w:szCs w:val="20"/>
          <w:color w:val="auto"/>
        </w:rPr>
      </w:pPr>
    </w:p>
    <w:p>
      <w:pPr>
        <w:ind w:left="980" w:hanging="243"/>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2020 and December 31, 2019.</w:t>
      </w:r>
    </w:p>
    <w:p>
      <w:pPr>
        <w:spacing w:after="0" w:line="9" w:lineRule="exact"/>
        <w:rPr>
          <w:rFonts w:ascii="Times New Roman" w:cs="Times New Roman" w:eastAsia="Times New Roman" w:hAnsi="Times New Roman"/>
          <w:sz w:val="18"/>
          <w:szCs w:val="18"/>
          <w:color w:val="auto"/>
        </w:rPr>
      </w:pPr>
    </w:p>
    <w:p>
      <w:pPr>
        <w:ind w:left="1140" w:right="2340" w:hanging="403"/>
        <w:spacing w:after="0" w:line="250" w:lineRule="auto"/>
        <w:tabs>
          <w:tab w:leader="none" w:pos="1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Income for each of the three years in the period ended December 31, 2020.</w:t>
      </w:r>
    </w:p>
    <w:p>
      <w:pPr>
        <w:ind w:left="980" w:hanging="243"/>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each of the three years in the period ended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December 31, 2020.</w:t>
      </w:r>
    </w:p>
    <w:p>
      <w:pPr>
        <w:spacing w:after="0" w:line="9" w:lineRule="exact"/>
        <w:rPr>
          <w:sz w:val="20"/>
          <w:szCs w:val="20"/>
          <w:color w:val="auto"/>
        </w:rPr>
      </w:pPr>
    </w:p>
    <w:p>
      <w:pPr>
        <w:ind w:left="980" w:hanging="243"/>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three years in the period ended December 31, 2020.</w:t>
      </w:r>
    </w:p>
    <w:p>
      <w:pPr>
        <w:spacing w:after="0" w:line="9"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b w:val="1"/>
          <w:bCs w:val="1"/>
          <w:color w:val="auto"/>
        </w:rPr>
        <w:t>Financial Statement Schedules</w:t>
      </w:r>
    </w:p>
    <w:p>
      <w:pPr>
        <w:spacing w:after="0" w:line="14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b w:val="1"/>
          <w:bCs w:val="1"/>
          <w:color w:val="auto"/>
        </w:rPr>
        <w:t>Exhibits</w:t>
      </w:r>
    </w:p>
    <w:p>
      <w:pPr>
        <w:spacing w:after="0" w:line="162"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Securities and Exchange Commission and are incorporated herein by reference.</w:t>
      </w:r>
    </w:p>
    <w:p>
      <w:pPr>
        <w:spacing w:after="0" w:line="121" w:lineRule="exact"/>
        <w:rPr>
          <w:sz w:val="20"/>
          <w:szCs w:val="20"/>
          <w:color w:val="auto"/>
        </w:rPr>
      </w:pPr>
    </w:p>
    <w:p>
      <w:pPr>
        <w:ind w:left="1120" w:right="2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 </w:t>
      </w:r>
      <w:hyperlink r:id="rId134">
        <w:r>
          <w:rPr>
            <w:rFonts w:ascii="Times New Roman" w:cs="Times New Roman" w:eastAsia="Times New Roman" w:hAnsi="Times New Roman"/>
            <w:sz w:val="18"/>
            <w:szCs w:val="18"/>
            <w:u w:val="single" w:color="auto"/>
            <w:color w:val="0000FF"/>
          </w:rPr>
          <w:t>Restated Certificate of Incorporation of Dine Brands Global, Inc. (Exhibit 3.1 to Registrant’s Form 10-K filed on February 20, 2018 is</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sz w:val="20"/>
          <w:szCs w:val="20"/>
          <w:color w:val="auto"/>
        </w:rPr>
      </w:pPr>
    </w:p>
    <w:p>
      <w:pPr>
        <w:ind w:left="1120" w:right="620" w:hanging="314"/>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 </w:t>
      </w:r>
      <w:hyperlink r:id="rId135">
        <w:r>
          <w:rPr>
            <w:rFonts w:ascii="Times New Roman" w:cs="Times New Roman" w:eastAsia="Times New Roman" w:hAnsi="Times New Roman"/>
            <w:sz w:val="18"/>
            <w:szCs w:val="18"/>
            <w:u w:val="single" w:color="auto"/>
            <w:color w:val="0000FF"/>
          </w:rPr>
          <w:t>Certificate of Amendment to Restated Certificate of Incorporation (Exhibit 3.1 to Registrant’s Form 8-K filed on May 14, 2019 is</w:t>
        </w:r>
      </w:hyperlink>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sz w:val="20"/>
          <w:szCs w:val="20"/>
          <w:color w:val="auto"/>
        </w:rPr>
      </w:pPr>
    </w:p>
    <w:p>
      <w:pPr>
        <w:ind w:left="1120" w:right="120" w:hanging="260"/>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3.3 </w:t>
      </w:r>
      <w:hyperlink r:id="rId136">
        <w:r>
          <w:rPr>
            <w:rFonts w:ascii="Times New Roman" w:cs="Times New Roman" w:eastAsia="Times New Roman" w:hAnsi="Times New Roman"/>
            <w:sz w:val="18"/>
            <w:szCs w:val="18"/>
            <w:u w:val="single" w:color="auto"/>
            <w:color w:val="0000FF"/>
          </w:rPr>
          <w:t>Amended and Restated Bylaws of Dine Brands Global, Inc. (Exhibit 3.2 to Registrant’s Form 8-K filed on May 14, 2019 is incorporated</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0000FF"/>
          </w:rPr>
          <w:t>herein by reference).</w:t>
        </w:r>
      </w:hyperlink>
    </w:p>
    <w:p>
      <w:pPr>
        <w:spacing w:after="0" w:line="1" w:lineRule="exact"/>
        <w:rPr>
          <w:sz w:val="20"/>
          <w:szCs w:val="20"/>
          <w:color w:val="auto"/>
        </w:rPr>
      </w:pPr>
    </w:p>
    <w:p>
      <w:pPr>
        <w:ind w:left="1120" w:right="100" w:hanging="260"/>
        <w:spacing w:after="0" w:line="22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137">
        <w:r>
          <w:rPr>
            <w:rFonts w:ascii="Times New Roman" w:cs="Times New Roman" w:eastAsia="Times New Roman" w:hAnsi="Times New Roman"/>
            <w:sz w:val="18"/>
            <w:szCs w:val="18"/>
            <w:u w:val="single" w:color="auto"/>
            <w:color w:val="0000FF"/>
          </w:rPr>
          <w:t>Base Indenture, dated as of September 30, 2014, and amended and restated as of June 5, 2019, among Applebee’s Funding LLC and</w:t>
        </w:r>
      </w:hyperlink>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u w:val="single" w:color="auto"/>
            <w:color w:val="0000FF"/>
          </w:rPr>
          <w:t>IHOP Funding LLC, each as Co-Issuer, and Citibank, N.A., as Trustee and Securities Intermediary (Exhibit 4.1 to Registrant's Form 8-K</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filed on June 5, 2019 is incorporated herein by reference).</w:t>
        </w:r>
      </w:hyperlink>
    </w:p>
    <w:p>
      <w:pPr>
        <w:spacing w:after="0" w:line="1" w:lineRule="exact"/>
        <w:rPr>
          <w:rFonts w:ascii="Times New Roman" w:cs="Times New Roman" w:eastAsia="Times New Roman" w:hAnsi="Times New Roman"/>
          <w:sz w:val="18"/>
          <w:szCs w:val="18"/>
          <w:color w:val="auto"/>
        </w:rPr>
      </w:pPr>
    </w:p>
    <w:p>
      <w:pPr>
        <w:ind w:left="1120" w:right="20" w:hanging="314"/>
        <w:spacing w:after="0" w:line="22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138">
        <w:r>
          <w:rPr>
            <w:rFonts w:ascii="Times New Roman" w:cs="Times New Roman" w:eastAsia="Times New Roman" w:hAnsi="Times New Roman"/>
            <w:sz w:val="18"/>
            <w:szCs w:val="18"/>
            <w:u w:val="single" w:color="auto"/>
            <w:color w:val="0000FF"/>
          </w:rPr>
          <w:t>Series 2019-1 Supplement to Base Indenture, dated as of June 5, 2019, among Applebee’s Funding LLC and IHOP Funding LLC, each as</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Co-Issuer, and Citibank, N.A., as Trustee and Securities Intermediary (Exhibit 4.2 to Registrant’s Form 8-K filed on June 5, 2019 is</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rFonts w:ascii="Times New Roman" w:cs="Times New Roman" w:eastAsia="Times New Roman" w:hAnsi="Times New Roman"/>
          <w:sz w:val="18"/>
          <w:szCs w:val="18"/>
          <w:color w:val="auto"/>
        </w:rPr>
      </w:pPr>
    </w:p>
    <w:p>
      <w:pPr>
        <w:ind w:left="1120" w:right="340" w:hanging="314"/>
        <w:spacing w:after="0" w:line="26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139">
        <w:r>
          <w:rPr>
            <w:rFonts w:ascii="Times New Roman" w:cs="Times New Roman" w:eastAsia="Times New Roman" w:hAnsi="Times New Roman"/>
            <w:sz w:val="18"/>
            <w:szCs w:val="18"/>
            <w:u w:val="single" w:color="auto"/>
            <w:color w:val="0000FF"/>
          </w:rPr>
          <w:t>Omnibus Supplement to Series 2019-1 Base Indenture and Series 2019-1 Supplement (Exhibit 4.1 to Registrant’s Form 10-Q filed on</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July 29, 2020 is incorporated herein by reference).</w:t>
        </w:r>
      </w:hyperlink>
    </w:p>
    <w:p>
      <w:pPr>
        <w:spacing w:after="0" w:line="1" w:lineRule="exact"/>
        <w:rPr>
          <w:sz w:val="20"/>
          <w:szCs w:val="20"/>
          <w:color w:val="auto"/>
        </w:rPr>
      </w:pPr>
    </w:p>
    <w:p>
      <w:pPr>
        <w:ind w:left="1120" w:right="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4.4 </w:t>
      </w:r>
      <w:hyperlink r:id="rId140">
        <w:r>
          <w:rPr>
            <w:rFonts w:ascii="Times New Roman" w:cs="Times New Roman" w:eastAsia="Times New Roman" w:hAnsi="Times New Roman"/>
            <w:sz w:val="18"/>
            <w:szCs w:val="18"/>
            <w:u w:val="single" w:color="auto"/>
            <w:color w:val="0000FF"/>
          </w:rPr>
          <w:t>Description of Securities Registered Pursuant to Section 12 of the Securities Exchange Act of 1934 (Exhibit 4.3 to Registrant’s Form 10-</w:t>
        </w:r>
      </w:hyperlink>
      <w:hyperlink r:id="rId140">
        <w:r>
          <w:rPr>
            <w:rFonts w:ascii="Times New Roman" w:cs="Times New Roman" w:eastAsia="Times New Roman" w:hAnsi="Times New Roman"/>
            <w:sz w:val="18"/>
            <w:szCs w:val="18"/>
            <w:u w:val="single" w:color="auto"/>
            <w:color w:val="0000FF"/>
          </w:rPr>
          <w:t>K filed on February 24, 2020 is incorporated herein by reference)</w:t>
        </w:r>
      </w:hyperlink>
    </w:p>
    <w:p>
      <w:pPr>
        <w:spacing w:after="0" w:line="1" w:lineRule="exact"/>
        <w:rPr>
          <w:sz w:val="20"/>
          <w:szCs w:val="20"/>
          <w:color w:val="auto"/>
        </w:rPr>
      </w:pPr>
    </w:p>
    <w:p>
      <w:pPr>
        <w:ind w:left="1120" w:right="20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141">
        <w:r>
          <w:rPr>
            <w:rFonts w:ascii="Times New Roman" w:cs="Times New Roman" w:eastAsia="Times New Roman" w:hAnsi="Times New Roman"/>
            <w:sz w:val="18"/>
            <w:szCs w:val="18"/>
            <w:u w:val="single" w:color="auto"/>
            <w:color w:val="0000FF"/>
          </w:rPr>
          <w:t>Employment Agreement dated as of August 9, 2017 by and between the Corporation and Stephen P. Joyce (Exhibit 10.1 to Registrant’s</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Form 10-Q for the quarter ended September 30, 2017 is incorporated herein by reference).</w:t>
        </w:r>
      </w:hyperlink>
    </w:p>
    <w:p>
      <w:pPr>
        <w:spacing w:after="0" w:line="1" w:lineRule="exact"/>
        <w:rPr>
          <w:sz w:val="20"/>
          <w:szCs w:val="20"/>
          <w:color w:val="auto"/>
        </w:rPr>
      </w:pPr>
    </w:p>
    <w:p>
      <w:pPr>
        <w:ind w:left="1120" w:right="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142">
        <w:r>
          <w:rPr>
            <w:rFonts w:ascii="Times New Roman" w:cs="Times New Roman" w:eastAsia="Times New Roman" w:hAnsi="Times New Roman"/>
            <w:sz w:val="18"/>
            <w:szCs w:val="18"/>
            <w:u w:val="single" w:color="auto"/>
            <w:color w:val="0000FF"/>
          </w:rPr>
          <w:t>DineEquity, Inc. 2016 Stock Incentive Plan Nonqualified Stock Option Agreement by and between the Corporation and Stephen P. Joyce</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FF"/>
          </w:rPr>
          <w:t>(Exhibit 10.2 to Registrant’s Form 10-Q for the quarter ended September 30, 2017 is incorporated herein by reference).</w:t>
        </w:r>
      </w:hyperlink>
    </w:p>
    <w:p>
      <w:pPr>
        <w:spacing w:after="0" w:line="1" w:lineRule="exact"/>
        <w:rPr>
          <w:sz w:val="20"/>
          <w:szCs w:val="20"/>
          <w:color w:val="auto"/>
        </w:rPr>
      </w:pPr>
    </w:p>
    <w:p>
      <w:pPr>
        <w:ind w:left="1120" w:right="160" w:hanging="529"/>
        <w:spacing w:after="0" w:line="22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 </w:t>
      </w:r>
      <w:hyperlink r:id="rId143">
        <w:r>
          <w:rPr>
            <w:rFonts w:ascii="Times New Roman" w:cs="Times New Roman" w:eastAsia="Times New Roman" w:hAnsi="Times New Roman"/>
            <w:sz w:val="18"/>
            <w:szCs w:val="18"/>
            <w:u w:val="single" w:color="auto"/>
            <w:color w:val="0000FF"/>
          </w:rPr>
          <w:t>DineEquity, Inc. 2016 Stock Incentive Plan Restricted Stock Unit Award Agreement by and between the Corporation and Stephen P.</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Joyce - Performance-Based (Exhibit 10.3 to Registrant’s Form 10-Q for the quarter ended September 30, 2017 is incorporated herein by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reference).</w:t>
        </w:r>
      </w:hyperlink>
    </w:p>
    <w:p>
      <w:pPr>
        <w:spacing w:after="0" w:line="1" w:lineRule="exact"/>
        <w:rPr>
          <w:rFonts w:ascii="Times New Roman" w:cs="Times New Roman" w:eastAsia="Times New Roman" w:hAnsi="Times New Roman"/>
          <w:sz w:val="18"/>
          <w:szCs w:val="18"/>
          <w:color w:val="auto"/>
        </w:rPr>
      </w:pPr>
    </w:p>
    <w:p>
      <w:pPr>
        <w:ind w:left="1120" w:right="400" w:hanging="440"/>
        <w:spacing w:after="0" w:line="22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144">
        <w:r>
          <w:rPr>
            <w:rFonts w:ascii="Times New Roman" w:cs="Times New Roman" w:eastAsia="Times New Roman" w:hAnsi="Times New Roman"/>
            <w:sz w:val="18"/>
            <w:szCs w:val="18"/>
            <w:u w:val="single" w:color="auto"/>
            <w:color w:val="0000FF"/>
          </w:rPr>
          <w:t>DineEquity, Inc. 2016 Stock Incentive Plan Restricted Stock Unit Award Agreement by and between the Corporation and Stephen P.</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Joyce - Time-Based (Exhibit 10.4 to Registrant’s Form 10-Q for the quarter ended September 30, 2017 is incorporated herein by</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reference).</w:t>
        </w:r>
      </w:hyperlink>
    </w:p>
    <w:p>
      <w:pPr>
        <w:spacing w:after="0" w:line="1" w:lineRule="exact"/>
        <w:rPr>
          <w:rFonts w:ascii="Times New Roman" w:cs="Times New Roman" w:eastAsia="Times New Roman" w:hAnsi="Times New Roman"/>
          <w:sz w:val="18"/>
          <w:szCs w:val="18"/>
          <w:color w:val="auto"/>
        </w:rPr>
      </w:pPr>
    </w:p>
    <w:p>
      <w:pPr>
        <w:ind w:left="1120" w:hanging="440"/>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 </w:t>
      </w:r>
      <w:hyperlink r:id="rId145">
        <w:r>
          <w:rPr>
            <w:rFonts w:ascii="Times New Roman" w:cs="Times New Roman" w:eastAsia="Times New Roman" w:hAnsi="Times New Roman"/>
            <w:sz w:val="18"/>
            <w:szCs w:val="18"/>
            <w:u w:val="single" w:color="auto"/>
            <w:color w:val="0000FF"/>
          </w:rPr>
          <w:t>Employment Agreement between Dine Brands Global, Inc. and Thomas H. Song dated May 7, 2018 (Exhibit 10.2 to Registrant’s Form 8-</w:t>
        </w:r>
      </w:hyperlink>
      <w:hyperlink r:id="rId145">
        <w:r>
          <w:rPr>
            <w:rFonts w:ascii="Times New Roman" w:cs="Times New Roman" w:eastAsia="Times New Roman" w:hAnsi="Times New Roman"/>
            <w:sz w:val="18"/>
            <w:szCs w:val="18"/>
            <w:u w:val="single" w:color="auto"/>
            <w:color w:val="0000FF"/>
          </w:rPr>
          <w:t>K filed May 8, 2018 is incorporated herein by reference).</w:t>
        </w:r>
      </w:hyperlink>
    </w:p>
    <w:p>
      <w:pPr>
        <w:spacing w:after="0" w:line="1" w:lineRule="exact"/>
        <w:rPr>
          <w:sz w:val="20"/>
          <w:szCs w:val="20"/>
          <w:color w:val="auto"/>
        </w:rPr>
      </w:pPr>
    </w:p>
    <w:p>
      <w:pPr>
        <w:ind w:left="1120" w:right="40" w:hanging="440"/>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46">
        <w:r>
          <w:rPr>
            <w:rFonts w:ascii="Times New Roman" w:cs="Times New Roman" w:eastAsia="Times New Roman" w:hAnsi="Times New Roman"/>
            <w:sz w:val="18"/>
            <w:szCs w:val="18"/>
            <w:u w:val="single" w:color="auto"/>
            <w:color w:val="0000FF"/>
          </w:rPr>
          <w:t>Offer Letter between Dine Brands Global, Inc. and Thomas H. Song dated May 7, 2018 (Exhibit 10.1 to Registrant’s Form 8-K filed May</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FF"/>
          </w:rPr>
          <w:t>8, 2018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87" w:right="519" w:bottom="1440" w:gutter="0" w:footer="0" w:header="0"/>
        </w:sectPr>
      </w:pPr>
    </w:p>
    <w:bookmarkStart w:id="106" w:name="page107"/>
    <w:bookmarkEnd w:id="106"/>
    <w:p>
      <w:pPr>
        <w:ind w:left="540" w:right="220" w:hanging="4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148">
        <w:r>
          <w:rPr>
            <w:rFonts w:ascii="Times New Roman" w:cs="Times New Roman" w:eastAsia="Times New Roman" w:hAnsi="Times New Roman"/>
            <w:sz w:val="18"/>
            <w:szCs w:val="18"/>
            <w:u w:val="single" w:color="auto"/>
            <w:color w:val="0000FF"/>
          </w:rPr>
          <w:t>Employment Agreement between DineEquity, Inc. and John C. Cywinski dated March 9, 2017 (Exhibit 10.1 to Registrant’s Form 10-Q</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for the quarter ended March 31, 2017 is incorporated herein by reference).</w:t>
        </w:r>
      </w:hyperlink>
    </w:p>
    <w:p>
      <w:pPr>
        <w:spacing w:after="0" w:line="1" w:lineRule="exact"/>
        <w:rPr>
          <w:sz w:val="20"/>
          <w:szCs w:val="20"/>
          <w:color w:val="auto"/>
        </w:rPr>
      </w:pPr>
    </w:p>
    <w:p>
      <w:pPr>
        <w:ind w:left="540" w:right="360" w:hanging="440"/>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149">
        <w:r>
          <w:rPr>
            <w:rFonts w:ascii="Times New Roman" w:cs="Times New Roman" w:eastAsia="Times New Roman" w:hAnsi="Times New Roman"/>
            <w:sz w:val="18"/>
            <w:szCs w:val="18"/>
            <w:u w:val="single" w:color="auto"/>
            <w:color w:val="0000FF"/>
          </w:rPr>
          <w:t>Dine Brands Global, Inc. 2019 Stock Incentive Plan (Appendix B to Registrant’s Definitive Proxy Statement with respect to the 2019</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Annual Meeting of Stockholders filed on April 1, 2019 is incorporated herein by reference).</w:t>
        </w:r>
      </w:hyperlink>
    </w:p>
    <w:p>
      <w:pPr>
        <w:spacing w:after="0" w:line="1" w:lineRule="exact"/>
        <w:rPr>
          <w:sz w:val="20"/>
          <w:szCs w:val="20"/>
          <w:color w:val="auto"/>
        </w:rPr>
      </w:pPr>
    </w:p>
    <w:p>
      <w:pPr>
        <w:ind w:left="540" w:right="80" w:hanging="440"/>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†10.9 </w:t>
      </w:r>
      <w:hyperlink r:id="rId150">
        <w:r>
          <w:rPr>
            <w:rFonts w:ascii="Times New Roman" w:cs="Times New Roman" w:eastAsia="Times New Roman" w:hAnsi="Times New Roman"/>
            <w:sz w:val="18"/>
            <w:szCs w:val="18"/>
            <w:u w:val="single" w:color="auto"/>
            <w:color w:val="0000FF"/>
          </w:rPr>
          <w:t>Dine Brands Global, Inc. 2019 Stock Incentive Plan Cash-Settled Restricted Stock Unit Agreement - Employees - 3-year Ratable Vesting</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(Exhibit 10.2 to Registrant’s Form 10-Q for the quarter ended June 30, 2019 is incorporated herein by reference).</w:t>
        </w:r>
      </w:hyperlink>
    </w:p>
    <w:p>
      <w:pPr>
        <w:spacing w:after="0" w:line="1" w:lineRule="exact"/>
        <w:rPr>
          <w:sz w:val="20"/>
          <w:szCs w:val="20"/>
          <w:color w:val="auto"/>
        </w:rPr>
      </w:pPr>
    </w:p>
    <w:p>
      <w:pPr>
        <w:ind w:left="540" w:right="2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 </w:t>
      </w:r>
      <w:hyperlink r:id="rId151">
        <w:r>
          <w:rPr>
            <w:rFonts w:ascii="Times New Roman" w:cs="Times New Roman" w:eastAsia="Times New Roman" w:hAnsi="Times New Roman"/>
            <w:sz w:val="18"/>
            <w:szCs w:val="18"/>
            <w:u w:val="single" w:color="auto"/>
            <w:color w:val="0000FF"/>
          </w:rPr>
          <w:t>Dine Brands Global, Inc. 2019 Stock Incentive Plan Cash-Settled Restricted Stock Unit Agreement - Employees - 3-year Cliff Vesting</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FF"/>
          </w:rPr>
          <w:t>(Exhibit 10.3 to Registrant’s Form 10-Q for the quarter ended June 30, 2019 is incorporated herein by reference).</w:t>
        </w:r>
      </w:hyperlink>
    </w:p>
    <w:p>
      <w:pPr>
        <w:spacing w:after="0" w:line="1" w:lineRule="exact"/>
        <w:rPr>
          <w:sz w:val="20"/>
          <w:szCs w:val="20"/>
          <w:color w:val="auto"/>
        </w:rPr>
      </w:pPr>
    </w:p>
    <w:p>
      <w:pPr>
        <w:ind w:left="540" w:right="240" w:hanging="523"/>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†10.11 </w:t>
      </w:r>
      <w:hyperlink r:id="rId152">
        <w:r>
          <w:rPr>
            <w:rFonts w:ascii="Times New Roman" w:cs="Times New Roman" w:eastAsia="Times New Roman" w:hAnsi="Times New Roman"/>
            <w:sz w:val="18"/>
            <w:szCs w:val="18"/>
            <w:u w:val="single" w:color="auto"/>
            <w:color w:val="0000FF"/>
          </w:rPr>
          <w:t>Dine Brands Global, Inc. 2019 Stock Incentive Plan Stock-Settled Restricted Stock Unit Agreement - Employees - Performance-Based</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Vesting (Exhibit 10.4 to Registrant’s Form 10-Q for the quarter ended June 30, 2019 is incorporated herein by reference).</w:t>
        </w:r>
      </w:hyperlink>
    </w:p>
    <w:p>
      <w:pPr>
        <w:spacing w:after="0" w:line="1" w:lineRule="exact"/>
        <w:rPr>
          <w:sz w:val="20"/>
          <w:szCs w:val="20"/>
          <w:color w:val="auto"/>
        </w:rPr>
      </w:pPr>
    </w:p>
    <w:p>
      <w:pPr>
        <w:ind w:left="540" w:right="1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w:t>
      </w:r>
      <w:hyperlink r:id="rId153">
        <w:r>
          <w:rPr>
            <w:rFonts w:ascii="Times New Roman" w:cs="Times New Roman" w:eastAsia="Times New Roman" w:hAnsi="Times New Roman"/>
            <w:sz w:val="18"/>
            <w:szCs w:val="18"/>
            <w:u w:val="single" w:color="auto"/>
            <w:color w:val="0000FF"/>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FF"/>
          </w:rPr>
          <w:t>Ratable Vesting (Exhibit 10.5 to Registrant’s Form 10-Q for the quarter ended June 30, 2019 is incorporated herein by reference).</w:t>
        </w:r>
      </w:hyperlink>
    </w:p>
    <w:p>
      <w:pPr>
        <w:spacing w:after="0" w:line="1" w:lineRule="exact"/>
        <w:rPr>
          <w:sz w:val="20"/>
          <w:szCs w:val="20"/>
          <w:color w:val="auto"/>
        </w:rPr>
      </w:pPr>
    </w:p>
    <w:p>
      <w:pPr>
        <w:ind w:left="540" w:right="2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†10.13 </w:t>
      </w:r>
      <w:hyperlink r:id="rId154">
        <w:r>
          <w:rPr>
            <w:rFonts w:ascii="Times New Roman" w:cs="Times New Roman" w:eastAsia="Times New Roman" w:hAnsi="Times New Roman"/>
            <w:sz w:val="18"/>
            <w:szCs w:val="18"/>
            <w:u w:val="single" w:color="auto"/>
            <w:color w:val="0000FF"/>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0000FF"/>
          </w:rPr>
          <w:t>Cliff Vesting (Exhibit 10.6 to Registrant’s Form 10-Q for the quarter ended June 30, 2019 is incorporated herein by reference).</w:t>
        </w:r>
      </w:hyperlink>
    </w:p>
    <w:p>
      <w:pPr>
        <w:spacing w:after="0" w:line="1" w:lineRule="exact"/>
        <w:rPr>
          <w:sz w:val="20"/>
          <w:szCs w:val="20"/>
          <w:color w:val="auto"/>
        </w:rPr>
      </w:pPr>
    </w:p>
    <w:p>
      <w:pPr>
        <w:ind w:left="540" w:right="20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w:t>
      </w:r>
      <w:hyperlink r:id="rId155">
        <w:r>
          <w:rPr>
            <w:rFonts w:ascii="Times New Roman" w:cs="Times New Roman" w:eastAsia="Times New Roman" w:hAnsi="Times New Roman"/>
            <w:sz w:val="18"/>
            <w:szCs w:val="18"/>
            <w:u w:val="single" w:color="auto"/>
            <w:color w:val="0000FF"/>
          </w:rPr>
          <w:t>Dine Brands Global, Inc. 2019 Stock Incentive Plan Stock-Settled Restricted Stock Unit Agreement - Non-Employee Directors - 1-year</w:t>
        </w:r>
      </w:hyperlink>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FF"/>
          </w:rPr>
          <w:t>Cliff Vesting (Exhibit 10.7 to Registrant’s Form 10-Q for the quarter ended June 30, 2019 is incorporated herein by reference).</w:t>
        </w:r>
      </w:hyperlink>
    </w:p>
    <w:p>
      <w:pPr>
        <w:spacing w:after="0" w:line="1" w:lineRule="exact"/>
        <w:rPr>
          <w:sz w:val="20"/>
          <w:szCs w:val="20"/>
          <w:color w:val="auto"/>
        </w:rPr>
      </w:pPr>
    </w:p>
    <w:p>
      <w:pPr>
        <w:ind w:left="5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†10.15 </w:t>
      </w:r>
      <w:hyperlink r:id="rId156">
        <w:r>
          <w:rPr>
            <w:rFonts w:ascii="Times New Roman" w:cs="Times New Roman" w:eastAsia="Times New Roman" w:hAnsi="Times New Roman"/>
            <w:sz w:val="18"/>
            <w:szCs w:val="18"/>
            <w:u w:val="single" w:color="auto"/>
            <w:color w:val="0000FF"/>
          </w:rPr>
          <w:t>Dine Brands Global, Inc. 2019 Stock Incentive Plan Nonqualified Stock Option Agreement - Employees - 3-year Ratable Vesting (Exhibit</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FF"/>
          </w:rPr>
          <w:t>10.8 to Registrant’s Form 10-Q for the quarter ended June 30, 2019 is incorporated herein by reference).</w:t>
        </w:r>
      </w:hyperlink>
    </w:p>
    <w:p>
      <w:pPr>
        <w:spacing w:after="0" w:line="1" w:lineRule="exact"/>
        <w:rPr>
          <w:sz w:val="20"/>
          <w:szCs w:val="20"/>
          <w:color w:val="auto"/>
        </w:rPr>
      </w:pPr>
    </w:p>
    <w:p>
      <w:pPr>
        <w:ind w:left="540" w:right="26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†10.16 </w:t>
      </w:r>
      <w:hyperlink r:id="rId157">
        <w:r>
          <w:rPr>
            <w:rFonts w:ascii="Times New Roman" w:cs="Times New Roman" w:eastAsia="Times New Roman" w:hAnsi="Times New Roman"/>
            <w:sz w:val="18"/>
            <w:szCs w:val="18"/>
            <w:u w:val="single" w:color="auto"/>
            <w:color w:val="0000FF"/>
          </w:rPr>
          <w:t>Dine Brands Global, Inc. 2019 Stock Incentive Plan Nonqualified Stock Option Agreement - International Employees - 3-year Ratable</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Vesting (Exhibit 10.9 to Registrant’s Form 10-Q for the quarter ended June 30, 2019 is incorporated herein by reference).</w:t>
        </w:r>
      </w:hyperlink>
    </w:p>
    <w:p>
      <w:pPr>
        <w:spacing w:after="0" w:line="1" w:lineRule="exact"/>
        <w:rPr>
          <w:sz w:val="20"/>
          <w:szCs w:val="20"/>
          <w:color w:val="auto"/>
        </w:rPr>
      </w:pPr>
    </w:p>
    <w:p>
      <w:pPr>
        <w:ind w:left="540" w:right="2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†10.17 </w:t>
      </w:r>
      <w:hyperlink r:id="rId158">
        <w:r>
          <w:rPr>
            <w:rFonts w:ascii="Times New Roman" w:cs="Times New Roman" w:eastAsia="Times New Roman" w:hAnsi="Times New Roman"/>
            <w:sz w:val="18"/>
            <w:szCs w:val="18"/>
            <w:u w:val="single" w:color="auto"/>
            <w:color w:val="0000FF"/>
          </w:rPr>
          <w:t>Dine Brands Global, Inc. 2019 Stock Incentive Plan Nonqualified Stock Option Agreement - Employees - Performance-Based Vesting</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0000FF"/>
          </w:rPr>
          <w:t>(Exhibit 10.10 to Registrant’s Form 10-Q for the quarter ended June 30, 2019 is incorporated herein by reference).</w:t>
        </w:r>
      </w:hyperlink>
    </w:p>
    <w:p>
      <w:pPr>
        <w:spacing w:after="0" w:line="1" w:lineRule="exact"/>
        <w:rPr>
          <w:sz w:val="20"/>
          <w:szCs w:val="20"/>
          <w:color w:val="auto"/>
        </w:rPr>
      </w:pPr>
    </w:p>
    <w:p>
      <w:pPr>
        <w:ind w:left="540" w:right="16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59">
        <w:r>
          <w:rPr>
            <w:rFonts w:ascii="Times New Roman" w:cs="Times New Roman" w:eastAsia="Times New Roman" w:hAnsi="Times New Roman"/>
            <w:sz w:val="18"/>
            <w:szCs w:val="18"/>
            <w:u w:val="single" w:color="auto"/>
            <w:color w:val="0000FF"/>
          </w:rPr>
          <w:t>Dine Brands Global, Inc. 2019 Stock Incentive Plan Performance Unit Award Agreement - Double Metric (Exhibit 10.11 to Registrant’s</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FF"/>
          </w:rPr>
          <w:t>Form 10-Q for the quarter ended June 30, 2019 is incorporated herein by reference).</w:t>
        </w:r>
      </w:hyperlink>
    </w:p>
    <w:p>
      <w:pPr>
        <w:spacing w:after="0" w:line="1" w:lineRule="exact"/>
        <w:rPr>
          <w:sz w:val="20"/>
          <w:szCs w:val="20"/>
          <w:color w:val="auto"/>
        </w:rPr>
      </w:pPr>
    </w:p>
    <w:p>
      <w:pPr>
        <w:ind w:left="540" w:right="26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160">
        <w:r>
          <w:rPr>
            <w:rFonts w:ascii="Times New Roman" w:cs="Times New Roman" w:eastAsia="Times New Roman" w:hAnsi="Times New Roman"/>
            <w:sz w:val="18"/>
            <w:szCs w:val="18"/>
            <w:u w:val="single" w:color="auto"/>
            <w:color w:val="0000FF"/>
          </w:rPr>
          <w:t>Dine Brands Global, Inc. 2019 Stock Incentive Plan Restricted Stock Award Agreement - Employees - 3-year Ratable Vesting (Exhibit</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FF"/>
          </w:rPr>
          <w:t>10.12 to Registrant’s Form 10-Q for the quarter ended June 30, 2019 is incorporated herein by reference).</w:t>
        </w:r>
      </w:hyperlink>
    </w:p>
    <w:p>
      <w:pPr>
        <w:spacing w:after="0" w:line="1" w:lineRule="exact"/>
        <w:rPr>
          <w:sz w:val="20"/>
          <w:szCs w:val="20"/>
          <w:color w:val="auto"/>
        </w:rPr>
      </w:pPr>
    </w:p>
    <w:p>
      <w:pPr>
        <w:ind w:left="540" w:right="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†10.20 </w:t>
      </w:r>
      <w:hyperlink r:id="rId161">
        <w:r>
          <w:rPr>
            <w:rFonts w:ascii="Times New Roman" w:cs="Times New Roman" w:eastAsia="Times New Roman" w:hAnsi="Times New Roman"/>
            <w:sz w:val="18"/>
            <w:szCs w:val="18"/>
            <w:u w:val="single" w:color="auto"/>
            <w:color w:val="0000FF"/>
          </w:rPr>
          <w:t>Dine Brands Global, Inc. 2019 Stock Incentive Plan Restricted Stock Award Agreement - Employees - 3-year Cliff Vesting (Exhibit 10.13</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FF"/>
          </w:rPr>
          <w:t>to Registrant’s Form 10-Q for the quarter ended June 30, 2019 is incorporated herein by reference).</w:t>
        </w:r>
      </w:hyperlink>
    </w:p>
    <w:p>
      <w:pPr>
        <w:spacing w:after="0" w:line="1" w:lineRule="exact"/>
        <w:rPr>
          <w:sz w:val="20"/>
          <w:szCs w:val="20"/>
          <w:color w:val="auto"/>
        </w:rPr>
      </w:pPr>
    </w:p>
    <w:p>
      <w:pPr>
        <w:ind w:left="540" w:right="480" w:hanging="529"/>
        <w:spacing w:after="0" w:line="22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162">
        <w:r>
          <w:rPr>
            <w:rFonts w:ascii="Times New Roman" w:cs="Times New Roman" w:eastAsia="Times New Roman" w:hAnsi="Times New Roman"/>
            <w:sz w:val="18"/>
            <w:szCs w:val="18"/>
            <w:u w:val="single" w:color="auto"/>
            <w:color w:val="0000FF"/>
          </w:rPr>
          <w:t>Dine Brands Global, Inc. 2019 Stock Incentive Plan Restricted Stock Award Agreement - Employees - 3-year Cliff Vesting with</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FF"/>
          </w:rPr>
          <w:t>Accelerated Vesting for Termination without Cause (Exhibit 10.14 to Registrant’s Form 10-Q for the quarter ended June 30, 2019 is</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rFonts w:ascii="Times New Roman" w:cs="Times New Roman" w:eastAsia="Times New Roman" w:hAnsi="Times New Roman"/>
          <w:sz w:val="18"/>
          <w:szCs w:val="18"/>
          <w:color w:val="auto"/>
        </w:rPr>
      </w:pPr>
    </w:p>
    <w:p>
      <w:pPr>
        <w:ind w:left="540" w:right="3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63">
        <w:r>
          <w:rPr>
            <w:rFonts w:ascii="Times New Roman" w:cs="Times New Roman" w:eastAsia="Times New Roman" w:hAnsi="Times New Roman"/>
            <w:sz w:val="18"/>
            <w:szCs w:val="18"/>
            <w:u w:val="single" w:color="auto"/>
            <w:color w:val="0000FF"/>
          </w:rPr>
          <w:t>Dine Brands Global, Inc. 2016 Stock Incentive Plan (Exhibit 10.1 to Registrant’s Form 10-Q for the quarter ended March 31, 2018 is</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sz w:val="20"/>
          <w:szCs w:val="20"/>
          <w:color w:val="auto"/>
        </w:rPr>
      </w:pPr>
    </w:p>
    <w:p>
      <w:pPr>
        <w:ind w:left="540" w:right="6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164">
        <w:r>
          <w:rPr>
            <w:rFonts w:ascii="Times New Roman" w:cs="Times New Roman" w:eastAsia="Times New Roman" w:hAnsi="Times New Roman"/>
            <w:sz w:val="18"/>
            <w:szCs w:val="18"/>
            <w:u w:val="single" w:color="auto"/>
            <w:color w:val="0000FF"/>
          </w:rPr>
          <w:t>Dine Brands Global, Inc. 2016 Stock Incentive Plan Restricted Stock Agreement One-Fourth Annual Vesting - Employees (Exhibit 10.22</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u w:val="single" w:color="auto"/>
            <w:color w:val="0000FF"/>
          </w:rPr>
          <w:t>to Registrant’s Form 10-Q for the quarter ended March 31, 2018 is incorporated herein by reference).</w:t>
        </w:r>
      </w:hyperlink>
    </w:p>
    <w:p>
      <w:pPr>
        <w:spacing w:after="0" w:line="1" w:lineRule="exact"/>
        <w:rPr>
          <w:sz w:val="20"/>
          <w:szCs w:val="20"/>
          <w:color w:val="auto"/>
        </w:rPr>
      </w:pPr>
    </w:p>
    <w:p>
      <w:pPr>
        <w:ind w:left="540" w:right="1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65">
        <w:r>
          <w:rPr>
            <w:rFonts w:ascii="Times New Roman" w:cs="Times New Roman" w:eastAsia="Times New Roman" w:hAnsi="Times New Roman"/>
            <w:sz w:val="18"/>
            <w:szCs w:val="18"/>
            <w:u w:val="single" w:color="auto"/>
            <w:color w:val="0000FF"/>
          </w:rPr>
          <w:t>Dine Brands Global, Inc. 2016 Stock Incentive Plan Restricted Stock Agreement One-Third Annual Vesting - Employees (Exhibit 10.23</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0000FF"/>
          </w:rPr>
          <w:t>to Registrant’s Form 10-Q for the quarter ended March 31, 2018 is incorporated herein by reference).</w:t>
        </w:r>
      </w:hyperlink>
    </w:p>
    <w:p>
      <w:pPr>
        <w:spacing w:after="0" w:line="1" w:lineRule="exact"/>
        <w:rPr>
          <w:sz w:val="20"/>
          <w:szCs w:val="20"/>
          <w:color w:val="auto"/>
        </w:rPr>
      </w:pPr>
    </w:p>
    <w:p>
      <w:pPr>
        <w:ind w:left="540" w:right="1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166">
        <w:r>
          <w:rPr>
            <w:rFonts w:ascii="Times New Roman" w:cs="Times New Roman" w:eastAsia="Times New Roman" w:hAnsi="Times New Roman"/>
            <w:sz w:val="18"/>
            <w:szCs w:val="18"/>
            <w:u w:val="single" w:color="auto"/>
            <w:color w:val="0000FF"/>
          </w:rPr>
          <w:t>Dine Brands Global, Inc. 2016 Stock Incentive Plan Restricted Stock Agreement 25/25/50% Annual Vesting - Employees (Exhibit 10.17</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FF"/>
          </w:rPr>
          <w:t>to Registrant’s Form 10-Q for the quarter ended March 31, 2018 is incorporated herein by reference).</w:t>
        </w:r>
      </w:hyperlink>
    </w:p>
    <w:p>
      <w:pPr>
        <w:spacing w:after="0" w:line="1" w:lineRule="exact"/>
        <w:rPr>
          <w:sz w:val="20"/>
          <w:szCs w:val="20"/>
          <w:color w:val="auto"/>
        </w:rPr>
      </w:pPr>
    </w:p>
    <w:p>
      <w:pPr>
        <w:ind w:left="540" w:right="1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†10.26 </w:t>
      </w:r>
      <w:hyperlink r:id="rId167">
        <w:r>
          <w:rPr>
            <w:rFonts w:ascii="Times New Roman" w:cs="Times New Roman" w:eastAsia="Times New Roman" w:hAnsi="Times New Roman"/>
            <w:sz w:val="18"/>
            <w:szCs w:val="18"/>
            <w:u w:val="single" w:color="auto"/>
            <w:color w:val="0000FF"/>
          </w:rPr>
          <w:t>Dine Brands Global, Inc. 2016 Stock Incentive Plan Restricted Stock Agreement - Employees (Exhibit 10.18 to Registrant’s Form 10-Q</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FF"/>
          </w:rPr>
          <w:t>for the quarter ended March 31, 2018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107" w:name="page108"/>
    <w:bookmarkEnd w:id="107"/>
    <w:p>
      <w:pPr>
        <w:ind w:left="540" w:right="820" w:hanging="529"/>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w:t>
      </w:r>
      <w:hyperlink r:id="rId169">
        <w:r>
          <w:rPr>
            <w:rFonts w:ascii="Times New Roman" w:cs="Times New Roman" w:eastAsia="Times New Roman" w:hAnsi="Times New Roman"/>
            <w:sz w:val="18"/>
            <w:szCs w:val="18"/>
            <w:u w:val="single" w:color="auto"/>
            <w:color w:val="0000FF"/>
          </w:rPr>
          <w:t>Dine Brands Global, Inc. 2016 Stock Incentive Plan Restricted Stock Agreement - Non-Employee Directors (Exhibit 10.19 to</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w:t>
      </w:r>
      <w:hyperlink r:id="rId170">
        <w:r>
          <w:rPr>
            <w:rFonts w:ascii="Times New Roman" w:cs="Times New Roman" w:eastAsia="Times New Roman" w:hAnsi="Times New Roman"/>
            <w:sz w:val="18"/>
            <w:szCs w:val="18"/>
            <w:u w:val="single" w:color="auto"/>
            <w:color w:val="0000FF"/>
          </w:rPr>
          <w:t>Dine Brands Global, Inc. 2016 Stock Incentive Plan Restricted Stock Agreement - Employees - Specified Date Vesting (Exhibit 10.20 to</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†10.29 </w:t>
      </w:r>
      <w:hyperlink r:id="rId171">
        <w:r>
          <w:rPr>
            <w:rFonts w:ascii="Times New Roman" w:cs="Times New Roman" w:eastAsia="Times New Roman" w:hAnsi="Times New Roman"/>
            <w:sz w:val="18"/>
            <w:szCs w:val="18"/>
            <w:u w:val="single" w:color="auto"/>
            <w:color w:val="0000FF"/>
          </w:rPr>
          <w:t>Dine Brands Global, Inc. 2016 Stock Incentive Plan Restricted Stock Agreement - Employees - 50/50% Annual Vesting (Exhibit 10.21 to</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6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†10.30 </w:t>
      </w:r>
      <w:hyperlink r:id="rId172">
        <w:r>
          <w:rPr>
            <w:rFonts w:ascii="Times New Roman" w:cs="Times New Roman" w:eastAsia="Times New Roman" w:hAnsi="Times New Roman"/>
            <w:sz w:val="18"/>
            <w:szCs w:val="18"/>
            <w:u w:val="single" w:color="auto"/>
            <w:color w:val="0000FF"/>
          </w:rPr>
          <w:t>Dine Brands Global, Inc. 2016 Stock Incentive Plan Restricted Stock Agreement - Employees - Annual Vesting (Exhibit 10.24 to</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3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173">
        <w:r>
          <w:rPr>
            <w:rFonts w:ascii="Times New Roman" w:cs="Times New Roman" w:eastAsia="Times New Roman" w:hAnsi="Times New Roman"/>
            <w:sz w:val="18"/>
            <w:szCs w:val="18"/>
            <w:u w:val="single" w:color="auto"/>
            <w:color w:val="0000FF"/>
          </w:rPr>
          <w:t>Dine Brands Global, Inc. 2016 Stock Incentive Plan Restricted Stock Agreement - Employees - 20/40/20/20 Vesting (Exhibit 10.1 to</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FF"/>
          </w:rPr>
          <w:t>Registrant’s Form 10-Q for the quarter ended June 30, 2018 is incorporated herein by reference).</w:t>
        </w:r>
      </w:hyperlink>
    </w:p>
    <w:p>
      <w:pPr>
        <w:spacing w:after="0" w:line="1" w:lineRule="exact"/>
        <w:rPr>
          <w:sz w:val="20"/>
          <w:szCs w:val="20"/>
          <w:color w:val="auto"/>
        </w:rPr>
      </w:pPr>
    </w:p>
    <w:p>
      <w:pPr>
        <w:ind w:left="540" w:right="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†10.32 </w:t>
      </w:r>
      <w:hyperlink r:id="rId174">
        <w:r>
          <w:rPr>
            <w:rFonts w:ascii="Times New Roman" w:cs="Times New Roman" w:eastAsia="Times New Roman" w:hAnsi="Times New Roman"/>
            <w:sz w:val="18"/>
            <w:szCs w:val="18"/>
            <w:u w:val="single" w:color="auto"/>
            <w:color w:val="0000FF"/>
          </w:rPr>
          <w:t>Dine Brands Global, Inc. 2016 Stock Incentive Plan Stock-Settled RSU Agreement -Employees (Exhibit 10.8 to Registrant’s Form 10-Q</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for the quarter ended March 31, 2018 is incorporated herein by reference).</w:t>
        </w:r>
      </w:hyperlink>
    </w:p>
    <w:p>
      <w:pPr>
        <w:spacing w:after="0" w:line="1" w:lineRule="exact"/>
        <w:rPr>
          <w:sz w:val="20"/>
          <w:szCs w:val="20"/>
          <w:color w:val="auto"/>
        </w:rPr>
      </w:pPr>
    </w:p>
    <w:p>
      <w:pPr>
        <w:ind w:left="540" w:right="2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†10.33 </w:t>
      </w:r>
      <w:hyperlink r:id="rId175">
        <w:r>
          <w:rPr>
            <w:rFonts w:ascii="Times New Roman" w:cs="Times New Roman" w:eastAsia="Times New Roman" w:hAnsi="Times New Roman"/>
            <w:sz w:val="18"/>
            <w:szCs w:val="18"/>
            <w:u w:val="single" w:color="auto"/>
            <w:color w:val="0000FF"/>
          </w:rPr>
          <w:t>Dine Brands Global, Inc. 2016 Stock Incentive Plan Stock-Settled RSU Agreement -Employees - Performance Based (Exhibit 10.5 to</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†10.34 </w:t>
      </w:r>
      <w:hyperlink r:id="rId176">
        <w:r>
          <w:rPr>
            <w:rFonts w:ascii="Times New Roman" w:cs="Times New Roman" w:eastAsia="Times New Roman" w:hAnsi="Times New Roman"/>
            <w:sz w:val="18"/>
            <w:szCs w:val="18"/>
            <w:u w:val="single" w:color="auto"/>
            <w:color w:val="0000FF"/>
          </w:rPr>
          <w:t>Dine Brands Global, Inc. 2016 Stock Incentive Plan Stock-Settled RSU Agreement - Non-Employee Directors - 1 Year Vesting. (Exhibit</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10.21 to Registrant’s Form 10-K for the year ended December 31, 2018 is incorporated herein by reference).</w:t>
        </w:r>
      </w:hyperlink>
    </w:p>
    <w:p>
      <w:pPr>
        <w:spacing w:after="0" w:line="1" w:lineRule="exact"/>
        <w:rPr>
          <w:sz w:val="20"/>
          <w:szCs w:val="20"/>
          <w:color w:val="auto"/>
        </w:rPr>
      </w:pPr>
    </w:p>
    <w:p>
      <w:pPr>
        <w:ind w:left="540" w:right="2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†10.35 </w:t>
      </w:r>
      <w:hyperlink r:id="rId177">
        <w:r>
          <w:rPr>
            <w:rFonts w:ascii="Times New Roman" w:cs="Times New Roman" w:eastAsia="Times New Roman" w:hAnsi="Times New Roman"/>
            <w:sz w:val="18"/>
            <w:szCs w:val="18"/>
            <w:u w:val="single" w:color="auto"/>
            <w:color w:val="0000FF"/>
          </w:rPr>
          <w:t>Dine Brands Global, Inc. 2016 Stock Incentive Plan Stock-Settled RSU Agreement 50/50% Annual Vesting - International Employees</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(Exhibit 10.6 to Registrant’s Form 10-Q for the quarter ended March 31, 2018 is incorporated herein by reference).</w:t>
        </w:r>
      </w:hyperlink>
    </w:p>
    <w:p>
      <w:pPr>
        <w:spacing w:after="0" w:line="1" w:lineRule="exact"/>
        <w:rPr>
          <w:sz w:val="20"/>
          <w:szCs w:val="20"/>
          <w:color w:val="auto"/>
        </w:rPr>
      </w:pPr>
    </w:p>
    <w:p>
      <w:pPr>
        <w:ind w:left="540" w:right="8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†10.36 </w:t>
      </w:r>
      <w:hyperlink r:id="rId178">
        <w:r>
          <w:rPr>
            <w:rFonts w:ascii="Times New Roman" w:cs="Times New Roman" w:eastAsia="Times New Roman" w:hAnsi="Times New Roman"/>
            <w:sz w:val="18"/>
            <w:szCs w:val="18"/>
            <w:u w:val="single" w:color="auto"/>
            <w:color w:val="0000FF"/>
          </w:rPr>
          <w:t>Dine Brands Global, Inc. 2016 Stock Incentive Plan Stock-Settled RSU Agreement - International Employees (Exhibit 10.7 to</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20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†10.37 </w:t>
      </w:r>
      <w:hyperlink r:id="rId179">
        <w:r>
          <w:rPr>
            <w:rFonts w:ascii="Times New Roman" w:cs="Times New Roman" w:eastAsia="Times New Roman" w:hAnsi="Times New Roman"/>
            <w:sz w:val="18"/>
            <w:szCs w:val="18"/>
            <w:u w:val="single" w:color="auto"/>
            <w:color w:val="0000FF"/>
          </w:rPr>
          <w:t>DineEquity, Inc. 2016 Stock Incentive Plan Stock-Settled RSU Agreement - Non-Employee Directors - 3 Year Vesting (Exhibit 10.8 to</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0000FF"/>
          </w:rPr>
          <w:t>Registrant’s Form 10-Q for the quarter ended June 30, 2016 is incorporated herein by reference).</w:t>
        </w:r>
      </w:hyperlink>
    </w:p>
    <w:p>
      <w:pPr>
        <w:spacing w:after="0" w:line="1" w:lineRule="exact"/>
        <w:rPr>
          <w:sz w:val="20"/>
          <w:szCs w:val="20"/>
          <w:color w:val="auto"/>
        </w:rPr>
      </w:pPr>
    </w:p>
    <w:p>
      <w:pPr>
        <w:ind w:left="540" w:right="10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†10.38 </w:t>
      </w:r>
      <w:hyperlink r:id="rId180">
        <w:r>
          <w:rPr>
            <w:rFonts w:ascii="Times New Roman" w:cs="Times New Roman" w:eastAsia="Times New Roman" w:hAnsi="Times New Roman"/>
            <w:sz w:val="18"/>
            <w:szCs w:val="18"/>
            <w:u w:val="single" w:color="auto"/>
            <w:color w:val="0000FF"/>
          </w:rPr>
          <w:t>Dine Brands Global, Inc. 2016 Stock Incentive Plan Cash-Settled RSU Agreement - Employees (Exhibit 10.3 to Registrant’s Form 10-Q</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FF"/>
          </w:rPr>
          <w:t>for the quarter ended March 31, 2018 is incorporated herein by reference).</w:t>
        </w:r>
      </w:hyperlink>
    </w:p>
    <w:p>
      <w:pPr>
        <w:spacing w:after="0" w:line="1" w:lineRule="exact"/>
        <w:rPr>
          <w:sz w:val="20"/>
          <w:szCs w:val="20"/>
          <w:color w:val="auto"/>
        </w:rPr>
      </w:pPr>
    </w:p>
    <w:p>
      <w:pPr>
        <w:ind w:left="540" w:right="7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†10.39 </w:t>
      </w:r>
      <w:hyperlink r:id="rId181">
        <w:r>
          <w:rPr>
            <w:rFonts w:ascii="Times New Roman" w:cs="Times New Roman" w:eastAsia="Times New Roman" w:hAnsi="Times New Roman"/>
            <w:sz w:val="18"/>
            <w:szCs w:val="18"/>
            <w:u w:val="single" w:color="auto"/>
            <w:color w:val="0000FF"/>
          </w:rPr>
          <w:t>Dine Brands Global, Inc. 2016 Stock Incentive Plan Cash-Settled RSU Agreement - Non-Employee Directors (Exhibit 10.2 to</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8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†10.40 </w:t>
      </w:r>
      <w:hyperlink r:id="rId182">
        <w:r>
          <w:rPr>
            <w:rFonts w:ascii="Times New Roman" w:cs="Times New Roman" w:eastAsia="Times New Roman" w:hAnsi="Times New Roman"/>
            <w:sz w:val="18"/>
            <w:szCs w:val="18"/>
            <w:u w:val="single" w:color="auto"/>
            <w:color w:val="0000FF"/>
          </w:rPr>
          <w:t>Dine Brands Global, Inc. 2016 Stock Incentive Plan Cash-Settled RSU Agreement - International Employees (Exhibit 10.4 to</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26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†10.41 </w:t>
      </w:r>
      <w:hyperlink r:id="rId183">
        <w:r>
          <w:rPr>
            <w:rFonts w:ascii="Times New Roman" w:cs="Times New Roman" w:eastAsia="Times New Roman" w:hAnsi="Times New Roman"/>
            <w:sz w:val="18"/>
            <w:szCs w:val="18"/>
            <w:u w:val="single" w:color="auto"/>
            <w:color w:val="0000FF"/>
          </w:rPr>
          <w:t>Dine Brands Global, Inc. 2016 Stock Incentive Plan Nonqualified Stock Option Agreement - Employees (Exhibit 10.9 to Registrant’s</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Form 10-Q for the quarter ended March 31, 2018 is incorporated herein by reference).</w:t>
        </w:r>
      </w:hyperlink>
    </w:p>
    <w:p>
      <w:pPr>
        <w:spacing w:after="0" w:line="1" w:lineRule="exact"/>
        <w:rPr>
          <w:sz w:val="20"/>
          <w:szCs w:val="20"/>
          <w:color w:val="auto"/>
        </w:rPr>
      </w:pPr>
    </w:p>
    <w:p>
      <w:pPr>
        <w:ind w:left="540" w:right="540" w:hanging="529"/>
        <w:spacing w:after="0" w:line="24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†10.42 </w:t>
      </w:r>
      <w:hyperlink r:id="rId184">
        <w:r>
          <w:rPr>
            <w:rFonts w:ascii="Times New Roman" w:cs="Times New Roman" w:eastAsia="Times New Roman" w:hAnsi="Times New Roman"/>
            <w:sz w:val="17"/>
            <w:szCs w:val="17"/>
            <w:u w:val="single" w:color="auto"/>
            <w:color w:val="0000FF"/>
          </w:rPr>
          <w:t>Dine Brands Global, Inc. 2016 Stock Incentive Plan Nonqualified Stock Option Agreement - Employees - Accelerated Retirement</w:t>
        </w:r>
      </w:hyperlink>
      <w:r>
        <w:rPr>
          <w:rFonts w:ascii="Times New Roman" w:cs="Times New Roman" w:eastAsia="Times New Roman" w:hAnsi="Times New Roman"/>
          <w:sz w:val="17"/>
          <w:szCs w:val="17"/>
          <w:color w:val="auto"/>
        </w:rPr>
        <w:t xml:space="preserve"> </w:t>
      </w:r>
      <w:hyperlink r:id="rId184">
        <w:r>
          <w:rPr>
            <w:rFonts w:ascii="Times New Roman" w:cs="Times New Roman" w:eastAsia="Times New Roman" w:hAnsi="Times New Roman"/>
            <w:sz w:val="17"/>
            <w:szCs w:val="17"/>
            <w:u w:val="single" w:color="auto"/>
            <w:color w:val="0000FF"/>
          </w:rPr>
          <w:t>Vesting (Exhibit 10.29 to Registrant’s Form 10-K for the year ended December 31, 2018 is incorporated herein by reference).</w:t>
        </w:r>
      </w:hyperlink>
    </w:p>
    <w:p>
      <w:pPr>
        <w:spacing w:after="0" w:line="1" w:lineRule="exact"/>
        <w:rPr>
          <w:sz w:val="20"/>
          <w:szCs w:val="20"/>
          <w:color w:val="auto"/>
        </w:rPr>
      </w:pPr>
    </w:p>
    <w:p>
      <w:pPr>
        <w:ind w:left="540" w:right="1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†10.43 </w:t>
      </w:r>
      <w:hyperlink r:id="rId185">
        <w:r>
          <w:rPr>
            <w:rFonts w:ascii="Times New Roman" w:cs="Times New Roman" w:eastAsia="Times New Roman" w:hAnsi="Times New Roman"/>
            <w:sz w:val="18"/>
            <w:szCs w:val="18"/>
            <w:u w:val="single" w:color="auto"/>
            <w:color w:val="0000FF"/>
          </w:rPr>
          <w:t>Dine Brands Global, Inc. 2016 Stock Incentive Plan Nonqualified Stock Option Agreement - Non-Employee Directors (Exhibit 10.11 to</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16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†10.44 </w:t>
      </w:r>
      <w:hyperlink r:id="rId186">
        <w:r>
          <w:rPr>
            <w:rFonts w:ascii="Times New Roman" w:cs="Times New Roman" w:eastAsia="Times New Roman" w:hAnsi="Times New Roman"/>
            <w:sz w:val="18"/>
            <w:szCs w:val="18"/>
            <w:u w:val="single" w:color="auto"/>
            <w:color w:val="0000FF"/>
          </w:rPr>
          <w:t>Dine Brands Global, Inc. 2016 Stock Incentive Plan Nonqualified Stock Option Agreement - International Employees (Exhibit 10.10 to</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40" w:hanging="529"/>
        <w:spacing w:after="0" w:line="24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†10.45 </w:t>
      </w:r>
      <w:hyperlink r:id="rId187">
        <w:r>
          <w:rPr>
            <w:rFonts w:ascii="Times New Roman" w:cs="Times New Roman" w:eastAsia="Times New Roman" w:hAnsi="Times New Roman"/>
            <w:sz w:val="17"/>
            <w:szCs w:val="17"/>
            <w:u w:val="single" w:color="auto"/>
            <w:color w:val="0000FF"/>
          </w:rPr>
          <w:t>Dine Brands Global, Inc. 2016 Stock Incentive Plan Nonqualified Stock Option Agreement - International Employees - Accelerated</w:t>
        </w:r>
      </w:hyperlink>
      <w:r>
        <w:rPr>
          <w:rFonts w:ascii="Times New Roman" w:cs="Times New Roman" w:eastAsia="Times New Roman" w:hAnsi="Times New Roman"/>
          <w:sz w:val="17"/>
          <w:szCs w:val="17"/>
          <w:color w:val="auto"/>
        </w:rPr>
        <w:t xml:space="preserve"> </w:t>
      </w:r>
      <w:hyperlink r:id="rId187">
        <w:r>
          <w:rPr>
            <w:rFonts w:ascii="Times New Roman" w:cs="Times New Roman" w:eastAsia="Times New Roman" w:hAnsi="Times New Roman"/>
            <w:sz w:val="17"/>
            <w:szCs w:val="17"/>
            <w:u w:val="single" w:color="auto"/>
            <w:color w:val="0000FF"/>
          </w:rPr>
          <w:t>Retirement Vesting (Exhibit 10.32 to Registrant’s Form 10-K for the year ended December 31, 2018 is incorporated herein by reference).</w:t>
        </w:r>
      </w:hyperlink>
    </w:p>
    <w:p>
      <w:pPr>
        <w:spacing w:after="0" w:line="1" w:lineRule="exact"/>
        <w:rPr>
          <w:sz w:val="20"/>
          <w:szCs w:val="20"/>
          <w:color w:val="auto"/>
        </w:rPr>
      </w:pPr>
    </w:p>
    <w:p>
      <w:pPr>
        <w:ind w:left="540" w:right="20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†10.46 </w:t>
      </w:r>
      <w:hyperlink r:id="rId188">
        <w:r>
          <w:rPr>
            <w:rFonts w:ascii="Times New Roman" w:cs="Times New Roman" w:eastAsia="Times New Roman" w:hAnsi="Times New Roman"/>
            <w:sz w:val="18"/>
            <w:szCs w:val="18"/>
            <w:u w:val="single" w:color="auto"/>
            <w:color w:val="0000FF"/>
          </w:rPr>
          <w:t>Dine Brands Global, Inc. 2016 Stock Incentive Plan Nonqualified Stock Option Agreement - Employees - Performance Based (Exhibit</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10.12 to Registrant’s Form 10-Q for the quarter ended March 31, 2018 is incorporated herein by reference).</w:t>
        </w:r>
      </w:hyperlink>
    </w:p>
    <w:p>
      <w:pPr>
        <w:spacing w:after="0" w:line="1" w:lineRule="exact"/>
        <w:rPr>
          <w:sz w:val="20"/>
          <w:szCs w:val="20"/>
          <w:color w:val="auto"/>
        </w:rPr>
      </w:pPr>
    </w:p>
    <w:p>
      <w:pPr>
        <w:ind w:left="5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†10.47 </w:t>
      </w:r>
      <w:hyperlink r:id="rId189">
        <w:r>
          <w:rPr>
            <w:rFonts w:ascii="Times New Roman" w:cs="Times New Roman" w:eastAsia="Times New Roman" w:hAnsi="Times New Roman"/>
            <w:sz w:val="18"/>
            <w:szCs w:val="18"/>
            <w:u w:val="single" w:color="auto"/>
            <w:color w:val="0000FF"/>
          </w:rPr>
          <w:t>Dine Brands Global, Inc. 2016 Stock Incentive Plan Performance Shares Agreement - Employees (Exhibit 10.15 to Registrant’s Form 10-</w:t>
        </w:r>
      </w:hyperlink>
      <w:hyperlink r:id="rId189">
        <w:r>
          <w:rPr>
            <w:rFonts w:ascii="Times New Roman" w:cs="Times New Roman" w:eastAsia="Times New Roman" w:hAnsi="Times New Roman"/>
            <w:sz w:val="18"/>
            <w:szCs w:val="18"/>
            <w:u w:val="single" w:color="auto"/>
            <w:color w:val="0000FF"/>
          </w:rPr>
          <w:t>Q for the quarter ended June 30, 2016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00" w:top="931" w:right="539" w:bottom="1440" w:gutter="0" w:footer="0" w:header="0"/>
        </w:sectPr>
      </w:pPr>
    </w:p>
    <w:bookmarkStart w:id="108" w:name="page109"/>
    <w:bookmarkEnd w:id="108"/>
    <w:p>
      <w:pPr>
        <w:ind w:left="540" w:right="20" w:hanging="529"/>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†10.48 </w:t>
      </w:r>
      <w:hyperlink r:id="rId191">
        <w:r>
          <w:rPr>
            <w:rFonts w:ascii="Times New Roman" w:cs="Times New Roman" w:eastAsia="Times New Roman" w:hAnsi="Times New Roman"/>
            <w:sz w:val="18"/>
            <w:szCs w:val="18"/>
            <w:u w:val="single" w:color="auto"/>
            <w:color w:val="0000FF"/>
          </w:rPr>
          <w:t>Dine Brands Global, Inc. 2016 Stock Incentive Plan Performance Shares Agreement 50% stock / 50% cash - Employees (Exhibit 10.16 to</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0000FF"/>
          </w:rPr>
          <w:t>Registrant’s Form 10-Q for the quarter ended June 30, 2016 is incorporated herein by reference).</w:t>
        </w:r>
      </w:hyperlink>
    </w:p>
    <w:p>
      <w:pPr>
        <w:spacing w:after="0" w:line="1" w:lineRule="exact"/>
        <w:rPr>
          <w:sz w:val="20"/>
          <w:szCs w:val="20"/>
          <w:color w:val="auto"/>
        </w:rPr>
      </w:pPr>
    </w:p>
    <w:p>
      <w:pPr>
        <w:ind w:left="540" w:right="5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†10.49 </w:t>
      </w:r>
      <w:hyperlink r:id="rId192">
        <w:r>
          <w:rPr>
            <w:rFonts w:ascii="Times New Roman" w:cs="Times New Roman" w:eastAsia="Times New Roman" w:hAnsi="Times New Roman"/>
            <w:sz w:val="18"/>
            <w:szCs w:val="18"/>
            <w:u w:val="single" w:color="auto"/>
            <w:color w:val="0000FF"/>
          </w:rPr>
          <w:t>Dine Brands Global, Inc. 2016 Stock Incentive Plan Performance Award Agreement - Employees - Single Metric (Exhibit 10.15 to</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4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†10.50 </w:t>
      </w:r>
      <w:hyperlink r:id="rId193">
        <w:r>
          <w:rPr>
            <w:rFonts w:ascii="Times New Roman" w:cs="Times New Roman" w:eastAsia="Times New Roman" w:hAnsi="Times New Roman"/>
            <w:sz w:val="18"/>
            <w:szCs w:val="18"/>
            <w:u w:val="single" w:color="auto"/>
            <w:color w:val="0000FF"/>
          </w:rPr>
          <w:t>Dine Brands Global, Inc. 2016 Stock Incentive Plan Performance Award Agreement - Employees - Double Metric (Exhibit 10.16 to</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0000FF"/>
          </w:rPr>
          <w:t>Registrant’s Form 10-Q for the quarter ended March 31, 2018 is incorporated herein by reference).</w:t>
        </w:r>
      </w:hyperlink>
    </w:p>
    <w:p>
      <w:pPr>
        <w:spacing w:after="0" w:line="1" w:lineRule="exact"/>
        <w:rPr>
          <w:sz w:val="20"/>
          <w:szCs w:val="20"/>
          <w:color w:val="auto"/>
        </w:rPr>
      </w:pPr>
    </w:p>
    <w:p>
      <w:pPr>
        <w:ind w:left="540" w:right="60" w:hanging="529"/>
        <w:spacing w:after="0" w:line="24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†10.51 </w:t>
      </w:r>
      <w:hyperlink r:id="rId194">
        <w:r>
          <w:rPr>
            <w:rFonts w:ascii="Times New Roman" w:cs="Times New Roman" w:eastAsia="Times New Roman" w:hAnsi="Times New Roman"/>
            <w:sz w:val="17"/>
            <w:szCs w:val="17"/>
            <w:u w:val="single" w:color="auto"/>
            <w:color w:val="0000FF"/>
          </w:rPr>
          <w:t>Dine Brands Global, Inc. 2016 Stock Incentive Plan Performance Award Agreement - Employees - Double Metric - Accelerated</w:t>
        </w:r>
      </w:hyperlink>
      <w:r>
        <w:rPr>
          <w:rFonts w:ascii="Times New Roman" w:cs="Times New Roman" w:eastAsia="Times New Roman" w:hAnsi="Times New Roman"/>
          <w:sz w:val="17"/>
          <w:szCs w:val="17"/>
          <w:color w:val="auto"/>
        </w:rPr>
        <w:t xml:space="preserve"> </w:t>
      </w:r>
      <w:hyperlink r:id="rId194">
        <w:r>
          <w:rPr>
            <w:rFonts w:ascii="Times New Roman" w:cs="Times New Roman" w:eastAsia="Times New Roman" w:hAnsi="Times New Roman"/>
            <w:sz w:val="17"/>
            <w:szCs w:val="17"/>
            <w:u w:val="single" w:color="auto"/>
            <w:color w:val="0000FF"/>
          </w:rPr>
          <w:t>Retirement Vesting (Exhibit 10.38 to Registrant’s Form 10-K for the year ended December 31, 2018 is incorporated herein by reference).</w:t>
        </w:r>
      </w:hyperlink>
    </w:p>
    <w:p>
      <w:pPr>
        <w:spacing w:after="0" w:line="1" w:lineRule="exact"/>
        <w:rPr>
          <w:sz w:val="20"/>
          <w:szCs w:val="20"/>
          <w:color w:val="auto"/>
        </w:rPr>
      </w:pPr>
    </w:p>
    <w:p>
      <w:pPr>
        <w:ind w:left="540" w:right="46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†10.52 </w:t>
      </w:r>
      <w:hyperlink r:id="rId195">
        <w:r>
          <w:rPr>
            <w:rFonts w:ascii="Times New Roman" w:cs="Times New Roman" w:eastAsia="Times New Roman" w:hAnsi="Times New Roman"/>
            <w:sz w:val="18"/>
            <w:szCs w:val="18"/>
            <w:u w:val="single" w:color="auto"/>
            <w:color w:val="0000FF"/>
          </w:rPr>
          <w:t>Dine Brands Global, Inc. 2016 Stock Incentive Plan SAR Agreement - Employees (Exhibit 10.25 to Registrant’s Form 10-Q for the</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FF"/>
          </w:rPr>
          <w:t>quarter ended March 31, 2018 is incorporated herein by reference).</w:t>
        </w:r>
      </w:hyperlink>
    </w:p>
    <w:p>
      <w:pPr>
        <w:spacing w:after="0" w:line="1" w:lineRule="exact"/>
        <w:rPr>
          <w:sz w:val="20"/>
          <w:szCs w:val="20"/>
          <w:color w:val="auto"/>
        </w:rPr>
      </w:pPr>
    </w:p>
    <w:p>
      <w:pPr>
        <w:ind w:left="540" w:right="2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†10.53 </w:t>
      </w:r>
      <w:hyperlink r:id="rId196">
        <w:r>
          <w:rPr>
            <w:rFonts w:ascii="Times New Roman" w:cs="Times New Roman" w:eastAsia="Times New Roman" w:hAnsi="Times New Roman"/>
            <w:sz w:val="18"/>
            <w:szCs w:val="18"/>
            <w:u w:val="single" w:color="auto"/>
            <w:color w:val="0000FF"/>
          </w:rPr>
          <w:t>Dine Brands Global, Inc. 2016 Stock Incentive Plan Performance Award Agreement - Employees - Double Metric - Cycle 10 (Exhibit</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10.1 to Registrant’s Form 10-Q for the quarter ended March 31, 2019 is incorporated herein by reference).</w:t>
        </w:r>
      </w:hyperlink>
    </w:p>
    <w:p>
      <w:pPr>
        <w:spacing w:after="0" w:line="1" w:lineRule="exact"/>
        <w:rPr>
          <w:sz w:val="20"/>
          <w:szCs w:val="20"/>
          <w:color w:val="auto"/>
        </w:rPr>
      </w:pPr>
    </w:p>
    <w:p>
      <w:pPr>
        <w:ind w:left="540" w:right="1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†10.54 </w:t>
      </w:r>
      <w:hyperlink r:id="rId197">
        <w:r>
          <w:rPr>
            <w:rFonts w:ascii="Times New Roman" w:cs="Times New Roman" w:eastAsia="Times New Roman" w:hAnsi="Times New Roman"/>
            <w:sz w:val="18"/>
            <w:szCs w:val="18"/>
            <w:u w:val="single" w:color="auto"/>
            <w:color w:val="0000FF"/>
          </w:rPr>
          <w:t>DineEquity, Inc. 2011 Stock Incentive Plan (Annex A to Registrant's Proxy Statement, filed on April 13, 2011 is incorporated herein by</w:t>
        </w:r>
      </w:hyperlink>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0000FF"/>
          </w:rPr>
          <w:t>reference).</w:t>
        </w:r>
      </w:hyperlink>
    </w:p>
    <w:p>
      <w:pPr>
        <w:spacing w:after="0" w:line="1" w:lineRule="exact"/>
        <w:rPr>
          <w:sz w:val="20"/>
          <w:szCs w:val="20"/>
          <w:color w:val="auto"/>
        </w:rPr>
      </w:pPr>
    </w:p>
    <w:p>
      <w:pPr>
        <w:ind w:left="540" w:right="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†10.55 </w:t>
      </w:r>
      <w:hyperlink r:id="rId198">
        <w:r>
          <w:rPr>
            <w:rFonts w:ascii="Times New Roman" w:cs="Times New Roman" w:eastAsia="Times New Roman" w:hAnsi="Times New Roman"/>
            <w:sz w:val="18"/>
            <w:szCs w:val="18"/>
            <w:u w:val="single" w:color="auto"/>
            <w:color w:val="0000FF"/>
          </w:rPr>
          <w:t>DineEquity, Inc. 2011 Stock Incentive Plan Nonqualified Stock Option Agreement (Employees) (Exhibit 10.10 to Registrant's Form 10-K</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for the year ended December 31, 2011 is incorporated herein by reference).</w:t>
        </w:r>
      </w:hyperlink>
    </w:p>
    <w:p>
      <w:pPr>
        <w:spacing w:after="0" w:line="1" w:lineRule="exact"/>
        <w:rPr>
          <w:sz w:val="20"/>
          <w:szCs w:val="20"/>
          <w:color w:val="auto"/>
        </w:rPr>
      </w:pPr>
    </w:p>
    <w:p>
      <w:pPr>
        <w:ind w:left="5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†10.56 </w:t>
      </w:r>
      <w:hyperlink r:id="rId199">
        <w:r>
          <w:rPr>
            <w:rFonts w:ascii="Times New Roman" w:cs="Times New Roman" w:eastAsia="Times New Roman" w:hAnsi="Times New Roman"/>
            <w:sz w:val="18"/>
            <w:szCs w:val="18"/>
            <w:u w:val="single" w:color="auto"/>
            <w:color w:val="0000FF"/>
          </w:rPr>
          <w:t>DineEquity, Inc. 2011 Stock Incentive Plan Restricted Stock Award Agreement (Employees) (Exhibit 10.12 to Registrant's Form 10-K for</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FF"/>
          </w:rPr>
          <w:t>the year ended December 31, 2011 is incorporated herein by reference).</w:t>
        </w:r>
      </w:hyperlink>
    </w:p>
    <w:p>
      <w:pPr>
        <w:spacing w:after="0" w:line="1" w:lineRule="exact"/>
        <w:rPr>
          <w:sz w:val="20"/>
          <w:szCs w:val="20"/>
          <w:color w:val="auto"/>
        </w:rPr>
      </w:pPr>
    </w:p>
    <w:p>
      <w:pPr>
        <w:ind w:left="540" w:right="4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†10.57 </w:t>
      </w:r>
      <w:hyperlink r:id="rId200">
        <w:r>
          <w:rPr>
            <w:rFonts w:ascii="Times New Roman" w:cs="Times New Roman" w:eastAsia="Times New Roman" w:hAnsi="Times New Roman"/>
            <w:sz w:val="18"/>
            <w:szCs w:val="18"/>
            <w:u w:val="single" w:color="auto"/>
            <w:color w:val="0000FF"/>
          </w:rPr>
          <w:t>DineEquity, Inc. 2011 Stock Incentive Plan Restricted Stock Award Agreement (1/4th Annual Vesting - Employees) (Exhibit 10.1 to</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FF"/>
          </w:rPr>
          <w:t>Registrant's Form 10-Q for the quarter ended June 30, 2015 is incorporated herein by reference).</w:t>
        </w:r>
      </w:hyperlink>
    </w:p>
    <w:p>
      <w:pPr>
        <w:spacing w:after="0" w:line="1" w:lineRule="exact"/>
        <w:rPr>
          <w:sz w:val="20"/>
          <w:szCs w:val="20"/>
          <w:color w:val="auto"/>
        </w:rPr>
      </w:pPr>
    </w:p>
    <w:p>
      <w:pPr>
        <w:ind w:left="540" w:right="6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†10.58 </w:t>
      </w:r>
      <w:hyperlink r:id="rId201">
        <w:r>
          <w:rPr>
            <w:rFonts w:ascii="Times New Roman" w:cs="Times New Roman" w:eastAsia="Times New Roman" w:hAnsi="Times New Roman"/>
            <w:sz w:val="18"/>
            <w:szCs w:val="18"/>
            <w:u w:val="single" w:color="auto"/>
            <w:color w:val="0000FF"/>
          </w:rPr>
          <w:t>DineEquity, Inc. 2011 Stock Incentive Plan Stock-Settled Restricted Stock Unit Award Agreement (Employees) (Exhibit 10.15 to</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FF"/>
          </w:rPr>
          <w:t>Registrant's Form 10-K for the year ended December 31, 2011 is incorporated herein by reference).</w:t>
        </w:r>
      </w:hyperlink>
    </w:p>
    <w:p>
      <w:pPr>
        <w:spacing w:after="0" w:line="1" w:lineRule="exact"/>
        <w:rPr>
          <w:sz w:val="20"/>
          <w:szCs w:val="20"/>
          <w:color w:val="auto"/>
        </w:rPr>
      </w:pPr>
    </w:p>
    <w:p>
      <w:pPr>
        <w:ind w:left="540" w:right="880" w:hanging="529"/>
        <w:spacing w:after="0" w:line="24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†10.59 </w:t>
      </w:r>
      <w:hyperlink r:id="rId202">
        <w:r>
          <w:rPr>
            <w:rFonts w:ascii="Times New Roman" w:cs="Times New Roman" w:eastAsia="Times New Roman" w:hAnsi="Times New Roman"/>
            <w:sz w:val="17"/>
            <w:szCs w:val="17"/>
            <w:u w:val="single" w:color="auto"/>
            <w:color w:val="0000FF"/>
          </w:rPr>
          <w:t>DineEquity, Inc. 2011 Stock Incentive Plan Stock-Settled Restricted Stock Unit Award Agreement (Non-Employee Directors)</w:t>
        </w:r>
      </w:hyperlink>
      <w:r>
        <w:rPr>
          <w:rFonts w:ascii="Times New Roman" w:cs="Times New Roman" w:eastAsia="Times New Roman" w:hAnsi="Times New Roman"/>
          <w:sz w:val="17"/>
          <w:szCs w:val="17"/>
          <w:color w:val="auto"/>
        </w:rPr>
        <w:t xml:space="preserve"> </w:t>
      </w:r>
      <w:hyperlink r:id="rId202">
        <w:r>
          <w:rPr>
            <w:rFonts w:ascii="Times New Roman" w:cs="Times New Roman" w:eastAsia="Times New Roman" w:hAnsi="Times New Roman"/>
            <w:sz w:val="17"/>
            <w:szCs w:val="17"/>
            <w:u w:val="single" w:color="auto"/>
            <w:color w:val="0000FF"/>
          </w:rPr>
          <w:t>(Exhibit 10.16 to Registrant's Form 10-K for the year ended December 31, 2011 is incorporated herein by reference).</w:t>
        </w:r>
      </w:hyperlink>
    </w:p>
    <w:p>
      <w:pPr>
        <w:spacing w:after="0" w:line="1" w:lineRule="exact"/>
        <w:rPr>
          <w:sz w:val="20"/>
          <w:szCs w:val="20"/>
          <w:color w:val="auto"/>
        </w:rPr>
      </w:pPr>
    </w:p>
    <w:p>
      <w:pPr>
        <w:ind w:left="540" w:right="7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†10.60 </w:t>
      </w:r>
      <w:hyperlink r:id="rId203">
        <w:r>
          <w:rPr>
            <w:rFonts w:ascii="Times New Roman" w:cs="Times New Roman" w:eastAsia="Times New Roman" w:hAnsi="Times New Roman"/>
            <w:sz w:val="18"/>
            <w:szCs w:val="18"/>
            <w:u w:val="single" w:color="auto"/>
            <w:color w:val="0000FF"/>
          </w:rPr>
          <w:t>DineEquity, Inc. 2011 Stock Incentive Plan Restricted Stock Award Agreement (Ratable Vesting - Employees) (Exhibit 10.19 to</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0000FF"/>
          </w:rPr>
          <w:t>Registrant’s Form 10-K for the year ended December 31, 2013 is incorporated herein by reference).</w:t>
        </w:r>
      </w:hyperlink>
    </w:p>
    <w:p>
      <w:pPr>
        <w:spacing w:after="0" w:line="1" w:lineRule="exact"/>
        <w:rPr>
          <w:sz w:val="20"/>
          <w:szCs w:val="20"/>
          <w:color w:val="auto"/>
        </w:rPr>
      </w:pPr>
    </w:p>
    <w:p>
      <w:pPr>
        <w:ind w:left="540" w:right="30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†10.61 </w:t>
      </w:r>
      <w:hyperlink r:id="rId204">
        <w:r>
          <w:rPr>
            <w:rFonts w:ascii="Times New Roman" w:cs="Times New Roman" w:eastAsia="Times New Roman" w:hAnsi="Times New Roman"/>
            <w:sz w:val="18"/>
            <w:szCs w:val="18"/>
            <w:u w:val="single" w:color="auto"/>
            <w:color w:val="0000FF"/>
          </w:rPr>
          <w:t>DineEquity, Inc. 2011 Stock Incentive Plan Stock-Settled Restricted Stock Unit Award Agreement (International Employees) (Exhibit</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0000FF"/>
          </w:rPr>
          <w:t>10.1 to Registrant’s Form 10-Q for the quarter ended September 30, 2014 is incorporated herein by reference).</w:t>
        </w:r>
      </w:hyperlink>
    </w:p>
    <w:p>
      <w:pPr>
        <w:spacing w:after="0" w:line="1" w:lineRule="exact"/>
        <w:rPr>
          <w:sz w:val="20"/>
          <w:szCs w:val="20"/>
          <w:color w:val="auto"/>
        </w:rPr>
      </w:pPr>
    </w:p>
    <w:p>
      <w:pPr>
        <w:ind w:left="540" w:right="6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†10.62 </w:t>
      </w:r>
      <w:hyperlink r:id="rId205">
        <w:r>
          <w:rPr>
            <w:rFonts w:ascii="Times New Roman" w:cs="Times New Roman" w:eastAsia="Times New Roman" w:hAnsi="Times New Roman"/>
            <w:sz w:val="18"/>
            <w:szCs w:val="18"/>
            <w:u w:val="single" w:color="auto"/>
            <w:color w:val="0000FF"/>
          </w:rPr>
          <w:t>IHOP Corp. 2001 Stock Incentive Plan Non-Qualified Stock Option Agreement (Exhibit 10.15 to Registrant's 2003 Form 10-K is</w:t>
        </w:r>
      </w:hyperlink>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sz w:val="20"/>
          <w:szCs w:val="20"/>
          <w:color w:val="auto"/>
        </w:rPr>
      </w:pPr>
    </w:p>
    <w:p>
      <w:pPr>
        <w:ind w:left="540" w:right="18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†10.63 </w:t>
      </w:r>
      <w:hyperlink r:id="rId206">
        <w:r>
          <w:rPr>
            <w:rFonts w:ascii="Times New Roman" w:cs="Times New Roman" w:eastAsia="Times New Roman" w:hAnsi="Times New Roman"/>
            <w:sz w:val="18"/>
            <w:szCs w:val="18"/>
            <w:u w:val="single" w:color="auto"/>
            <w:color w:val="0000FF"/>
          </w:rPr>
          <w:t>IHOP Corp 2001 Stock Incentive Plan as amended and restated (Appendix A to Registrant's Proxy Statement, filed on April 17, 2008 is</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sz w:val="20"/>
          <w:szCs w:val="20"/>
          <w:color w:val="auto"/>
        </w:rPr>
      </w:pPr>
    </w:p>
    <w:p>
      <w:pPr>
        <w:ind w:left="540" w:right="30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†10.64 </w:t>
      </w:r>
      <w:hyperlink r:id="rId207">
        <w:r>
          <w:rPr>
            <w:rFonts w:ascii="Times New Roman" w:cs="Times New Roman" w:eastAsia="Times New Roman" w:hAnsi="Times New Roman"/>
            <w:sz w:val="18"/>
            <w:szCs w:val="18"/>
            <w:u w:val="single" w:color="auto"/>
            <w:color w:val="0000FF"/>
          </w:rPr>
          <w:t>DineEquity, Inc. Senior Executive Incentive Plan as amended and restated (Annex A to Registrant's Proxy Statement, filed on April 5,</w:t>
        </w:r>
      </w:hyperlink>
      <w:r>
        <w:rPr>
          <w:rFonts w:ascii="Times New Roman" w:cs="Times New Roman" w:eastAsia="Times New Roman" w:hAnsi="Times New Roman"/>
          <w:sz w:val="18"/>
          <w:szCs w:val="18"/>
          <w:color w:val="auto"/>
        </w:rPr>
        <w:t xml:space="preserve"> </w:t>
      </w:r>
      <w:hyperlink r:id="rId207">
        <w:r>
          <w:rPr>
            <w:rFonts w:ascii="Times New Roman" w:cs="Times New Roman" w:eastAsia="Times New Roman" w:hAnsi="Times New Roman"/>
            <w:sz w:val="18"/>
            <w:szCs w:val="18"/>
            <w:u w:val="single" w:color="auto"/>
            <w:color w:val="0000FF"/>
          </w:rPr>
          <w:t>2012 is incorporated herein by reference).</w:t>
        </w:r>
      </w:hyperlink>
    </w:p>
    <w:p>
      <w:pPr>
        <w:spacing w:after="0" w:line="1" w:lineRule="exact"/>
        <w:rPr>
          <w:sz w:val="20"/>
          <w:szCs w:val="20"/>
          <w:color w:val="auto"/>
        </w:rPr>
      </w:pPr>
    </w:p>
    <w:p>
      <w:pPr>
        <w:ind w:left="540" w:right="5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†10.65 </w:t>
      </w:r>
      <w:hyperlink r:id="rId208">
        <w:r>
          <w:rPr>
            <w:rFonts w:ascii="Times New Roman" w:cs="Times New Roman" w:eastAsia="Times New Roman" w:hAnsi="Times New Roman"/>
            <w:sz w:val="18"/>
            <w:szCs w:val="18"/>
            <w:u w:val="single" w:color="auto"/>
            <w:color w:val="0000FF"/>
          </w:rPr>
          <w:t>Dine Brands Global, Inc. Amended and Restated Executive Severance and Change in Control Policy (Exhibit 10.51 to Registrant's</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FF"/>
          </w:rPr>
          <w:t>Form 10-K for the year ended December 31, 2018 is incorporated herein by reference).</w:t>
        </w:r>
      </w:hyperlink>
    </w:p>
    <w:p>
      <w:pPr>
        <w:spacing w:after="0" w:line="1" w:lineRule="exact"/>
        <w:rPr>
          <w:sz w:val="20"/>
          <w:szCs w:val="20"/>
          <w:color w:val="auto"/>
        </w:rPr>
      </w:pPr>
    </w:p>
    <w:p>
      <w:pPr>
        <w:ind w:left="540" w:right="12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†10.66 </w:t>
      </w:r>
      <w:hyperlink r:id="rId209">
        <w:r>
          <w:rPr>
            <w:rFonts w:ascii="Times New Roman" w:cs="Times New Roman" w:eastAsia="Times New Roman" w:hAnsi="Times New Roman"/>
            <w:sz w:val="18"/>
            <w:szCs w:val="18"/>
            <w:u w:val="single" w:color="auto"/>
            <w:color w:val="0000FF"/>
          </w:rPr>
          <w:t>Form of DineEquity, Inc. Indemnification Agreement (Exhibit 10.27 to Registrant's Form 10-K for the year ended December 31, 2011 is</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0000FF"/>
          </w:rPr>
          <w:t>incorporated herein by reference).</w:t>
        </w:r>
      </w:hyperlink>
    </w:p>
    <w:p>
      <w:pPr>
        <w:spacing w:after="0" w:line="1" w:lineRule="exact"/>
        <w:rPr>
          <w:sz w:val="20"/>
          <w:szCs w:val="20"/>
          <w:color w:val="auto"/>
        </w:rPr>
      </w:pPr>
    </w:p>
    <w:p>
      <w:pPr>
        <w:ind w:left="540" w:right="6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†10.67 </w:t>
      </w:r>
      <w:hyperlink r:id="rId210">
        <w:r>
          <w:rPr>
            <w:rFonts w:ascii="Times New Roman" w:cs="Times New Roman" w:eastAsia="Times New Roman" w:hAnsi="Times New Roman"/>
            <w:sz w:val="18"/>
            <w:szCs w:val="18"/>
            <w:u w:val="single" w:color="auto"/>
            <w:color w:val="0000FF"/>
          </w:rPr>
          <w:t>Dine Brands Global, Inc. Nonqualified Deferred Compensation Plan (Exhibit 10.53 to Registrant’s Form 10-K for the year ended</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0000FF"/>
          </w:rPr>
          <w:t>December 31, 2018 is incorporated herein by reference).</w:t>
        </w:r>
      </w:hyperlink>
    </w:p>
    <w:p>
      <w:pPr>
        <w:spacing w:after="0" w:line="1" w:lineRule="exact"/>
        <w:rPr>
          <w:sz w:val="20"/>
          <w:szCs w:val="20"/>
          <w:color w:val="auto"/>
        </w:rPr>
      </w:pPr>
    </w:p>
    <w:p>
      <w:pPr>
        <w:ind w:left="5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†10.68 </w:t>
      </w:r>
      <w:hyperlink r:id="rId211">
        <w:r>
          <w:rPr>
            <w:rFonts w:ascii="Times New Roman" w:cs="Times New Roman" w:eastAsia="Times New Roman" w:hAnsi="Times New Roman"/>
            <w:sz w:val="18"/>
            <w:szCs w:val="18"/>
            <w:u w:val="single" w:color="auto"/>
            <w:color w:val="0000FF"/>
          </w:rPr>
          <w:t>Amendment to Dine Brands Global, Inc. Nonqualified Deferred Compensation Plan (Exhibit 10.54 to Registrant’s Form 10-K for the year</w:t>
        </w:r>
      </w:hyperlink>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u w:val="single" w:color="auto"/>
            <w:color w:val="0000FF"/>
          </w:rPr>
          <w:t>ended December 31, 2018 is incorporated herein by reference).</w:t>
        </w:r>
      </w:hyperlink>
    </w:p>
    <w:p>
      <w:pPr>
        <w:spacing w:after="0" w:line="1" w:lineRule="exact"/>
        <w:rPr>
          <w:sz w:val="20"/>
          <w:szCs w:val="20"/>
          <w:color w:val="auto"/>
        </w:rPr>
      </w:pPr>
    </w:p>
    <w:p>
      <w:pPr>
        <w:ind w:left="540" w:right="160" w:hanging="494"/>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10.69 </w:t>
      </w:r>
      <w:hyperlink r:id="rId212">
        <w:r>
          <w:rPr>
            <w:rFonts w:ascii="Times New Roman" w:cs="Times New Roman" w:eastAsia="Times New Roman" w:hAnsi="Times New Roman"/>
            <w:sz w:val="18"/>
            <w:szCs w:val="18"/>
            <w:u w:val="single" w:color="auto"/>
            <w:color w:val="0000FF"/>
          </w:rPr>
          <w:t>Purchase Agreement, dated May 28, 2019, among the Registrant, certain subsidiaries of the Registrant, Barclays Capital Inc. and Credit</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u w:val="single" w:color="auto"/>
            <w:color w:val="0000FF"/>
          </w:rPr>
          <w:t>Suisse Securities (USA) LLC. (Exhibit 99.1 to the Registrant’s Form 8-K filed on May 28, 2019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00" w:top="931" w:right="519" w:bottom="1440" w:gutter="0" w:footer="0" w:header="0"/>
        </w:sectPr>
      </w:pPr>
    </w:p>
    <w:bookmarkStart w:id="109" w:name="page110"/>
    <w:bookmarkEnd w:id="109"/>
    <w:p>
      <w:pPr>
        <w:ind w:left="1120" w:right="240" w:hanging="494"/>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10.70 </w:t>
      </w:r>
      <w:hyperlink r:id="rId214">
        <w:r>
          <w:rPr>
            <w:rFonts w:ascii="Times New Roman" w:cs="Times New Roman" w:eastAsia="Times New Roman" w:hAnsi="Times New Roman"/>
            <w:sz w:val="18"/>
            <w:szCs w:val="18"/>
            <w:u w:val="single" w:color="auto"/>
            <w:color w:val="0000FF"/>
          </w:rPr>
          <w:t>Class A-1 Note Purchase Agreement, dated June 5, 2019, among Applebee’s Funding LLC and IHOP Funding LLC, each a Co-Issuer,</w:t>
        </w:r>
      </w:hyperlink>
      <w:r>
        <w:rPr>
          <w:rFonts w:ascii="Times New Roman" w:cs="Times New Roman" w:eastAsia="Times New Roman" w:hAnsi="Times New Roman"/>
          <w:sz w:val="18"/>
          <w:szCs w:val="18"/>
          <w:color w:val="auto"/>
        </w:rPr>
        <w:t xml:space="preserve"> </w:t>
      </w:r>
      <w:hyperlink r:id="rId214">
        <w:r>
          <w:rPr>
            <w:rFonts w:ascii="Times New Roman" w:cs="Times New Roman" w:eastAsia="Times New Roman" w:hAnsi="Times New Roman"/>
            <w:sz w:val="18"/>
            <w:szCs w:val="18"/>
            <w:u w:val="single" w:color="auto"/>
            <w:color w:val="0000FF"/>
          </w:rPr>
          <w:t>certain special-purpose, wholly-owned indirect subsidiaries of the Registrant, each as a Guarantor, the Registrant, as manager, certain</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conduit investors, financial institutions and funding agents, Barclays Bank PLC as provider of letters credit and swingline lender and as</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administrative agent (Exhibit 10.1 to Registrant’s Form 8-K filed on June 5, 2019 is incorporated herein by reference).</w:t>
        </w:r>
      </w:hyperlink>
    </w:p>
    <w:p>
      <w:pPr>
        <w:spacing w:after="0" w:line="2" w:lineRule="exact"/>
        <w:rPr>
          <w:rFonts w:ascii="Times New Roman" w:cs="Times New Roman" w:eastAsia="Times New Roman" w:hAnsi="Times New Roman"/>
          <w:sz w:val="18"/>
          <w:szCs w:val="18"/>
          <w:u w:val="single" w:color="auto"/>
          <w:color w:val="0000FF"/>
        </w:rPr>
      </w:pPr>
    </w:p>
    <w:p>
      <w:pPr>
        <w:jc w:val="both"/>
        <w:ind w:left="1120" w:right="280" w:hanging="494"/>
        <w:spacing w:after="0" w:line="22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10.71 </w:t>
      </w:r>
      <w:hyperlink r:id="rId215">
        <w:r>
          <w:rPr>
            <w:rFonts w:ascii="Times New Roman" w:cs="Times New Roman" w:eastAsia="Times New Roman" w:hAnsi="Times New Roman"/>
            <w:sz w:val="18"/>
            <w:szCs w:val="18"/>
            <w:u w:val="single" w:color="auto"/>
            <w:color w:val="0000FF"/>
          </w:rPr>
          <w:t>Guarantee and Collateral Agreement, dated September 30, 2014, and amended and restated as of June 5, 2019, among certain special-</w:t>
        </w:r>
      </w:hyperlink>
      <w:hyperlink r:id="rId215">
        <w:r>
          <w:rPr>
            <w:rFonts w:ascii="Times New Roman" w:cs="Times New Roman" w:eastAsia="Times New Roman" w:hAnsi="Times New Roman"/>
            <w:sz w:val="18"/>
            <w:szCs w:val="18"/>
            <w:u w:val="single" w:color="auto"/>
            <w:color w:val="0000FF"/>
          </w:rPr>
          <w:t>purpose, wholly-owned indirect subsidiaries of the Registrant, each as guarantor, in favor of Citibank, N.A., as Trustee (Exhibit 10.2 to</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Registrant’s Form 8-K filed on June 5, 2019 is incorporated herein by reference).</w:t>
        </w:r>
      </w:hyperlink>
    </w:p>
    <w:p>
      <w:pPr>
        <w:spacing w:after="0" w:line="1" w:lineRule="exact"/>
        <w:rPr>
          <w:rFonts w:ascii="Times New Roman" w:cs="Times New Roman" w:eastAsia="Times New Roman" w:hAnsi="Times New Roman"/>
          <w:sz w:val="18"/>
          <w:szCs w:val="18"/>
          <w:color w:val="auto"/>
        </w:rPr>
      </w:pPr>
    </w:p>
    <w:p>
      <w:pPr>
        <w:ind w:left="1120" w:right="100" w:hanging="494"/>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10.72 </w:t>
      </w:r>
      <w:hyperlink r:id="rId216">
        <w:r>
          <w:rPr>
            <w:rFonts w:ascii="Times New Roman" w:cs="Times New Roman" w:eastAsia="Times New Roman" w:hAnsi="Times New Roman"/>
            <w:sz w:val="18"/>
            <w:szCs w:val="18"/>
            <w:u w:val="single" w:color="auto"/>
            <w:color w:val="0000FF"/>
          </w:rPr>
          <w:t>Management Agreement, dated September 30, 2014, and amended and restated as of September 5, 2018, and further amended and</w:t>
        </w:r>
      </w:hyperlink>
      <w:r>
        <w:rPr>
          <w:rFonts w:ascii="Times New Roman" w:cs="Times New Roman" w:eastAsia="Times New Roman" w:hAnsi="Times New Roman"/>
          <w:sz w:val="18"/>
          <w:szCs w:val="18"/>
          <w:color w:val="auto"/>
        </w:rPr>
        <w:t xml:space="preserve"> </w:t>
      </w:r>
      <w:hyperlink r:id="rId216">
        <w:r>
          <w:rPr>
            <w:rFonts w:ascii="Times New Roman" w:cs="Times New Roman" w:eastAsia="Times New Roman" w:hAnsi="Times New Roman"/>
            <w:sz w:val="18"/>
            <w:szCs w:val="18"/>
            <w:u w:val="single" w:color="auto"/>
            <w:color w:val="0000FF"/>
          </w:rPr>
          <w:t>restated as of June 5, 2019, among Applebee’s Funding LLC and IHOP Funding LLC, each a Co-Issuer, other securitization entities party</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thereto from time to time, the Registrant, Applebee’s Services, Inc. and International House of Pancakes, LLC as Sub-managers and</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Citibank, N.A., as Trustee (Exhibit 10.3 to Registrant’s Form 8-K filed on June 5, 2019 is incorporated herein by reference).</w:t>
        </w:r>
      </w:hyperlink>
    </w:p>
    <w:p>
      <w:pPr>
        <w:spacing w:after="0" w:line="1" w:lineRule="exact"/>
        <w:rPr>
          <w:rFonts w:ascii="Times New Roman" w:cs="Times New Roman" w:eastAsia="Times New Roman" w:hAnsi="Times New Roman"/>
          <w:sz w:val="18"/>
          <w:szCs w:val="18"/>
          <w:u w:val="single" w:color="auto"/>
          <w:color w:val="0000FF"/>
        </w:rPr>
      </w:pPr>
    </w:p>
    <w:p>
      <w:pPr>
        <w:ind w:left="1120" w:right="300" w:hanging="494"/>
        <w:spacing w:after="0" w:line="21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10.73 </w:t>
      </w:r>
      <w:hyperlink r:id="rId217">
        <w:r>
          <w:rPr>
            <w:rFonts w:ascii="Times New Roman" w:cs="Times New Roman" w:eastAsia="Times New Roman" w:hAnsi="Times New Roman"/>
            <w:sz w:val="18"/>
            <w:szCs w:val="18"/>
            <w:u w:val="single" w:color="auto"/>
            <w:color w:val="0000FF"/>
          </w:rPr>
          <w:t>Amendment No. 1 to Management Agreement, dated November 21, 2019, among Applebee’s Funding LLC and IHOP Funding LLC,</w:t>
        </w:r>
      </w:hyperlink>
      <w:r>
        <w:rPr>
          <w:rFonts w:ascii="Times New Roman" w:cs="Times New Roman" w:eastAsia="Times New Roman" w:hAnsi="Times New Roman"/>
          <w:sz w:val="18"/>
          <w:szCs w:val="18"/>
          <w:color w:val="auto"/>
        </w:rPr>
        <w:t xml:space="preserve"> </w:t>
      </w:r>
      <w:hyperlink r:id="rId217">
        <w:r>
          <w:rPr>
            <w:rFonts w:ascii="Times New Roman" w:cs="Times New Roman" w:eastAsia="Times New Roman" w:hAnsi="Times New Roman"/>
            <w:sz w:val="18"/>
            <w:szCs w:val="18"/>
            <w:u w:val="single" w:color="auto"/>
            <w:color w:val="0000FF"/>
          </w:rPr>
          <w:t>other securitization entities party thereto from time to time, the Registrant, Applebee’s Services, Inc. and International House of</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Pancakes, LLC. LLC, other securitization entities party thereto from time to time, the Registrant, Applebee’s Services, Inc. and</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International House of Pancakes, LLC (Exhibit 10.73 to Registrant's Form 10-K for the year ended Decem</w:t>
        </w:r>
        <w:r>
          <w:rPr>
            <w:rFonts w:ascii="Times New Roman" w:cs="Times New Roman" w:eastAsia="Times New Roman" w:hAnsi="Times New Roman"/>
            <w:sz w:val="18"/>
            <w:szCs w:val="18"/>
            <w:color w:val="0000FF"/>
          </w:rPr>
          <w:t xml:space="preserve">ber </w:t>
        </w:r>
        <w:r>
          <w:rPr>
            <w:rFonts w:ascii="Times New Roman" w:cs="Times New Roman" w:eastAsia="Times New Roman" w:hAnsi="Times New Roman"/>
            <w:sz w:val="18"/>
            <w:szCs w:val="18"/>
            <w:u w:val="single" w:color="auto"/>
            <w:color w:val="0000FF"/>
          </w:rPr>
          <w:t>31, 2019 is incorporated</w:t>
        </w:r>
      </w:hyperlink>
      <w:r>
        <w:rPr>
          <w:rFonts w:ascii="Times New Roman" w:cs="Times New Roman" w:eastAsia="Times New Roman" w:hAnsi="Times New Roman"/>
          <w:sz w:val="18"/>
          <w:szCs w:val="18"/>
          <w:color w:val="0000FF"/>
        </w:rPr>
        <w:t xml:space="preserve"> </w:t>
      </w:r>
      <w:hyperlink r:id="rId217">
        <w:r>
          <w:rPr>
            <w:rFonts w:ascii="Times New Roman" w:cs="Times New Roman" w:eastAsia="Times New Roman" w:hAnsi="Times New Roman"/>
            <w:sz w:val="18"/>
            <w:szCs w:val="18"/>
            <w:u w:val="single" w:color="auto"/>
            <w:color w:val="0000FF"/>
          </w:rPr>
          <w:t>herein by reference).</w:t>
        </w:r>
      </w:hyperlink>
    </w:p>
    <w:p>
      <w:pPr>
        <w:ind w:left="1120" w:right="140" w:hanging="529"/>
        <w:spacing w:after="0" w:line="234"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†10.74 </w:t>
      </w:r>
      <w:hyperlink r:id="rId218">
        <w:r>
          <w:rPr>
            <w:rFonts w:ascii="Times New Roman" w:cs="Times New Roman" w:eastAsia="Times New Roman" w:hAnsi="Times New Roman"/>
            <w:sz w:val="18"/>
            <w:szCs w:val="18"/>
            <w:u w:val="single" w:color="auto"/>
            <w:color w:val="0000FF"/>
          </w:rPr>
          <w:t>Separation Agreement and General Release between Greggory H. Kalvin and Dine Brands Global, Inc. dated February 20, 2019 (Exhibit</w:t>
        </w:r>
      </w:hyperlink>
      <w:r>
        <w:rPr>
          <w:rFonts w:ascii="Times New Roman" w:cs="Times New Roman" w:eastAsia="Times New Roman" w:hAnsi="Times New Roman"/>
          <w:sz w:val="18"/>
          <w:szCs w:val="18"/>
          <w:color w:val="auto"/>
        </w:rPr>
        <w:t xml:space="preserve"> </w:t>
      </w:r>
      <w:hyperlink r:id="rId218">
        <w:r>
          <w:rPr>
            <w:rFonts w:ascii="Times New Roman" w:cs="Times New Roman" w:eastAsia="Times New Roman" w:hAnsi="Times New Roman"/>
            <w:sz w:val="18"/>
            <w:szCs w:val="18"/>
            <w:u w:val="single" w:color="auto"/>
            <w:color w:val="0000FF"/>
          </w:rPr>
          <w:t>10.1 to Registrant's Form 8-K filed on February 21, 2019 is incorporated herein by reference).</w:t>
        </w:r>
      </w:hyperlink>
    </w:p>
    <w:p>
      <w:pPr>
        <w:spacing w:after="0" w:line="1" w:lineRule="exact"/>
        <w:rPr>
          <w:sz w:val="20"/>
          <w:szCs w:val="20"/>
          <w:color w:val="auto"/>
        </w:rPr>
      </w:pPr>
    </w:p>
    <w:p>
      <w:pPr>
        <w:ind w:left="1120" w:right="280" w:hanging="529"/>
        <w:spacing w:after="0" w:line="26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†10.75 </w:t>
      </w:r>
      <w:hyperlink r:id="rId219">
        <w:r>
          <w:rPr>
            <w:rFonts w:ascii="Times New Roman" w:cs="Times New Roman" w:eastAsia="Times New Roman" w:hAnsi="Times New Roman"/>
            <w:sz w:val="18"/>
            <w:szCs w:val="18"/>
            <w:u w:val="single" w:color="auto"/>
            <w:color w:val="0000FF"/>
          </w:rPr>
          <w:t>Amendment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to Employment Agreement, dated as of February 14, 2020, by and between the Registrant and John C. Cywinski. (Exhibit</w:t>
        </w:r>
      </w:hyperlink>
      <w:r>
        <w:rPr>
          <w:rFonts w:ascii="Times New Roman" w:cs="Times New Roman" w:eastAsia="Times New Roman" w:hAnsi="Times New Roman"/>
          <w:sz w:val="18"/>
          <w:szCs w:val="18"/>
          <w:color w:val="auto"/>
        </w:rPr>
        <w:t xml:space="preserve"> </w:t>
      </w:r>
      <w:hyperlink r:id="rId219">
        <w:r>
          <w:rPr>
            <w:rFonts w:ascii="Times New Roman" w:cs="Times New Roman" w:eastAsia="Times New Roman" w:hAnsi="Times New Roman"/>
            <w:sz w:val="18"/>
            <w:szCs w:val="18"/>
            <w:u w:val="single" w:color="auto"/>
            <w:color w:val="0000FF"/>
          </w:rPr>
          <w:t>10.75 to Registrant’s Form 10-K for the year ended December 31, 2019 is incorporated herein by reference).</w:t>
        </w:r>
      </w:hyperlink>
    </w:p>
    <w:p>
      <w:pPr>
        <w:spacing w:after="0" w:line="1" w:lineRule="exact"/>
        <w:rPr>
          <w:sz w:val="20"/>
          <w:szCs w:val="20"/>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*†10.76 </w:t>
      </w:r>
      <w:hyperlink w:anchor="page113">
        <w:r>
          <w:rPr>
            <w:rFonts w:ascii="Times New Roman" w:cs="Times New Roman" w:eastAsia="Times New Roman" w:hAnsi="Times New Roman"/>
            <w:sz w:val="18"/>
            <w:szCs w:val="18"/>
            <w:u w:val="single" w:color="auto"/>
            <w:color w:val="0000FF"/>
          </w:rPr>
          <w:t>Employment Agreement dated as of November 13, 2020 by and between the Registrant and John W. Peyton.</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*†10.77 </w:t>
      </w:r>
      <w:hyperlink w:anchor="page137">
        <w:r>
          <w:rPr>
            <w:rFonts w:ascii="Times New Roman" w:cs="Times New Roman" w:eastAsia="Times New Roman" w:hAnsi="Times New Roman"/>
            <w:sz w:val="18"/>
            <w:szCs w:val="18"/>
            <w:u w:val="single" w:color="auto"/>
            <w:color w:val="0000FF"/>
          </w:rPr>
          <w:t>Amendment to Employment Agreement, dated as of November 16, 2020, by and between the Registrant and Stephen P. Joyce.</w:t>
        </w:r>
      </w:hyperlink>
    </w:p>
    <w:p>
      <w:pPr>
        <w:spacing w:after="0" w:line="45" w:lineRule="exact"/>
        <w:rPr>
          <w:sz w:val="20"/>
          <w:szCs w:val="20"/>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hyperlink w:anchor="page139">
        <w:r>
          <w:rPr>
            <w:rFonts w:ascii="Times New Roman" w:cs="Times New Roman" w:eastAsia="Times New Roman" w:hAnsi="Times New Roman"/>
            <w:sz w:val="18"/>
            <w:szCs w:val="18"/>
            <w:u w:val="single" w:color="auto"/>
            <w:color w:val="0000FF"/>
          </w:rPr>
          <w:t>Subsidiaries of Dine Brands Global, Inc.</w:t>
        </w:r>
      </w:hyperlink>
    </w:p>
    <w:p>
      <w:pPr>
        <w:spacing w:after="0" w:line="27" w:lineRule="exact"/>
        <w:rPr>
          <w:sz w:val="20"/>
          <w:szCs w:val="20"/>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*23.1 </w:t>
      </w:r>
      <w:hyperlink w:anchor="page141">
        <w:r>
          <w:rPr>
            <w:rFonts w:ascii="Times New Roman" w:cs="Times New Roman" w:eastAsia="Times New Roman" w:hAnsi="Times New Roman"/>
            <w:sz w:val="18"/>
            <w:szCs w:val="18"/>
            <w:u w:val="single" w:color="auto"/>
            <w:color w:val="0000FF"/>
          </w:rPr>
          <w:t>Consent of Ernst &amp; Young LLP, Independent Registered Public Accounting Firm.</w:t>
        </w:r>
      </w:hyperlink>
    </w:p>
    <w:p>
      <w:pPr>
        <w:spacing w:after="0" w:line="23" w:lineRule="exact"/>
        <w:rPr>
          <w:sz w:val="20"/>
          <w:szCs w:val="20"/>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*31.1 </w:t>
      </w:r>
      <w:hyperlink w:anchor="page142">
        <w:r>
          <w:rPr>
            <w:rFonts w:ascii="Times New Roman" w:cs="Times New Roman" w:eastAsia="Times New Roman" w:hAnsi="Times New Roman"/>
            <w:sz w:val="18"/>
            <w:szCs w:val="18"/>
            <w:u w:val="single" w:color="auto"/>
            <w:color w:val="0000FF"/>
          </w:rPr>
          <w:t>Certification of CEO pursuant to Rule 13a-14(a) of the Securities Exchange Act of 1934, as amended.</w:t>
        </w:r>
      </w:hyperlink>
    </w:p>
    <w:p>
      <w:pPr>
        <w:spacing w:after="0" w:line="23" w:lineRule="exact"/>
        <w:rPr>
          <w:sz w:val="20"/>
          <w:szCs w:val="20"/>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hyperlink w:anchor="page143">
        <w:r>
          <w:rPr>
            <w:rFonts w:ascii="Times New Roman" w:cs="Times New Roman" w:eastAsia="Times New Roman" w:hAnsi="Times New Roman"/>
            <w:sz w:val="18"/>
            <w:szCs w:val="18"/>
            <w:u w:val="single" w:color="auto"/>
            <w:color w:val="0000FF"/>
          </w:rPr>
          <w:t>Certification of CFO pursuant to Rule 13a-14(a) of the Securities Exchange Act of 1934, as amended.</w:t>
        </w:r>
      </w:hyperlink>
    </w:p>
    <w:p>
      <w:pPr>
        <w:spacing w:after="0" w:line="23" w:lineRule="exact"/>
        <w:rPr>
          <w:sz w:val="20"/>
          <w:szCs w:val="20"/>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hyperlink w:anchor="page144">
        <w:r>
          <w:rPr>
            <w:rFonts w:ascii="Times New Roman" w:cs="Times New Roman" w:eastAsia="Times New Roman" w:hAnsi="Times New Roman"/>
            <w:sz w:val="18"/>
            <w:szCs w:val="18"/>
            <w:u w:val="single" w:color="auto"/>
            <w:color w:val="0000FF"/>
          </w:rPr>
          <w:t>Certification of CEO pursuant to 18 U.S.C. Section 1350, as Adopted Pursuant to Section 906 of the Sarbanes-Oxley Act of 2002.</w:t>
        </w:r>
      </w:hyperlink>
    </w:p>
    <w:p>
      <w:pPr>
        <w:spacing w:after="0" w:line="23" w:lineRule="exact"/>
        <w:rPr>
          <w:sz w:val="20"/>
          <w:szCs w:val="20"/>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hyperlink w:anchor="page145">
        <w:r>
          <w:rPr>
            <w:rFonts w:ascii="Times New Roman" w:cs="Times New Roman" w:eastAsia="Times New Roman" w:hAnsi="Times New Roman"/>
            <w:sz w:val="18"/>
            <w:szCs w:val="18"/>
            <w:u w:val="single" w:color="auto"/>
            <w:color w:val="0000FF"/>
          </w:rPr>
          <w:t>Certification of CFO pursuant to 18 U.S.C. Section 1350, as Adopted Pursuant to Section 906 of the Sarbanes-Oxley Act of 2002.</w:t>
        </w:r>
      </w:hyperlink>
    </w:p>
    <w:p>
      <w:pPr>
        <w:spacing w:after="0" w:line="23" w:lineRule="exact"/>
        <w:rPr>
          <w:sz w:val="20"/>
          <w:szCs w:val="20"/>
          <w:color w:val="auto"/>
        </w:rPr>
      </w:pPr>
    </w:p>
    <w:p>
      <w:pPr>
        <w:ind w:left="1120" w:right="440" w:hanging="640"/>
        <w:spacing w:after="0" w:line="234" w:lineRule="auto"/>
        <w:rPr>
          <w:sz w:val="20"/>
          <w:szCs w:val="20"/>
          <w:color w:val="auto"/>
        </w:rPr>
      </w:pPr>
      <w:r>
        <w:rPr>
          <w:rFonts w:ascii="Times New Roman" w:cs="Times New Roman" w:eastAsia="Times New Roman" w:hAnsi="Times New Roman"/>
          <w:sz w:val="18"/>
          <w:szCs w:val="18"/>
          <w:color w:val="auto"/>
        </w:rPr>
        <w:t>101.INS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101.SCH Inline XBRL Schema Document.***</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101.CAL Inline XBRL Calculation Linkbase Document.***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101.DEF Inline XBRL Definition Linkbase Document.***</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101.LAB Inline XBRL Label Linkbase Document.***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101.PRE Inline XBRL Presentation Linkbase Document.***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ind w:left="500" w:right="100" w:hanging="492"/>
        <w:spacing w:after="0" w:line="250" w:lineRule="auto"/>
        <w:tabs>
          <w:tab w:leader="none" w:pos="3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Annual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Times New Roman" w:cs="Times New Roman" w:eastAsia="Times New Roman" w:hAnsi="Times New Roman"/>
          <w:sz w:val="18"/>
          <w:szCs w:val="18"/>
          <w:color w:val="auto"/>
        </w:rPr>
      </w:pPr>
    </w:p>
    <w:p>
      <w:pPr>
        <w:ind w:left="500" w:hanging="492"/>
        <w:spacing w:after="0" w:line="265" w:lineRule="auto"/>
        <w:tabs>
          <w:tab w:leader="none" w:pos="37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w:t>
      </w:r>
    </w:p>
    <w:p>
      <w:pPr>
        <w:ind w:left="500"/>
        <w:spacing w:after="0"/>
        <w:rPr>
          <w:sz w:val="20"/>
          <w:szCs w:val="20"/>
          <w:color w:val="auto"/>
        </w:rPr>
      </w:pPr>
      <w:r>
        <w:rPr>
          <w:rFonts w:ascii="Times New Roman" w:cs="Times New Roman" w:eastAsia="Times New Roman" w:hAnsi="Times New Roman"/>
          <w:sz w:val="18"/>
          <w:szCs w:val="18"/>
          <w:color w:val="auto"/>
        </w:rPr>
        <w:t>of the Securities and Exchange Act of 1934, as amended, and otherwise are not subject to liability under those sections.</w:t>
      </w:r>
    </w:p>
    <w:p>
      <w:pPr>
        <w:spacing w:after="0" w:line="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contract, compensatory plan or arrangement in which directors or executive officers are eligible to participate.</w:t>
      </w:r>
    </w:p>
    <w:p>
      <w:pPr>
        <w:spacing w:after="0" w:line="9" w:lineRule="exact"/>
        <w:rPr>
          <w:sz w:val="20"/>
          <w:szCs w:val="20"/>
          <w:color w:val="auto"/>
        </w:rPr>
      </w:pPr>
    </w:p>
    <w:p>
      <w:pPr>
        <w:ind w:left="500" w:right="320" w:hanging="492"/>
        <w:spacing w:after="0" w:line="260" w:lineRule="auto"/>
        <w:tabs>
          <w:tab w:leader="none" w:pos="2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per an Order Granting Confidential Treatment Under the Securities Exchange Act of 1934 issued by the Securities and Exchange Commission on January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11" w:name="page112"/>
    <w:bookmarkEnd w:id="1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2nd day of March, 2021.</w:t>
      </w:r>
    </w:p>
    <w:p>
      <w:pPr>
        <w:spacing w:after="0" w:line="13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27" w:lineRule="exact"/>
        <w:rPr>
          <w:sz w:val="20"/>
          <w:szCs w:val="20"/>
          <w:color w:val="auto"/>
        </w:rPr>
      </w:pPr>
    </w:p>
    <w:p>
      <w:pPr>
        <w:ind w:left="546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jc w:val="center"/>
        <w:ind w:left="60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38"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this 2nd day of March,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2340" w:type="dxa"/>
            <w:vAlign w:val="bottom"/>
            <w:gridSpan w:val="2"/>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6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Chief Executive Officer (Principal Executive Officer), 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John W. Peyton</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ALLISON HALL</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Allison Hall</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RICHARD J. DAHL</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Richard J. Dahl</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HOWARD M. BERK</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Howard M. Berk</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DANIEL J. BRESTLE</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Daniel J. Brestle</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SUSAN M. COLLYNS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Susan M. Collyns</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MICHAEL C. HYTER</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C. Hyter</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LARRY A. KAY</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Larry A. Kay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CAROLINE W. NAHAS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Caroline W. Nahas</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DOUGLAS M. PASQUALE</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Douglas M. Pasquale</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GILBERT T. RAY</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Gilbert T. Ray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LILIAN C. TOMOVICH</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Lilian C.Tomovich</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873"/>
        </w:trPr>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60"/>
          </w:cols>
          <w:pgMar w:left="320" w:top="1035" w:right="419" w:bottom="1440" w:gutter="0" w:footer="0" w:header="0"/>
        </w:sectPr>
      </w:pPr>
    </w:p>
    <w:bookmarkStart w:id="112" w:name="page113"/>
    <w:bookmarkEnd w:id="112"/>
    <w:p>
      <w:pPr>
        <w:ind w:left="10020"/>
        <w:spacing w:after="0"/>
        <w:rPr>
          <w:sz w:val="20"/>
          <w:szCs w:val="20"/>
          <w:color w:val="auto"/>
        </w:rPr>
      </w:pPr>
      <w:r>
        <w:rPr>
          <w:rFonts w:ascii="Times New Roman" w:cs="Times New Roman" w:eastAsia="Times New Roman" w:hAnsi="Times New Roman"/>
          <w:sz w:val="21"/>
          <w:szCs w:val="21"/>
          <w:b w:val="1"/>
          <w:bCs w:val="1"/>
          <w:color w:val="auto"/>
        </w:rPr>
        <w:t>Exhibit 10.76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0"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effective as of November 13, 2020 by and between Dine Brands Global, Inc.,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John W. Peyton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Corporation desires to employ Executive on the terms and conditions set forth in this Agreement; and</w:t>
      </w:r>
    </w:p>
    <w:p>
      <w:pPr>
        <w:spacing w:after="0" w:line="220" w:lineRule="exact"/>
        <w:rPr>
          <w:sz w:val="20"/>
          <w:szCs w:val="20"/>
          <w:color w:val="auto"/>
        </w:rPr>
      </w:pPr>
    </w:p>
    <w:p>
      <w:pPr>
        <w:ind w:right="3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Executive is willing to render services to the Corporation on the terms and conditions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149"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premises and the mutual terms and conditions hereof, the Corporation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hereby agree as follows:</w:t>
      </w:r>
    </w:p>
    <w:p>
      <w:pPr>
        <w:spacing w:after="0" w:line="149" w:lineRule="exact"/>
        <w:rPr>
          <w:sz w:val="20"/>
          <w:szCs w:val="20"/>
          <w:color w:val="auto"/>
        </w:rPr>
      </w:pPr>
    </w:p>
    <w:p>
      <w:pPr>
        <w:ind w:right="40" w:firstLine="656"/>
        <w:spacing w:after="0" w:line="275"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The Corporation hereby employs the Executive and the Executive hereby accepts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upon the terms and conditions hereinafter set forth.</w:t>
      </w:r>
    </w:p>
    <w:p>
      <w:pPr>
        <w:spacing w:after="0" w:line="149" w:lineRule="exact"/>
        <w:rPr>
          <w:rFonts w:ascii="Times New Roman" w:cs="Times New Roman" w:eastAsia="Times New Roman" w:hAnsi="Times New Roman"/>
          <w:sz w:val="22"/>
          <w:szCs w:val="22"/>
          <w:color w:val="auto"/>
        </w:rPr>
      </w:pPr>
    </w:p>
    <w:p>
      <w:pPr>
        <w:ind w:firstLine="656"/>
        <w:spacing w:after="0" w:line="247"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Exclusive Services</w:t>
      </w:r>
      <w:r>
        <w:rPr>
          <w:rFonts w:ascii="Times New Roman" w:cs="Times New Roman" w:eastAsia="Times New Roman" w:hAnsi="Times New Roman"/>
          <w:sz w:val="22"/>
          <w:szCs w:val="22"/>
          <w:color w:val="auto"/>
        </w:rPr>
        <w:t>. The Executive shall devote all necessary working time, ability and attention to the business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during the term of this Agreement and shall not, directly or indirectly, render any material services to any business, corporation, or organization whether for compensation or otherwise, without the prior knowledge and written consent of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During the term of this Agreement, the Executive may (A) serve on corporate, civic or charitable boards or committees, (B) deliver lectures, fulfill speaking engagements or teach at educational institutions, (C) manage personal investments and (D) serve on public company boards of directors approved in advance by the Board (which approval will not be unreasonably withheld, conditioned or delayed), so long as such activities do not significantly interfere with the performance of the Executive’s responsibilities as an employee of the Corporation in accordance with this Agreement.</w:t>
      </w:r>
    </w:p>
    <w:p>
      <w:pPr>
        <w:spacing w:after="0" w:line="181" w:lineRule="exact"/>
        <w:rPr>
          <w:rFonts w:ascii="Times New Roman" w:cs="Times New Roman" w:eastAsia="Times New Roman" w:hAnsi="Times New Roman"/>
          <w:sz w:val="22"/>
          <w:szCs w:val="22"/>
          <w:color w:val="auto"/>
        </w:rPr>
      </w:pPr>
    </w:p>
    <w:p>
      <w:pPr>
        <w:ind w:right="40" w:firstLine="656"/>
        <w:spacing w:after="0" w:line="263" w:lineRule="auto"/>
        <w:tabs>
          <w:tab w:leader="none" w:pos="129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Duties</w:t>
      </w:r>
      <w:r>
        <w:rPr>
          <w:rFonts w:ascii="Times New Roman" w:cs="Times New Roman" w:eastAsia="Times New Roman" w:hAnsi="Times New Roman"/>
          <w:sz w:val="21"/>
          <w:szCs w:val="21"/>
          <w:color w:val="auto"/>
        </w:rPr>
        <w:t>. Effective January 4, 2021, the Executive shall be employed as the Chief Executive Officer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Corporation and shall have such duties, authorities and responsibilities commensurate with such title and office. The Executive shall report directly to the Board. Subject to necessary travel and to working remotely consistent with Corporation policy under extraordinary circumstances, such as the COVID-19 pandemic, the Executive shall render his services at the headquarters of the Corporation, currently located in Glendale, California. The Executive shall be appointed to the Board on or as soon as practicable after the Start Date (as defined in </w:t>
      </w:r>
      <w:r>
        <w:rPr>
          <w:rFonts w:ascii="Times New Roman" w:cs="Times New Roman" w:eastAsia="Times New Roman" w:hAnsi="Times New Roman"/>
          <w:sz w:val="21"/>
          <w:szCs w:val="21"/>
          <w:b w:val="1"/>
          <w:bCs w:val="1"/>
          <w:color w:val="auto"/>
        </w:rPr>
        <w:t>Section 4</w:t>
      </w:r>
      <w:r>
        <w:rPr>
          <w:rFonts w:ascii="Times New Roman" w:cs="Times New Roman" w:eastAsia="Times New Roman" w:hAnsi="Times New Roman"/>
          <w:sz w:val="21"/>
          <w:szCs w:val="21"/>
          <w:color w:val="auto"/>
        </w:rPr>
        <w:t>) and during the Term the Corporation shall propose the Executive for re-</w:t>
      </w:r>
    </w:p>
    <w:p>
      <w:pPr>
        <w:sectPr>
          <w:pgSz w:w="11900" w:h="16838" w:orient="portrait"/>
          <w:cols w:equalWidth="0" w:num="1">
            <w:col w:w="11240"/>
          </w:cols>
          <w:pgMar w:left="320" w:top="14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t>election to the Board at such times as shall be necessary for Executive to remain as a member of the Board throughout the Term.</w:t>
      </w:r>
    </w:p>
    <w:p>
      <w:pPr>
        <w:spacing w:after="0" w:line="227" w:lineRule="exact"/>
        <w:rPr>
          <w:sz w:val="20"/>
          <w:szCs w:val="20"/>
          <w:color w:val="auto"/>
        </w:rPr>
      </w:pPr>
    </w:p>
    <w:p>
      <w:pPr>
        <w:ind w:right="100" w:firstLine="656"/>
        <w:spacing w:after="0" w:line="247"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This Agreement shall have an initial term of three years commencing as of January 4, 2021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 and ending on January 4, 2024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This Agreement will automatically renew at the end of the initial Term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 the end of each subsequent Term, for a subsequent Term of one year unless either party gives written notice of non-renewal to the other at least 90 days prior to the expiration of the then current term. Such notice may be given for any or no reason. Notwithstanding anything herein to the contrary, in the event that the Corporation provides a notice of nonrenewal to the Executive in accordance with this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such notice and nonrenewal of the Term shall be considered a termination of the Executive’s employment by the Corporation without Cause, and the Executive shall be entitled to the Severance Payments under </w:t>
      </w:r>
      <w:r>
        <w:rPr>
          <w:rFonts w:ascii="Times New Roman" w:cs="Times New Roman" w:eastAsia="Times New Roman" w:hAnsi="Times New Roman"/>
          <w:sz w:val="22"/>
          <w:szCs w:val="22"/>
          <w:b w:val="1"/>
          <w:bCs w:val="1"/>
          <w:color w:val="auto"/>
        </w:rPr>
        <w:t xml:space="preserve">Section 14(g) </w:t>
      </w:r>
      <w:r>
        <w:rPr>
          <w:rFonts w:ascii="Times New Roman" w:cs="Times New Roman" w:eastAsia="Times New Roman" w:hAnsi="Times New Roman"/>
          <w:sz w:val="22"/>
          <w:szCs w:val="22"/>
          <w:color w:val="auto"/>
        </w:rPr>
        <w:t>or payments pursuant to</w:t>
      </w:r>
      <w:r>
        <w:rPr>
          <w:rFonts w:ascii="Times New Roman" w:cs="Times New Roman" w:eastAsia="Times New Roman" w:hAnsi="Times New Roman"/>
          <w:sz w:val="22"/>
          <w:szCs w:val="22"/>
          <w:b w:val="1"/>
          <w:bCs w:val="1"/>
          <w:color w:val="auto"/>
        </w:rPr>
        <w:t xml:space="preserve"> Section 15</w:t>
      </w:r>
      <w:r>
        <w:rPr>
          <w:rFonts w:ascii="Times New Roman" w:cs="Times New Roman" w:eastAsia="Times New Roman" w:hAnsi="Times New Roman"/>
          <w:sz w:val="22"/>
          <w:szCs w:val="22"/>
          <w:color w:val="auto"/>
        </w:rPr>
        <w:t>, as applicable, as a result thereof. This Agreement is subject to earlier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as hereinafter provided.</w:t>
      </w:r>
    </w:p>
    <w:p>
      <w:pPr>
        <w:spacing w:after="0" w:line="181" w:lineRule="exact"/>
        <w:rPr>
          <w:rFonts w:ascii="Times New Roman" w:cs="Times New Roman" w:eastAsia="Times New Roman" w:hAnsi="Times New Roman"/>
          <w:sz w:val="22"/>
          <w:szCs w:val="22"/>
          <w:color w:val="auto"/>
        </w:rPr>
      </w:pPr>
    </w:p>
    <w:p>
      <w:pPr>
        <w:ind w:right="280" w:firstLine="656"/>
        <w:spacing w:after="0" w:line="275"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 As compensation for services rendered under this Agreement, the Executive shall be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the following:</w:t>
      </w:r>
    </w:p>
    <w:p>
      <w:pPr>
        <w:spacing w:after="0" w:line="153" w:lineRule="exact"/>
        <w:rPr>
          <w:rFonts w:ascii="Times New Roman" w:cs="Times New Roman" w:eastAsia="Times New Roman" w:hAnsi="Times New Roman"/>
          <w:sz w:val="22"/>
          <w:szCs w:val="22"/>
          <w:color w:val="auto"/>
        </w:rPr>
      </w:pPr>
    </w:p>
    <w:p>
      <w:pPr>
        <w:ind w:left="660" w:right="20" w:firstLine="644"/>
        <w:spacing w:after="0" w:line="248" w:lineRule="auto"/>
        <w:tabs>
          <w:tab w:leader="none" w:pos="194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 shall be paid a base salary of at least $1,000,000 per year, payable in accordance with the Corporation’s normal payroll practices. Such base salary as in effect from time to time (“</w:t>
      </w:r>
      <w:r>
        <w:rPr>
          <w:rFonts w:ascii="Times New Roman" w:cs="Times New Roman" w:eastAsia="Times New Roman" w:hAnsi="Times New Roman"/>
          <w:sz w:val="22"/>
          <w:szCs w:val="22"/>
          <w:b w:val="1"/>
          <w:bCs w:val="1"/>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shall be reviewed by the Compensation Committee of the Board (the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periodically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potential increases beginning in January 1, 2024. The Base Salary may be increased by the Compensation Committee in its discretion, subject to ratification by the Board, but may not be decreased during the Term other than temporary reductions approved by the Board after consultation with the Executive that apply on the same basis to all senior executives of the Corporation.</w:t>
      </w:r>
    </w:p>
    <w:p>
      <w:pPr>
        <w:spacing w:after="0" w:line="181" w:lineRule="exact"/>
        <w:rPr>
          <w:rFonts w:ascii="Times New Roman" w:cs="Times New Roman" w:eastAsia="Times New Roman" w:hAnsi="Times New Roman"/>
          <w:sz w:val="22"/>
          <w:szCs w:val="22"/>
          <w:color w:val="auto"/>
        </w:rPr>
      </w:pPr>
    </w:p>
    <w:p>
      <w:pPr>
        <w:ind w:left="660" w:firstLine="644"/>
        <w:spacing w:after="0" w:line="246" w:lineRule="auto"/>
        <w:tabs>
          <w:tab w:leader="none" w:pos="195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Incentives</w:t>
      </w:r>
      <w:r>
        <w:rPr>
          <w:rFonts w:ascii="Times New Roman" w:cs="Times New Roman" w:eastAsia="Times New Roman" w:hAnsi="Times New Roman"/>
          <w:sz w:val="22"/>
          <w:szCs w:val="22"/>
          <w:color w:val="auto"/>
        </w:rPr>
        <w:t>. The Executive shall be paid such additional compensation and bonuses as may be determined and authorized in the discretion of the Compensation Committee, subject to ratification by the Board. The Executive’s target annual bonus, to be payable under the Corporation’s annual incentive plan, shall be 100% of the Executive’s Base Salary, with a maximum payout of 200% of the Executive’s Base Salary, and such annual bonus shall be considered earned and payable if the Executive is employed on the last day of the applicable fiscal year, regardless of whether this Agreement expires or the Executive’s employment terminates after such date. The Compensation Committee will develop and approve the performance goals applicable to the Executive’s annual bonus, after soliciting and considering the input of the Executive. The annual bonus payable for the 2021 fiscal year shall not be less than 50% of the Executive’s target annual bonus, subject to the Executive’s continuous employment through the date such bonus becomes payable.</w:t>
      </w:r>
    </w:p>
    <w:p>
      <w:pPr>
        <w:spacing w:after="0" w:line="187" w:lineRule="exact"/>
        <w:rPr>
          <w:rFonts w:ascii="Times New Roman" w:cs="Times New Roman" w:eastAsia="Times New Roman" w:hAnsi="Times New Roman"/>
          <w:sz w:val="22"/>
          <w:szCs w:val="22"/>
          <w:color w:val="auto"/>
        </w:rPr>
      </w:pPr>
    </w:p>
    <w:p>
      <w:pPr>
        <w:ind w:left="660" w:right="100" w:firstLine="644"/>
        <w:spacing w:after="0" w:line="257" w:lineRule="auto"/>
        <w:tabs>
          <w:tab w:leader="none" w:pos="194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or Other Long-Term Incentive Awards</w:t>
      </w:r>
      <w:r>
        <w:rPr>
          <w:rFonts w:ascii="Times New Roman" w:cs="Times New Roman" w:eastAsia="Times New Roman" w:hAnsi="Times New Roman"/>
          <w:sz w:val="22"/>
          <w:szCs w:val="22"/>
          <w:color w:val="auto"/>
        </w:rPr>
        <w:t>. The Executive shall be entitled to equity or other long-term incentive awards that may be extended generally from time to time to the most senior executive officers of the Corporation, as approved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4" w:name="page115"/>
    <w:bookmarkEnd w:id="114"/>
    <w:p>
      <w:pPr>
        <w:ind w:left="640" w:right="400"/>
        <w:spacing w:after="0" w:line="252" w:lineRule="auto"/>
        <w:rPr>
          <w:sz w:val="20"/>
          <w:szCs w:val="20"/>
          <w:color w:val="auto"/>
        </w:rPr>
      </w:pPr>
      <w:r>
        <w:rPr>
          <w:rFonts w:ascii="Times New Roman" w:cs="Times New Roman" w:eastAsia="Times New Roman" w:hAnsi="Times New Roman"/>
          <w:sz w:val="22"/>
          <w:szCs w:val="22"/>
          <w:color w:val="auto"/>
        </w:rPr>
        <w:t>the Compensation Committee of the Board, subject to the terms and conditions of the respective equity and long-term incentive compensation plans and award agreements. The long-term incentive award granted to the Executive in the Corporation’s 2021 fiscal year shall have a grant date value of not less than $3,500,000, determined under the Corporation’s usual methodology for valuing equity-based compensation awards.</w:t>
      </w:r>
    </w:p>
    <w:p>
      <w:pPr>
        <w:spacing w:after="0" w:line="179" w:lineRule="exact"/>
        <w:rPr>
          <w:sz w:val="20"/>
          <w:szCs w:val="20"/>
          <w:color w:val="auto"/>
        </w:rPr>
      </w:pPr>
    </w:p>
    <w:p>
      <w:pPr>
        <w:ind w:left="1940" w:hanging="65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Signing Bonus and Make-Good Awards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280" w:right="40" w:firstLine="444"/>
        <w:spacing w:after="0" w:line="24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Within 30 days after the Start Date, the Corporation shall pay to the Executive a cash signing bonus in the amount of $1,200,000. If the Executive resigns from employment within two years after the Start Date for a reason other than Good Reason (as defined below), the Executive shall repay a pro rata portion of the pre-tax amount of such signing bonus within ten (10) days after the date of such resignation, with such pro rata amount determined based on the number of full months remaining between the Executive’s date of termination and the two-year anniversary of the Start Date.</w:t>
      </w:r>
    </w:p>
    <w:p>
      <w:pPr>
        <w:spacing w:after="0" w:line="183" w:lineRule="exact"/>
        <w:rPr>
          <w:sz w:val="20"/>
          <w:szCs w:val="20"/>
          <w:color w:val="auto"/>
        </w:rPr>
      </w:pPr>
    </w:p>
    <w:p>
      <w:pPr>
        <w:ind w:left="1280" w:right="100" w:firstLine="384"/>
        <w:spacing w:after="0" w:line="262" w:lineRule="auto"/>
        <w:rPr>
          <w:sz w:val="20"/>
          <w:szCs w:val="20"/>
          <w:color w:val="auto"/>
        </w:rPr>
      </w:pPr>
      <w:r>
        <w:rPr>
          <w:rFonts w:ascii="Times New Roman" w:cs="Times New Roman" w:eastAsia="Times New Roman" w:hAnsi="Times New Roman"/>
          <w:sz w:val="21"/>
          <w:szCs w:val="21"/>
          <w:color w:val="auto"/>
        </w:rPr>
        <w:t>(ii)</w:t>
      </w:r>
      <w:r>
        <w:rPr>
          <w:rFonts w:ascii="Times New Roman" w:cs="Times New Roman" w:eastAsia="Times New Roman" w:hAnsi="Times New Roman"/>
          <w:sz w:val="21"/>
          <w:szCs w:val="21"/>
          <w:u w:val="single" w:color="auto"/>
          <w:color w:val="auto"/>
        </w:rPr>
        <w:t>Make-Good RSUs</w:t>
      </w:r>
      <w:r>
        <w:rPr>
          <w:rFonts w:ascii="Times New Roman" w:cs="Times New Roman" w:eastAsia="Times New Roman" w:hAnsi="Times New Roman"/>
          <w:sz w:val="21"/>
          <w:szCs w:val="21"/>
          <w:color w:val="auto"/>
        </w:rPr>
        <w:t xml:space="preserve">. In addition to the annual grant awarded to the Executive in accordance with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5(c) </w:t>
      </w:r>
      <w:r>
        <w:rPr>
          <w:rFonts w:ascii="Times New Roman" w:cs="Times New Roman" w:eastAsia="Times New Roman" w:hAnsi="Times New Roman"/>
          <w:sz w:val="21"/>
          <w:szCs w:val="21"/>
          <w:color w:val="auto"/>
        </w:rPr>
        <w:t>above, as of the Start Date the Corporation shall grant to the Executive an award of stock-settled restricted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units (the “</w:t>
      </w:r>
      <w:r>
        <w:rPr>
          <w:rFonts w:ascii="Times New Roman" w:cs="Times New Roman" w:eastAsia="Times New Roman" w:hAnsi="Times New Roman"/>
          <w:sz w:val="21"/>
          <w:szCs w:val="21"/>
          <w:b w:val="1"/>
          <w:bCs w:val="1"/>
          <w:color w:val="auto"/>
        </w:rPr>
        <w:t>Make-Good RSUs</w:t>
      </w:r>
      <w:r>
        <w:rPr>
          <w:rFonts w:ascii="Times New Roman" w:cs="Times New Roman" w:eastAsia="Times New Roman" w:hAnsi="Times New Roman"/>
          <w:sz w:val="21"/>
          <w:szCs w:val="21"/>
          <w:color w:val="auto"/>
        </w:rPr>
        <w:t>”) having a grant date value equal to $3,500,000. One-half of the Make-Good RSUs shall become vested on each of the first and second anniversaries of the Start Date (subject to any accelerated vesting provisions set forth herein), subject to the Executive’s continuous employment through each applicable vesting date, and the Make-Good RSUs shall otherwise be subject to the terms of the Corporation’s standard form of award agreement used for time-vested stock-settled restricted stock unit awards.</w:t>
      </w:r>
    </w:p>
    <w:p>
      <w:pPr>
        <w:spacing w:after="0" w:line="166" w:lineRule="exact"/>
        <w:rPr>
          <w:sz w:val="20"/>
          <w:szCs w:val="20"/>
          <w:color w:val="auto"/>
        </w:rPr>
      </w:pPr>
    </w:p>
    <w:p>
      <w:pPr>
        <w:ind w:left="1280" w:firstLine="324"/>
        <w:spacing w:after="0" w:line="247"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Make Good Option</w:t>
      </w:r>
      <w:r>
        <w:rPr>
          <w:rFonts w:ascii="Times New Roman" w:cs="Times New Roman" w:eastAsia="Times New Roman" w:hAnsi="Times New Roman"/>
          <w:sz w:val="22"/>
          <w:szCs w:val="22"/>
          <w:color w:val="auto"/>
        </w:rPr>
        <w:t xml:space="preserve">. In addition to the annual grant awarded to the Executive in accordance with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5(c) </w:t>
      </w:r>
      <w:r>
        <w:rPr>
          <w:rFonts w:ascii="Times New Roman" w:cs="Times New Roman" w:eastAsia="Times New Roman" w:hAnsi="Times New Roman"/>
          <w:sz w:val="22"/>
          <w:szCs w:val="22"/>
          <w:color w:val="auto"/>
        </w:rPr>
        <w:t>above, as of the Start Date the Corporation shall grant to the Executive a nonqualified stock option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having a grant date value equal to $1,000,000, based on such valuation methodology approved by the Compensation Committee, and having a per share exercise price equal to the closing price of the Corporation’s common stock on the date of grant (the “</w:t>
      </w:r>
      <w:r>
        <w:rPr>
          <w:rFonts w:ascii="Times New Roman" w:cs="Times New Roman" w:eastAsia="Times New Roman" w:hAnsi="Times New Roman"/>
          <w:sz w:val="22"/>
          <w:szCs w:val="22"/>
          <w:b w:val="1"/>
          <w:bCs w:val="1"/>
          <w:color w:val="auto"/>
        </w:rPr>
        <w:t>Make-Good Option</w:t>
      </w:r>
      <w:r>
        <w:rPr>
          <w:rFonts w:ascii="Times New Roman" w:cs="Times New Roman" w:eastAsia="Times New Roman" w:hAnsi="Times New Roman"/>
          <w:sz w:val="22"/>
          <w:szCs w:val="22"/>
          <w:color w:val="auto"/>
        </w:rPr>
        <w:t>”). One-third of the Make-Good Option shall become vested on each of the first, second and third anniversaries of the Start Date (subject to any accelerated vesting provisions set forth herein), subject to the Executive’s continuous employment through each applicable vesting date, and the Make-Good Option shall otherwise be subject to the terms of the Corporation’s standard form of award agreement used for nonqualified stock option awards.</w:t>
      </w:r>
    </w:p>
    <w:p>
      <w:pPr>
        <w:spacing w:after="0" w:line="181" w:lineRule="exact"/>
        <w:rPr>
          <w:sz w:val="20"/>
          <w:szCs w:val="20"/>
          <w:color w:val="auto"/>
        </w:rPr>
      </w:pPr>
    </w:p>
    <w:p>
      <w:pPr>
        <w:ind w:left="-20" w:right="180" w:firstLine="656"/>
        <w:spacing w:after="0" w:line="275" w:lineRule="auto"/>
        <w:tabs>
          <w:tab w:leader="none" w:pos="127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 In addition to the compensation to be paid to the Executive pursuant to</w:t>
      </w:r>
      <w:r>
        <w:rPr>
          <w:rFonts w:ascii="Times New Roman" w:cs="Times New Roman" w:eastAsia="Times New Roman" w:hAnsi="Times New Roman"/>
          <w:sz w:val="22"/>
          <w:szCs w:val="22"/>
          <w:b w:val="1"/>
          <w:bCs w:val="1"/>
          <w:color w:val="auto"/>
        </w:rPr>
        <w:t xml:space="preserve"> Section 5 </w:t>
      </w:r>
      <w:r>
        <w:rPr>
          <w:rFonts w:ascii="Times New Roman" w:cs="Times New Roman" w:eastAsia="Times New Roman" w:hAnsi="Times New Roman"/>
          <w:sz w:val="22"/>
          <w:szCs w:val="22"/>
          <w:color w:val="auto"/>
        </w:rPr>
        <w:t>hereof,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further be entitled to receive the following:</w:t>
      </w:r>
    </w:p>
    <w:p>
      <w:pPr>
        <w:spacing w:after="0" w:line="153" w:lineRule="exact"/>
        <w:rPr>
          <w:rFonts w:ascii="Times New Roman" w:cs="Times New Roman" w:eastAsia="Times New Roman" w:hAnsi="Times New Roman"/>
          <w:sz w:val="22"/>
          <w:szCs w:val="22"/>
          <w:color w:val="auto"/>
        </w:rPr>
      </w:pPr>
    </w:p>
    <w:p>
      <w:pPr>
        <w:ind w:left="640" w:right="80" w:firstLine="644"/>
        <w:spacing w:after="0" w:line="271" w:lineRule="auto"/>
        <w:tabs>
          <w:tab w:leader="none" w:pos="192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 in Employee Plans</w:t>
      </w:r>
      <w:r>
        <w:rPr>
          <w:rFonts w:ascii="Times New Roman" w:cs="Times New Roman" w:eastAsia="Times New Roman" w:hAnsi="Times New Roman"/>
          <w:sz w:val="22"/>
          <w:szCs w:val="22"/>
          <w:color w:val="auto"/>
        </w:rPr>
        <w:t>. The Executive shall be entitled to participate in any health, disability, life insurance, pension, retirement, profit sharing,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40" w:top="1422" w:right="339" w:bottom="1440" w:gutter="0" w:footer="0" w:header="0"/>
        </w:sectPr>
      </w:pPr>
    </w:p>
    <w:bookmarkStart w:id="115" w:name="page116"/>
    <w:bookmarkEnd w:id="115"/>
    <w:p>
      <w:pPr>
        <w:ind w:left="620" w:right="80"/>
        <w:spacing w:after="0" w:line="271" w:lineRule="auto"/>
        <w:rPr>
          <w:sz w:val="20"/>
          <w:szCs w:val="20"/>
          <w:color w:val="auto"/>
        </w:rPr>
      </w:pPr>
      <w:r>
        <w:rPr>
          <w:rFonts w:ascii="Times New Roman" w:cs="Times New Roman" w:eastAsia="Times New Roman" w:hAnsi="Times New Roman"/>
          <w:sz w:val="22"/>
          <w:szCs w:val="22"/>
          <w:color w:val="auto"/>
        </w:rPr>
        <w:t>deferred compensation plan or any other perquisites and fringe benefits that may be extended generally from time to time to the most senior executive officers of the Corporation.</w:t>
      </w:r>
    </w:p>
    <w:p>
      <w:pPr>
        <w:spacing w:after="0" w:line="158" w:lineRule="exact"/>
        <w:rPr>
          <w:sz w:val="20"/>
          <w:szCs w:val="20"/>
          <w:color w:val="auto"/>
        </w:rPr>
      </w:pPr>
    </w:p>
    <w:p>
      <w:pPr>
        <w:ind w:left="620" w:right="40" w:firstLine="644"/>
        <w:spacing w:after="0" w:line="271" w:lineRule="auto"/>
        <w:tabs>
          <w:tab w:leader="none" w:pos="191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Executive shall be entitled to vacation in accordance with the Corporation’s vacation or paid time off policy as in effect from time to time for the most senior executive officers of the Corporation.</w:t>
      </w:r>
    </w:p>
    <w:p>
      <w:pPr>
        <w:spacing w:after="0" w:line="153" w:lineRule="exact"/>
        <w:rPr>
          <w:rFonts w:ascii="Times New Roman" w:cs="Times New Roman" w:eastAsia="Times New Roman" w:hAnsi="Times New Roman"/>
          <w:sz w:val="22"/>
          <w:szCs w:val="22"/>
          <w:color w:val="auto"/>
        </w:rPr>
      </w:pPr>
    </w:p>
    <w:p>
      <w:pPr>
        <w:ind w:left="-40" w:right="120" w:firstLine="656"/>
        <w:spacing w:after="0" w:line="259" w:lineRule="auto"/>
        <w:tabs>
          <w:tab w:leader="none" w:pos="12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Reimbursement of Expenses</w:t>
      </w:r>
      <w:r>
        <w:rPr>
          <w:rFonts w:ascii="Times New Roman" w:cs="Times New Roman" w:eastAsia="Times New Roman" w:hAnsi="Times New Roman"/>
          <w:sz w:val="22"/>
          <w:szCs w:val="22"/>
          <w:color w:val="auto"/>
        </w:rPr>
        <w:t>. Subject to such rules and procedures as from time to time are specified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the Corporation shall pay for or promptly reimburse the Executive for reasonable business expenses incurred in the performance of the Executive’s duties under this Agreement.</w:t>
      </w:r>
    </w:p>
    <w:p>
      <w:pPr>
        <w:spacing w:after="0" w:line="166" w:lineRule="exact"/>
        <w:rPr>
          <w:rFonts w:ascii="Times New Roman" w:cs="Times New Roman" w:eastAsia="Times New Roman" w:hAnsi="Times New Roman"/>
          <w:sz w:val="22"/>
          <w:szCs w:val="22"/>
          <w:color w:val="auto"/>
        </w:rPr>
      </w:pPr>
    </w:p>
    <w:p>
      <w:pPr>
        <w:ind w:left="-40" w:right="160" w:firstLine="656"/>
        <w:spacing w:after="0" w:line="247" w:lineRule="auto"/>
        <w:tabs>
          <w:tab w:leader="none" w:pos="12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Relocation Expenses</w:t>
      </w:r>
      <w:r>
        <w:rPr>
          <w:rFonts w:ascii="Times New Roman" w:cs="Times New Roman" w:eastAsia="Times New Roman" w:hAnsi="Times New Roman"/>
          <w:sz w:val="22"/>
          <w:szCs w:val="22"/>
          <w:color w:val="auto"/>
        </w:rPr>
        <w:t>. The Corporation shall assist with expenses incurred by the Executive for his relocation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Los Angeles metropolitan area in accordance with the terms of the Corporation’s Tier 1 Relocation Policy; provided that the period of temporary housing assistance under such policy shall be provided to the Executive for 12 months following the Start Date or, if earlier, until the date the Executive purchases a residence in the Los Angeles metropolitan area. If the Executive resigns from employment within two years after the Start Date for a reason other than Good Reason (as defined below), the Executive shall repay a pro rata portion of the pre-tax amount of such relocation benefits within ten (10) days after the date of such resignation, with such pro rata amount determined based on the number of full months remaining between the Executive’s date of termination and the two-year anniversary of the Start Date.</w:t>
      </w:r>
    </w:p>
    <w:p>
      <w:pPr>
        <w:spacing w:after="0" w:line="185" w:lineRule="exact"/>
        <w:rPr>
          <w:rFonts w:ascii="Times New Roman" w:cs="Times New Roman" w:eastAsia="Times New Roman" w:hAnsi="Times New Roman"/>
          <w:sz w:val="22"/>
          <w:szCs w:val="22"/>
          <w:color w:val="auto"/>
        </w:rPr>
      </w:pPr>
    </w:p>
    <w:p>
      <w:pPr>
        <w:ind w:left="-40" w:firstLine="656"/>
        <w:spacing w:after="0" w:line="253" w:lineRule="auto"/>
        <w:tabs>
          <w:tab w:leader="none" w:pos="12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Confidentiality/Trade Secrets</w:t>
      </w:r>
      <w:r>
        <w:rPr>
          <w:rFonts w:ascii="Times New Roman" w:cs="Times New Roman" w:eastAsia="Times New Roman" w:hAnsi="Times New Roman"/>
          <w:sz w:val="22"/>
          <w:szCs w:val="22"/>
          <w:color w:val="auto"/>
        </w:rPr>
        <w:t>. The Executive acknowledges that the Executive’s position with the Corporation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of the highest trust and confidence both by reason of the Executive’s position and by reason of the Executive’s access to and contact with the trade secrets and confidential and proprietary business information of the Corporation. Both during the term of this Agreement and thereafter, the Executive covenants and agrees as follows:</w:t>
      </w:r>
    </w:p>
    <w:p>
      <w:pPr>
        <w:spacing w:after="0" w:line="179" w:lineRule="exact"/>
        <w:rPr>
          <w:rFonts w:ascii="Times New Roman" w:cs="Times New Roman" w:eastAsia="Times New Roman" w:hAnsi="Times New Roman"/>
          <w:sz w:val="22"/>
          <w:szCs w:val="22"/>
          <w:color w:val="auto"/>
        </w:rPr>
      </w:pPr>
    </w:p>
    <w:p>
      <w:pPr>
        <w:ind w:left="620" w:right="20" w:firstLine="644"/>
        <w:spacing w:after="0" w:line="250" w:lineRule="auto"/>
        <w:tabs>
          <w:tab w:leader="none" w:pos="190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use his best efforts and exercise reasonable diligence to protect and safeguard the trade secrets and confidential and proprietary information of the Corporation, including but not limited to any non-public strategies, business plans, marketing and advertising plans, the identity of its customers and suppliers, its arrangements with customers and suppliers, and its technical and financial data, records, compilations of information, processes, recipes and specifications relating to its customers, suppliers, products and services.</w:t>
      </w:r>
    </w:p>
    <w:p>
      <w:pPr>
        <w:spacing w:after="0" w:line="180" w:lineRule="exact"/>
        <w:rPr>
          <w:rFonts w:ascii="Times New Roman" w:cs="Times New Roman" w:eastAsia="Times New Roman" w:hAnsi="Times New Roman"/>
          <w:sz w:val="22"/>
          <w:szCs w:val="22"/>
          <w:color w:val="auto"/>
        </w:rPr>
      </w:pPr>
    </w:p>
    <w:p>
      <w:pPr>
        <w:ind w:left="620" w:right="220" w:firstLine="644"/>
        <w:spacing w:after="0" w:line="252" w:lineRule="auto"/>
        <w:tabs>
          <w:tab w:leader="none" w:pos="191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disclose any of such trade secrets and confidential and proprietary information, except (i) as may be required in the course of the Executive’s employment with the Corporation, (ii) as may be required by applicable law, order, regulation or ruling, and (iii) as may be required or appropriate in response to any summons or subpoena in connection with any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60" w:top="1422" w:right="359" w:bottom="1440" w:gutter="0" w:footer="0" w:header="0"/>
        </w:sectPr>
      </w:pPr>
    </w:p>
    <w:bookmarkStart w:id="116" w:name="page117"/>
    <w:bookmarkEnd w:id="116"/>
    <w:p>
      <w:pPr>
        <w:ind w:left="660" w:right="480" w:firstLine="644"/>
        <w:spacing w:after="0" w:line="271"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use, directly or indirectly, for the Executive’s own benefit or for the benefit of another, any of such trade secrets and confidential and proprietary information.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All original and any copies of files, records, documents, emails, drawings, specifications, memoranda, notes, or other documents relating to the business of the Corporation, including printed, electronic or digital copies thereof, whether prepared by the Executive or otherwise coming into the Executive’s possession, shall be the exclusive property of the Corporation and shall be delivered to the Corporation and not retained by the Executive upon termination of the Executive’s employment for any reason whatsoever or at any other time upon request of the Corporation’s General Counsel or the Board.</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Confidential and proprietary information shall not include any information that (i) has been published in a form generally available to the public prior to the date the Executive proposes to disclose or use such information or otherwise is or becomes public knowledge through legal means without fault by the Executive, (ii) is already public knowledge prior to the signing of this Agreement, or (iii) was available to the Executive on a non-confidential basis prior to its disclosure by the Corporation.</w:t>
      </w:r>
    </w:p>
    <w:p>
      <w:pPr>
        <w:spacing w:after="0" w:line="159" w:lineRule="exact"/>
        <w:rPr>
          <w:sz w:val="20"/>
          <w:szCs w:val="20"/>
          <w:color w:val="auto"/>
        </w:rPr>
      </w:pPr>
    </w:p>
    <w:p>
      <w:pPr>
        <w:ind w:firstLine="656"/>
        <w:spacing w:after="0" w:line="246"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Discoveries</w:t>
      </w:r>
      <w:r>
        <w:rPr>
          <w:rFonts w:ascii="Times New Roman" w:cs="Times New Roman" w:eastAsia="Times New Roman" w:hAnsi="Times New Roman"/>
          <w:sz w:val="22"/>
          <w:szCs w:val="22"/>
          <w:color w:val="auto"/>
        </w:rPr>
        <w:t>. The Executive covenants and agrees to fully inform the Corporation of and disclose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all inventions, designs, improvements, discoveries, and processes (“</w:t>
      </w:r>
      <w:r>
        <w:rPr>
          <w:rFonts w:ascii="Times New Roman" w:cs="Times New Roman" w:eastAsia="Times New Roman" w:hAnsi="Times New Roman"/>
          <w:sz w:val="22"/>
          <w:szCs w:val="22"/>
          <w:b w:val="1"/>
          <w:bCs w:val="1"/>
          <w:color w:val="auto"/>
        </w:rPr>
        <w:t>Discoveries</w:t>
      </w:r>
      <w:r>
        <w:rPr>
          <w:rFonts w:ascii="Times New Roman" w:cs="Times New Roman" w:eastAsia="Times New Roman" w:hAnsi="Times New Roman"/>
          <w:sz w:val="22"/>
          <w:szCs w:val="22"/>
          <w:color w:val="auto"/>
        </w:rPr>
        <w:t>”) that the Executive has now or may hereafter have during the Executive’s employment with the Corporation and that pertain or relate to the business of the Corporation, including but not limited to the operation and franchising of restaurants, or to any experimental work, products, services, or processes of the Corporation in progress or planned for the future, whether conceived by the Executive alone or with others, and whether or not conceived during regular working hours or in conjunction with the use of any Corporation assets. The Executive will hold in trust for the sole right and benefit of the Corporation, and will transfer, convey, release and assign to the Corporation all of the Executive’s right, title, and interest, if any, in and to any and all Discoveries, whether or not patentable or registrable under copyright or similar laws, that the Executive has solely or jointly conceived or developed or reduced to practice, or caused to be conceived or developed or reduced to practice, during the period of time that the Executive is employed with the Corporation.</w:t>
      </w:r>
    </w:p>
    <w:p>
      <w:pPr>
        <w:spacing w:after="0" w:line="18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Executive is not required to assign, or offer to assign, to the Corporation any invention that fully qualifies under California Labor Code Section 2870, which section is reproduced below:</w:t>
      </w:r>
    </w:p>
    <w:p>
      <w:pPr>
        <w:spacing w:after="0" w:line="158" w:lineRule="exact"/>
        <w:rPr>
          <w:sz w:val="20"/>
          <w:szCs w:val="20"/>
          <w:color w:val="auto"/>
        </w:rPr>
      </w:pPr>
    </w:p>
    <w:p>
      <w:pPr>
        <w:jc w:val="both"/>
        <w:ind w:left="660" w:right="400" w:firstLine="644"/>
        <w:spacing w:after="0" w:line="252"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7" w:name="page118"/>
    <w:bookmarkEnd w:id="117"/>
    <w:p>
      <w:pPr>
        <w:ind w:left="1300" w:right="440" w:firstLine="444"/>
        <w:spacing w:after="0" w:line="271" w:lineRule="auto"/>
        <w:rPr>
          <w:sz w:val="20"/>
          <w:szCs w:val="20"/>
          <w:color w:val="auto"/>
        </w:rPr>
      </w:pPr>
      <w:r>
        <w:rPr>
          <w:rFonts w:ascii="Times New Roman" w:cs="Times New Roman" w:eastAsia="Times New Roman" w:hAnsi="Times New Roman"/>
          <w:sz w:val="22"/>
          <w:szCs w:val="22"/>
          <w:color w:val="auto"/>
        </w:rPr>
        <w:t>(i)Relate at the time of conception or reduction to practice of the invention to the employer's business, or actual or demonstrably anticipated research or development of the employer; or</w:t>
      </w:r>
    </w:p>
    <w:p>
      <w:pPr>
        <w:spacing w:after="0" w:line="1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(ii)Result from any work performed by the employee for the employer.</w:t>
      </w:r>
    </w:p>
    <w:p>
      <w:pPr>
        <w:spacing w:after="0" w:line="220" w:lineRule="exact"/>
        <w:rPr>
          <w:sz w:val="20"/>
          <w:szCs w:val="20"/>
          <w:color w:val="auto"/>
        </w:rPr>
      </w:pPr>
    </w:p>
    <w:p>
      <w:pPr>
        <w:ind w:left="660" w:right="80" w:firstLine="644"/>
        <w:spacing w:after="0" w:line="257" w:lineRule="auto"/>
        <w:tabs>
          <w:tab w:leader="none" w:pos="195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The Executive will assist the Corporation, or its designee, at the Corporation’s expense, in every proper way to secure and enforce the Corporation’s rights in the Discoveries as set forth above and any copyrights, patents, mask work rights or other intellectual property rights relating thereto in any and all countries, including the disclosure to the Corporation of all pertinent information and data with respect thereto, the execution of all applications, specifications, oaths, assignments and all other instruments which the Corporation shall deem necessary in order to apply for, obtain and maintain such rights and in order to assign and convey to the Corporation, its successors, assigns and nominees the sole and exclusive rights, title and interest in and to such Discoveries, and any copyrights, patents, mask work rights or other intellectual property rights relating thereto. The Executive will execute or cause to be executed, when it is in the Executive’s power to do so, any such instrument or papers and such obligation shall continue after the termination of Executive’s employment. If the Corporation is unable because of the Executive’s mental or physical incapacity or for any other reason to secure the Executive’s signature to apply for or to pursue any application for any United States or foreign patents or copyright registrations covering Discoveries assigned to the Corporation as set forth above, then the Executive hereby irrevocably designates and appoints the Corporation and its duly authorized officers and agents as the Executive’s agent and attorney in fact, to act for and in the Executive’s behalf and stead to execute and file any such applications and to do all other lawfully permitted acts to further the prosecution and issuance of letters patent or copyright registrations thereon with the same legal force and effect as if executed by the Executive.</w:t>
      </w:r>
    </w:p>
    <w:p>
      <w:pPr>
        <w:spacing w:after="0" w:line="186" w:lineRule="exact"/>
        <w:rPr>
          <w:sz w:val="20"/>
          <w:szCs w:val="20"/>
          <w:color w:val="auto"/>
        </w:rPr>
      </w:pPr>
    </w:p>
    <w:p>
      <w:pPr>
        <w:ind w:firstLine="656"/>
        <w:spacing w:after="0" w:line="246" w:lineRule="auto"/>
        <w:tabs>
          <w:tab w:leader="none" w:pos="128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 The Executive covenants and agrees that during the period of the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the extent enforceable under applicable law, for a period of 12 months following the effective date of the termination of the Executive’s employment for any reason, whether voluntary or involuntary, the Executive shall not, without the prior written consent of the Board, directly or indirectly, as an employee, employer, consultant, agent, principal, partner, shareholder, corporate officer, director, or through any other kind of ownership (other than ownership of securities of publicly held corporations of which the Executive owns less than 5% of any class of outstanding securities) or in any other representative or individual capacity, engage in or render any services to any business in North America engaged in the casual dining restaurant industry, the family dining restaurant industry, or in any other segment of the restaurant industry in which the Corporation or any subsidiary of the Corporation may become involved after the date hereof and prior to the date of termination of the Executive’s employment. For purposes of this Agreement “casual dining restaurant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18" w:name="page119"/>
    <w:bookmarkEnd w:id="118"/>
    <w:p>
      <w:pPr>
        <w:ind w:right="220"/>
        <w:spacing w:after="0" w:line="268" w:lineRule="auto"/>
        <w:rPr>
          <w:sz w:val="20"/>
          <w:szCs w:val="20"/>
          <w:color w:val="auto"/>
        </w:rPr>
      </w:pPr>
      <w:r>
        <w:rPr>
          <w:rFonts w:ascii="Times New Roman" w:cs="Times New Roman" w:eastAsia="Times New Roman" w:hAnsi="Times New Roman"/>
          <w:sz w:val="21"/>
          <w:szCs w:val="21"/>
          <w:color w:val="auto"/>
        </w:rPr>
        <w:t>consists of “sit down table service” restaurants serving alcoholic beverages, with a per guest average guest check within the United States of under $25.00 (adjusted upward each year to recognize Corporation menu price increases). For purposes of this Agreement “family dining restaurant industry” consists of “sit down table service” restaurants, with a per guest average guest check within the United States of under $20.00 (adjusted upward each year to recognize Corporation menu price increases).</w:t>
      </w:r>
    </w:p>
    <w:p>
      <w:pPr>
        <w:spacing w:after="0" w:line="159" w:lineRule="exact"/>
        <w:rPr>
          <w:sz w:val="20"/>
          <w:szCs w:val="20"/>
          <w:color w:val="auto"/>
        </w:rPr>
      </w:pPr>
    </w:p>
    <w:p>
      <w:pPr>
        <w:ind w:right="40" w:firstLine="656"/>
        <w:spacing w:after="0" w:line="248"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Non-Solicitation</w:t>
      </w:r>
      <w:r>
        <w:rPr>
          <w:rFonts w:ascii="Times New Roman" w:cs="Times New Roman" w:eastAsia="Times New Roman" w:hAnsi="Times New Roman"/>
          <w:sz w:val="22"/>
          <w:szCs w:val="22"/>
          <w:color w:val="auto"/>
        </w:rPr>
        <w:t>. The Executive agrees that during the period of the Executive’s employment, and for a period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24 months following the effective date of the termination of the Executive’s employment for any reason, the Executive will not, either directly or indirectly, for the Executive or for any third party, except as otherwise agreed to in writing by the Board, solicit, induce, recruit, or cause any other person who is then employed by the Corporation to terminate his/her employment for the purpose of joining, associating, or becoming employed with any business or activity that is engaged in the casual dining restaurant industry, the family dining restaurant industry or any other segment of the restaurant industry in which the Corporation may become involved after the date hereof and prior to the date of any termination of employment.</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Remedies for Breach of Covenants of the Executive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60" w:right="60" w:firstLine="644"/>
        <w:spacing w:after="0" w:line="265" w:lineRule="auto"/>
        <w:tabs>
          <w:tab w:leader="none" w:pos="194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Corporation and the Executive specifically acknowledge and agree that the foregoing covenants of the Executive in </w:t>
      </w:r>
      <w:r>
        <w:rPr>
          <w:rFonts w:ascii="Times New Roman" w:cs="Times New Roman" w:eastAsia="Times New Roman" w:hAnsi="Times New Roman"/>
          <w:sz w:val="21"/>
          <w:szCs w:val="21"/>
          <w:b w:val="1"/>
          <w:bCs w:val="1"/>
          <w:color w:val="auto"/>
        </w:rPr>
        <w:t>Sections 9, 10, 11 and 12</w:t>
      </w:r>
      <w:r>
        <w:rPr>
          <w:rFonts w:ascii="Times New Roman" w:cs="Times New Roman" w:eastAsia="Times New Roman" w:hAnsi="Times New Roman"/>
          <w:sz w:val="21"/>
          <w:szCs w:val="21"/>
          <w:color w:val="auto"/>
        </w:rPr>
        <w:t xml:space="preserve"> are reasonable in content and scope and are given by the Executive for adequate consideration. The Corporation and the Executive further acknowledge and agree that, if any court of competent jurisdiction or other appropriate authority shall disagree with the parties’ foregoing agreement as to reasonableness, then such court or other authority shall reform or otherwise construe the foregoing covenants as reason dictates.</w:t>
      </w:r>
    </w:p>
    <w:p>
      <w:pPr>
        <w:spacing w:after="0" w:line="161" w:lineRule="exact"/>
        <w:rPr>
          <w:rFonts w:ascii="Times New Roman" w:cs="Times New Roman" w:eastAsia="Times New Roman" w:hAnsi="Times New Roman"/>
          <w:sz w:val="21"/>
          <w:szCs w:val="21"/>
          <w:color w:val="auto"/>
        </w:rPr>
      </w:pPr>
    </w:p>
    <w:p>
      <w:pPr>
        <w:ind w:left="660" w:firstLine="644"/>
        <w:spacing w:after="0" w:line="247" w:lineRule="auto"/>
        <w:tabs>
          <w:tab w:leader="none" w:pos="195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set forth in </w:t>
      </w:r>
      <w:r>
        <w:rPr>
          <w:rFonts w:ascii="Times New Roman" w:cs="Times New Roman" w:eastAsia="Times New Roman" w:hAnsi="Times New Roman"/>
          <w:sz w:val="22"/>
          <w:szCs w:val="22"/>
          <w:b w:val="1"/>
          <w:bCs w:val="1"/>
          <w:color w:val="auto"/>
        </w:rPr>
        <w:t>Sections 9, 10, 11 and 12</w:t>
      </w:r>
      <w:r>
        <w:rPr>
          <w:rFonts w:ascii="Times New Roman" w:cs="Times New Roman" w:eastAsia="Times New Roman" w:hAnsi="Times New Roman"/>
          <w:sz w:val="22"/>
          <w:szCs w:val="22"/>
          <w:color w:val="auto"/>
        </w:rPr>
        <w:t xml:space="preserve"> of this Agreement shall continue to be binding upon the Executive, notwithstanding the termination of the Executive’s employment with the Corporation for any reason whatsoever. Such covenants shall be deemed and construed as separate agreements independent of any other provisions of this Agreement and any other agreement between the Corporation and the Executive. The existence of any claim or cause of action by the Executive against the Corporation, unless predicated on this Agreement, shall not constitute a defense to the enforcement by the Corporation of any or all such covenants. It is expressly agreed that the remedy at law for the breach of any such covenant is inadequate and injunctive relief and specific performance shall be available to prevent the breach or any threatened breach thereof.</w:t>
      </w:r>
    </w:p>
    <w:p>
      <w:pPr>
        <w:spacing w:after="0" w:line="185" w:lineRule="exact"/>
        <w:rPr>
          <w:rFonts w:ascii="Times New Roman" w:cs="Times New Roman" w:eastAsia="Times New Roman" w:hAnsi="Times New Roman"/>
          <w:sz w:val="22"/>
          <w:szCs w:val="22"/>
          <w:color w:val="auto"/>
        </w:rPr>
      </w:pPr>
    </w:p>
    <w:p>
      <w:pPr>
        <w:ind w:left="660" w:firstLine="644"/>
        <w:spacing w:after="0" w:line="253" w:lineRule="auto"/>
        <w:tabs>
          <w:tab w:leader="none" w:pos="19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Executive breaches any of the covenants set forth in </w:t>
      </w:r>
      <w:r>
        <w:rPr>
          <w:rFonts w:ascii="Times New Roman" w:cs="Times New Roman" w:eastAsia="Times New Roman" w:hAnsi="Times New Roman"/>
          <w:sz w:val="22"/>
          <w:szCs w:val="22"/>
          <w:b w:val="1"/>
          <w:bCs w:val="1"/>
          <w:color w:val="auto"/>
        </w:rPr>
        <w:t>Sections 9, 10, 11 and 12</w:t>
      </w:r>
      <w:r>
        <w:rPr>
          <w:rFonts w:ascii="Times New Roman" w:cs="Times New Roman" w:eastAsia="Times New Roman" w:hAnsi="Times New Roman"/>
          <w:sz w:val="22"/>
          <w:szCs w:val="22"/>
          <w:color w:val="auto"/>
        </w:rPr>
        <w:t xml:space="preserve"> of this Agreement, the Executive shall reimburse the Corporation for (i) any long-term incentive compensation received by the Executive from the Corporation during the 12-month period preceding the breach, and (ii) any profits realized from the sale of securities of the Corporation during such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119" w:name="page120"/>
    <w:bookmarkEnd w:id="119"/>
    <w:p>
      <w:pPr>
        <w:ind w:left="640" w:firstLine="644"/>
        <w:spacing w:after="0" w:line="247" w:lineRule="auto"/>
        <w:tabs>
          <w:tab w:leader="none" w:pos="193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nothing in this Agreement prohibits the Executive from confidentially or otherwise communicating or filing a charge or complaint with a governmental or regulatory entity, participating in a governmental or regulatory entity investigation, or giving truthful testimony or making other disclosures to a governmental or regulatory entity (in each case, without having to disclose any such conduct to the Corporation), or from responding if properly subpoenaed or otherwise required to do so under applicable law. In addition, nothing in this Agreement limits the Executive’s right to receive an award from a governmental or regulatory entity for information provided to such an entity (and not as compensation for actual or alleged personal injury or damages to the Executive).</w:t>
      </w:r>
    </w:p>
    <w:p>
      <w:pPr>
        <w:spacing w:after="0" w:line="181" w:lineRule="exact"/>
        <w:rPr>
          <w:rFonts w:ascii="Times New Roman" w:cs="Times New Roman" w:eastAsia="Times New Roman" w:hAnsi="Times New Roman"/>
          <w:sz w:val="22"/>
          <w:szCs w:val="22"/>
          <w:color w:val="auto"/>
        </w:rPr>
      </w:pPr>
    </w:p>
    <w:p>
      <w:pPr>
        <w:ind w:left="-20" w:right="460" w:firstLine="656"/>
        <w:spacing w:after="0" w:line="275" w:lineRule="auto"/>
        <w:tabs>
          <w:tab w:leader="none" w:pos="127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This Agreement (other than</w:t>
      </w:r>
      <w:r>
        <w:rPr>
          <w:rFonts w:ascii="Times New Roman" w:cs="Times New Roman" w:eastAsia="Times New Roman" w:hAnsi="Times New Roman"/>
          <w:sz w:val="22"/>
          <w:szCs w:val="22"/>
          <w:b w:val="1"/>
          <w:bCs w:val="1"/>
          <w:color w:val="auto"/>
        </w:rPr>
        <w:t xml:space="preserve"> Sections 9, 10, 11, 12 and 21</w:t>
      </w:r>
      <w:r>
        <w:rPr>
          <w:rFonts w:ascii="Times New Roman" w:cs="Times New Roman" w:eastAsia="Times New Roman" w:hAnsi="Times New Roman"/>
          <w:sz w:val="22"/>
          <w:szCs w:val="22"/>
          <w:color w:val="auto"/>
        </w:rPr>
        <w:t>, which shall survive any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for any reason) may be terminated prior to the expiration of the Term as follows:</w:t>
      </w:r>
    </w:p>
    <w:p>
      <w:pPr>
        <w:spacing w:after="0" w:line="153" w:lineRule="exact"/>
        <w:rPr>
          <w:rFonts w:ascii="Times New Roman" w:cs="Times New Roman" w:eastAsia="Times New Roman" w:hAnsi="Times New Roman"/>
          <w:sz w:val="22"/>
          <w:szCs w:val="22"/>
          <w:color w:val="auto"/>
        </w:rPr>
      </w:pPr>
    </w:p>
    <w:p>
      <w:pPr>
        <w:ind w:left="640" w:right="300" w:firstLine="644"/>
        <w:spacing w:after="0" w:line="257" w:lineRule="auto"/>
        <w:tabs>
          <w:tab w:leader="none" w:pos="192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terminate this Agreement and the Executive’s employment hereunder at any time, with or without Cause, upon written notice to the Executive. The Executive may terminate this Agreement and the Executive’s employment hereunder, at any time, with or without Good Reason.</w:t>
      </w:r>
    </w:p>
    <w:p>
      <w:pPr>
        <w:spacing w:after="0" w:line="172" w:lineRule="exact"/>
        <w:rPr>
          <w:rFonts w:ascii="Times New Roman" w:cs="Times New Roman" w:eastAsia="Times New Roman" w:hAnsi="Times New Roman"/>
          <w:sz w:val="22"/>
          <w:szCs w:val="22"/>
          <w:color w:val="auto"/>
        </w:rPr>
      </w:pPr>
    </w:p>
    <w:p>
      <w:pPr>
        <w:ind w:left="640" w:firstLine="644"/>
        <w:spacing w:after="0" w:line="256" w:lineRule="auto"/>
        <w:tabs>
          <w:tab w:leader="none" w:pos="193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termination by the Corporation without Cause (including in connection with a non-renewal of the Term by the Corporation) or by the Executive for Good Reason, which shall not include a termination due to the Executive’s death or Disability or a termination upon the expiration of the Term, (i) the effective date thereof shall be stated in a written notice from the Board or the Executive, as the case may be, to the other party, which in the case of a termination for Good Reason shall not be earlier than 30 days from the date such written notice is delivered; provided that in lieu of all or a portion of such a 30-day notice period the Corporation may elect, in its sole discretion, to pay the Executive the additional Base Salary the Executive otherwise would have received during such notice period or portion thereof, and (ii) the Executive shall be entitled to receive (1) within 10 business days following the effective date of such termination (or at such later time as required pursuant to the terms of an applicable deferral election) the payment of that portion of the Executive’s Base Salary accrued through the date of termination to the extent not previously paid, any annual bonus earned during the prior fiscal year but not yet paid to the Executive, any incurred but unreimbursed expenses owed to the Executive in accordance with the Corporation’s policy or this Agreement, and any accrued but unused vacation pay owed to the Executive in accordance with the Corporation’s policy (the “</w:t>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and</w:t>
      </w:r>
    </w:p>
    <w:p>
      <w:pPr>
        <w:spacing w:after="0" w:line="9" w:lineRule="exact"/>
        <w:rPr>
          <w:rFonts w:ascii="Times New Roman" w:cs="Times New Roman" w:eastAsia="Times New Roman" w:hAnsi="Times New Roman"/>
          <w:sz w:val="21"/>
          <w:szCs w:val="21"/>
          <w:color w:val="auto"/>
        </w:rPr>
      </w:pPr>
    </w:p>
    <w:p>
      <w:pPr>
        <w:ind w:left="640" w:right="14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all amounts arising from the Executive’s participation in, or benefits under, any employee benefit plans, programs or arrangements, which amounts shall be payable in accordance with the terms and conditions of such employee benefit plans, programs or arrangements, including the payment of any earned but unpaid annual bonus in respect of the fiscal year ending prior to the date of termination, to the extent not already paid (the “</w:t>
      </w: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 In addition, subject to the Executive’s entering into and not revoking the General Release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within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40" w:top="1422"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after the effective date of termination (or such longer period of time permitted by the Board):</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 xml:space="preserve">(i)the Executive shall be entitled to receive all Severance Payments under </w:t>
      </w:r>
      <w:r>
        <w:rPr>
          <w:rFonts w:ascii="Times New Roman" w:cs="Times New Roman" w:eastAsia="Times New Roman" w:hAnsi="Times New Roman"/>
          <w:sz w:val="22"/>
          <w:szCs w:val="22"/>
          <w:b w:val="1"/>
          <w:bCs w:val="1"/>
          <w:color w:val="auto"/>
        </w:rPr>
        <w:t>Section 14(g)</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(ii)the Make-Good RSUs and Make-Good Option shall become fully vested as of the date of termination,</w:t>
      </w:r>
    </w:p>
    <w:p>
      <w:pPr>
        <w:spacing w:after="0" w:line="220" w:lineRule="exact"/>
        <w:rPr>
          <w:sz w:val="20"/>
          <w:szCs w:val="20"/>
          <w:color w:val="auto"/>
        </w:rPr>
      </w:pPr>
    </w:p>
    <w:p>
      <w:pPr>
        <w:ind w:left="640" w:firstLine="324"/>
        <w:spacing w:after="0" w:line="250" w:lineRule="auto"/>
        <w:rPr>
          <w:sz w:val="20"/>
          <w:szCs w:val="20"/>
          <w:color w:val="auto"/>
        </w:rPr>
      </w:pPr>
      <w:r>
        <w:rPr>
          <w:rFonts w:ascii="Times New Roman" w:cs="Times New Roman" w:eastAsia="Times New Roman" w:hAnsi="Times New Roman"/>
          <w:sz w:val="22"/>
          <w:szCs w:val="22"/>
          <w:color w:val="auto"/>
        </w:rPr>
        <w:t>(iii)any unvested stock options, stock appreciation rights, restricted stock awards, restricted stock units and any other equity-based awards held by the Executive, other than the Make-Good RSUs and Make-Good Option, that are subject only to service or time based vesting conditions (and not performance-based vesting conditions) and that would have vested during the 24-month period following the Executive’s termination will vest as of the day immediately preceding the effective date of termination,</w:t>
      </w:r>
    </w:p>
    <w:p>
      <w:pPr>
        <w:spacing w:after="0" w:line="181" w:lineRule="exact"/>
        <w:rPr>
          <w:sz w:val="20"/>
          <w:szCs w:val="20"/>
          <w:color w:val="auto"/>
        </w:rPr>
      </w:pPr>
    </w:p>
    <w:p>
      <w:pPr>
        <w:ind w:left="640" w:right="240" w:firstLine="336"/>
        <w:spacing w:after="0" w:line="266" w:lineRule="auto"/>
        <w:rPr>
          <w:sz w:val="20"/>
          <w:szCs w:val="20"/>
          <w:color w:val="auto"/>
        </w:rPr>
      </w:pPr>
      <w:r>
        <w:rPr>
          <w:rFonts w:ascii="Times New Roman" w:cs="Times New Roman" w:eastAsia="Times New Roman" w:hAnsi="Times New Roman"/>
          <w:sz w:val="21"/>
          <w:szCs w:val="21"/>
          <w:color w:val="auto"/>
        </w:rPr>
        <w:t>(iv)any unvested equity-based or long-term cash-based awards held by the Executive that are subject to any performance-based vesting conditions shall become vested on a prorated basis, up to 100%, based on the sum of</w:t>
      </w:r>
    </w:p>
    <w:p>
      <w:pPr>
        <w:spacing w:after="0" w:line="2" w:lineRule="exact"/>
        <w:rPr>
          <w:sz w:val="20"/>
          <w:szCs w:val="20"/>
          <w:color w:val="auto"/>
        </w:rPr>
      </w:pPr>
    </w:p>
    <w:p>
      <w:pPr>
        <w:ind w:left="640" w:right="60" w:firstLine="4"/>
        <w:spacing w:after="0" w:line="244" w:lineRule="auto"/>
        <w:tabs>
          <w:tab w:leader="none" w:pos="9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performance period that has elapsed prior to the date of termination, determined in accordance with the Corporation’s administrative practices, and (B) an additional 24 months, and each such award shall be paid at the time such award would have been paid to the Executive had he remained employed by the Corporation through the end of the applicable performance period, based on actual performance during such performance period, and</w:t>
      </w:r>
    </w:p>
    <w:p>
      <w:pPr>
        <w:spacing w:after="0" w:line="189" w:lineRule="exact"/>
        <w:rPr>
          <w:sz w:val="20"/>
          <w:szCs w:val="20"/>
          <w:color w:val="auto"/>
        </w:rPr>
      </w:pPr>
    </w:p>
    <w:p>
      <w:pPr>
        <w:ind w:left="640" w:firstLine="396"/>
        <w:spacing w:after="0" w:line="257" w:lineRule="auto"/>
        <w:rPr>
          <w:sz w:val="20"/>
          <w:szCs w:val="20"/>
          <w:color w:val="auto"/>
        </w:rPr>
      </w:pPr>
      <w:r>
        <w:rPr>
          <w:rFonts w:ascii="Times New Roman" w:cs="Times New Roman" w:eastAsia="Times New Roman" w:hAnsi="Times New Roman"/>
          <w:sz w:val="22"/>
          <w:szCs w:val="22"/>
          <w:color w:val="auto"/>
        </w:rPr>
        <w:t>(v)any stock options or stock appreciation rights held by the Executive shall remain exercisable until the earlier of 24 months after the date of termination or their original expiration date (the benefits provided pursuant to clauses (iii), (iv), (v) and (vi) being the “</w:t>
      </w:r>
      <w:r>
        <w:rPr>
          <w:rFonts w:ascii="Times New Roman" w:cs="Times New Roman" w:eastAsia="Times New Roman" w:hAnsi="Times New Roman"/>
          <w:sz w:val="22"/>
          <w:szCs w:val="22"/>
          <w:b w:val="1"/>
          <w:bCs w:val="1"/>
          <w:color w:val="auto"/>
        </w:rPr>
        <w:t>Equity Award Benefits</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22"/>
          <w:szCs w:val="22"/>
          <w:color w:val="auto"/>
        </w:rPr>
        <w:t xml:space="preserve">The Severance Payment under </w:t>
      </w:r>
      <w:r>
        <w:rPr>
          <w:rFonts w:ascii="Times New Roman" w:cs="Times New Roman" w:eastAsia="Times New Roman" w:hAnsi="Times New Roman"/>
          <w:sz w:val="22"/>
          <w:szCs w:val="22"/>
          <w:b w:val="1"/>
          <w:bCs w:val="1"/>
          <w:color w:val="auto"/>
        </w:rPr>
        <w:t>Section 14(g)(i)</w:t>
      </w:r>
      <w:r>
        <w:rPr>
          <w:rFonts w:ascii="Times New Roman" w:cs="Times New Roman" w:eastAsia="Times New Roman" w:hAnsi="Times New Roman"/>
          <w:sz w:val="22"/>
          <w:szCs w:val="22"/>
          <w:color w:val="auto"/>
        </w:rPr>
        <w:t xml:space="preserve"> shall be made to the Executive within 30 days after the effective date of termination; provided that if such 30-day period straddles two consecutive calendar years, payment shall be made in the second of such years.</w:t>
      </w:r>
    </w:p>
    <w:p>
      <w:pPr>
        <w:spacing w:after="0" w:line="170" w:lineRule="exact"/>
        <w:rPr>
          <w:sz w:val="20"/>
          <w:szCs w:val="20"/>
          <w:color w:val="auto"/>
        </w:rPr>
      </w:pPr>
    </w:p>
    <w:p>
      <w:pPr>
        <w:ind w:right="40" w:firstLine="644"/>
        <w:spacing w:after="0" w:line="248"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shall terminate automatically upon the Executive’s death. Upon the Disability of the Executive, the Corporation may give to the Executive written notice of its intention to terminate the Executive’s employment. In such event, the Executive’s employment with the Corporation shall terminate effective on the 30th day after receipt of such notice by the Executive (the “</w:t>
      </w:r>
      <w:r>
        <w:rPr>
          <w:rFonts w:ascii="Times New Roman" w:cs="Times New Roman" w:eastAsia="Times New Roman" w:hAnsi="Times New Roman"/>
          <w:sz w:val="22"/>
          <w:szCs w:val="22"/>
          <w:b w:val="1"/>
          <w:bCs w:val="1"/>
          <w:color w:val="auto"/>
        </w:rPr>
        <w:t>Disability Effective Date</w:t>
      </w:r>
      <w:r>
        <w:rPr>
          <w:rFonts w:ascii="Times New Roman" w:cs="Times New Roman" w:eastAsia="Times New Roman" w:hAnsi="Times New Roman"/>
          <w:sz w:val="22"/>
          <w:szCs w:val="22"/>
          <w:color w:val="auto"/>
        </w:rPr>
        <w:t>”), provided that, within the 30 days after such receipt, the Executive shall not have returned to perform, with or without reasonable accommodation, the essential functions of his position. 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the Executive’s inability to perform, with or without reasonable accommodation, the essential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0"/>
          </w:cols>
          <w:pgMar w:left="980" w:top="1422" w:right="339" w:bottom="1440" w:gutter="0" w:footer="0" w:header="0"/>
        </w:sectPr>
      </w:pPr>
    </w:p>
    <w:bookmarkStart w:id="121" w:name="page122"/>
    <w:bookmarkEnd w:id="121"/>
    <w:p>
      <w:pPr>
        <w:spacing w:after="0" w:line="259" w:lineRule="auto"/>
        <w:rPr>
          <w:sz w:val="20"/>
          <w:szCs w:val="20"/>
          <w:color w:val="auto"/>
        </w:rPr>
      </w:pPr>
      <w:r>
        <w:rPr>
          <w:rFonts w:ascii="Times New Roman" w:cs="Times New Roman" w:eastAsia="Times New Roman" w:hAnsi="Times New Roman"/>
          <w:sz w:val="21"/>
          <w:szCs w:val="21"/>
          <w:color w:val="auto"/>
        </w:rPr>
        <w:t>of his position hereunder for a period of 180 consecutive days (or 180 days within any period of 12 consecutive months) due to mental or physical incapacity, as determined by mutual agreement of a physician selected by the Corporation or its insurers and a physician selected by the Executive; provided, however, if the opinion of the Corporation’s physician and the Executive’s physician conflict, the Corporation’s physician and the Executive’s physician shall together agree upon a third physician, whose opinion shall be binding. In the event the Executive’s employment terminates due to death or Disability, (i) the Corporation shall pay to the Executive the Accrued Obligations, the Other Benefits and an amount equal to the annual bonus payout for the Executive for such fiscal year based on actual Corporation performance for such fiscal year, prorated pursuant to the terms of the Corporation’s annual bonus plan and payable at the time the annual bonus would have been paid to the Executive had he remained employed through the end of such fiscal year and (ii) the Make-Good RSUs and Make-Good Option shall become fully vested as of the date of termination.</w:t>
      </w:r>
    </w:p>
    <w:p>
      <w:pPr>
        <w:spacing w:after="0" w:line="175" w:lineRule="exact"/>
        <w:rPr>
          <w:sz w:val="20"/>
          <w:szCs w:val="20"/>
          <w:color w:val="auto"/>
        </w:rPr>
      </w:pPr>
    </w:p>
    <w:p>
      <w:pPr>
        <w:ind w:right="200" w:firstLine="644"/>
        <w:spacing w:after="0" w:line="271"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by the Corporation with Cause, the Executive shall be entitled to receive only the Accrued Obligations and Other Benefits.</w:t>
      </w:r>
    </w:p>
    <w:p>
      <w:pPr>
        <w:spacing w:after="0" w:line="153"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constitute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640" w:right="20" w:firstLine="444"/>
        <w:spacing w:after="0" w:line="250" w:lineRule="auto"/>
        <w:rPr>
          <w:sz w:val="20"/>
          <w:szCs w:val="20"/>
          <w:color w:val="auto"/>
        </w:rPr>
      </w:pPr>
      <w:r>
        <w:rPr>
          <w:rFonts w:ascii="Times New Roman" w:cs="Times New Roman" w:eastAsia="Times New Roman" w:hAnsi="Times New Roman"/>
          <w:sz w:val="22"/>
          <w:szCs w:val="22"/>
          <w:color w:val="auto"/>
        </w:rPr>
        <w:t>(i)The willful failure by the Executive to substantially perform the Executive’s duties with the Corporation (other than any such failure resulting from the Executive’s incapacity due to physical or mental illness), after a written demand for substantial performance is delivered to the Executive by the Board, which demand specifically identifies the manner in which the Board believes that the Executive has not substantially performed the Executive’s duties; or</w:t>
      </w:r>
    </w:p>
    <w:p>
      <w:pPr>
        <w:spacing w:after="0" w:line="181" w:lineRule="exact"/>
        <w:rPr>
          <w:sz w:val="20"/>
          <w:szCs w:val="20"/>
          <w:color w:val="auto"/>
        </w:rPr>
      </w:pPr>
    </w:p>
    <w:p>
      <w:pPr>
        <w:ind w:left="640" w:right="580" w:firstLine="384"/>
        <w:spacing w:after="0" w:line="271" w:lineRule="auto"/>
        <w:rPr>
          <w:sz w:val="20"/>
          <w:szCs w:val="20"/>
          <w:color w:val="auto"/>
        </w:rPr>
      </w:pPr>
      <w:r>
        <w:rPr>
          <w:rFonts w:ascii="Times New Roman" w:cs="Times New Roman" w:eastAsia="Times New Roman" w:hAnsi="Times New Roman"/>
          <w:sz w:val="22"/>
          <w:szCs w:val="22"/>
          <w:color w:val="auto"/>
        </w:rPr>
        <w:t>(ii)The Executive’s willful misconduct that is demonstrably and materially injurious to the Corporation, monetarily or otherwise; or</w:t>
      </w:r>
    </w:p>
    <w:p>
      <w:pPr>
        <w:spacing w:after="0" w:line="158" w:lineRule="exact"/>
        <w:rPr>
          <w:sz w:val="20"/>
          <w:szCs w:val="20"/>
          <w:color w:val="auto"/>
        </w:rPr>
      </w:pPr>
    </w:p>
    <w:p>
      <w:pPr>
        <w:ind w:left="640" w:right="380" w:firstLine="324"/>
        <w:spacing w:after="0" w:line="271" w:lineRule="auto"/>
        <w:rPr>
          <w:sz w:val="20"/>
          <w:szCs w:val="20"/>
          <w:color w:val="auto"/>
        </w:rPr>
      </w:pPr>
      <w:r>
        <w:rPr>
          <w:rFonts w:ascii="Times New Roman" w:cs="Times New Roman" w:eastAsia="Times New Roman" w:hAnsi="Times New Roman"/>
          <w:sz w:val="22"/>
          <w:szCs w:val="22"/>
          <w:color w:val="auto"/>
        </w:rPr>
        <w:t>(iii)The Executive’s commission of such acts of dishonesty, fraud, misrepresentation or other acts of moral turpitude as would prevent the effective performance of the Executive’s duties; or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(iv)The Executive’s conviction or plea of no contest to a felony or a crime of moral turpitude.</w:t>
      </w:r>
    </w:p>
    <w:p>
      <w:pPr>
        <w:spacing w:after="0" w:line="21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color w:val="auto"/>
        </w:rPr>
        <w:t>subsection e</w:t>
      </w:r>
      <w:r>
        <w:rPr>
          <w:rFonts w:ascii="Times New Roman" w:cs="Times New Roman" w:eastAsia="Times New Roman" w:hAnsi="Times New Roman"/>
          <w:sz w:val="22"/>
          <w:szCs w:val="22"/>
          <w:color w:val="auto"/>
        </w:rPr>
        <w:t>., no act, or failure to act, on the Executive’s part shall be deemed “willful” unless done, or omitted to be done, by the Executive not in good faith and without the reasonable belief that the Executive’s action or omission was in the best interest of the Corporation. Notwithstanding the foregoing, the Executive shall not be deemed to have been terminated for Cause unless and until there shall have been delivered to the Executive a copy of a resolution duly adopted by the affirmative vote of a majority of the non-employee members of the Board at a meeting of such members (after reasonable notice to the Executive and an opportunity for the Executive together with the Executive’s counsel, to be heard before such members of the Board), finding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60"/>
          </w:cols>
          <w:pgMar w:left="980" w:top="1422"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color w:val="auto"/>
        </w:rPr>
        <w:t xml:space="preserve">Executive has engaged in the conduct set forth above in this </w:t>
      </w:r>
      <w:r>
        <w:rPr>
          <w:rFonts w:ascii="Times New Roman" w:cs="Times New Roman" w:eastAsia="Times New Roman" w:hAnsi="Times New Roman"/>
          <w:sz w:val="21"/>
          <w:szCs w:val="21"/>
          <w:b w:val="1"/>
          <w:bCs w:val="1"/>
          <w:color w:val="auto"/>
        </w:rPr>
        <w:t>subsection e.</w:t>
      </w:r>
      <w:r>
        <w:rPr>
          <w:rFonts w:ascii="Times New Roman" w:cs="Times New Roman" w:eastAsia="Times New Roman" w:hAnsi="Times New Roman"/>
          <w:sz w:val="21"/>
          <w:szCs w:val="21"/>
          <w:color w:val="auto"/>
        </w:rPr>
        <w:t xml:space="preserve"> and specifying the particulars thereof in detail.</w:t>
      </w:r>
    </w:p>
    <w:p>
      <w:pPr>
        <w:spacing w:after="0" w:line="231" w:lineRule="exact"/>
        <w:rPr>
          <w:sz w:val="20"/>
          <w:szCs w:val="20"/>
          <w:color w:val="auto"/>
        </w:rPr>
      </w:pPr>
    </w:p>
    <w:p>
      <w:pPr>
        <w:ind w:firstLine="644"/>
        <w:spacing w:after="0" w:line="245" w:lineRule="auto"/>
        <w:tabs>
          <w:tab w:leader="none" w:pos="128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have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to effect a termination in the event that the Corporation, without the Executive’s consent (i) materially breaches its obligations to pay any salary, benefit or bonus due hereunder or otherwise materially breaches a material term of the Agreement, (ii) relocates the headquarters of the Corporation more than 25 miles outside of Glendale, California, (iii) assigns to the Executive any duties inconsistent with the Executive’s position with the Corporation or significantly and adversely alters the nature or status of the Executive’s responsibilities, authority or the conditions of the Executive’s employment (or requires Executive to report to any person other than the Board), or (iv) reduces the Executive’s Base Salary and/or annual target bonus opportunity, other than temporary reductions approved by the Board after consultation with the Executive that apply on the same basis to all senior executives of the Corporation; and in the event of any of (i), (ii), (iii) and (iv), the Executive has given written notice to the Board as to the details of the basis for such Good Reason within 30 days following the date on which the Executive alleges the event giving rise to such Good Reason occurred, the Corporation has failed to provide a reasonable cure within 30 days after its receipt of such notice and the effective date of the termination for Good Reason occurs within 180 days after the initial existence of the facts or circumstances constituting Good Reason. In the event of a termination by the Executive with Good Reason, the Executive will be entitled to all Accrued Obligations, Other Benefits, the Severance Payments under </w:t>
      </w:r>
      <w:r>
        <w:rPr>
          <w:rFonts w:ascii="Times New Roman" w:cs="Times New Roman" w:eastAsia="Times New Roman" w:hAnsi="Times New Roman"/>
          <w:sz w:val="22"/>
          <w:szCs w:val="22"/>
          <w:b w:val="1"/>
          <w:bCs w:val="1"/>
          <w:color w:val="auto"/>
        </w:rPr>
        <w:t>Section 14(g)</w:t>
      </w:r>
      <w:r>
        <w:rPr>
          <w:rFonts w:ascii="Times New Roman" w:cs="Times New Roman" w:eastAsia="Times New Roman" w:hAnsi="Times New Roman"/>
          <w:sz w:val="22"/>
          <w:szCs w:val="22"/>
          <w:color w:val="auto"/>
        </w:rPr>
        <w:t xml:space="preserve"> and the Equity Award Benefits.</w:t>
      </w:r>
    </w:p>
    <w:p>
      <w:pPr>
        <w:spacing w:after="0" w:line="189" w:lineRule="exact"/>
        <w:rPr>
          <w:rFonts w:ascii="Times New Roman" w:cs="Times New Roman" w:eastAsia="Times New Roman" w:hAnsi="Times New Roman"/>
          <w:sz w:val="22"/>
          <w:szCs w:val="22"/>
          <w:color w:val="auto"/>
        </w:rPr>
      </w:pPr>
    </w:p>
    <w:p>
      <w:pPr>
        <w:ind w:firstLine="644"/>
        <w:spacing w:after="0" w:line="245"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Severance Payments</w:t>
      </w:r>
      <w:r>
        <w:rPr>
          <w:rFonts w:ascii="Times New Roman" w:cs="Times New Roman" w:eastAsia="Times New Roman" w:hAnsi="Times New Roman"/>
          <w:sz w:val="22"/>
          <w:szCs w:val="22"/>
          <w:color w:val="auto"/>
        </w:rPr>
        <w:t xml:space="preserve">” consist of the following and, subject to </w:t>
      </w:r>
      <w:r>
        <w:rPr>
          <w:rFonts w:ascii="Times New Roman" w:cs="Times New Roman" w:eastAsia="Times New Roman" w:hAnsi="Times New Roman"/>
          <w:sz w:val="22"/>
          <w:szCs w:val="22"/>
          <w:b w:val="1"/>
          <w:bCs w:val="1"/>
          <w:color w:val="auto"/>
        </w:rPr>
        <w:t>subsection h.</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23</w:t>
      </w:r>
      <w:r>
        <w:rPr>
          <w:rFonts w:ascii="Times New Roman" w:cs="Times New Roman" w:eastAsia="Times New Roman" w:hAnsi="Times New Roman"/>
          <w:sz w:val="22"/>
          <w:szCs w:val="22"/>
          <w:color w:val="auto"/>
        </w:rPr>
        <w:t>, shall be paid as follows: (i) an amount, in one lump sum, equal to two times the sum of (A) the Executive’s annual Base Salary, at the then current effective annual rate, plus (B) the greater of (x) the average of the Executive’s actual bonus payable over the preceding three fiscal years or, if fewer, the number of complete fiscal years during which the Executive was employed by the Corporation as Chief Executive Officer and (y) the Executive’s target bonus for the then current fiscal year; (ii) an amount equal to the annual bonus payout for the Executive for such fiscal year based on actual Corporation performance for such fiscal year, prorated pursuant to the terms of the Corporation’s annual bonus plan and payable at the time the annual bonus would have been paid to the Executive had he remained employed through the end of such fiscal year; and (iii) the payment by the Corporation of premiums on behalf of the Executive, for COBRA coverage substantially similar to that provided under the Corporation’s health plan and for coverage under the Corporation’s life insurance plan, in each case at the same cost to the Executive as was effective immediately prior to termination, and for so long as the Executive elects to continue such coverage up to an 18-month period. To the extent that the Executive becomes covered under a health or life insurance plan maintained by a subsequent employer, the Executive shall cease to be covered under the same type of plan maintained by the Corporation.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60"/>
          </w:cols>
          <w:pgMar w:left="980" w:top="1418" w:right="359" w:bottom="1440" w:gutter="0" w:footer="0" w:header="0"/>
        </w:sectPr>
      </w:pPr>
    </w:p>
    <w:bookmarkStart w:id="123" w:name="page124"/>
    <w:bookmarkEnd w:id="123"/>
    <w:p>
      <w:pPr>
        <w:ind w:left="640"/>
        <w:spacing w:after="0" w:line="271" w:lineRule="auto"/>
        <w:rPr>
          <w:sz w:val="20"/>
          <w:szCs w:val="20"/>
          <w:color w:val="auto"/>
        </w:rPr>
      </w:pPr>
      <w:r>
        <w:rPr>
          <w:rFonts w:ascii="Times New Roman" w:cs="Times New Roman" w:eastAsia="Times New Roman" w:hAnsi="Times New Roman"/>
          <w:sz w:val="22"/>
          <w:szCs w:val="22"/>
          <w:color w:val="auto"/>
        </w:rPr>
        <w:t>agrees to notify the Corporation within 30 days after similar health or life benefits become available to the Executive from a subsequent employer.</w:t>
      </w:r>
    </w:p>
    <w:p>
      <w:pPr>
        <w:spacing w:after="0" w:line="158" w:lineRule="exact"/>
        <w:rPr>
          <w:sz w:val="20"/>
          <w:szCs w:val="20"/>
          <w:color w:val="auto"/>
        </w:rPr>
      </w:pPr>
    </w:p>
    <w:p>
      <w:pPr>
        <w:ind w:left="640" w:right="540" w:firstLine="644"/>
        <w:spacing w:after="0" w:line="252" w:lineRule="auto"/>
        <w:tabs>
          <w:tab w:leader="none" w:pos="193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termination of the Executive other than by the Executive for Good Reason, by the Corporation without Cause or due to the Executive’s death or Disability, the Executive shall be entitled only to the Accrued Obligations and Other Benefits. In the event of any termination of the Executive, all amounts owed by the Executive to the Corporation for any reasons whatsoever will become immediately due and payable.</w:t>
      </w:r>
    </w:p>
    <w:p>
      <w:pPr>
        <w:spacing w:after="0" w:line="179" w:lineRule="exact"/>
        <w:rPr>
          <w:rFonts w:ascii="Times New Roman" w:cs="Times New Roman" w:eastAsia="Times New Roman" w:hAnsi="Times New Roman"/>
          <w:sz w:val="22"/>
          <w:szCs w:val="22"/>
          <w:color w:val="auto"/>
        </w:rPr>
      </w:pPr>
    </w:p>
    <w:p>
      <w:pPr>
        <w:ind w:left="640" w:right="80" w:firstLine="644"/>
        <w:spacing w:after="0" w:line="250" w:lineRule="auto"/>
        <w:tabs>
          <w:tab w:leader="none" w:pos="192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termination of the Executive by the Executive for Good Reason or by the Corporation without Cause, the Corporation shall provide standard outplacement services at the expense of the Corporation, but not to exceed in total an amount equal to $10,000, from an outplacement firm selected by the Corporation. In order to receive outplacement services, the Executive must begin utilizing the services within 90 days of his date of termination and complete the use of the services within one year of his date of termination.</w:t>
      </w:r>
    </w:p>
    <w:p>
      <w:pPr>
        <w:spacing w:after="0" w:line="176" w:lineRule="exact"/>
        <w:rPr>
          <w:rFonts w:ascii="Times New Roman" w:cs="Times New Roman" w:eastAsia="Times New Roman" w:hAnsi="Times New Roman"/>
          <w:sz w:val="22"/>
          <w:szCs w:val="22"/>
          <w:color w:val="auto"/>
        </w:rPr>
      </w:pPr>
    </w:p>
    <w:p>
      <w:pPr>
        <w:ind w:left="-20" w:right="80" w:firstLine="656"/>
        <w:spacing w:after="0" w:line="253" w:lineRule="auto"/>
        <w:tabs>
          <w:tab w:leader="none" w:pos="127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and Termination Thereafter</w:t>
      </w:r>
      <w:r>
        <w:rPr>
          <w:rFonts w:ascii="Times New Roman" w:cs="Times New Roman" w:eastAsia="Times New Roman" w:hAnsi="Times New Roman"/>
          <w:sz w:val="22"/>
          <w:szCs w:val="22"/>
          <w:color w:val="auto"/>
        </w:rPr>
        <w:t>. If within 24 months following a Change in Control,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below, the employment of the Executive is terminated by the Corporation without Cause or by the Executive for Good Reason, which shall not include a termination due to the Executive’s death or Disability, then the provisions of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shall not apply and the following shall apply:</w:t>
      </w:r>
    </w:p>
    <w:p>
      <w:pPr>
        <w:spacing w:after="0" w:line="179" w:lineRule="exact"/>
        <w:rPr>
          <w:rFonts w:ascii="Times New Roman" w:cs="Times New Roman" w:eastAsia="Times New Roman" w:hAnsi="Times New Roman"/>
          <w:sz w:val="22"/>
          <w:szCs w:val="22"/>
          <w:color w:val="auto"/>
        </w:rPr>
      </w:pPr>
    </w:p>
    <w:p>
      <w:pPr>
        <w:ind w:left="640" w:right="160" w:firstLine="644"/>
        <w:spacing w:after="0" w:line="262" w:lineRule="auto"/>
        <w:tabs>
          <w:tab w:leader="none" w:pos="192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shall be entitled to receive all Accrued Obligations and Other Benefits. In addition, subject to </w:t>
      </w:r>
      <w:r>
        <w:rPr>
          <w:rFonts w:ascii="Times New Roman" w:cs="Times New Roman" w:eastAsia="Times New Roman" w:hAnsi="Times New Roman"/>
          <w:sz w:val="21"/>
          <w:szCs w:val="21"/>
          <w:b w:val="1"/>
          <w:bCs w:val="1"/>
          <w:color w:val="auto"/>
        </w:rPr>
        <w:t>subsection h. of Section 23</w:t>
      </w:r>
      <w:r>
        <w:rPr>
          <w:rFonts w:ascii="Times New Roman" w:cs="Times New Roman" w:eastAsia="Times New Roman" w:hAnsi="Times New Roman"/>
          <w:sz w:val="21"/>
          <w:szCs w:val="21"/>
          <w:color w:val="auto"/>
        </w:rPr>
        <w:t xml:space="preserve"> and subject to the Executive’s entering into and not revoking the Release within 30 days after the effective date of termination, the Executive shall receive a lump sum payment equal to three times the sum of</w:t>
      </w:r>
    </w:p>
    <w:p>
      <w:pPr>
        <w:spacing w:after="0" w:line="2" w:lineRule="exact"/>
        <w:rPr>
          <w:rFonts w:ascii="Times New Roman" w:cs="Times New Roman" w:eastAsia="Times New Roman" w:hAnsi="Times New Roman"/>
          <w:sz w:val="21"/>
          <w:szCs w:val="21"/>
          <w:color w:val="auto"/>
        </w:rPr>
      </w:pPr>
    </w:p>
    <w:p>
      <w:pPr>
        <w:ind w:left="640" w:right="2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 the Executive’s Base Salary in effect immediately prior to the Change in Control, plus (ii) the greater of (x) the average of the Executive’s actual bonus payable over the preceding three fiscal years or, if fewer, the number of complete fiscal years during which the Executive was employed by the Corporation as its Chief Executive Officer and (y) the Executive’s target bonus for the then current fiscal year. The payment described in this </w:t>
      </w:r>
      <w:r>
        <w:rPr>
          <w:rFonts w:ascii="Times New Roman" w:cs="Times New Roman" w:eastAsia="Times New Roman" w:hAnsi="Times New Roman"/>
          <w:sz w:val="22"/>
          <w:szCs w:val="22"/>
          <w:b w:val="1"/>
          <w:bCs w:val="1"/>
          <w:color w:val="auto"/>
        </w:rPr>
        <w:t>subsection a.</w:t>
      </w:r>
      <w:r>
        <w:rPr>
          <w:rFonts w:ascii="Times New Roman" w:cs="Times New Roman" w:eastAsia="Times New Roman" w:hAnsi="Times New Roman"/>
          <w:sz w:val="22"/>
          <w:szCs w:val="22"/>
          <w:color w:val="auto"/>
        </w:rPr>
        <w:t xml:space="preserve"> shall be made to the Executive within 30 days after the effective date of termination; provided that if such 30-day period straddles two consecutive calendar years, payment shall be made in the second of such years.</w:t>
      </w:r>
    </w:p>
    <w:p>
      <w:pPr>
        <w:spacing w:after="0" w:line="187" w:lineRule="exact"/>
        <w:rPr>
          <w:rFonts w:ascii="Times New Roman" w:cs="Times New Roman" w:eastAsia="Times New Roman" w:hAnsi="Times New Roman"/>
          <w:sz w:val="21"/>
          <w:szCs w:val="21"/>
          <w:color w:val="auto"/>
        </w:rPr>
      </w:pPr>
    </w:p>
    <w:p>
      <w:pPr>
        <w:ind w:left="640" w:right="20" w:firstLine="644"/>
        <w:spacing w:after="0" w:line="248" w:lineRule="auto"/>
        <w:tabs>
          <w:tab w:leader="none" w:pos="19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pay premiums on behalf of the Executive, for COBRA coverage substantially similar to that provided under the Corporation’s health insurance plan and for coverage under the Corporation’s life insurance plan, in each case at the same cost to the Executive as was effective immediately prior to termination, and for so long as the Executive elects to continue such coverage up to an 18-month period. To the extent that the Executive becomes covered under a health or life insurance plan maintained by a subsequent employer, the Executive shall cease to be covered under the same type of plan maintained by the Corporation. The Executive agrees to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40" w:top="1422" w:right="339" w:bottom="1440" w:gutter="0" w:footer="0" w:header="0"/>
        </w:sectPr>
      </w:pPr>
    </w:p>
    <w:bookmarkStart w:id="124" w:name="page125"/>
    <w:bookmarkEnd w:id="124"/>
    <w:p>
      <w:pPr>
        <w:ind w:left="4" w:right="520"/>
        <w:spacing w:after="0" w:line="271" w:lineRule="auto"/>
        <w:rPr>
          <w:sz w:val="20"/>
          <w:szCs w:val="20"/>
          <w:color w:val="auto"/>
        </w:rPr>
      </w:pPr>
      <w:r>
        <w:rPr>
          <w:rFonts w:ascii="Times New Roman" w:cs="Times New Roman" w:eastAsia="Times New Roman" w:hAnsi="Times New Roman"/>
          <w:sz w:val="22"/>
          <w:szCs w:val="22"/>
          <w:color w:val="auto"/>
        </w:rPr>
        <w:t>Corporation within 30 days after similar health or life benefits become available to the Executive from a subsequent employer.</w:t>
      </w:r>
    </w:p>
    <w:p>
      <w:pPr>
        <w:spacing w:after="0" w:line="158" w:lineRule="exact"/>
        <w:rPr>
          <w:sz w:val="20"/>
          <w:szCs w:val="20"/>
          <w:color w:val="auto"/>
        </w:rPr>
      </w:pPr>
    </w:p>
    <w:p>
      <w:pPr>
        <w:ind w:left="4" w:right="160" w:firstLine="644"/>
        <w:spacing w:after="0" w:line="248" w:lineRule="auto"/>
        <w:tabs>
          <w:tab w:leader="none" w:pos="128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unvested stock options, stock appreciation rights, restricted stock awards, restricted stock units, and other equity-based awards held by the Executive (including, without limitation, the Make-Good RSUs and the Make-Good Option) that are subject only to service or time-based vesting conditions (and not performance-based vesting conditions) will vest as of the day immediately preceding the effective date of termination and, to the extent applicable, will become exercisable, and any restrictions or conditions on such equity-based awards shall immediately lapse and be deemed satisfied. Any stock options or stock appreciation rights held by the Executive shall remain exercisable until the earlier of 24 months after the date of termination or their original expiration date.</w:t>
      </w:r>
    </w:p>
    <w:p>
      <w:pPr>
        <w:spacing w:after="0" w:line="181" w:lineRule="exact"/>
        <w:rPr>
          <w:rFonts w:ascii="Times New Roman" w:cs="Times New Roman" w:eastAsia="Times New Roman" w:hAnsi="Times New Roman"/>
          <w:sz w:val="22"/>
          <w:szCs w:val="22"/>
          <w:color w:val="auto"/>
        </w:rPr>
      </w:pPr>
    </w:p>
    <w:p>
      <w:pPr>
        <w:ind w:left="4" w:right="40" w:firstLine="644"/>
        <w:spacing w:after="0" w:line="246" w:lineRule="auto"/>
        <w:tabs>
          <w:tab w:leader="none" w:pos="130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Change in Control, the Executive shall, with respect to all outstanding, unvested performance units and any other equity-based and long-term cash-based compensation awards subject to performance-based vesting criteria that are held by the Executive immediately prior to the Change in Control, be deemed to have satisfied any performance-based vesting criteria based on the Corporation’s actual performance through the date of the Change in Control, and following the Change in Control any such awards shall continue to vest based upon the time or service-based vesting criteria, if any, to which the award is subject. If the Executive’s employment terminates in accordance with the terms and conditions of this Section 15 after a Change in Control, such performance-based awards shall become immediately and fully vested, and shall be paid to the Executive not later than 30 days after the date of such termination.</w:t>
      </w:r>
    </w:p>
    <w:p>
      <w:pPr>
        <w:spacing w:after="0" w:line="186" w:lineRule="exact"/>
        <w:rPr>
          <w:rFonts w:ascii="Times New Roman" w:cs="Times New Roman" w:eastAsia="Times New Roman" w:hAnsi="Times New Roman"/>
          <w:sz w:val="22"/>
          <w:szCs w:val="22"/>
          <w:color w:val="auto"/>
        </w:rPr>
      </w:pPr>
    </w:p>
    <w:p>
      <w:pPr>
        <w:ind w:left="4" w:firstLine="644"/>
        <w:spacing w:after="0" w:line="264" w:lineRule="auto"/>
        <w:tabs>
          <w:tab w:leader="none" w:pos="1288"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shall be bound by the non-competition provisions of </w:t>
      </w:r>
      <w:r>
        <w:rPr>
          <w:rFonts w:ascii="Times New Roman" w:cs="Times New Roman" w:eastAsia="Times New Roman" w:hAnsi="Times New Roman"/>
          <w:sz w:val="21"/>
          <w:szCs w:val="21"/>
          <w:b w:val="1"/>
          <w:bCs w:val="1"/>
          <w:color w:val="auto"/>
        </w:rPr>
        <w:t>Section 11</w:t>
      </w:r>
      <w:r>
        <w:rPr>
          <w:rFonts w:ascii="Times New Roman" w:cs="Times New Roman" w:eastAsia="Times New Roman" w:hAnsi="Times New Roman"/>
          <w:sz w:val="21"/>
          <w:szCs w:val="21"/>
          <w:color w:val="auto"/>
        </w:rPr>
        <w:t xml:space="preserve"> and the non-solicitation provisions of </w:t>
      </w:r>
      <w:r>
        <w:rPr>
          <w:rFonts w:ascii="Times New Roman" w:cs="Times New Roman" w:eastAsia="Times New Roman" w:hAnsi="Times New Roman"/>
          <w:sz w:val="21"/>
          <w:szCs w:val="21"/>
          <w:b w:val="1"/>
          <w:bCs w:val="1"/>
          <w:color w:val="auto"/>
        </w:rPr>
        <w:t>Section 12</w:t>
      </w:r>
      <w:r>
        <w:rPr>
          <w:rFonts w:ascii="Times New Roman" w:cs="Times New Roman" w:eastAsia="Times New Roman" w:hAnsi="Times New Roman"/>
          <w:sz w:val="21"/>
          <w:szCs w:val="21"/>
          <w:color w:val="auto"/>
        </w:rPr>
        <w:t xml:space="preserve"> which shall remain in full force and effect for a periods set forth therein following the effective date of the Executive’s termination, and to the Confidentiality/Trade Secrets and Discoveries covenants of </w:t>
      </w:r>
      <w:r>
        <w:rPr>
          <w:rFonts w:ascii="Times New Roman" w:cs="Times New Roman" w:eastAsia="Times New Roman" w:hAnsi="Times New Roman"/>
          <w:sz w:val="21"/>
          <w:szCs w:val="21"/>
          <w:b w:val="1"/>
          <w:bCs w:val="1"/>
          <w:color w:val="auto"/>
        </w:rPr>
        <w:t>Sections 9 and</w:t>
      </w:r>
    </w:p>
    <w:p>
      <w:pPr>
        <w:spacing w:after="0"/>
        <w:tabs>
          <w:tab w:leader="none" w:pos="0" w:val="left"/>
        </w:tabs>
        <w:numPr>
          <w:ilvl w:val="0"/>
          <w:numId w:val="71"/>
        </w:numPr>
        <w:rPr>
          <w:rFonts w:ascii="Times New Roman" w:cs="Times New Roman" w:eastAsia="Times New Roman" w:hAnsi="Times New Roman"/>
          <w:sz w:val="22"/>
          <w:szCs w:val="22"/>
          <w:b w:val="1"/>
          <w:bCs w:val="1"/>
          <w:color w:val="auto"/>
        </w:rPr>
      </w:pPr>
    </w:p>
    <w:p>
      <w:pPr>
        <w:spacing w:after="0" w:line="195" w:lineRule="exact"/>
        <w:rPr>
          <w:rFonts w:ascii="Times New Roman" w:cs="Times New Roman" w:eastAsia="Times New Roman" w:hAnsi="Times New Roman"/>
          <w:sz w:val="22"/>
          <w:szCs w:val="22"/>
          <w:b w:val="1"/>
          <w:bCs w:val="1"/>
          <w:color w:val="auto"/>
        </w:rPr>
      </w:pPr>
    </w:p>
    <w:p>
      <w:pPr>
        <w:ind w:left="4" w:right="280" w:firstLine="644"/>
        <w:spacing w:after="0" w:line="257" w:lineRule="auto"/>
        <w:tabs>
          <w:tab w:leader="none" w:pos="129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dies after signing the Release and prior to receiving Severance Payments to which he is entitled pursuant to this Agreement, payment shall be made to the beneficiary designated by the Executive to the Corporation or, in the event of no designation of beneficiary, then to the estate of the deceased Executive.</w:t>
      </w:r>
    </w:p>
    <w:p>
      <w:pPr>
        <w:spacing w:after="0" w:line="16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 of Change in Control</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be deemed to have occurred if:</w:t>
      </w:r>
    </w:p>
    <w:p>
      <w:pPr>
        <w:spacing w:after="0" w:line="223" w:lineRule="exact"/>
        <w:rPr>
          <w:rFonts w:ascii="Times New Roman" w:cs="Times New Roman" w:eastAsia="Times New Roman" w:hAnsi="Times New Roman"/>
          <w:sz w:val="22"/>
          <w:szCs w:val="22"/>
          <w:color w:val="auto"/>
        </w:rPr>
      </w:pPr>
    </w:p>
    <w:p>
      <w:pPr>
        <w:ind w:left="4" w:firstLine="644"/>
        <w:spacing w:after="0" w:line="252" w:lineRule="auto"/>
        <w:tabs>
          <w:tab w:leader="none" w:pos="128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Securities and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(other than the Corporation; any trustee or other fiduciary holding securities under an employee benefit plan of the Corporation; or any Corporation owned, directly or indirectly, by the stockholders of the Corporation in substantially the same proportions as their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44"/>
          </w:cols>
          <w:pgMar w:left="976" w:top="1422" w:right="379" w:bottom="1440" w:gutter="0" w:footer="0" w:header="0"/>
        </w:sectPr>
      </w:pPr>
    </w:p>
    <w:bookmarkStart w:id="125" w:name="page126"/>
    <w:bookmarkEnd w:id="125"/>
    <w:p>
      <w:pPr>
        <w:ind w:left="660"/>
        <w:spacing w:after="0" w:line="252" w:lineRule="auto"/>
        <w:rPr>
          <w:sz w:val="20"/>
          <w:szCs w:val="20"/>
          <w:color w:val="auto"/>
        </w:rPr>
      </w:pPr>
      <w:r>
        <w:rPr>
          <w:rFonts w:ascii="Times New Roman" w:cs="Times New Roman" w:eastAsia="Times New Roman" w:hAnsi="Times New Roman"/>
          <w:sz w:val="22"/>
          <w:szCs w:val="22"/>
          <w:color w:val="auto"/>
        </w:rPr>
        <w:t>of Stock of the Corporation) is or becomes after the Effective Date the “beneficial owner” (as defined in Rule 13d-3 under the Exchange Act),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79" w:lineRule="exact"/>
        <w:rPr>
          <w:sz w:val="20"/>
          <w:szCs w:val="20"/>
          <w:color w:val="auto"/>
        </w:rPr>
      </w:pPr>
    </w:p>
    <w:p>
      <w:pPr>
        <w:ind w:left="660" w:right="200" w:firstLine="644"/>
        <w:spacing w:after="0" w:line="248" w:lineRule="auto"/>
        <w:tabs>
          <w:tab w:leader="none" w:pos="195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any period of two consecutive years (not including any period prior to the Effective Date), individuals who at the beginning of such period constitute the Board, and any new director (other than a director designated by a person who has entered into an agreement with the Corporation to effect a transaction described in </w:t>
      </w:r>
      <w:r>
        <w:rPr>
          <w:rFonts w:ascii="Times New Roman" w:cs="Times New Roman" w:eastAsia="Times New Roman" w:hAnsi="Times New Roman"/>
          <w:sz w:val="22"/>
          <w:szCs w:val="22"/>
          <w:b w:val="1"/>
          <w:bCs w:val="1"/>
          <w:color w:val="auto"/>
        </w:rPr>
        <w:t xml:space="preserve">subsections a., c. or d. of this Section 16) </w:t>
      </w:r>
      <w:r>
        <w:rPr>
          <w:rFonts w:ascii="Times New Roman" w:cs="Times New Roman" w:eastAsia="Times New Roman" w:hAnsi="Times New Roman"/>
          <w:sz w:val="22"/>
          <w:szCs w:val="22"/>
          <w:color w:val="auto"/>
        </w:rPr>
        <w:t>whose election by the Board or nomination for election by the Corporation’s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thereof; or</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Corporation with any other corporation, other than</w:t>
      </w:r>
    </w:p>
    <w:p>
      <w:pPr>
        <w:spacing w:after="0" w:line="27" w:lineRule="exact"/>
        <w:rPr>
          <w:rFonts w:ascii="Times New Roman" w:cs="Times New Roman" w:eastAsia="Times New Roman" w:hAnsi="Times New Roman"/>
          <w:sz w:val="22"/>
          <w:szCs w:val="22"/>
          <w:color w:val="auto"/>
        </w:rPr>
      </w:pPr>
    </w:p>
    <w:p>
      <w:pPr>
        <w:ind w:left="660" w:right="200" w:hanging="4"/>
        <w:spacing w:after="0" w:line="244" w:lineRule="auto"/>
        <w:tabs>
          <w:tab w:leader="none" w:pos="101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or consolidation which would result in the voting securities of the Corporation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Corporation, at least 75% of the combined voting power of the voting securities of the Corporation or such surviving entity outstanding immediately after such merger or consolidation or (B) a merger or consolidation effected to implement a recapitalization of the Corporation (or similar transaction) in which no person acquires more than 50% of the combined voting power of the Corporation’s then outstanding securities; or</w:t>
      </w:r>
    </w:p>
    <w:p>
      <w:pPr>
        <w:spacing w:after="0" w:line="187" w:lineRule="exact"/>
        <w:rPr>
          <w:rFonts w:ascii="Times New Roman" w:cs="Times New Roman" w:eastAsia="Times New Roman" w:hAnsi="Times New Roman"/>
          <w:sz w:val="22"/>
          <w:szCs w:val="22"/>
          <w:color w:val="auto"/>
        </w:rPr>
      </w:pPr>
    </w:p>
    <w:p>
      <w:pPr>
        <w:ind w:left="660" w:right="40" w:firstLine="644"/>
        <w:spacing w:after="0" w:line="248" w:lineRule="auto"/>
        <w:tabs>
          <w:tab w:leader="none" w:pos="195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consummation of the sale or disposition by the Corporation of all or substantially all of the Corporation’s assets or stockholders of the Corporation approve a plan of complete liquidation of the Corporation; provided, that with respect to any non-qualified deferred compensation that becomes payable on account of the Change in Control, the transaction or event described in </w:t>
      </w:r>
      <w:r>
        <w:rPr>
          <w:rFonts w:ascii="Times New Roman" w:cs="Times New Roman" w:eastAsia="Times New Roman" w:hAnsi="Times New Roman"/>
          <w:sz w:val="22"/>
          <w:szCs w:val="22"/>
          <w:b w:val="1"/>
          <w:bCs w:val="1"/>
          <w:color w:val="auto"/>
        </w:rPr>
        <w:t>subsection a., b., c. or d.</w:t>
      </w:r>
      <w:r>
        <w:rPr>
          <w:rFonts w:ascii="Times New Roman" w:cs="Times New Roman" w:eastAsia="Times New Roman" w:hAnsi="Times New Roman"/>
          <w:sz w:val="22"/>
          <w:szCs w:val="22"/>
          <w:color w:val="auto"/>
        </w:rPr>
        <w:t xml:space="preserve"> Also constitutes a “change in control event,” as defined in Treasury Regulation §1.409A3(i)(5) if required in order for the payment not to violate Section 409A of the Code.</w:t>
      </w:r>
    </w:p>
    <w:p>
      <w:pPr>
        <w:spacing w:after="0" w:line="183"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Parachute Payment Matters</w:t>
      </w:r>
    </w:p>
    <w:p>
      <w:pPr>
        <w:spacing w:after="0" w:line="224"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 other provision of this Agreement, if by reason of Section 280G of the Code any payment or benefit received or to be received by the Executive in connection with a Change in Control or the termination of the Executive’s employment (whether payable pursuant to the terms of this Agreement (“</w:t>
      </w:r>
      <w:r>
        <w:rPr>
          <w:rFonts w:ascii="Times New Roman" w:cs="Times New Roman" w:eastAsia="Times New Roman" w:hAnsi="Times New Roman"/>
          <w:sz w:val="22"/>
          <w:szCs w:val="22"/>
          <w:b w:val="1"/>
          <w:bCs w:val="1"/>
          <w:color w:val="auto"/>
        </w:rPr>
        <w:t>Contract Payments</w:t>
      </w:r>
      <w:r>
        <w:rPr>
          <w:rFonts w:ascii="Times New Roman" w:cs="Times New Roman" w:eastAsia="Times New Roman" w:hAnsi="Times New Roman"/>
          <w:sz w:val="22"/>
          <w:szCs w:val="22"/>
          <w:color w:val="auto"/>
        </w:rPr>
        <w:t>”) or any other plan, arrangements or agreement with the Corporation or an Affiliate (as defined below) (collectively with the Contract Payments, “</w:t>
      </w:r>
      <w:r>
        <w:rPr>
          <w:rFonts w:ascii="Times New Roman" w:cs="Times New Roman" w:eastAsia="Times New Roman" w:hAnsi="Times New Roman"/>
          <w:sz w:val="22"/>
          <w:szCs w:val="22"/>
          <w:b w:val="1"/>
          <w:bCs w:val="1"/>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would not be deductible (in whole or part) by the Corporation, an Affiliate or other person making such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such benefit, then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2" w:right="359" w:bottom="1440" w:gutter="0" w:footer="0" w:header="0"/>
        </w:sectPr>
      </w:pPr>
    </w:p>
    <w:bookmarkStart w:id="126" w:name="page127"/>
    <w:bookmarkEnd w:id="126"/>
    <w:p>
      <w:pPr>
        <w:spacing w:after="0" w:line="256" w:lineRule="auto"/>
        <w:rPr>
          <w:sz w:val="20"/>
          <w:szCs w:val="20"/>
          <w:color w:val="auto"/>
        </w:rPr>
      </w:pPr>
      <w:r>
        <w:rPr>
          <w:rFonts w:ascii="Times New Roman" w:cs="Times New Roman" w:eastAsia="Times New Roman" w:hAnsi="Times New Roman"/>
          <w:sz w:val="21"/>
          <w:szCs w:val="21"/>
          <w:color w:val="auto"/>
        </w:rPr>
        <w:t xml:space="preserve">Payments shall be reduced and, if Contract Payments are reduced to zero, other Total Payments shall be reduced (in the reverse order in which they are due to be paid) until no portion of the Total Payments is not deductible by reason of Section 280G of the Code, provided, however, that no such reduction shall be made unless the net after-tax benefit received by the Executive after such reduction would exceed the net after-tax benefit received by the Executive if no such reduction was made. The foregoing determination and all determinations under this </w:t>
      </w:r>
      <w:r>
        <w:rPr>
          <w:rFonts w:ascii="Times New Roman" w:cs="Times New Roman" w:eastAsia="Times New Roman" w:hAnsi="Times New Roman"/>
          <w:sz w:val="21"/>
          <w:szCs w:val="21"/>
          <w:b w:val="1"/>
          <w:bCs w:val="1"/>
          <w:color w:val="auto"/>
        </w:rPr>
        <w:t>Section 17</w:t>
      </w:r>
      <w:r>
        <w:rPr>
          <w:rFonts w:ascii="Times New Roman" w:cs="Times New Roman" w:eastAsia="Times New Roman" w:hAnsi="Times New Roman"/>
          <w:sz w:val="21"/>
          <w:szCs w:val="21"/>
          <w:color w:val="auto"/>
        </w:rPr>
        <w:t xml:space="preserve"> shall be made by the Accountants (as defined below). For purposes of this </w:t>
      </w:r>
      <w:r>
        <w:rPr>
          <w:rFonts w:ascii="Times New Roman" w:cs="Times New Roman" w:eastAsia="Times New Roman" w:hAnsi="Times New Roman"/>
          <w:sz w:val="21"/>
          <w:szCs w:val="21"/>
          <w:b w:val="1"/>
          <w:bCs w:val="1"/>
          <w:color w:val="auto"/>
        </w:rPr>
        <w:t>Section 17</w:t>
      </w:r>
      <w:r>
        <w:rPr>
          <w:rFonts w:ascii="Times New Roman" w:cs="Times New Roman" w:eastAsia="Times New Roman" w:hAnsi="Times New Roman"/>
          <w:sz w:val="21"/>
          <w:szCs w:val="21"/>
          <w:color w:val="auto"/>
        </w:rPr>
        <w:t xml:space="preserve">, “net after-tax benefit” shall mean (i) the Total Payments that would constitute “parachute payments” within the meaning of Section 280G of the Code, less (ii) the amount of all federal, state and local income taxes payable with respect to such payments calculated at the maximum marginal income tax rate for each year in which the foregoing shall be paid to the Executive (based on the rate in effect for such year as set forth in the Code as in effect at the time of the first payment of the foregoing), less (iii) the amount of excise taxes imposed with respect to the payments and benefits described in (i) above by Section 4999 of the Code. For purposes of the foregoing determinations, (a) no portion of the Total Payments the receipt or enjoyment of which the Executive shall have effectively waived in writing prior to the date of payment of any Contract Payment shall be taken into account; (b) no portion of the Total Payments shall be taken into account which in the opinion of the Accountants does not constitute a “parachute payment” within the meaning of Section 280G(b)(2) of the Code (without regard to subsection (A)(ii) thereof); (c) the Contract Payments (and, thereafter, other Total Payments) shall be reduced only to the extent necessary so that the Total Payments in their entirety constitute reasonable compensation for services actually rendered within the meaning of Section 280G(b)(4) of the Code, in the opinion of the Accountants; and (d) the value of any non-cash benefit or any deferred payment or benefit included in the Total Payments shall be determined by the Accountants in accordance with the principles of Sections 280G(d)(3) and (4) of the Code. For purposes of this </w:t>
      </w:r>
      <w:r>
        <w:rPr>
          <w:rFonts w:ascii="Times New Roman" w:cs="Times New Roman" w:eastAsia="Times New Roman" w:hAnsi="Times New Roman"/>
          <w:sz w:val="21"/>
          <w:szCs w:val="21"/>
          <w:b w:val="1"/>
          <w:bCs w:val="1"/>
          <w:color w:val="auto"/>
        </w:rPr>
        <w:t>Section 17</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the Corporation’s successors, any Person whose actions result in a Change in Control or any company affiliated (or which, as a result of the completion of the transactions causing a Change in Control shall become affiliated) with the Corporation within the meaning of Section 1504 of the Code and “</w:t>
      </w:r>
      <w:r>
        <w:rPr>
          <w:rFonts w:ascii="Times New Roman" w:cs="Times New Roman" w:eastAsia="Times New Roman" w:hAnsi="Times New Roman"/>
          <w:sz w:val="21"/>
          <w:szCs w:val="21"/>
          <w:b w:val="1"/>
          <w:bCs w:val="1"/>
          <w:color w:val="auto"/>
        </w:rPr>
        <w:t>Accountants</w:t>
      </w:r>
      <w:r>
        <w:rPr>
          <w:rFonts w:ascii="Times New Roman" w:cs="Times New Roman" w:eastAsia="Times New Roman" w:hAnsi="Times New Roman"/>
          <w:sz w:val="21"/>
          <w:szCs w:val="21"/>
          <w:color w:val="auto"/>
        </w:rPr>
        <w:t>” shall mean an independent certified public accountant selected by the Corporation and the Executive prior to the Change in Control. For purposes of making the determinations and calculations required herein, the Accountants may make reasonable assumptions and approximations concerning applicable taxes and may rely on reasonable, good faith interpretations concerning the application of Sections 280G and 4999 of the Code, provided that the Accountant’s determinations must be made on the basis of “substantial authority” (within the meaning of Section 6662 of the Code). All fees and expenses of the Accountants shall be borne solely by the Corporation.</w:t>
      </w:r>
    </w:p>
    <w:p>
      <w:pPr>
        <w:spacing w:after="0" w:line="200" w:lineRule="exact"/>
        <w:rPr>
          <w:sz w:val="20"/>
          <w:szCs w:val="20"/>
          <w:color w:val="auto"/>
        </w:rPr>
      </w:pPr>
    </w:p>
    <w:p>
      <w:pPr>
        <w:spacing w:after="0" w:line="240"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 of Disputes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60" w:right="180" w:firstLine="648"/>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Any dispute or claim arising out of or relating to this Agreement, the terms and conditions of Executive’s employment, or any termination of the Executive’s employment, other than with respect to </w:t>
      </w:r>
      <w:r>
        <w:rPr>
          <w:rFonts w:ascii="Times New Roman" w:cs="Times New Roman" w:eastAsia="Times New Roman" w:hAnsi="Times New Roman"/>
          <w:sz w:val="22"/>
          <w:szCs w:val="22"/>
          <w:b w:val="1"/>
          <w:bCs w:val="1"/>
          <w:color w:val="auto"/>
        </w:rPr>
        <w:t>Sections 9 through 12</w:t>
      </w:r>
      <w:r>
        <w:rPr>
          <w:rFonts w:ascii="Times New Roman" w:cs="Times New Roman" w:eastAsia="Times New Roman" w:hAnsi="Times New Roman"/>
          <w:sz w:val="22"/>
          <w:szCs w:val="22"/>
          <w:color w:val="auto"/>
        </w:rPr>
        <w:t>, shall be settled by final and binding arbitration in a location mutually agreeable to the parties within the state of California before a single arbitrator. The arbitration shall be administered and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22" w:right="359" w:bottom="1440" w:gutter="0" w:footer="0" w:header="0"/>
        </w:sectPr>
      </w:pPr>
    </w:p>
    <w:bookmarkStart w:id="127" w:name="page128"/>
    <w:bookmarkEnd w:id="127"/>
    <w:p>
      <w:pPr>
        <w:ind w:left="660" w:right="20"/>
        <w:spacing w:after="0" w:line="259" w:lineRule="auto"/>
        <w:rPr>
          <w:sz w:val="20"/>
          <w:szCs w:val="20"/>
          <w:color w:val="auto"/>
        </w:rPr>
      </w:pPr>
      <w:r>
        <w:rPr>
          <w:rFonts w:ascii="Times New Roman" w:cs="Times New Roman" w:eastAsia="Times New Roman" w:hAnsi="Times New Roman"/>
          <w:sz w:val="22"/>
          <w:szCs w:val="22"/>
          <w:color w:val="auto"/>
        </w:rPr>
        <w:t>in accordance with the Commercial Arbitration rules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unless the AAA finds that other rules are required to be applied, and judgment upon the award rendered by the arbitrator may be entered in any court having jurisdiction thereof.</w:t>
      </w:r>
    </w:p>
    <w:p>
      <w:pPr>
        <w:spacing w:after="0" w:line="170" w:lineRule="exact"/>
        <w:rPr>
          <w:sz w:val="20"/>
          <w:szCs w:val="20"/>
          <w:color w:val="auto"/>
        </w:rPr>
      </w:pPr>
    </w:p>
    <w:p>
      <w:pPr>
        <w:ind w:left="660" w:right="40" w:firstLine="644"/>
        <w:spacing w:after="0" w:line="271" w:lineRule="auto"/>
        <w:tabs>
          <w:tab w:leader="none" w:pos="195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applicable law, the fees and expenses of the arbitration panel shall be shared equally by the Executive and the Corporation.</w:t>
      </w:r>
    </w:p>
    <w:p>
      <w:pPr>
        <w:spacing w:after="0" w:line="157" w:lineRule="exact"/>
        <w:rPr>
          <w:rFonts w:ascii="Times New Roman" w:cs="Times New Roman" w:eastAsia="Times New Roman" w:hAnsi="Times New Roman"/>
          <w:sz w:val="22"/>
          <w:szCs w:val="22"/>
          <w:color w:val="auto"/>
        </w:rPr>
      </w:pPr>
    </w:p>
    <w:p>
      <w:pPr>
        <w:ind w:left="660" w:right="380" w:firstLine="644"/>
        <w:spacing w:after="0" w:line="271" w:lineRule="auto"/>
        <w:tabs>
          <w:tab w:leader="none" w:pos="194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applicable law, the prevailing party in any arbitration brought hereunder shall be entitled to an award of its costs (including expenses and attorneys’ fees), incurred in such arbitration.</w:t>
      </w:r>
    </w:p>
    <w:p>
      <w:pPr>
        <w:spacing w:after="0" w:line="157" w:lineRule="exact"/>
        <w:rPr>
          <w:rFonts w:ascii="Times New Roman" w:cs="Times New Roman" w:eastAsia="Times New Roman" w:hAnsi="Times New Roman"/>
          <w:sz w:val="22"/>
          <w:szCs w:val="22"/>
          <w:color w:val="auto"/>
        </w:rPr>
      </w:pPr>
    </w:p>
    <w:p>
      <w:pPr>
        <w:ind w:left="660" w:right="200" w:firstLine="644"/>
        <w:spacing w:after="0" w:line="257" w:lineRule="auto"/>
        <w:tabs>
          <w:tab w:leader="none" w:pos="195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 shall be empowered to consider pre-hearing dispositive motions and to limit discovery in a manner that is consistent with the cost-effectiveness and efficiency that arbitration is designed to promote, subject to applicable law.</w:t>
      </w:r>
    </w:p>
    <w:p>
      <w:pPr>
        <w:spacing w:after="0" w:line="168" w:lineRule="exact"/>
        <w:rPr>
          <w:rFonts w:ascii="Times New Roman" w:cs="Times New Roman" w:eastAsia="Times New Roman" w:hAnsi="Times New Roman"/>
          <w:sz w:val="22"/>
          <w:szCs w:val="22"/>
          <w:color w:val="auto"/>
        </w:rPr>
      </w:pPr>
    </w:p>
    <w:p>
      <w:pPr>
        <w:ind w:right="360" w:firstLine="656"/>
        <w:spacing w:after="0" w:line="251"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Mitigation</w:t>
      </w:r>
      <w:r>
        <w:rPr>
          <w:rFonts w:ascii="Times New Roman" w:cs="Times New Roman" w:eastAsia="Times New Roman" w:hAnsi="Times New Roman"/>
          <w:sz w:val="22"/>
          <w:szCs w:val="22"/>
          <w:color w:val="auto"/>
        </w:rPr>
        <w:t>. The Executive shall have no duty to attempt to mitigate the level of benefits payable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to the Executive hereunder, by seeking other employment or otherwise. To the extent that the Executive becomes covered under a health or life insurance plan maintained by a subsequent employer, the Corporation will discontinue the Executive’s coverage; otherwise, the Corporation shall not be entitled to set off against the amounts payable hereunder any amounts received by the Executive from any other source, including any subsequent employer.</w:t>
      </w:r>
    </w:p>
    <w:p>
      <w:pPr>
        <w:spacing w:after="0" w:line="175" w:lineRule="exact"/>
        <w:rPr>
          <w:rFonts w:ascii="Times New Roman" w:cs="Times New Roman" w:eastAsia="Times New Roman" w:hAnsi="Times New Roman"/>
          <w:sz w:val="22"/>
          <w:szCs w:val="22"/>
          <w:color w:val="auto"/>
        </w:rPr>
      </w:pPr>
    </w:p>
    <w:p>
      <w:pPr>
        <w:ind w:right="40" w:firstLine="656"/>
        <w:spacing w:after="0" w:line="259"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notices to be given hereunder by either party to the other may be effected either by personal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writing or by mail, registered or certified, postage prepaid, with return receipt requested. Mailed notices shall be addressed as follows:</w:t>
      </w:r>
    </w:p>
    <w:p>
      <w:pPr>
        <w:spacing w:after="0" w:line="170"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Dine Brands Global,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 N. Brand Boulevard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Glendale, CA 91410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4" w:lineRule="exact"/>
        <w:rPr>
          <w:sz w:val="20"/>
          <w:szCs w:val="20"/>
          <w:color w:val="auto"/>
        </w:rPr>
      </w:pPr>
    </w:p>
    <w:p>
      <w:pPr>
        <w:ind w:left="1300" w:firstLine="4"/>
        <w:spacing w:after="0" w:line="248" w:lineRule="auto"/>
        <w:tabs>
          <w:tab w:leader="none" w:pos="16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Executive, to the last address on file with the Corporation, or such other address as the Executive may provide to the Corporation from time to time.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Either party may change its address for notice by giving notice in accordance with the terms of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00" w:firstLine="656"/>
        <w:spacing w:after="0" w:line="277" w:lineRule="auto"/>
        <w:tabs>
          <w:tab w:leader="none" w:pos="129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 The Executive shall be entitled to indemnification and directors’ and officers’ insurance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coverage, to the extent made available to other senior executives, in accordance with the Bylaws and all other applicable policies and procedures of the Corporation for expenses incurred or damages paid or payable by the Executive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128" w:name="page129"/>
    <w:bookmarkEnd w:id="128"/>
    <w:p>
      <w:pPr>
        <w:ind w:right="100"/>
        <w:spacing w:after="0" w:line="257" w:lineRule="auto"/>
        <w:rPr>
          <w:sz w:val="20"/>
          <w:szCs w:val="20"/>
          <w:color w:val="auto"/>
        </w:rPr>
      </w:pPr>
      <w:r>
        <w:rPr>
          <w:rFonts w:ascii="Times New Roman" w:cs="Times New Roman" w:eastAsia="Times New Roman" w:hAnsi="Times New Roman"/>
          <w:sz w:val="22"/>
          <w:szCs w:val="22"/>
          <w:color w:val="auto"/>
        </w:rPr>
        <w:t>claim against the Executive based on actions or inactions by the Executive in his capacity as a senior executive or director of the Corporation. Additionally, as soon as administratively practicable after the Start Date, the Corporation and the Executive shall enter into an indemnification agreement in the form used for other senior executives of the Corporation.</w:t>
      </w:r>
    </w:p>
    <w:p>
      <w:pPr>
        <w:spacing w:after="0" w:line="169" w:lineRule="exact"/>
        <w:rPr>
          <w:sz w:val="20"/>
          <w:szCs w:val="20"/>
          <w:color w:val="auto"/>
        </w:rPr>
      </w:pPr>
    </w:p>
    <w:p>
      <w:pPr>
        <w:ind w:right="900" w:firstLine="656"/>
        <w:spacing w:after="0" w:line="275"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Legal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reimburse the Executive for all reasonable attorneys’ fees incurred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negotiation and execution of this Agreement, up to a maximum of $20,000.</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Provisions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60" w:right="80" w:firstLine="644"/>
        <w:spacing w:after="0" w:line="250" w:lineRule="auto"/>
        <w:tabs>
          <w:tab w:leader="none" w:pos="19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Venue</w:t>
      </w:r>
      <w:r>
        <w:rPr>
          <w:rFonts w:ascii="Times New Roman" w:cs="Times New Roman" w:eastAsia="Times New Roman" w:hAnsi="Times New Roman"/>
          <w:sz w:val="22"/>
          <w:szCs w:val="22"/>
          <w:color w:val="auto"/>
        </w:rPr>
        <w:t>. This Agreement shall be governed by, and construed and enforced in accordance with, the internal laws of the State of California, without regard to its conflict of laws provisions. The parties hereby irrevocably consent to, and agree not to object or assert any defense or challenge to, the jurisdiction and venue of the state and federal courts located in California, and agree that any claim which may be brought in a court of law or equity may be brought in any such California court.</w:t>
      </w:r>
    </w:p>
    <w:p>
      <w:pPr>
        <w:spacing w:after="0" w:line="180" w:lineRule="exact"/>
        <w:rPr>
          <w:rFonts w:ascii="Times New Roman" w:cs="Times New Roman" w:eastAsia="Times New Roman" w:hAnsi="Times New Roman"/>
          <w:sz w:val="22"/>
          <w:szCs w:val="22"/>
          <w:color w:val="auto"/>
        </w:rPr>
      </w:pPr>
    </w:p>
    <w:p>
      <w:pPr>
        <w:ind w:left="660" w:firstLine="644"/>
        <w:spacing w:after="0" w:line="248" w:lineRule="auto"/>
        <w:tabs>
          <w:tab w:leader="none" w:pos="195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 Provisions</w:t>
      </w:r>
      <w:r>
        <w:rPr>
          <w:rFonts w:ascii="Times New Roman" w:cs="Times New Roman" w:eastAsia="Times New Roman" w:hAnsi="Times New Roman"/>
          <w:sz w:val="22"/>
          <w:szCs w:val="22"/>
          <w:color w:val="auto"/>
        </w:rPr>
        <w:t>. If any provision of this Agreement is held to be illegal, invalid, or unenforceable, then such provision shall be fully severable and this Agreement shall be construed and enforced as if such illegal, invalid, or unenforceable provision had never comprised a part hereof; and the remaining provisions hereof shall remain in full force and effect and shall not be affected by the illegal, invalid, or unenforceable provision or by its severance here from. Furthermore, in lieu of such illegal, invalid, or unenforceable provision there shall be added automatically as a part of this Agreement a provision as similar in terms to such illegal, invalid, or unenforceable provision as may be possible and still be legal, valid or enforceable.</w:t>
      </w:r>
    </w:p>
    <w:p>
      <w:pPr>
        <w:spacing w:after="0" w:line="181" w:lineRule="exact"/>
        <w:rPr>
          <w:rFonts w:ascii="Times New Roman" w:cs="Times New Roman" w:eastAsia="Times New Roman" w:hAnsi="Times New Roman"/>
          <w:sz w:val="22"/>
          <w:szCs w:val="22"/>
          <w:color w:val="auto"/>
        </w:rPr>
      </w:pPr>
    </w:p>
    <w:p>
      <w:pPr>
        <w:ind w:left="660" w:firstLine="644"/>
        <w:spacing w:after="0" w:line="248" w:lineRule="auto"/>
        <w:tabs>
          <w:tab w:leader="none" w:pos="194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With the exception of the General Release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executed as a condition to receiving certain separation benefits hereunder, and all equity award agreements, this Agreement sets forth the entire understanding of the parties and supersedes all prior agreements or understandings, whether written or oral, with respect to the subject matter hereof and all agreements, acknowledgments, designations and directions of the Executive made or given under any Corporation policy statement or benefit program. No terms, conditions, warranties, other than those contained herein, and no amendments or modifications hereto shall be binding unless made in writing and signed by the parties hereto.</w:t>
      </w:r>
    </w:p>
    <w:p>
      <w:pPr>
        <w:spacing w:after="0" w:line="181" w:lineRule="exact"/>
        <w:rPr>
          <w:rFonts w:ascii="Times New Roman" w:cs="Times New Roman" w:eastAsia="Times New Roman" w:hAnsi="Times New Roman"/>
          <w:sz w:val="22"/>
          <w:szCs w:val="22"/>
          <w:color w:val="auto"/>
        </w:rPr>
      </w:pPr>
    </w:p>
    <w:p>
      <w:pPr>
        <w:ind w:left="660" w:right="100" w:firstLine="644"/>
        <w:spacing w:after="0" w:line="252" w:lineRule="auto"/>
        <w:tabs>
          <w:tab w:leader="none" w:pos="195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extend to and be binding upon and inure to the benefit to the parties hereto, their respective heirs, representatives, successors and assigns. This Agreement may not be assigned by the Executive, but may be assigned by the Corporation to any person or entity that succeeds to the ownership or operation of the business in which the Executive is primarily employed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00"/>
          </w:cols>
          <w:pgMar w:left="320" w:top="1422" w:right="379" w:bottom="1440" w:gutter="0" w:footer="0" w:header="0"/>
        </w:sectPr>
      </w:pPr>
    </w:p>
    <w:bookmarkStart w:id="129" w:name="page130"/>
    <w:bookmarkEnd w:id="129"/>
    <w:p>
      <w:pPr>
        <w:ind w:left="-460" w:right="20" w:firstLine="644"/>
        <w:spacing w:after="0" w:line="295" w:lineRule="auto"/>
        <w:tabs>
          <w:tab w:leader="none" w:pos="824"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purported waiver of a breach or default will be valid unless specifically stated in writing by the waiving party. No such waiver waives any subsequent breach or default of the same or any other term in this Agreement.</w:t>
      </w:r>
    </w:p>
    <w:p>
      <w:pPr>
        <w:spacing w:after="0" w:line="135" w:lineRule="exact"/>
        <w:rPr>
          <w:rFonts w:ascii="Times New Roman" w:cs="Times New Roman" w:eastAsia="Times New Roman" w:hAnsi="Times New Roman"/>
          <w:sz w:val="21"/>
          <w:szCs w:val="21"/>
          <w:color w:val="auto"/>
        </w:rPr>
      </w:pPr>
    </w:p>
    <w:p>
      <w:pPr>
        <w:ind w:left="-460" w:right="1100" w:firstLine="644"/>
        <w:spacing w:after="0" w:line="271" w:lineRule="auto"/>
        <w:tabs>
          <w:tab w:leader="none" w:pos="82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Titles</w:t>
      </w:r>
      <w:r>
        <w:rPr>
          <w:rFonts w:ascii="Times New Roman" w:cs="Times New Roman" w:eastAsia="Times New Roman" w:hAnsi="Times New Roman"/>
          <w:sz w:val="22"/>
          <w:szCs w:val="22"/>
          <w:color w:val="auto"/>
        </w:rPr>
        <w:t>. Titles of the paragraphs herein are used solely for convenience and shall not be used for interpretation or construing any work, clause, paragraph, or provision of this Agreement.</w:t>
      </w:r>
    </w:p>
    <w:p>
      <w:pPr>
        <w:spacing w:after="0" w:line="157" w:lineRule="exact"/>
        <w:rPr>
          <w:rFonts w:ascii="Times New Roman" w:cs="Times New Roman" w:eastAsia="Times New Roman" w:hAnsi="Times New Roman"/>
          <w:sz w:val="22"/>
          <w:szCs w:val="22"/>
          <w:color w:val="auto"/>
        </w:rPr>
      </w:pPr>
    </w:p>
    <w:p>
      <w:pPr>
        <w:ind w:left="-460" w:firstLine="644"/>
        <w:spacing w:after="0" w:line="257" w:lineRule="auto"/>
        <w:tabs>
          <w:tab w:leader="none" w:pos="8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any electronic means, each of which shall be deemed an original and all of which, when taken together, shall constitute one and the same agreement.</w:t>
      </w:r>
    </w:p>
    <w:p>
      <w:pPr>
        <w:spacing w:after="0" w:line="172" w:lineRule="exact"/>
        <w:rPr>
          <w:rFonts w:ascii="Times New Roman" w:cs="Times New Roman" w:eastAsia="Times New Roman" w:hAnsi="Times New Roman"/>
          <w:sz w:val="22"/>
          <w:szCs w:val="22"/>
          <w:color w:val="auto"/>
        </w:rPr>
      </w:pPr>
    </w:p>
    <w:p>
      <w:pPr>
        <w:ind w:left="-460" w:right="140" w:firstLine="644"/>
        <w:spacing w:after="0" w:line="271" w:lineRule="auto"/>
        <w:tabs>
          <w:tab w:leader="none" w:pos="8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IRC Section 409A</w:t>
      </w:r>
      <w:r>
        <w:rPr>
          <w:rFonts w:ascii="Times New Roman" w:cs="Times New Roman" w:eastAsia="Times New Roman" w:hAnsi="Times New Roman"/>
          <w:sz w:val="22"/>
          <w:szCs w:val="22"/>
          <w:color w:val="auto"/>
        </w:rPr>
        <w:t>. The following provisions shall apply to this Agreement with respect to Section 409A of the Code:</w:t>
      </w:r>
    </w:p>
    <w:p>
      <w:pPr>
        <w:spacing w:after="0" w:line="154" w:lineRule="exact"/>
        <w:rPr>
          <w:sz w:val="20"/>
          <w:szCs w:val="20"/>
          <w:color w:val="auto"/>
        </w:rPr>
      </w:pPr>
    </w:p>
    <w:p>
      <w:pPr>
        <w:ind w:left="180" w:right="80" w:firstLine="444"/>
        <w:spacing w:after="0" w:line="263" w:lineRule="auto"/>
        <w:rPr>
          <w:sz w:val="20"/>
          <w:szCs w:val="20"/>
          <w:color w:val="auto"/>
        </w:rPr>
      </w:pPr>
      <w:r>
        <w:rPr>
          <w:rFonts w:ascii="Times New Roman" w:cs="Times New Roman" w:eastAsia="Times New Roman" w:hAnsi="Times New Roman"/>
          <w:sz w:val="21"/>
          <w:szCs w:val="21"/>
          <w:color w:val="auto"/>
        </w:rPr>
        <w:t xml:space="preserve">(i)The lump sum cash severance payments which are payable under clause (i) of </w:t>
      </w:r>
      <w:r>
        <w:rPr>
          <w:rFonts w:ascii="Times New Roman" w:cs="Times New Roman" w:eastAsia="Times New Roman" w:hAnsi="Times New Roman"/>
          <w:sz w:val="21"/>
          <w:szCs w:val="21"/>
          <w:b w:val="1"/>
          <w:bCs w:val="1"/>
          <w:color w:val="auto"/>
        </w:rPr>
        <w:t>subsection g. of Section 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and subsection a. of Section 15 </w:t>
      </w:r>
      <w:r>
        <w:rPr>
          <w:rFonts w:ascii="Times New Roman" w:cs="Times New Roman" w:eastAsia="Times New Roman" w:hAnsi="Times New Roman"/>
          <w:sz w:val="21"/>
          <w:szCs w:val="21"/>
          <w:color w:val="auto"/>
        </w:rPr>
        <w:t>are intended to satisfy the short-term deferral exemption under Treasury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Regulation Section 1.409A1(b)(4) and shall be made not later than the last day of the applicable two and one-half month period with respect to such payment, within the meaning of Treasury Regulation Section 1.409A1(b)(4). For purposes of Section 409A of the Code, the Executive’s right to receive any installment payments pursuant to this Agreement shall be treated as a right to receive a series of separate and distinct payments.</w:t>
      </w:r>
    </w:p>
    <w:p>
      <w:pPr>
        <w:spacing w:after="0" w:line="171" w:lineRule="exact"/>
        <w:rPr>
          <w:sz w:val="20"/>
          <w:szCs w:val="20"/>
          <w:color w:val="auto"/>
        </w:rPr>
      </w:pPr>
    </w:p>
    <w:p>
      <w:pPr>
        <w:ind w:left="180" w:right="40" w:firstLine="384"/>
        <w:spacing w:after="0" w:line="247" w:lineRule="auto"/>
        <w:rPr>
          <w:sz w:val="20"/>
          <w:szCs w:val="20"/>
          <w:color w:val="auto"/>
        </w:rPr>
      </w:pPr>
      <w:r>
        <w:rPr>
          <w:rFonts w:ascii="Times New Roman" w:cs="Times New Roman" w:eastAsia="Times New Roman" w:hAnsi="Times New Roman"/>
          <w:sz w:val="22"/>
          <w:szCs w:val="22"/>
          <w:color w:val="auto"/>
        </w:rPr>
        <w:t>(ii)The payments and benefits to be provided to Executive pursuant to this Agreement are intended to comply with, or be exempt from, Section 409A and will be interpreted, administered and operated in a manner consistent with that intent. If any provision of this Agreement (or of any award of compensation, including equity compensation or benefits) would cause the Executive to incur any additional tax or interest under Section 409A of the Code or any regulations or Treasury guidance promulgated thereunder, the Corporation shall, after consulting with the Executive, reform such provision to comply with Section 409A of the Code, provided that the Corporation agrees to maintain, to the maximum extent practicable, the original intent and economic benefit the Executive of the applicable provision without violating the provisions of Section 409A of the Code.</w:t>
      </w:r>
    </w:p>
    <w:p>
      <w:pPr>
        <w:spacing w:after="0" w:line="185" w:lineRule="exact"/>
        <w:rPr>
          <w:sz w:val="20"/>
          <w:szCs w:val="20"/>
          <w:color w:val="auto"/>
        </w:rPr>
      </w:pPr>
    </w:p>
    <w:p>
      <w:pPr>
        <w:ind w:left="180" w:right="20" w:firstLine="324"/>
        <w:spacing w:after="0" w:line="248" w:lineRule="auto"/>
        <w:rPr>
          <w:sz w:val="20"/>
          <w:szCs w:val="20"/>
          <w:color w:val="auto"/>
        </w:rPr>
      </w:pPr>
      <w:r>
        <w:rPr>
          <w:rFonts w:ascii="Times New Roman" w:cs="Times New Roman" w:eastAsia="Times New Roman" w:hAnsi="Times New Roman"/>
          <w:sz w:val="22"/>
          <w:szCs w:val="22"/>
          <w:color w:val="auto"/>
        </w:rPr>
        <w:t xml:space="preserve">(iii)Any payments to be made under this Agreement upon a termination of employment shall only be made upon a “separation from service” within the meaning of Section 409A of the Code. Notwithstanding any provision to the contrary in this </w:t>
      </w:r>
      <w:r>
        <w:rPr>
          <w:rFonts w:ascii="Times New Roman" w:cs="Times New Roman" w:eastAsia="Times New Roman" w:hAnsi="Times New Roman"/>
          <w:sz w:val="22"/>
          <w:szCs w:val="22"/>
          <w:b w:val="1"/>
          <w:bCs w:val="1"/>
          <w:color w:val="auto"/>
        </w:rPr>
        <w:t>subsection h.</w:t>
      </w:r>
      <w:r>
        <w:rPr>
          <w:rFonts w:ascii="Times New Roman" w:cs="Times New Roman" w:eastAsia="Times New Roman" w:hAnsi="Times New Roman"/>
          <w:sz w:val="22"/>
          <w:szCs w:val="22"/>
          <w:color w:val="auto"/>
        </w:rPr>
        <w:t>, if Executive is deemed on the Termination Date to be a “specified employee” within the meaning of that term under Section 409A(a)(2)(B) of the Code, then with regard to any payment or the provision of any benefit that is required to be delayed in compliance with Section 409A(a)(2)(B) of the Code such payment or benefit shall not be made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100"/>
          </w:cols>
          <w:pgMar w:left="1440" w:top="1422" w:right="359" w:bottom="1440" w:gutter="0" w:footer="0" w:header="0"/>
        </w:sectPr>
      </w:pPr>
    </w:p>
    <w:bookmarkStart w:id="130" w:name="page131"/>
    <w:bookmarkEnd w:id="130"/>
    <w:p>
      <w:pPr>
        <w:ind w:left="1300" w:right="40"/>
        <w:spacing w:after="0" w:line="245" w:lineRule="auto"/>
        <w:rPr>
          <w:sz w:val="20"/>
          <w:szCs w:val="20"/>
          <w:color w:val="auto"/>
        </w:rPr>
      </w:pPr>
      <w:r>
        <w:rPr>
          <w:rFonts w:ascii="Times New Roman" w:cs="Times New Roman" w:eastAsia="Times New Roman" w:hAnsi="Times New Roman"/>
          <w:sz w:val="22"/>
          <w:szCs w:val="22"/>
          <w:color w:val="auto"/>
        </w:rPr>
        <w:t>provided (subject to the last sentence hereof) prior to the earlier of (A) the expiration of the six-month period measured from the date of the Executive’s “separation from service” (as such term is defined under Section 409A of the Code) or (B) the date of the Executive’s death (the “</w:t>
      </w:r>
      <w:r>
        <w:rPr>
          <w:rFonts w:ascii="Times New Roman" w:cs="Times New Roman" w:eastAsia="Times New Roman" w:hAnsi="Times New Roman"/>
          <w:sz w:val="22"/>
          <w:szCs w:val="22"/>
          <w:b w:val="1"/>
          <w:bCs w:val="1"/>
          <w:color w:val="auto"/>
        </w:rPr>
        <w:t>Delay Period</w:t>
      </w:r>
      <w:r>
        <w:rPr>
          <w:rFonts w:ascii="Times New Roman" w:cs="Times New Roman" w:eastAsia="Times New Roman" w:hAnsi="Times New Roman"/>
          <w:sz w:val="22"/>
          <w:szCs w:val="22"/>
          <w:color w:val="auto"/>
        </w:rPr>
        <w:t xml:space="preserve">”). Upon the expiration of the Delay Period, all payments and benefits delayed pursuant to this </w:t>
      </w:r>
      <w:r>
        <w:rPr>
          <w:rFonts w:ascii="Times New Roman" w:cs="Times New Roman" w:eastAsia="Times New Roman" w:hAnsi="Times New Roman"/>
          <w:sz w:val="22"/>
          <w:szCs w:val="22"/>
          <w:b w:val="1"/>
          <w:bCs w:val="1"/>
          <w:color w:val="auto"/>
        </w:rPr>
        <w:t>subsection h.</w:t>
      </w:r>
      <w:r>
        <w:rPr>
          <w:rFonts w:ascii="Times New Roman" w:cs="Times New Roman" w:eastAsia="Times New Roman" w:hAnsi="Times New Roman"/>
          <w:sz w:val="22"/>
          <w:szCs w:val="22"/>
          <w:color w:val="auto"/>
        </w:rPr>
        <w:t xml:space="preserve"> (whether they would have otherwise been payable in a single sum or in installments in the absence of such delay) shall be paid or reimbursed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Executive, the Executive shall pay the full cost of premiums for such welfare benefits during the Delay Period and the Corporation shall pay the Executive an amount equal to the amount of such premiums paid by the Executive during the Delay Period promptly after its conclusion.</w:t>
      </w:r>
    </w:p>
    <w:p>
      <w:pPr>
        <w:spacing w:after="0" w:line="195" w:lineRule="exact"/>
        <w:rPr>
          <w:sz w:val="20"/>
          <w:szCs w:val="20"/>
          <w:color w:val="auto"/>
        </w:rPr>
      </w:pPr>
    </w:p>
    <w:p>
      <w:pPr>
        <w:ind w:left="1300" w:firstLine="336"/>
        <w:spacing w:after="0" w:line="248" w:lineRule="auto"/>
        <w:rPr>
          <w:sz w:val="20"/>
          <w:szCs w:val="20"/>
          <w:color w:val="auto"/>
        </w:rPr>
      </w:pPr>
      <w:r>
        <w:rPr>
          <w:rFonts w:ascii="Times New Roman" w:cs="Times New Roman" w:eastAsia="Times New Roman" w:hAnsi="Times New Roman"/>
          <w:sz w:val="22"/>
          <w:szCs w:val="22"/>
          <w:color w:val="auto"/>
        </w:rPr>
        <w:t>(iv)(a) Any amount that the Executive is entitled to be reimbursed for under this Agreement will be reimbursed to the Executive as promptly as practical and in any event not later than the last day of the calendar year after the calendar year in which the expenses are incurred, (b) any right to reimbursement or in kind benefits will not be subject to liquidation or exchange for another benefit, and (c) the amount of the expenses eligible for reimbursement during any taxable year will not affect the amount of expenses eligible for reimbursement in any other taxable year.</w:t>
      </w:r>
    </w:p>
    <w:p>
      <w:pPr>
        <w:spacing w:after="0" w:line="183" w:lineRule="exact"/>
        <w:rPr>
          <w:sz w:val="20"/>
          <w:szCs w:val="20"/>
          <w:color w:val="auto"/>
        </w:rPr>
      </w:pPr>
    </w:p>
    <w:p>
      <w:pPr>
        <w:ind w:left="660" w:right="480" w:firstLine="644"/>
        <w:spacing w:after="0" w:line="299" w:lineRule="auto"/>
        <w:tabs>
          <w:tab w:leader="none" w:pos="194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Withholding</w:t>
      </w:r>
      <w:r>
        <w:rPr>
          <w:rFonts w:ascii="Times New Roman" w:cs="Times New Roman" w:eastAsia="Times New Roman" w:hAnsi="Times New Roman"/>
          <w:sz w:val="21"/>
          <w:szCs w:val="21"/>
          <w:color w:val="auto"/>
        </w:rPr>
        <w:t>. The Corporation may withhold from any amounts payable under this Agreement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state, local or foreign taxes as shall be required to be withheld pursuant to any applicable law or regulations.</w:t>
      </w:r>
    </w:p>
    <w:p>
      <w:pPr>
        <w:spacing w:after="0" w:line="12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Corporation and the Executive have executed this Agreement as of the date and year first above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THIS AGREEMENT CONTAINS AN ARBITRATION CLAUSE.</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3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4840" w:type="dxa"/>
            <w:vAlign w:val="bottom"/>
            <w:gridSpan w:val="3"/>
          </w:tcPr>
          <w:p>
            <w:pPr>
              <w:ind w:left="1160"/>
              <w:spacing w:after="0"/>
              <w:rPr>
                <w:sz w:val="20"/>
                <w:szCs w:val="20"/>
                <w:color w:val="auto"/>
              </w:rPr>
            </w:pPr>
            <w:r>
              <w:rPr>
                <w:rFonts w:ascii="Times New Roman" w:cs="Times New Roman" w:eastAsia="Times New Roman" w:hAnsi="Times New Roman"/>
                <w:sz w:val="22"/>
                <w:szCs w:val="22"/>
                <w:b w:val="1"/>
                <w:bCs w:val="1"/>
                <w:color w:val="auto"/>
              </w:rPr>
              <w:t>Dine Brands Global, Inc.:</w:t>
            </w:r>
          </w:p>
        </w:tc>
      </w:tr>
      <w:tr>
        <w:trPr>
          <w:trHeight w:val="258"/>
        </w:trPr>
        <w:tc>
          <w:tcPr>
            <w:tcW w:w="4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By:_/s/John W. Peyton___________</w:t>
            </w:r>
          </w:p>
        </w:tc>
        <w:tc>
          <w:tcPr>
            <w:tcW w:w="4840" w:type="dxa"/>
            <w:vAlign w:val="bottom"/>
            <w:gridSpan w:val="3"/>
          </w:tcPr>
          <w:p>
            <w:pPr>
              <w:ind w:left="1160"/>
              <w:spacing w:after="0"/>
              <w:rPr>
                <w:sz w:val="20"/>
                <w:szCs w:val="20"/>
                <w:color w:val="auto"/>
              </w:rPr>
            </w:pPr>
            <w:r>
              <w:rPr>
                <w:rFonts w:ascii="Times New Roman" w:cs="Times New Roman" w:eastAsia="Times New Roman" w:hAnsi="Times New Roman"/>
                <w:sz w:val="22"/>
                <w:szCs w:val="22"/>
                <w:color w:val="auto"/>
                <w:w w:val="97"/>
              </w:rPr>
              <w:t>By: _/s/ Gregory R. Bever_____________</w:t>
            </w:r>
          </w:p>
        </w:tc>
      </w:tr>
      <w:tr>
        <w:trPr>
          <w:trHeight w:val="20"/>
        </w:trPr>
        <w:tc>
          <w:tcPr>
            <w:tcW w:w="2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31" w:name="page132"/>
    <w:bookmarkEnd w:id="131"/>
    <w:p>
      <w:pPr>
        <w:jc w:val="center"/>
        <w:ind w:right="-51"/>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w:t>
      </w:r>
    </w:p>
    <w:p>
      <w:pPr>
        <w:spacing w:after="0" w:line="220" w:lineRule="exact"/>
        <w:rPr>
          <w:sz w:val="20"/>
          <w:szCs w:val="20"/>
          <w:color w:val="auto"/>
        </w:rPr>
      </w:pPr>
    </w:p>
    <w:p>
      <w:pPr>
        <w:ind w:left="-8" w:firstLine="8"/>
        <w:spacing w:after="0" w:line="244" w:lineRule="auto"/>
        <w:tabs>
          <w:tab w:leader="none" w:pos="6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Release by Executive. </w:t>
      </w:r>
      <w:r>
        <w:rPr>
          <w:rFonts w:ascii="Times New Roman" w:cs="Times New Roman" w:eastAsia="Times New Roman" w:hAnsi="Times New Roman"/>
          <w:sz w:val="22"/>
          <w:szCs w:val="22"/>
          <w:color w:val="auto"/>
        </w:rPr>
        <w:t>In consideration of the benefits provided under</w:t>
      </w:r>
      <w:r>
        <w:rPr>
          <w:rFonts w:ascii="Times New Roman" w:cs="Times New Roman" w:eastAsia="Times New Roman" w:hAnsi="Times New Roman"/>
          <w:sz w:val="22"/>
          <w:szCs w:val="22"/>
          <w:b w:val="1"/>
          <w:bCs w:val="1"/>
          <w:color w:val="auto"/>
        </w:rPr>
        <w:t xml:space="preserve"> Section 14 or 15</w:t>
      </w:r>
      <w:r>
        <w:rPr>
          <w:rFonts w:ascii="Times New Roman" w:cs="Times New Roman" w:eastAsia="Times New Roman" w:hAnsi="Times New Roman"/>
          <w:sz w:val="22"/>
          <w:szCs w:val="22"/>
          <w:color w:val="auto"/>
        </w:rPr>
        <w:t>, as applicable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 by and between John W. Peyton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Dine Brands Global, Inc., a Delaware corporation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and subject to </w:t>
      </w:r>
      <w:r>
        <w:rPr>
          <w:rFonts w:ascii="Times New Roman" w:cs="Times New Roman" w:eastAsia="Times New Roman" w:hAnsi="Times New Roman"/>
          <w:sz w:val="22"/>
          <w:szCs w:val="22"/>
          <w:b w:val="1"/>
          <w:bCs w:val="1"/>
          <w:color w:val="auto"/>
        </w:rPr>
        <w:t>Section 2</w:t>
      </w:r>
      <w:r>
        <w:rPr>
          <w:rFonts w:ascii="Times New Roman" w:cs="Times New Roman" w:eastAsia="Times New Roman" w:hAnsi="Times New Roman"/>
          <w:sz w:val="22"/>
          <w:szCs w:val="22"/>
          <w:color w:val="auto"/>
        </w:rPr>
        <w:t xml:space="preserve"> below, Executive hereby releases and discharges forever the Corporation, and each of its divisions, affiliates and subsidiaries, and each of their present and former directors, officers, employees, trustees, agents, attorneys, administrators, plans, plan administrators, insurers, parent corporations, subsidiaries, divisions, related and affiliated companies and entities, shareholders, members, representatives, predecessors, successors and assigns, and all persons acting by, through, under or in concert with them (hereinafter collectively referred to as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Released Parties</w:t>
      </w:r>
      <w:r>
        <w:rPr>
          <w:rFonts w:ascii="Times New Roman" w:cs="Times New Roman" w:eastAsia="Times New Roman" w:hAnsi="Times New Roman"/>
          <w:sz w:val="22"/>
          <w:szCs w:val="22"/>
          <w:color w:val="auto"/>
        </w:rPr>
        <w:t>”), from and against all liabilities, claims, demands, liens, causes of action, charges, suits, complaints,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grievances, contracts, agreements, promises, obligations, costs, losses, damages, injuries, attorneys’ fees, and other legal responsibilities (collectively referred to as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of any form whatsoever, including, but not limited to, any claims in law, equity, contract, tort, or any claims under the California Labor Code, the California Civil Code, the California Business and Professions Code, the California Fair Employment and Housing Act, Title VII of the Civil Rights Act of 1964, as amended, the Americans With Disabilities Act, the Age Discrimination in Employment Act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xml:space="preserve">”), as amended by the Older Workers Benefit Protection Act of 1990 (29 U.S.C. §§ 621,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Sarbanes-Oxley Act of 2002, the Employee Retirement Income Security Act of 1974, or any other local ordinance or federal or state statute, regulation or constitution, </w:t>
      </w:r>
      <w:r>
        <w:rPr>
          <w:rFonts w:ascii="Times New Roman" w:cs="Times New Roman" w:eastAsia="Times New Roman" w:hAnsi="Times New Roman"/>
          <w:sz w:val="22"/>
          <w:szCs w:val="22"/>
          <w:u w:val="single" w:color="auto"/>
          <w:color w:val="auto"/>
        </w:rPr>
        <w:t>whether known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unknown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unforeseen, unanticipated, unsuspected or latent</w:t>
      </w:r>
      <w:r>
        <w:rPr>
          <w:rFonts w:ascii="Times New Roman" w:cs="Times New Roman" w:eastAsia="Times New Roman" w:hAnsi="Times New Roman"/>
          <w:sz w:val="22"/>
          <w:szCs w:val="22"/>
          <w:color w:val="auto"/>
        </w:rPr>
        <w:t>, which Executive or Executive’s successors in interest now own or hold, or have at any time heretofore owned or held, or may at any time own or hold by reason of any matter or thing arising from any cause whatsoever prior to the date of execution of this General Release (this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and without limiting the generality of the foregoing, from all claims, demands and causes of action based upon, relating to, or arising out of: (a) Executive’s employment relationship with the Corporation and/or any of the Executive Released Parties and the termination of that relationship; (b) Executive’s relationship as a shareholder, optionholder or holder of any interest whatsoever in any of the Executive Released Parties; (c) Executive’s relationship with any of the Executive Released Parties as a member of any boards of directors; and (d) any other type of relationship (business or otherwise) between Executive and any of the Executive Released Parties.</w:t>
      </w:r>
    </w:p>
    <w:p>
      <w:pPr>
        <w:spacing w:after="0" w:line="199" w:lineRule="exact"/>
        <w:rPr>
          <w:rFonts w:ascii="Times New Roman" w:cs="Times New Roman" w:eastAsia="Times New Roman" w:hAnsi="Times New Roman"/>
          <w:sz w:val="22"/>
          <w:szCs w:val="22"/>
          <w:color w:val="auto"/>
        </w:rPr>
      </w:pPr>
    </w:p>
    <w:p>
      <w:pPr>
        <w:ind w:left="-8" w:right="220" w:firstLine="656"/>
        <w:spacing w:after="0" w:line="275" w:lineRule="auto"/>
        <w:tabs>
          <w:tab w:leader="none" w:pos="128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Exclusions from General Release. </w:t>
      </w:r>
      <w:r>
        <w:rPr>
          <w:rFonts w:ascii="Times New Roman" w:cs="Times New Roman" w:eastAsia="Times New Roman" w:hAnsi="Times New Roman"/>
          <w:sz w:val="22"/>
          <w:szCs w:val="22"/>
          <w:color w:val="auto"/>
        </w:rPr>
        <w:t>Notwithstanding the generality of</w:t>
      </w:r>
      <w:r>
        <w:rPr>
          <w:rFonts w:ascii="Times New Roman" w:cs="Times New Roman" w:eastAsia="Times New Roman" w:hAnsi="Times New Roman"/>
          <w:sz w:val="22"/>
          <w:szCs w:val="22"/>
          <w:b w:val="1"/>
          <w:bCs w:val="1"/>
          <w:color w:val="auto"/>
        </w:rPr>
        <w:t xml:space="preserve"> Section 1</w:t>
      </w:r>
      <w:r>
        <w:rPr>
          <w:rFonts w:ascii="Times New Roman" w:cs="Times New Roman" w:eastAsia="Times New Roman" w:hAnsi="Times New Roman"/>
          <w:sz w:val="22"/>
          <w:szCs w:val="22"/>
          <w:color w:val="auto"/>
        </w:rPr>
        <w:t>, Executive does not release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claims and rights:</w:t>
      </w:r>
    </w:p>
    <w:p>
      <w:pPr>
        <w:spacing w:after="0" w:line="153" w:lineRule="exact"/>
        <w:rPr>
          <w:sz w:val="20"/>
          <w:szCs w:val="20"/>
          <w:color w:val="auto"/>
        </w:rPr>
      </w:pPr>
    </w:p>
    <w:p>
      <w:pPr>
        <w:ind w:left="1112" w:hanging="464"/>
        <w:spacing w:after="0"/>
        <w:tabs>
          <w:tab w:leader="none" w:pos="111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rights under the Employment Agreement;</w:t>
      </w:r>
    </w:p>
    <w:p>
      <w:pPr>
        <w:spacing w:after="0" w:line="219" w:lineRule="exact"/>
        <w:rPr>
          <w:rFonts w:ascii="Times New Roman" w:cs="Times New Roman" w:eastAsia="Times New Roman" w:hAnsi="Times New Roman"/>
          <w:sz w:val="22"/>
          <w:szCs w:val="22"/>
          <w:color w:val="auto"/>
        </w:rPr>
      </w:pPr>
    </w:p>
    <w:p>
      <w:pPr>
        <w:ind w:left="1112" w:hanging="464"/>
        <w:spacing w:after="0"/>
        <w:tabs>
          <w:tab w:leader="none" w:pos="111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rights as a shareholder in the Corporation or the holder of an outstanding equity compensation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192"/>
          </w:cols>
          <w:pgMar w:left="328" w:top="1418" w:right="379" w:bottom="1440" w:gutter="0" w:footer="0" w:header="0"/>
        </w:sectPr>
      </w:pPr>
    </w:p>
    <w:bookmarkStart w:id="132" w:name="page133"/>
    <w:bookmarkEnd w:id="132"/>
    <w:p>
      <w:pPr>
        <w:ind w:left="1300" w:right="660" w:hanging="644"/>
        <w:spacing w:after="0" w:line="271" w:lineRule="auto"/>
        <w:tabs>
          <w:tab w:leader="none" w:pos="110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claims for unemployment compensation or any state disability insurance benefits pursuant to the terms of applicable state law;</w:t>
      </w:r>
    </w:p>
    <w:p>
      <w:pPr>
        <w:spacing w:after="0" w:line="157" w:lineRule="exact"/>
        <w:rPr>
          <w:rFonts w:ascii="Times New Roman" w:cs="Times New Roman" w:eastAsia="Times New Roman" w:hAnsi="Times New Roman"/>
          <w:sz w:val="22"/>
          <w:szCs w:val="22"/>
          <w:color w:val="auto"/>
        </w:rPr>
      </w:pPr>
    </w:p>
    <w:p>
      <w:pPr>
        <w:ind w:left="1300" w:right="660" w:hanging="644"/>
        <w:spacing w:after="0" w:line="295" w:lineRule="auto"/>
        <w:tabs>
          <w:tab w:leader="none" w:pos="112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to continued participation in certain of the Corporation’s group benefit plans pursuant to the terms and conditions of the federal law known as COBRA or the comparable California law known as Cal-COBRA;</w:t>
      </w:r>
    </w:p>
    <w:p>
      <w:pPr>
        <w:spacing w:after="0" w:line="135" w:lineRule="exact"/>
        <w:rPr>
          <w:rFonts w:ascii="Times New Roman" w:cs="Times New Roman" w:eastAsia="Times New Roman" w:hAnsi="Times New Roman"/>
          <w:sz w:val="21"/>
          <w:szCs w:val="21"/>
          <w:color w:val="auto"/>
        </w:rPr>
      </w:pPr>
    </w:p>
    <w:p>
      <w:pPr>
        <w:ind w:left="1300" w:right="480" w:hanging="644"/>
        <w:spacing w:after="0" w:line="271" w:lineRule="auto"/>
        <w:tabs>
          <w:tab w:leader="none" w:pos="110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vested prior to the date of Executive’s termination of employment to benefits under any Corporation-sponsored retirement or welfare benefit plan;</w:t>
      </w:r>
    </w:p>
    <w:p>
      <w:pPr>
        <w:spacing w:after="0" w:line="157" w:lineRule="exact"/>
        <w:rPr>
          <w:rFonts w:ascii="Times New Roman" w:cs="Times New Roman" w:eastAsia="Times New Roman" w:hAnsi="Times New Roman"/>
          <w:sz w:val="22"/>
          <w:szCs w:val="22"/>
          <w:color w:val="auto"/>
        </w:rPr>
      </w:pPr>
    </w:p>
    <w:p>
      <w:pPr>
        <w:ind w:left="1300" w:right="140" w:hanging="644"/>
        <w:spacing w:after="0" w:line="257" w:lineRule="auto"/>
        <w:tabs>
          <w:tab w:leader="none" w:pos="10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rights, if any, to indemnity and/or advancement of expenses pursuant to applicable state law, the Corporation’s articles, bylaws or other corporate governance documents, indemnification agreement and/or to the protections of any director’ and officers’ liability policies of the Corporation or any of its affiliates; and</w:t>
      </w:r>
    </w:p>
    <w:p>
      <w:pPr>
        <w:spacing w:after="0" w:line="17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right that may not be released by private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color w:val="auto"/>
        </w:rPr>
        <w:t>Executive Unreleased Claims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00" w:firstLine="656"/>
        <w:spacing w:after="0" w:line="246" w:lineRule="auto"/>
        <w:tabs>
          <w:tab w:leader="none" w:pos="129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Rights Under the ADEA. </w:t>
      </w:r>
      <w:r>
        <w:rPr>
          <w:rFonts w:ascii="Times New Roman" w:cs="Times New Roman" w:eastAsia="Times New Roman" w:hAnsi="Times New Roman"/>
          <w:sz w:val="22"/>
          <w:szCs w:val="22"/>
          <w:color w:val="auto"/>
        </w:rPr>
        <w:t>Without limiting the scope of the foregoing release of Claims in any way,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certifies that this release constitutes a knowing and voluntary waiver of any and all rights or claims that exist or that Executive has or may claim to have under ADEA. This release does not govern any rights or claims that might arise under the ADEA after the date this Release is signed by the parties. Executive acknowledges that: (a) the consideration provided pursuant to the Employment Agreement is in addition to any consideration that he would otherwise be entitled to receive; (b) he has been and is hereby advised in writing to consult with an attorney prior to signing this Release; (c) he has been provided a full and ample opportunity to review this Release, including a period of at least 21 days within which to consider it; (d) to the extent that Executive takes less than 21 days to consider this Release prior to execution, Executive acknowledges that he had sufficient time to consider this Release with counsel and that he expressly, voluntarily and knowingly waives any additional time; and</w:t>
      </w:r>
    </w:p>
    <w:p>
      <w:pPr>
        <w:spacing w:after="0" w:line="2" w:lineRule="exact"/>
        <w:rPr>
          <w:rFonts w:ascii="Times New Roman" w:cs="Times New Roman" w:eastAsia="Times New Roman" w:hAnsi="Times New Roman"/>
          <w:sz w:val="22"/>
          <w:szCs w:val="22"/>
          <w:color w:val="auto"/>
        </w:rPr>
      </w:pPr>
    </w:p>
    <w:p>
      <w:pPr>
        <w:ind w:firstLine="8"/>
        <w:spacing w:after="0" w:line="244" w:lineRule="auto"/>
        <w:tabs>
          <w:tab w:leader="none" w:pos="29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aware of his right to revoke this Release at any time within the seven-day period following the date on which he executes the Release and that the Release shall not become effective or enforceable until the calendar day immediately following the expiration of the seven-day revocation period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Executive further understands that he shall relinquish any right he has to the consideration specified in the Employment Agreement if he exercises his right to revoke it, other than the Accrued Obligations and Other Benefits, as defined in the Employment Agreement. Notice of revocation must be made in writing and must be received by the Senior Vice President, Human Resources of the Corporation, no later than 5:00 p.m. (Pacific Time) on the seventh calendar day immediately following the date on which Executive executes this Release.</w:t>
      </w:r>
    </w:p>
    <w:p>
      <w:pPr>
        <w:spacing w:after="0" w:line="183" w:lineRule="exact"/>
        <w:rPr>
          <w:rFonts w:ascii="Times New Roman" w:cs="Times New Roman" w:eastAsia="Times New Roman" w:hAnsi="Times New Roman"/>
          <w:sz w:val="22"/>
          <w:szCs w:val="22"/>
          <w:color w:val="auto"/>
        </w:rPr>
      </w:pPr>
    </w:p>
    <w:p>
      <w:pPr>
        <w:ind w:right="40" w:firstLine="656"/>
        <w:spacing w:after="0" w:line="275" w:lineRule="auto"/>
        <w:tabs>
          <w:tab w:leader="none" w:pos="129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Unknown Claims. </w:t>
      </w:r>
      <w:r>
        <w:rPr>
          <w:rFonts w:ascii="Times New Roman" w:cs="Times New Roman" w:eastAsia="Times New Roman" w:hAnsi="Times New Roman"/>
          <w:sz w:val="22"/>
          <w:szCs w:val="22"/>
          <w:color w:val="auto"/>
        </w:rPr>
        <w:t>It is further understood and agreed that Executive waives all rights under Section 1542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California Civil Code and/or any statute or common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1" w:right="339" w:bottom="1440" w:gutter="0" w:footer="0" w:header="0"/>
        </w:sectPr>
      </w:pPr>
    </w:p>
    <w:bookmarkStart w:id="133" w:name="page134"/>
    <w:bookmarkEnd w:id="133"/>
    <w:p>
      <w:pPr>
        <w:ind w:right="440"/>
        <w:spacing w:after="0" w:line="271" w:lineRule="auto"/>
        <w:rPr>
          <w:sz w:val="20"/>
          <w:szCs w:val="20"/>
          <w:color w:val="auto"/>
        </w:rPr>
      </w:pPr>
      <w:r>
        <w:rPr>
          <w:rFonts w:ascii="Times New Roman" w:cs="Times New Roman" w:eastAsia="Times New Roman" w:hAnsi="Times New Roman"/>
          <w:sz w:val="22"/>
          <w:szCs w:val="22"/>
          <w:color w:val="auto"/>
        </w:rPr>
        <w:t>principle of similar effect in any jurisdiction with respect to any Claims other than the Executive Unreleased Claims. Section 1542 reads as follows: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200"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provisions of Section 1542 or any statute or common law principle of similar effect in any jurisdiction, and for the purpose of implementing a full and complete release and discharge of all claims, Executive expressly acknowledges that this Agreement is intended to include in its effect, without limitation, all claims which Executive does not know or suspect to exist in Executive’s favor at the time of execution hereof, and that the general release agreed upon contemplates the extinguishment of any such claims.</w:t>
      </w:r>
    </w:p>
    <w:p>
      <w:pPr>
        <w:spacing w:after="0" w:line="177" w:lineRule="exact"/>
        <w:rPr>
          <w:sz w:val="20"/>
          <w:szCs w:val="20"/>
          <w:color w:val="auto"/>
        </w:rPr>
      </w:pPr>
    </w:p>
    <w:p>
      <w:pPr>
        <w:ind w:right="20" w:firstLine="656"/>
        <w:spacing w:after="0" w:line="246" w:lineRule="auto"/>
        <w:tabs>
          <w:tab w:leader="none" w:pos="129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Covenant Not To Sue. </w:t>
      </w:r>
      <w:r>
        <w:rPr>
          <w:rFonts w:ascii="Times New Roman" w:cs="Times New Roman" w:eastAsia="Times New Roman" w:hAnsi="Times New Roman"/>
          <w:sz w:val="22"/>
          <w:szCs w:val="22"/>
          <w:color w:val="auto"/>
        </w:rPr>
        <w:t>Executive represents and covenants that he has not filed, initiated or caused to be filed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initiated, any Claim, charge, suit, complaint, grievance, action or cause of action against the Corporation or any of the Executive Released Parties. Except to the extent that such waiver is precluded by law, Executive further promises and agrees that he will not file, initiate, or cause to be filed or initiated any Claim, charge, suit, complaint, grievance, action, or cause of action based upon, arising out of, or relating to any Claim, demand, or cause of action released herein, nor shall Executive participate, assist or cooperate in any Claim, charge, suit, complaint, grievance, action or proceeding regarding any of the Executive Released Parties, whether before a court or administrative agency or otherwise, unless required to do so by law. The parties acknowledge that this Release will not prevent the Executive from filing a charge with the Equal Employment Opportunity Commission (or similar state agency) or participating in any investigation conducted by the Equal Employment Opportunity Commission (or similar state agency);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acknowledges and agrees that any Claims by Executive, or brought on his behalf, for personal relief in connection with such a charge or investigation (such as reinstatement or monetary damages) would be and hereby are barred.</w:t>
      </w:r>
    </w:p>
    <w:p>
      <w:pPr>
        <w:spacing w:after="0" w:line="182" w:lineRule="exact"/>
        <w:rPr>
          <w:rFonts w:ascii="Times New Roman" w:cs="Times New Roman" w:eastAsia="Times New Roman" w:hAnsi="Times New Roman"/>
          <w:sz w:val="22"/>
          <w:szCs w:val="22"/>
          <w:color w:val="auto"/>
        </w:rPr>
      </w:pPr>
    </w:p>
    <w:p>
      <w:pPr>
        <w:jc w:val="both"/>
        <w:ind w:right="820" w:firstLine="656"/>
        <w:spacing w:after="0" w:line="259" w:lineRule="auto"/>
        <w:tabs>
          <w:tab w:leader="none" w:pos="129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Assignment. </w:t>
      </w:r>
      <w:r>
        <w:rPr>
          <w:rFonts w:ascii="Times New Roman" w:cs="Times New Roman" w:eastAsia="Times New Roman" w:hAnsi="Times New Roman"/>
          <w:sz w:val="22"/>
          <w:szCs w:val="22"/>
          <w:color w:val="auto"/>
        </w:rPr>
        <w:t>Executive represents and warrants that he has made no assignment or other transfer,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that he will make no assignment or other transfer, of any interest in any Claim which he may have against the Executive Released Parties, or any of them.</w:t>
      </w:r>
    </w:p>
    <w:p>
      <w:pPr>
        <w:spacing w:after="0" w:line="166" w:lineRule="exact"/>
        <w:rPr>
          <w:rFonts w:ascii="Times New Roman" w:cs="Times New Roman" w:eastAsia="Times New Roman" w:hAnsi="Times New Roman"/>
          <w:sz w:val="22"/>
          <w:szCs w:val="22"/>
          <w:color w:val="auto"/>
        </w:rPr>
      </w:pPr>
    </w:p>
    <w:p>
      <w:pPr>
        <w:ind w:right="100" w:firstLine="656"/>
        <w:spacing w:after="0" w:line="261" w:lineRule="auto"/>
        <w:tabs>
          <w:tab w:leader="none" w:pos="129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Indemnification of Executive Released Parties. </w:t>
      </w:r>
      <w:r>
        <w:rPr>
          <w:rFonts w:ascii="Times New Roman" w:cs="Times New Roman" w:eastAsia="Times New Roman" w:hAnsi="Times New Roman"/>
          <w:sz w:val="21"/>
          <w:szCs w:val="21"/>
          <w:color w:val="auto"/>
        </w:rPr>
        <w:t>Executive agrees to indemnify and hold harmless the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Released Parties, and each of them, against any loss, claim, demand, damage, expenses, or any other liability whatsoever, including reasonable attorneys’ fees and costs resulting from: (a) any breach of this release by Executive or Executive’s successors in interest; (b) any assignment or transfer, or attempted assignment or transfer, of any Claims released hereunder; or</w:t>
      </w:r>
    </w:p>
    <w:p>
      <w:pPr>
        <w:spacing w:after="0" w:line="3" w:lineRule="exact"/>
        <w:rPr>
          <w:rFonts w:ascii="Times New Roman" w:cs="Times New Roman" w:eastAsia="Times New Roman" w:hAnsi="Times New Roman"/>
          <w:sz w:val="21"/>
          <w:szCs w:val="21"/>
          <w:color w:val="auto"/>
        </w:rPr>
      </w:pPr>
    </w:p>
    <w:p>
      <w:pPr>
        <w:jc w:val="both"/>
        <w:ind w:right="20" w:firstLine="8"/>
        <w:spacing w:after="0" w:line="271" w:lineRule="auto"/>
        <w:tabs>
          <w:tab w:leader="none" w:pos="29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action or proceeding brought by Executive or Executive’s successors in interest, or any other, if such action or proceeding arises out of, is based upon, or is related to any Claims, demands, or causes of action released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1" w:right="339" w:bottom="1440" w:gutter="0" w:footer="0" w:header="0"/>
        </w:sectPr>
      </w:pPr>
    </w:p>
    <w:bookmarkStart w:id="134" w:name="page135"/>
    <w:bookmarkEnd w:id="134"/>
    <w:p>
      <w:pPr>
        <w:ind w:right="180"/>
        <w:spacing w:after="0" w:line="252" w:lineRule="auto"/>
        <w:rPr>
          <w:sz w:val="20"/>
          <w:szCs w:val="20"/>
          <w:color w:val="auto"/>
        </w:rPr>
      </w:pPr>
      <w:r>
        <w:rPr>
          <w:rFonts w:ascii="Times New Roman" w:cs="Times New Roman" w:eastAsia="Times New Roman" w:hAnsi="Times New Roman"/>
          <w:sz w:val="22"/>
          <w:szCs w:val="22"/>
          <w:color w:val="auto"/>
        </w:rPr>
        <w:t>indemnification provision shall not apply to any challenge by Executive of the release of claims under the ADEA, Title VII, or similar discrimination laws, and any right of the Release Parties to recover attorneys’ fees and/or expenses for such breach shall be governed by applicable law. It is the intention of the parties that this indemnity does not require payment as a condition precedent to recovery by any of the Executive Released Parties under this indemnity.</w:t>
      </w:r>
    </w:p>
    <w:p>
      <w:pPr>
        <w:spacing w:after="0" w:line="175" w:lineRule="exact"/>
        <w:rPr>
          <w:sz w:val="20"/>
          <w:szCs w:val="20"/>
          <w:color w:val="auto"/>
        </w:rPr>
      </w:pPr>
    </w:p>
    <w:p>
      <w:pPr>
        <w:ind w:right="120" w:firstLine="656"/>
        <w:spacing w:after="0" w:line="247"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Non-Disparagement by Executive. </w:t>
      </w:r>
      <w:r>
        <w:rPr>
          <w:rFonts w:ascii="Times New Roman" w:cs="Times New Roman" w:eastAsia="Times New Roman" w:hAnsi="Times New Roman"/>
          <w:sz w:val="22"/>
          <w:szCs w:val="22"/>
          <w:color w:val="auto"/>
        </w:rPr>
        <w:t>Executive agrees not to publish or disseminate, directly or indirectly,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statements, whether written or oral, or other verbal or non-verbal communications that clearly communicate an affirmative or negative response to a question or statement, that are or could be harmful to or reflect negatively on any of the Executive Released Parties and/or their businesses, or that are otherwise disparaging of any of the Executive Released Parties and/or their businesses, or any of their past or present or future officers, directors, employees, advisors, or agents in their capacity as such, or any of their policies, procedures, practices, decision-making, conduct, professionalism or compliance with standards. For avoidance of doubt, statements by Executive, which Executive reasonably and in good faith believes to be accurate and truthful, made to the Corporation, or its subsidiaries, affiliates or representatives pursuant to Executive’s obligations under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hereof shall not be deemed a violation of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656"/>
        <w:spacing w:after="0" w:line="257" w:lineRule="auto"/>
        <w:tabs>
          <w:tab w:leader="none" w:pos="129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Cooperation. </w:t>
      </w:r>
      <w:r>
        <w:rPr>
          <w:rFonts w:ascii="Times New Roman" w:cs="Times New Roman" w:eastAsia="Times New Roman" w:hAnsi="Times New Roman"/>
          <w:sz w:val="21"/>
          <w:szCs w:val="21"/>
          <w:color w:val="auto"/>
        </w:rPr>
        <w:t>Executive agrees to cooperate fully with the Corporation and its subsidiaries and affiliates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transitioning his duties in response to reasonable requests for information about the business of the Corporation or its subsidiaries or affiliates or Executive’s involvement and participation therein; the defense or prosecution of any claims or actions now in existence or which may be brought in the future against or on behalf of the Corporation or its subsidiaries or affiliates which relate to event or occurrences that transpired while Executive was employed by the Corporation; and in connection with any investigation or review by any federal, state or local regulatory, quasi-regulatory or self-governing authority (including, without limitation, the Securities and Exchange Commission) as any such investigation or review relates to events or occurrences that transpired while Executive was employed by the Corporation. Executive’s full cooperation shall include, but not be limited to, being available to meet and speak with officers or employees of the Corporation and/or its counsel at reasonable times and locations reasonably agreeable to the Executive, executing accurate and truthful documents, appearing at the Corporation’s request as a witness at depositions, trials or other proceedings without the necessity of a subpoena, and taking such other actions as may reasonably be requested by of the Corporation and/or its counsel to effectuate the foregoing. In requesting such services, the Corporation will consider other commitments that Executive may have at the time of the request, and Executive’s availability and obligations under this Section shall in all instances reasonably be subject to Executive’s other commitments; provided that Executive shall not be required to perform any such actions to the extent performance would reasonably be expected to materially interfere with subsequent employment of the Executive. The Corporation agrees to reimburse Executive for any reasonable, out-of-pocket travel, hotel and meal expenses incurred in connection with Executive’s performance of obligations pursuant to this Section for which Executive has obtained prior, written approval from the Corporation, and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1" w:right="339" w:bottom="1440" w:gutter="0" w:footer="0" w:header="0"/>
        </w:sectPr>
      </w:pPr>
    </w:p>
    <w:bookmarkStart w:id="135" w:name="page136"/>
    <w:bookmarkEnd w:id="135"/>
    <w:p>
      <w:pPr>
        <w:ind w:right="160"/>
        <w:spacing w:after="0" w:line="271" w:lineRule="auto"/>
        <w:rPr>
          <w:sz w:val="20"/>
          <w:szCs w:val="20"/>
          <w:color w:val="auto"/>
        </w:rPr>
      </w:pPr>
      <w:r>
        <w:rPr>
          <w:rFonts w:ascii="Times New Roman" w:cs="Times New Roman" w:eastAsia="Times New Roman" w:hAnsi="Times New Roman"/>
          <w:sz w:val="22"/>
          <w:szCs w:val="22"/>
          <w:color w:val="auto"/>
        </w:rPr>
        <w:t xml:space="preserve">shall pay Executive $500.00 per hour for any services performed by Executive at the request of the Corporation pursuant to this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right="200" w:firstLine="656"/>
        <w:spacing w:after="0" w:line="264" w:lineRule="auto"/>
        <w:tabs>
          <w:tab w:leader="none" w:pos="129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Truthful Testimony; Notice of Request for Testimony. </w:t>
      </w:r>
      <w:r>
        <w:rPr>
          <w:rFonts w:ascii="Times New Roman" w:cs="Times New Roman" w:eastAsia="Times New Roman" w:hAnsi="Times New Roman"/>
          <w:sz w:val="21"/>
          <w:szCs w:val="21"/>
          <w:color w:val="auto"/>
        </w:rPr>
        <w:t>Nothing in this Release is intended to or shall preclude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either party from providing testimony that such party reasonably and in good faith believes to be truthful in response to a valid subpoena, court order, regulatory request or other judicial, administrative or legal process or otherwise as required by law.</w:t>
      </w:r>
    </w:p>
    <w:p>
      <w:pPr>
        <w:ind w:right="14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Executive shall notify the Corporation in writing as promptly as practicable after receiving any such request of the anticipated testimony and at least 10 days prior to providing such testimony (or, if such notice is not possible under the circumstances, with as much prior notice as is possible) to afford the Corporation a reasonable opportunity to challenge the subpoena, court order or similar legal process. Moreover, nothing in this Release shall be construed or applied so as to limit any person from providing candid statements that such party reasonably and in good faith believes to be truthful to any governmental or regulatory body or any self-regulatory organization.</w:t>
      </w:r>
    </w:p>
    <w:p>
      <w:pPr>
        <w:spacing w:after="0" w:line="183" w:lineRule="exact"/>
        <w:rPr>
          <w:rFonts w:ascii="Times New Roman" w:cs="Times New Roman" w:eastAsia="Times New Roman" w:hAnsi="Times New Roman"/>
          <w:sz w:val="21"/>
          <w:szCs w:val="21"/>
          <w:color w:val="auto"/>
        </w:rPr>
      </w:pPr>
    </w:p>
    <w:p>
      <w:pPr>
        <w:ind w:firstLine="656"/>
        <w:spacing w:after="0" w:line="247" w:lineRule="auto"/>
        <w:tabs>
          <w:tab w:leader="none" w:pos="1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Permitted Communications. </w:t>
      </w:r>
      <w:r>
        <w:rPr>
          <w:rFonts w:ascii="Times New Roman" w:cs="Times New Roman" w:eastAsia="Times New Roman" w:hAnsi="Times New Roman"/>
          <w:sz w:val="22"/>
          <w:szCs w:val="22"/>
          <w:color w:val="auto"/>
        </w:rPr>
        <w:t>Notwithstanding anything in this Release to the contrary, nothing in this Release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Employment Agreement prohibits Executive from confidentially or otherwise communicating or filing a charge or complaint with a governmental or regulatory entity, participating in a governmental or regulatory entity investigation, or giving truthful testimony or making other disclosures to a governmental or regulatory entity (in each case, without having to disclose any such conduct to the Corporation), or from responding if properly subpoenaed or otherwise required to do so under applicable law. In addition, nothing in this Release or the Employment Agreement limits Executive’s right to receive an award from a governmental or regulatory entity for information provided to such an entity (and not as compensation for actual or alleged personal injury or damages to Executive).</w:t>
      </w:r>
    </w:p>
    <w:p>
      <w:pPr>
        <w:sectPr>
          <w:pgSz w:w="11900" w:h="16838" w:orient="portrait"/>
          <w:cols w:equalWidth="0" w:num="1">
            <w:col w:w="11200"/>
          </w:cols>
          <w:pgMar w:left="320" w:top="1421" w:right="37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4460"/>
        <w:spacing w:after="0"/>
        <w:rPr>
          <w:sz w:val="20"/>
          <w:szCs w:val="20"/>
          <w:color w:val="auto"/>
        </w:rPr>
      </w:pPr>
      <w:r>
        <w:rPr>
          <w:rFonts w:ascii="Times New Roman" w:cs="Times New Roman" w:eastAsia="Times New Roman" w:hAnsi="Times New Roman"/>
          <w:sz w:val="21"/>
          <w:szCs w:val="21"/>
          <w:color w:val="auto"/>
        </w:rPr>
        <w:t>EXECUTIVE</w:t>
      </w:r>
    </w:p>
    <w:p>
      <w:pPr>
        <w:spacing w:after="0" w:line="200" w:lineRule="exact"/>
        <w:rPr>
          <w:sz w:val="20"/>
          <w:szCs w:val="20"/>
          <w:color w:val="auto"/>
        </w:rPr>
      </w:pPr>
    </w:p>
    <w:p>
      <w:pPr>
        <w:sectPr>
          <w:pgSz w:w="11900" w:h="16838" w:orient="portrait"/>
          <w:cols w:equalWidth="0" w:num="2">
            <w:col w:w="4800" w:space="720"/>
            <w:col w:w="5680"/>
          </w:cols>
          <w:pgMar w:left="320" w:top="1421" w:right="37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 261115507</w:t>
      </w:r>
    </w:p>
    <w:p>
      <w:pPr>
        <w:sectPr>
          <w:pgSz w:w="11900" w:h="16838" w:orient="portrait"/>
          <w:cols w:equalWidth="0" w:num="1">
            <w:col w:w="11200"/>
          </w:cols>
          <w:pgMar w:left="320" w:top="14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421" w:right="379" w:bottom="1440" w:gutter="0" w:footer="0" w:header="0"/>
          <w:type w:val="continuous"/>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color w:val="auto"/>
        </w:rPr>
        <w:t>Exhibit 10.77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EMPLOYMENT AGREEMENT</w:t>
      </w:r>
    </w:p>
    <w:p>
      <w:pPr>
        <w:spacing w:after="0" w:line="220"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2"/>
          <w:szCs w:val="22"/>
          <w:color w:val="auto"/>
        </w:rPr>
        <w:t>This Amendment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made effective as of November 16, 2020 by and between Dine Brands Global, Inc.,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Stephen P. Joyce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as an amendment to the Employment Agreement between the parties effective August 9, 2017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right="3380"/>
        <w:spacing w:after="0" w:line="46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term of the Employment Agreement expires on February 1, 2021;</w:t>
      </w:r>
      <w:r>
        <w:rPr>
          <w:rFonts w:ascii="Times New Roman" w:cs="Times New Roman" w:eastAsia="Times New Roman" w:hAnsi="Times New Roman"/>
          <w:sz w:val="21"/>
          <w:szCs w:val="21"/>
          <w:b w:val="1"/>
          <w:bCs w:val="1"/>
          <w:color w:val="auto"/>
        </w:rPr>
        <w:t xml:space="preserve"> WHEREAS, </w:t>
      </w:r>
      <w:r>
        <w:rPr>
          <w:rFonts w:ascii="Times New Roman" w:cs="Times New Roman" w:eastAsia="Times New Roman" w:hAnsi="Times New Roman"/>
          <w:sz w:val="21"/>
          <w:szCs w:val="21"/>
          <w:color w:val="auto"/>
        </w:rPr>
        <w:t>the parties mutually desire to amend the Employment Agreement;</w:t>
      </w:r>
    </w:p>
    <w:p>
      <w:pPr>
        <w:spacing w:after="0" w:line="1"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promises and the mutual terms and conditions hereof, the Corporation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hereby agree as follows:</w:t>
      </w:r>
    </w:p>
    <w:p>
      <w:pPr>
        <w:spacing w:after="0" w:line="149" w:lineRule="exact"/>
        <w:rPr>
          <w:sz w:val="20"/>
          <w:szCs w:val="20"/>
          <w:color w:val="auto"/>
        </w:rPr>
      </w:pPr>
    </w:p>
    <w:p>
      <w:pPr>
        <w:ind w:right="220" w:firstLine="8"/>
        <w:spacing w:after="0" w:line="249" w:lineRule="auto"/>
        <w:tabs>
          <w:tab w:leader="none" w:pos="64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Revised Duties</w:t>
      </w:r>
      <w:r>
        <w:rPr>
          <w:rFonts w:ascii="Times New Roman" w:cs="Times New Roman" w:eastAsia="Times New Roman" w:hAnsi="Times New Roman"/>
          <w:sz w:val="22"/>
          <w:szCs w:val="22"/>
          <w:color w:val="auto"/>
        </w:rPr>
        <w:t>. Effective January 4, 2021 (“</w:t>
      </w:r>
      <w:r>
        <w:rPr>
          <w:rFonts w:ascii="Times New Roman" w:cs="Times New Roman" w:eastAsia="Times New Roman" w:hAnsi="Times New Roman"/>
          <w:sz w:val="22"/>
          <w:szCs w:val="22"/>
          <w:b w:val="1"/>
          <w:bCs w:val="1"/>
          <w:color w:val="auto"/>
        </w:rPr>
        <w:t>Transition Date</w:t>
      </w:r>
      <w:r>
        <w:rPr>
          <w:rFonts w:ascii="Times New Roman" w:cs="Times New Roman" w:eastAsia="Times New Roman" w:hAnsi="Times New Roman"/>
          <w:sz w:val="22"/>
          <w:szCs w:val="22"/>
          <w:color w:val="auto"/>
        </w:rPr>
        <w:t>”), Executive voluntarily resigns his position as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 and as a member of the Board of Directors of the Corporation as well as any and all other positions with the Corporation and its subsidiaries. From the Transition Date through February 16, 2021, Executive shall remain employed by the Corporation as a non-executive special advisor to the Corporation and be available to the new Chief Executive Officer to assist with the transition of his duties and responsibilities. As of February 17, 2021, the Term shall end and Executive shall thereupon resign and cease to be employed by the Corporation and its subsidiaries.</w:t>
      </w:r>
    </w:p>
    <w:p>
      <w:pPr>
        <w:spacing w:after="0" w:line="180" w:lineRule="exact"/>
        <w:rPr>
          <w:rFonts w:ascii="Times New Roman" w:cs="Times New Roman" w:eastAsia="Times New Roman" w:hAnsi="Times New Roman"/>
          <w:sz w:val="22"/>
          <w:szCs w:val="22"/>
          <w:color w:val="auto"/>
        </w:rPr>
      </w:pPr>
    </w:p>
    <w:p>
      <w:pPr>
        <w:ind w:right="60" w:firstLine="8"/>
        <w:spacing w:after="0" w:line="258" w:lineRule="auto"/>
        <w:tabs>
          <w:tab w:leader="none" w:pos="64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w:t>
      </w:r>
      <w:r>
        <w:rPr>
          <w:rFonts w:ascii="Times New Roman" w:cs="Times New Roman" w:eastAsia="Times New Roman" w:hAnsi="Times New Roman"/>
          <w:sz w:val="21"/>
          <w:szCs w:val="21"/>
          <w:color w:val="auto"/>
        </w:rPr>
        <w:t>. During the period through February 1, 2021, Executive shall continue to be paid the base salary,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additional compensation, and benefits in accordance with Section 5 and Sections 6(a) and 6(b) of the Employment Agreement. From February 1, 2021 through February 16, 2021, Executive shall continue to receive benefits in accordance with Section 6(a) of the Employment Agreement and the Corporation shall pay the employer and employee portions of the premiums for such benefits. All equity and long-term incentive awards shall remain subject to all applicable vesting conditions through February 16, 2021, in accordance with their terms. Executive agrees that the Corporation shall not have any obligation to make any other payment of compensation, or to provide any severance or other benefits of any kind, including without limitation, under Sections</w:t>
      </w:r>
    </w:p>
    <w:p>
      <w:pPr>
        <w:spacing w:after="0" w:line="6"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14 of the Employment Agreement.</w:t>
      </w:r>
    </w:p>
    <w:p>
      <w:pPr>
        <w:spacing w:after="0" w:line="191" w:lineRule="exact"/>
        <w:rPr>
          <w:rFonts w:ascii="Times New Roman" w:cs="Times New Roman" w:eastAsia="Times New Roman" w:hAnsi="Times New Roman"/>
          <w:sz w:val="22"/>
          <w:szCs w:val="22"/>
          <w:color w:val="auto"/>
        </w:rPr>
      </w:pPr>
    </w:p>
    <w:p>
      <w:pPr>
        <w:ind w:right="120" w:firstLine="8"/>
        <w:spacing w:after="0" w:line="249" w:lineRule="auto"/>
        <w:tabs>
          <w:tab w:leader="none" w:pos="6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The Employment Agreement, as amended by this Amendment, sets forth the entire understanding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and supersedes all prior agreements or understandings, whether written or oral, with respect to the subject matter hereof and all agreements, acknowledgments, designations and directions of the Executive made or given under any Corporation policy statement or benefit program. Except as expressly amended herein, all other terms and conditions of the Employment Agreement shall remain unmodified and in full force and effect. No terms, conditions, warranties, other than those contained herein, and no</w:t>
      </w:r>
    </w:p>
    <w:p>
      <w:pPr>
        <w:sectPr>
          <w:pgSz w:w="11900" w:h="16838" w:orient="portrait"/>
          <w:cols w:equalWidth="0" w:num="1">
            <w:col w:w="11240"/>
          </w:cols>
          <w:pgMar w:left="320" w:top="14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amendments or modifications hereto shall be binding unless made in writing and signed by the parties hereto.</w:t>
      </w:r>
    </w:p>
    <w:p>
      <w:pPr>
        <w:spacing w:after="0" w:line="216" w:lineRule="exact"/>
        <w:rPr>
          <w:sz w:val="20"/>
          <w:szCs w:val="20"/>
          <w:color w:val="auto"/>
        </w:rPr>
      </w:pPr>
    </w:p>
    <w:p>
      <w:pPr>
        <w:ind w:firstLine="8"/>
        <w:spacing w:after="0" w:line="253" w:lineRule="auto"/>
        <w:tabs>
          <w:tab w:leader="none" w:pos="6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Amendment shall extend to and be binding upon and inure to the benefit to the parties hereto,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heirs, representatives, successors and assigns. This Amendment may not be assigned by the Executive, but may be assigned by the Corporation to any person or entity that succeeds to the ownership or operation of the business in which the Executive is primarily employed by the Corporation.</w:t>
      </w:r>
    </w:p>
    <w:p>
      <w:pPr>
        <w:spacing w:after="0" w:line="175" w:lineRule="exact"/>
        <w:rPr>
          <w:rFonts w:ascii="Times New Roman" w:cs="Times New Roman" w:eastAsia="Times New Roman" w:hAnsi="Times New Roman"/>
          <w:sz w:val="22"/>
          <w:szCs w:val="22"/>
          <w:color w:val="auto"/>
        </w:rPr>
      </w:pPr>
    </w:p>
    <w:p>
      <w:pPr>
        <w:ind w:right="360" w:firstLine="8"/>
        <w:spacing w:after="0" w:line="299" w:lineRule="auto"/>
        <w:tabs>
          <w:tab w:leader="none" w:pos="64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w:t>
      </w:r>
      <w:r>
        <w:rPr>
          <w:rFonts w:ascii="Times New Roman" w:cs="Times New Roman" w:eastAsia="Times New Roman" w:hAnsi="Times New Roman"/>
          <w:sz w:val="21"/>
          <w:szCs w:val="21"/>
          <w:color w:val="auto"/>
        </w:rPr>
        <w:t>. No purported waiver of a breach or default will be valid unless specifically stated in writing by the waiving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No such waiver waives any subsequent breach or default of the same or any other term in this Amendment.</w:t>
      </w:r>
    </w:p>
    <w:p>
      <w:pPr>
        <w:spacing w:after="0" w:line="127" w:lineRule="exact"/>
        <w:rPr>
          <w:rFonts w:ascii="Times New Roman" w:cs="Times New Roman" w:eastAsia="Times New Roman" w:hAnsi="Times New Roman"/>
          <w:sz w:val="21"/>
          <w:szCs w:val="21"/>
          <w:color w:val="auto"/>
        </w:rPr>
      </w:pPr>
    </w:p>
    <w:p>
      <w:pPr>
        <w:ind w:right="140" w:firstLine="8"/>
        <w:spacing w:after="0" w:line="275" w:lineRule="auto"/>
        <w:tabs>
          <w:tab w:leader="none" w:pos="6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any electronic means,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be deemed an original and all of which, when taken together, shall constitute one and the same agreement.</w:t>
      </w:r>
    </w:p>
    <w:p>
      <w:pPr>
        <w:spacing w:after="0" w:line="14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Corporation and the Executive have executed this Amendment as of the date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4780" w:type="dxa"/>
            <w:vAlign w:val="bottom"/>
            <w:gridSpan w:val="3"/>
          </w:tcPr>
          <w:p>
            <w:pPr>
              <w:ind w:left="1100"/>
              <w:spacing w:after="0"/>
              <w:rPr>
                <w:sz w:val="20"/>
                <w:szCs w:val="20"/>
                <w:color w:val="auto"/>
              </w:rPr>
            </w:pPr>
            <w:r>
              <w:rPr>
                <w:rFonts w:ascii="Times New Roman" w:cs="Times New Roman" w:eastAsia="Times New Roman" w:hAnsi="Times New Roman"/>
                <w:sz w:val="22"/>
                <w:szCs w:val="22"/>
                <w:b w:val="1"/>
                <w:bCs w:val="1"/>
                <w:color w:val="auto"/>
              </w:rPr>
              <w:t>Dine Brands Global, Inc.:</w:t>
            </w:r>
          </w:p>
        </w:tc>
      </w:tr>
      <w:tr>
        <w:trPr>
          <w:trHeight w:val="258"/>
        </w:trPr>
        <w:tc>
          <w:tcPr>
            <w:tcW w:w="4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By:_/s/ Stephen P. Joyce___________</w:t>
            </w:r>
          </w:p>
        </w:tc>
        <w:tc>
          <w:tcPr>
            <w:tcW w:w="478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7"/>
              </w:rPr>
              <w:t>By: _/s/ Gregory R. Bever_____________</w:t>
            </w:r>
          </w:p>
        </w:tc>
      </w:tr>
      <w:tr>
        <w:trPr>
          <w:trHeight w:val="20"/>
        </w:trPr>
        <w:tc>
          <w:tcPr>
            <w:tcW w:w="2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80"/>
          </w:cols>
          <w:pgMar w:left="320" w:top="1421" w:right="4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SUBSIDIARIES OF DINE BRANDS GLOBAL, INC.</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As of December 31, 2020</w:t>
      </w:r>
    </w:p>
    <w:p>
      <w:pPr>
        <w:sectPr>
          <w:pgSz w:w="11900" w:h="16838" w:orient="portrait"/>
          <w:cols w:equalWidth="0" w:num="1">
            <w:col w:w="11220"/>
          </w:cols>
          <w:pgMar w:left="340" w:top="891" w:right="339"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Entity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or Other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Organization</w:t>
      </w:r>
    </w:p>
    <w:p>
      <w:pPr>
        <w:spacing w:after="0" w:line="34" w:lineRule="exact"/>
        <w:rPr>
          <w:sz w:val="20"/>
          <w:szCs w:val="20"/>
          <w:color w:val="auto"/>
        </w:rPr>
      </w:pPr>
    </w:p>
    <w:p>
      <w:pPr>
        <w:sectPr>
          <w:pgSz w:w="11900" w:h="16838" w:orient="portrait"/>
          <w:cols w:equalWidth="0" w:num="2">
            <w:col w:w="8620" w:space="7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Dine Brands Global,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9" w:lineRule="exact"/>
        <w:rPr>
          <w:sz w:val="20"/>
          <w:szCs w:val="20"/>
          <w:color w:val="auto"/>
        </w:rPr>
      </w:pPr>
    </w:p>
    <w:p>
      <w:pPr>
        <w:sectPr>
          <w:pgSz w:w="11900" w:h="16838" w:orient="portrait"/>
          <w:cols w:equalWidth="0" w:num="2">
            <w:col w:w="9140" w:space="20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Dine Brands International,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140" w:space="20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International House of Pancakes,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III Industries of Canada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Canada</w:t>
      </w:r>
    </w:p>
    <w:p>
      <w:pPr>
        <w:spacing w:after="0" w:line="298" w:lineRule="exact"/>
        <w:rPr>
          <w:sz w:val="20"/>
          <w:szCs w:val="20"/>
          <w:color w:val="auto"/>
        </w:rPr>
      </w:pPr>
    </w:p>
    <w:p>
      <w:pPr>
        <w:sectPr>
          <w:pgSz w:w="11900" w:h="16838" w:orient="portrait"/>
          <w:cols w:equalWidth="0" w:num="2">
            <w:col w:w="9200" w:space="14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IHOP of Canada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Canada</w:t>
      </w:r>
    </w:p>
    <w:p>
      <w:pPr>
        <w:spacing w:after="0" w:line="298" w:lineRule="exact"/>
        <w:rPr>
          <w:sz w:val="20"/>
          <w:szCs w:val="20"/>
          <w:color w:val="auto"/>
        </w:rPr>
      </w:pPr>
    </w:p>
    <w:p>
      <w:pPr>
        <w:sectPr>
          <w:pgSz w:w="11900" w:h="16838" w:orient="portrait"/>
          <w:cols w:equalWidth="0" w:num="2">
            <w:col w:w="9240" w:space="10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IHOP TPGC,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OH</w:t>
      </w:r>
    </w:p>
    <w:p>
      <w:pPr>
        <w:spacing w:after="0" w:line="322"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IHOP SPV Guarantor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IHOP Funding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IHOP Restaurants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9"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IHOP Franchisor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9"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IHOP Property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9"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IHOP Leasing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9"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ACM Cards,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FL</w:t>
      </w:r>
    </w:p>
    <w:p>
      <w:pPr>
        <w:spacing w:after="0" w:line="322" w:lineRule="exact"/>
        <w:rPr>
          <w:sz w:val="20"/>
          <w:szCs w:val="20"/>
          <w:color w:val="auto"/>
        </w:rPr>
      </w:pPr>
    </w:p>
    <w:p>
      <w:pPr>
        <w:sectPr>
          <w:pgSz w:w="11900" w:h="16838" w:orient="portrait"/>
          <w:cols w:equalWidth="0" w:num="2">
            <w:col w:w="9140" w:space="20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Brazil,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KS</w:t>
      </w:r>
    </w:p>
    <w:p>
      <w:pPr>
        <w:spacing w:after="0" w:line="299"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ind w:right="1240"/>
        <w:spacing w:after="0" w:line="256" w:lineRule="auto"/>
        <w:rPr>
          <w:sz w:val="20"/>
          <w:szCs w:val="20"/>
          <w:color w:val="auto"/>
        </w:rPr>
      </w:pPr>
      <w:r>
        <w:rPr>
          <w:rFonts w:ascii="Times New Roman" w:cs="Times New Roman" w:eastAsia="Times New Roman" w:hAnsi="Times New Roman"/>
          <w:sz w:val="22"/>
          <w:szCs w:val="22"/>
          <w:color w:val="auto"/>
        </w:rPr>
        <w:t>Applebee's Canada Canada Corp....................................................................................................................................................................</w:t>
      </w:r>
    </w:p>
    <w:p>
      <w:pPr>
        <w:sectPr>
          <w:pgSz w:w="11900" w:h="16838" w:orient="portrait"/>
          <w:cols w:equalWidth="0" w:num="1">
            <w:col w:w="1122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International,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9" w:lineRule="exact"/>
        <w:rPr>
          <w:sz w:val="20"/>
          <w:szCs w:val="20"/>
          <w:color w:val="auto"/>
        </w:rPr>
      </w:pPr>
    </w:p>
    <w:p>
      <w:pPr>
        <w:sectPr>
          <w:pgSz w:w="11900" w:h="16838" w:orient="portrait"/>
          <w:cols w:equalWidth="0" w:num="2">
            <w:col w:w="9140" w:space="20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Investments,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KS</w:t>
      </w:r>
    </w:p>
    <w:p>
      <w:pPr>
        <w:spacing w:after="0" w:line="30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Applebee's Restaurantes de Mexico S.de R.L. 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Mexico</w:t>
      </w:r>
    </w:p>
    <w:p>
      <w:pPr>
        <w:spacing w:after="0" w:line="38" w:lineRule="exact"/>
        <w:rPr>
          <w:sz w:val="20"/>
          <w:szCs w:val="20"/>
          <w:color w:val="auto"/>
        </w:rPr>
      </w:pPr>
    </w:p>
    <w:p>
      <w:pPr>
        <w:sectPr>
          <w:pgSz w:w="11900" w:h="16838" w:orient="portrait"/>
          <w:cols w:equalWidth="0" w:num="2">
            <w:col w:w="8620" w:space="7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C.V.</w:t>
      </w:r>
      <w:r>
        <w:rPr>
          <w:rFonts w:ascii="Times New Roman" w:cs="Times New Roman" w:eastAsia="Times New Roman" w:hAnsi="Times New Roman"/>
          <w:sz w:val="21"/>
          <w:szCs w:val="21"/>
          <w:color w:val="auto"/>
        </w:rPr>
        <w:t>...................................................................................................................................................................</w:t>
      </w:r>
    </w:p>
    <w:p>
      <w:pPr>
        <w:sectPr>
          <w:pgSz w:w="11900" w:h="16838" w:orient="portrait"/>
          <w:cols w:equalWidth="0" w:num="1">
            <w:col w:w="11220"/>
          </w:cols>
          <w:pgMar w:left="340" w:top="891" w:right="339" w:bottom="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Applebee's UK,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KS</w:t>
      </w:r>
    </w:p>
    <w:p>
      <w:pPr>
        <w:spacing w:after="0" w:line="29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Restaurant Holdings,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Restaurants Kansas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KS</w:t>
      </w:r>
    </w:p>
    <w:p>
      <w:pPr>
        <w:spacing w:after="0" w:line="299"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Restaurants Mid-Atlantic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9"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Restaurants North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Restaurants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TX</w:t>
      </w:r>
    </w:p>
    <w:p>
      <w:pPr>
        <w:spacing w:after="0" w:line="29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Restaurants Vermont,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VT</w:t>
      </w:r>
    </w:p>
    <w:p>
      <w:pPr>
        <w:spacing w:after="0" w:line="299" w:lineRule="exact"/>
        <w:rPr>
          <w:sz w:val="20"/>
          <w:szCs w:val="20"/>
          <w:color w:val="auto"/>
        </w:rPr>
      </w:pPr>
    </w:p>
    <w:p>
      <w:pPr>
        <w:sectPr>
          <w:pgSz w:w="11900" w:h="16838" w:orient="portrait"/>
          <w:cols w:equalWidth="0" w:num="2">
            <w:col w:w="9140" w:space="20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Restaurants West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880"/>
          </w:cols>
          <w:pgMar w:left="340" w:top="891" w:right="339"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Applebee's Restaurants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KS</w:t>
      </w:r>
    </w:p>
    <w:p>
      <w:pPr>
        <w:sectPr>
          <w:pgSz w:w="11900" w:h="16838" w:orient="portrait"/>
          <w:cols w:equalWidth="0" w:num="2">
            <w:col w:w="8620" w:space="720"/>
            <w:col w:w="1880"/>
          </w:cols>
          <w:pgMar w:left="340" w:top="891" w:right="339"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color w:val="auto"/>
        </w:rPr>
        <w:t>Inc....................................................................................................................................................................</w:t>
      </w:r>
    </w:p>
    <w:p>
      <w:pPr>
        <w:sectPr>
          <w:pgSz w:w="11900" w:h="16838" w:orient="portrait"/>
          <w:cols w:equalWidth="0" w:num="1">
            <w:col w:w="10640"/>
          </w:cols>
          <w:pgMar w:left="340" w:top="58" w:right="91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Applebee's Services,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KS</w:t>
      </w:r>
    </w:p>
    <w:p>
      <w:pPr>
        <w:spacing w:after="0" w:line="299" w:lineRule="exact"/>
        <w:rPr>
          <w:sz w:val="20"/>
          <w:szCs w:val="20"/>
          <w:color w:val="auto"/>
        </w:rPr>
      </w:pPr>
    </w:p>
    <w:p>
      <w:pPr>
        <w:sectPr>
          <w:pgSz w:w="11900" w:h="16838" w:orient="portrait"/>
          <w:cols w:equalWidth="0" w:num="2">
            <w:col w:w="9140" w:space="20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SPV Guarantor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9" w:lineRule="exact"/>
        <w:rPr>
          <w:sz w:val="20"/>
          <w:szCs w:val="20"/>
          <w:color w:val="auto"/>
        </w:rPr>
      </w:pPr>
    </w:p>
    <w:p>
      <w:pPr>
        <w:sectPr>
          <w:pgSz w:w="11900" w:h="16838" w:orient="portrait"/>
          <w:cols w:equalWidth="0" w:num="2">
            <w:col w:w="9220" w:space="12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Funding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Restaurants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Applebee's Franchisor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DE</w:t>
      </w:r>
    </w:p>
    <w:p>
      <w:pPr>
        <w:spacing w:after="0" w:line="298" w:lineRule="exact"/>
        <w:rPr>
          <w:sz w:val="20"/>
          <w:szCs w:val="20"/>
          <w:color w:val="auto"/>
        </w:rPr>
      </w:pPr>
    </w:p>
    <w:p>
      <w:pPr>
        <w:sectPr>
          <w:pgSz w:w="11900" w:h="16838" w:orient="portrait"/>
          <w:cols w:equalWidth="0" w:num="2">
            <w:col w:w="9220" w:space="12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Gourmet Systems of Brazil,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KS</w:t>
      </w:r>
    </w:p>
    <w:p>
      <w:pPr>
        <w:spacing w:after="0" w:line="298" w:lineRule="exact"/>
        <w:rPr>
          <w:sz w:val="20"/>
          <w:szCs w:val="20"/>
          <w:color w:val="auto"/>
        </w:rPr>
      </w:pPr>
    </w:p>
    <w:p>
      <w:pPr>
        <w:sectPr>
          <w:pgSz w:w="11900" w:h="16838" w:orient="portrait"/>
          <w:cols w:equalWidth="0" w:num="2">
            <w:col w:w="9220" w:space="12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Gourmet Systems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MA</w:t>
      </w:r>
    </w:p>
    <w:p>
      <w:pPr>
        <w:spacing w:after="0" w:line="298" w:lineRule="exact"/>
        <w:rPr>
          <w:sz w:val="20"/>
          <w:szCs w:val="20"/>
          <w:color w:val="auto"/>
        </w:rPr>
      </w:pPr>
    </w:p>
    <w:p>
      <w:pPr>
        <w:sectPr>
          <w:pgSz w:w="11900" w:h="16838" w:orient="portrait"/>
          <w:cols w:equalWidth="0" w:num="2">
            <w:col w:w="9220" w:space="12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Gourmet Systems of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NY</w:t>
      </w:r>
    </w:p>
    <w:p>
      <w:pPr>
        <w:spacing w:after="0" w:line="322" w:lineRule="exact"/>
        <w:rPr>
          <w:sz w:val="20"/>
          <w:szCs w:val="20"/>
          <w:color w:val="auto"/>
        </w:rPr>
      </w:pPr>
    </w:p>
    <w:p>
      <w:pPr>
        <w:sectPr>
          <w:pgSz w:w="11900" w:h="16838" w:orient="portrait"/>
          <w:cols w:equalWidth="0" w:num="2">
            <w:col w:w="9140" w:space="20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Gourmet Systems of Tennessee,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TN</w:t>
      </w:r>
    </w:p>
    <w:p>
      <w:pPr>
        <w:spacing w:after="0" w:line="298" w:lineRule="exact"/>
        <w:rPr>
          <w:sz w:val="20"/>
          <w:szCs w:val="20"/>
          <w:color w:val="auto"/>
        </w:rPr>
      </w:pPr>
    </w:p>
    <w:p>
      <w:pPr>
        <w:sectPr>
          <w:pgSz w:w="11900" w:h="16838" w:orient="portrait"/>
          <w:cols w:equalWidth="0" w:num="2">
            <w:col w:w="9140" w:space="20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Gourmet Systems USA,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KS</w:t>
      </w:r>
    </w:p>
    <w:p>
      <w:pPr>
        <w:spacing w:after="0" w:line="298" w:lineRule="exact"/>
        <w:rPr>
          <w:sz w:val="20"/>
          <w:szCs w:val="20"/>
          <w:color w:val="auto"/>
        </w:rPr>
      </w:pPr>
    </w:p>
    <w:p>
      <w:pPr>
        <w:sectPr>
          <w:pgSz w:w="11900" w:h="16838" w:orient="portrait"/>
          <w:cols w:equalWidth="0" w:num="2">
            <w:col w:w="9220" w:space="12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Neighborhood Insurance,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VT</w:t>
      </w:r>
    </w:p>
    <w:p>
      <w:pPr>
        <w:spacing w:after="0" w:line="299" w:lineRule="exact"/>
        <w:rPr>
          <w:sz w:val="20"/>
          <w:szCs w:val="20"/>
          <w:color w:val="auto"/>
        </w:rPr>
      </w:pPr>
    </w:p>
    <w:p>
      <w:pPr>
        <w:sectPr>
          <w:pgSz w:w="11900" w:h="16838" w:orient="portrait"/>
          <w:cols w:equalWidth="0" w:num="2">
            <w:col w:w="9140" w:space="20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Shanghai Applebee's Restaurant Management Co., Ltd.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Dine Brands Foundation, Inc. (dba The Heidi Fund,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Times New Roman" w:cs="Times New Roman" w:eastAsia="Times New Roman" w:hAnsi="Times New Roman"/>
          <w:sz w:val="22"/>
          <w:szCs w:val="22"/>
          <w:color w:val="auto"/>
        </w:rPr>
        <w:t>Xuhui District, Puxi, China KS</w:t>
      </w:r>
    </w:p>
    <w:p>
      <w:pPr>
        <w:spacing w:after="0" w:line="226" w:lineRule="exact"/>
        <w:rPr>
          <w:sz w:val="20"/>
          <w:szCs w:val="20"/>
          <w:color w:val="auto"/>
        </w:rPr>
      </w:pPr>
    </w:p>
    <w:p>
      <w:pPr>
        <w:sectPr>
          <w:pgSz w:w="11900" w:h="16838" w:orient="portrait"/>
          <w:cols w:equalWidth="0" w:num="2">
            <w:col w:w="9200" w:space="140"/>
            <w:col w:w="1300"/>
          </w:cols>
          <w:pgMar w:left="340" w:top="58" w:right="9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DineEquity Philippines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Philippines</w:t>
      </w:r>
    </w:p>
    <w:p>
      <w:pPr>
        <w:sectPr>
          <w:pgSz w:w="11900" w:h="16838" w:orient="portrait"/>
          <w:cols w:equalWidth="0" w:num="2">
            <w:col w:w="8620" w:space="720"/>
            <w:col w:w="1300"/>
          </w:cols>
          <w:pgMar w:left="340" w:top="58" w:right="91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00" w:lineRule="exact"/>
        <w:rPr>
          <w:sz w:val="20"/>
          <w:szCs w:val="20"/>
          <w:color w:val="auto"/>
        </w:rPr>
      </w:pPr>
    </w:p>
    <w:p>
      <w:pPr>
        <w:spacing w:after="0" w:line="303" w:lineRule="exact"/>
        <w:rPr>
          <w:sz w:val="20"/>
          <w:szCs w:val="20"/>
          <w:color w:val="auto"/>
        </w:rPr>
      </w:pPr>
    </w:p>
    <w:p>
      <w:pPr>
        <w:ind w:left="700" w:hanging="328"/>
        <w:spacing w:after="0"/>
        <w:tabs>
          <w:tab w:leader="none" w:pos="700" w:val="left"/>
        </w:tabs>
        <w:numPr>
          <w:ilvl w:val="0"/>
          <w:numId w:val="97"/>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333-71768) pertaining to the IHOP Corp. 2001 Stock Incentive Plan of DineEquity, Inc.,</w:t>
      </w:r>
    </w:p>
    <w:p>
      <w:pPr>
        <w:spacing w:after="0" w:line="233" w:lineRule="exact"/>
        <w:rPr>
          <w:rFonts w:ascii="Arial" w:cs="Arial" w:eastAsia="Arial" w:hAnsi="Arial"/>
          <w:sz w:val="22"/>
          <w:szCs w:val="22"/>
          <w:color w:val="auto"/>
        </w:rPr>
      </w:pPr>
    </w:p>
    <w:p>
      <w:pPr>
        <w:ind w:left="700" w:hanging="328"/>
        <w:spacing w:after="0"/>
        <w:tabs>
          <w:tab w:leader="none" w:pos="700" w:val="left"/>
        </w:tabs>
        <w:numPr>
          <w:ilvl w:val="0"/>
          <w:numId w:val="97"/>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333-151682) pertaining to the 2001 Stock Incentive Plan of DineEquity, Inc.,</w:t>
      </w:r>
    </w:p>
    <w:p>
      <w:pPr>
        <w:spacing w:after="0" w:line="233" w:lineRule="exact"/>
        <w:rPr>
          <w:rFonts w:ascii="Arial" w:cs="Arial" w:eastAsia="Arial" w:hAnsi="Arial"/>
          <w:sz w:val="22"/>
          <w:szCs w:val="22"/>
          <w:color w:val="auto"/>
        </w:rPr>
      </w:pPr>
    </w:p>
    <w:p>
      <w:pPr>
        <w:ind w:left="700" w:hanging="328"/>
        <w:spacing w:after="0"/>
        <w:tabs>
          <w:tab w:leader="none" w:pos="700" w:val="left"/>
        </w:tabs>
        <w:numPr>
          <w:ilvl w:val="0"/>
          <w:numId w:val="97"/>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333-174847) pertaining to the 2011 Stock Incentive Plan of DineEquity, Inc.,</w:t>
      </w:r>
    </w:p>
    <w:p>
      <w:pPr>
        <w:spacing w:after="0" w:line="233" w:lineRule="exact"/>
        <w:rPr>
          <w:rFonts w:ascii="Arial" w:cs="Arial" w:eastAsia="Arial" w:hAnsi="Arial"/>
          <w:sz w:val="22"/>
          <w:szCs w:val="22"/>
          <w:color w:val="auto"/>
        </w:rPr>
      </w:pPr>
    </w:p>
    <w:p>
      <w:pPr>
        <w:ind w:left="700" w:hanging="328"/>
        <w:spacing w:after="0"/>
        <w:tabs>
          <w:tab w:leader="none" w:pos="700" w:val="left"/>
        </w:tabs>
        <w:numPr>
          <w:ilvl w:val="0"/>
          <w:numId w:val="97"/>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333-211429) pertaining to the 2016 Stock Incentive Plan of Dine Brands Global, Inc., and</w:t>
      </w:r>
    </w:p>
    <w:p>
      <w:pPr>
        <w:spacing w:after="0" w:line="215" w:lineRule="exact"/>
        <w:rPr>
          <w:rFonts w:ascii="Arial" w:cs="Arial" w:eastAsia="Arial" w:hAnsi="Arial"/>
          <w:sz w:val="22"/>
          <w:szCs w:val="22"/>
          <w:color w:val="auto"/>
        </w:rPr>
      </w:pPr>
    </w:p>
    <w:p>
      <w:pPr>
        <w:ind w:left="700" w:hanging="328"/>
        <w:spacing w:after="0"/>
        <w:tabs>
          <w:tab w:leader="none" w:pos="700" w:val="left"/>
        </w:tabs>
        <w:numPr>
          <w:ilvl w:val="0"/>
          <w:numId w:val="97"/>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333-231473</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pertaining to the 2019 Stock Incentive Plan of Dine Brands Global, Inc.;</w:t>
      </w:r>
    </w:p>
    <w:p>
      <w:pPr>
        <w:spacing w:after="0" w:line="242"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of our reports dated March 2, 2021, with respect to the consolidated financial statements of Dine Brands Global, Inc. (formerly known as DineEquity, Inc.) and Subsidiaries and the effectiveness of internal control over financial reporting of Dine Brands Global, Inc. and Subsidiaries, included in this Annual Report (Form 10-K) for the year ended January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ectPr>
          <w:pgSz w:w="11900" w:h="16838" w:orient="portrait"/>
          <w:cols w:equalWidth="0" w:num="1">
            <w:col w:w="11240"/>
          </w:cols>
          <w:pgMar w:left="320" w:top="88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225" w:lineRule="exact"/>
        <w:rPr>
          <w:sz w:val="20"/>
          <w:szCs w:val="20"/>
          <w:color w:val="auto"/>
        </w:rPr>
      </w:pPr>
    </w:p>
    <w:p>
      <w:pPr>
        <w:ind w:left="680" w:hanging="672"/>
        <w:spacing w:after="0"/>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820"/>
        <w:spacing w:after="0"/>
        <w:tabs>
          <w:tab w:leader="none" w:pos="8360" w:val="left"/>
        </w:tabs>
        <w:rPr>
          <w:sz w:val="20"/>
          <w:szCs w:val="20"/>
          <w:color w:val="auto"/>
        </w:rPr>
      </w:pPr>
      <w:r>
        <w:rPr>
          <w:rFonts w:ascii="Times New Roman" w:cs="Times New Roman" w:eastAsia="Times New Roman" w:hAnsi="Times New Roman"/>
          <w:sz w:val="18"/>
          <w:szCs w:val="18"/>
          <w:color w:val="auto"/>
        </w:rPr>
        <w:t>Dated: 2nd day of March, 2021</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3317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684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6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Hall, certify that:</w:t>
      </w:r>
    </w:p>
    <w:p>
      <w:pPr>
        <w:spacing w:after="0" w:line="225" w:lineRule="exact"/>
        <w:rPr>
          <w:sz w:val="20"/>
          <w:szCs w:val="20"/>
          <w:color w:val="auto"/>
        </w:rPr>
      </w:pPr>
    </w:p>
    <w:p>
      <w:pPr>
        <w:ind w:left="680" w:hanging="672"/>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820"/>
        <w:spacing w:after="0"/>
        <w:tabs>
          <w:tab w:leader="none" w:pos="8460" w:val="left"/>
        </w:tabs>
        <w:rPr>
          <w:sz w:val="20"/>
          <w:szCs w:val="20"/>
          <w:color w:val="auto"/>
        </w:rPr>
      </w:pPr>
      <w:r>
        <w:rPr>
          <w:rFonts w:ascii="Times New Roman" w:cs="Times New Roman" w:eastAsia="Times New Roman" w:hAnsi="Times New Roman"/>
          <w:sz w:val="18"/>
          <w:szCs w:val="18"/>
          <w:color w:val="auto"/>
        </w:rPr>
        <w:t>Dated: 2nd day of March, 2021</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2974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color w:val="auto"/>
        </w:rPr>
        <w:t>Allison Hall</w:t>
      </w:r>
    </w:p>
    <w:p>
      <w:pPr>
        <w:jc w:val="center"/>
        <w:ind w:left="6800"/>
        <w:spacing w:after="0" w:line="203" w:lineRule="auto"/>
        <w:rPr>
          <w:sz w:val="20"/>
          <w:szCs w:val="20"/>
          <w:color w:val="auto"/>
        </w:rPr>
      </w:pPr>
      <w:r>
        <w:rPr>
          <w:rFonts w:ascii="Times New Roman" w:cs="Times New Roman" w:eastAsia="Times New Roman" w:hAnsi="Times New Roman"/>
          <w:sz w:val="18"/>
          <w:szCs w:val="18"/>
          <w:i w:val="1"/>
          <w:iCs w:val="1"/>
          <w:color w:val="auto"/>
        </w:rPr>
        <w:t>Interim Chief Financial Officer</w:t>
      </w:r>
    </w:p>
    <w:p>
      <w:pPr>
        <w:jc w:val="center"/>
        <w:ind w:left="6800"/>
        <w:spacing w:after="0" w:line="203"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88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year ended December 31, 2020, as filed with the Securities and Exchange Commission on the 2nd day of March, 2021 (the “Report”), John W. Peyton, as Chief Executive Officer of the Company, hereby certifies, pursuant to 18 U.S.C. Section 1350, as adopted pursuant to Section 906 of the Sarbanes-Oxley Act of 2002, to the best of his knowledge, that:</w:t>
      </w:r>
    </w:p>
    <w:p>
      <w:pPr>
        <w:spacing w:after="0" w:line="180" w:lineRule="exact"/>
        <w:rPr>
          <w:sz w:val="20"/>
          <w:szCs w:val="20"/>
          <w:color w:val="auto"/>
        </w:rPr>
      </w:pPr>
    </w:p>
    <w:p>
      <w:pPr>
        <w:ind w:left="1660" w:hanging="518"/>
        <w:spacing w:after="0"/>
        <w:tabs>
          <w:tab w:leader="none" w:pos="1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660" w:hanging="518"/>
        <w:spacing w:after="0"/>
        <w:tabs>
          <w:tab w:leader="none" w:pos="1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47" w:lineRule="exact"/>
        <w:rPr>
          <w:sz w:val="20"/>
          <w:szCs w:val="20"/>
          <w:color w:val="auto"/>
        </w:rPr>
      </w:pPr>
    </w:p>
    <w:p>
      <w:pPr>
        <w:ind w:left="20"/>
        <w:spacing w:after="0"/>
        <w:tabs>
          <w:tab w:leader="none" w:pos="780" w:val="left"/>
          <w:tab w:leader="none" w:pos="85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2nd day of March, 2021</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2459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14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1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8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year ended December 31, 2020, as filed with the Securities and Exchange Commission on the 2nd day of March, 2021 (the “Report”), Allison Hall, as Interim Chief Financial Officer of the Company, hereby certifies, pursuant to 18 U.S.C. Section 1350, as adopted pursuant to Section 906 of the Sarbanes-Oxley Act of 2002, to the best of her knowledge, that:</w:t>
      </w:r>
    </w:p>
    <w:p>
      <w:pPr>
        <w:spacing w:after="0" w:line="180" w:lineRule="exact"/>
        <w:rPr>
          <w:sz w:val="20"/>
          <w:szCs w:val="20"/>
          <w:color w:val="auto"/>
        </w:rPr>
      </w:pPr>
    </w:p>
    <w:p>
      <w:pPr>
        <w:ind w:left="1660" w:hanging="518"/>
        <w:spacing w:after="0"/>
        <w:tabs>
          <w:tab w:leader="none" w:pos="1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660" w:hanging="518"/>
        <w:spacing w:after="0"/>
        <w:tabs>
          <w:tab w:leader="none" w:pos="1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47" w:lineRule="exact"/>
        <w:rPr>
          <w:sz w:val="20"/>
          <w:szCs w:val="20"/>
          <w:color w:val="auto"/>
        </w:rPr>
      </w:pPr>
    </w:p>
    <w:p>
      <w:pPr>
        <w:ind w:left="20"/>
        <w:spacing w:after="0"/>
        <w:tabs>
          <w:tab w:leader="none" w:pos="780" w:val="left"/>
          <w:tab w:leader="none" w:pos="86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2nd day of March, 2021</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2199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color w:val="auto"/>
        </w:rPr>
        <w:t>Allison Hall</w:t>
      </w:r>
    </w:p>
    <w:p>
      <w:pPr>
        <w:jc w:val="center"/>
        <w:ind w:left="7220"/>
        <w:spacing w:after="0" w:line="203" w:lineRule="auto"/>
        <w:rPr>
          <w:sz w:val="20"/>
          <w:szCs w:val="20"/>
          <w:color w:val="auto"/>
        </w:rPr>
      </w:pPr>
      <w:r>
        <w:rPr>
          <w:rFonts w:ascii="Times New Roman" w:cs="Times New Roman" w:eastAsia="Times New Roman" w:hAnsi="Times New Roman"/>
          <w:sz w:val="18"/>
          <w:szCs w:val="18"/>
          <w:i w:val="1"/>
          <w:iCs w:val="1"/>
          <w:color w:val="auto"/>
        </w:rPr>
        <w:t>Interim Chief Financial Officer</w:t>
      </w:r>
    </w:p>
    <w:p>
      <w:pPr>
        <w:jc w:val="center"/>
        <w:ind w:left="7220"/>
        <w:spacing w:after="0" w:line="203"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31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decimal"/>
      <w:start w:val="3"/>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1)"/>
      <w:numFmt w:val="lowerLetter"/>
      <w:start w:val="1"/>
    </w:lvl>
  </w:abstractNum>
  <w:abstractNum w:abstractNumId="11">
    <w:nsid w:val="39386575"/>
    <w:multiLevelType w:val="hybridMultilevel"/>
    <w:lvl w:ilvl="0">
      <w:lvlJc w:val="left"/>
      <w:lvlText w:val="(%1)"/>
      <w:numFmt w:val="lowerLetter"/>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lowerLetter"/>
      <w:start w:val="1"/>
    </w:lvl>
  </w:abstractNum>
  <w:abstractNum w:abstractNumId="17">
    <w:nsid w:val="15B5AF5C"/>
    <w:multiLevelType w:val="hybridMultilevel"/>
    <w:lvl w:ilvl="0">
      <w:lvlJc w:val="left"/>
      <w:lvlText w:val="(%1)"/>
      <w:numFmt w:val="lowerLetter"/>
      <w:start w:val="3"/>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lowerLetter"/>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1)"/>
      <w:numFmt w:val="decimal"/>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upperLetter"/>
      <w:start w:val="35"/>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decimal"/>
      <w:start w:val="4"/>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upperLetter"/>
      <w:start w:val="35"/>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0"/>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1"/>
    </w:lvl>
    <w:lvl w:ilvl="1">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decimal"/>
      <w:start w:val="4"/>
    </w:lvl>
    <w:lvl w:ilvl="1">
      <w:lvlJc w:val="left"/>
      <w:lvlText w:val="%2."/>
      <w:numFmt w:val="lowerLetter"/>
      <w:start w:val="1"/>
    </w:lvl>
  </w:abstractNum>
  <w:abstractNum w:abstractNumId="51">
    <w:nsid w:val="BF72B14"/>
    <w:multiLevelType w:val="hybridMultilevel"/>
    <w:lvl w:ilvl="0">
      <w:lvlJc w:val="left"/>
      <w:lvlText w:val="%1."/>
      <w:numFmt w:val="lowerLetter"/>
      <w:start w:val="4"/>
    </w:lvl>
  </w:abstractNum>
  <w:abstractNum w:abstractNumId="52">
    <w:nsid w:val="11447B73"/>
    <w:multiLevelType w:val="hybridMultilevel"/>
    <w:lvl w:ilvl="0">
      <w:lvlJc w:val="left"/>
      <w:lvlText w:val="%1."/>
      <w:numFmt w:val="decimal"/>
      <w:start w:val="6"/>
    </w:lvl>
    <w:lvl w:ilvl="1">
      <w:lvlJc w:val="left"/>
      <w:lvlText w:val="%2."/>
      <w:numFmt w:val="lowerLetter"/>
      <w:start w:val="1"/>
    </w:lvl>
  </w:abstractNum>
  <w:abstractNum w:abstractNumId="53">
    <w:nsid w:val="42963E5A"/>
    <w:multiLevelType w:val="hybridMultilevel"/>
    <w:lvl w:ilvl="0">
      <w:lvlJc w:val="left"/>
      <w:lvlText w:val="%1"/>
      <w:numFmt w:val="decimal"/>
      <w:start w:val="1"/>
    </w:lvl>
    <w:lvl w:ilvl="1">
      <w:lvlJc w:val="left"/>
      <w:lvlText w:val="%2."/>
      <w:numFmt w:val="lowerLetter"/>
      <w:start w:val="2"/>
    </w:lvl>
  </w:abstractNum>
  <w:abstractNum w:abstractNumId="54">
    <w:nsid w:val="A0382C5"/>
    <w:multiLevelType w:val="hybridMultilevel"/>
    <w:lvl w:ilvl="0">
      <w:lvlJc w:val="left"/>
      <w:lvlText w:val="%1."/>
      <w:numFmt w:val="decimal"/>
      <w:start w:val="7"/>
    </w:lvl>
    <w:lvl w:ilvl="1">
      <w:lvlJc w:val="left"/>
      <w:lvlText w:val="%2."/>
      <w:numFmt w:val="lowerLetter"/>
      <w:start w:val="1"/>
    </w:lvl>
  </w:abstractNum>
  <w:abstractNum w:abstractNumId="55">
    <w:nsid w:val="8F2B15E"/>
    <w:multiLevelType w:val="hybridMultilevel"/>
    <w:lvl w:ilvl="0">
      <w:lvlJc w:val="left"/>
      <w:lvlText w:val="%1."/>
      <w:numFmt w:val="lowerLetter"/>
      <w:start w:val="3"/>
    </w:lvl>
  </w:abstractNum>
  <w:abstractNum w:abstractNumId="56">
    <w:nsid w:val="1A32234B"/>
    <w:multiLevelType w:val="hybridMultilevel"/>
    <w:lvl w:ilvl="0">
      <w:lvlJc w:val="left"/>
      <w:lvlText w:val="%1."/>
      <w:numFmt w:val="decimal"/>
      <w:start w:val="10"/>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lowerLetter"/>
      <w:start w:val="2"/>
    </w:lvl>
  </w:abstractNum>
  <w:abstractNum w:abstractNumId="59">
    <w:nsid w:val="4962813B"/>
    <w:multiLevelType w:val="hybridMultilevel"/>
    <w:lvl w:ilvl="0">
      <w:lvlJc w:val="left"/>
      <w:lvlText w:val="%1."/>
      <w:numFmt w:val="decimal"/>
      <w:start w:val="11"/>
    </w:lvl>
  </w:abstractNum>
  <w:abstractNum w:abstractNumId="60">
    <w:nsid w:val="60B6DF70"/>
    <w:multiLevelType w:val="hybridMultilevel"/>
    <w:lvl w:ilvl="0">
      <w:lvlJc w:val="left"/>
      <w:lvlText w:val="%1."/>
      <w:numFmt w:val="decimal"/>
      <w:start w:val="12"/>
    </w:lvl>
    <w:lvl w:ilvl="1">
      <w:lvlJc w:val="left"/>
      <w:lvlText w:val="%2."/>
      <w:numFmt w:val="lowerLetter"/>
      <w:start w:val="1"/>
    </w:lvl>
  </w:abstractNum>
  <w:abstractNum w:abstractNumId="61">
    <w:nsid w:val="6A5EE64"/>
    <w:multiLevelType w:val="hybridMultilevel"/>
    <w:lvl w:ilvl="0">
      <w:lvlJc w:val="left"/>
      <w:lvlText w:val="%1"/>
      <w:numFmt w:val="decimal"/>
      <w:start w:val="1"/>
    </w:lvl>
    <w:lvl w:ilvl="1">
      <w:lvlJc w:val="left"/>
      <w:lvlText w:val="%2."/>
      <w:numFmt w:val="lowerLetter"/>
      <w:start w:val="4"/>
    </w:lvl>
  </w:abstractNum>
  <w:abstractNum w:abstractNumId="62">
    <w:nsid w:val="14330624"/>
    <w:multiLevelType w:val="hybridMultilevel"/>
    <w:lvl w:ilvl="0">
      <w:lvlJc w:val="left"/>
      <w:lvlText w:val="%1."/>
      <w:numFmt w:val="decimal"/>
      <w:start w:val="14"/>
    </w:lvl>
    <w:lvl w:ilvl="1">
      <w:lvlJc w:val="left"/>
      <w:lvlText w:val="%2."/>
      <w:numFmt w:val="lowerLetter"/>
      <w:start w:val="1"/>
    </w:lvl>
  </w:abstractNum>
  <w:abstractNum w:abstractNumId="63">
    <w:nsid w:val="7FFFCA11"/>
    <w:multiLevelType w:val="hybridMultilevel"/>
    <w:lvl w:ilvl="0">
      <w:lvlJc w:val="left"/>
      <w:lvlText w:val="(%1)"/>
      <w:numFmt w:val="upperLetter"/>
      <w:start w:val="1"/>
    </w:lvl>
  </w:abstractNum>
  <w:abstractNum w:abstractNumId="64">
    <w:nsid w:val="1A27709E"/>
    <w:multiLevelType w:val="hybridMultilevel"/>
    <w:lvl w:ilvl="0">
      <w:lvlJc w:val="left"/>
      <w:lvlText w:val="%1."/>
      <w:numFmt w:val="lowerLetter"/>
      <w:start w:val="3"/>
    </w:lvl>
  </w:abstractNum>
  <w:abstractNum w:abstractNumId="65">
    <w:nsid w:val="71EA1109"/>
    <w:multiLevelType w:val="hybridMultilevel"/>
    <w:lvl w:ilvl="0">
      <w:lvlJc w:val="left"/>
      <w:lvlText w:val="%1."/>
      <w:numFmt w:val="lowerLetter"/>
      <w:start w:val="4"/>
    </w:lvl>
  </w:abstractNum>
  <w:abstractNum w:abstractNumId="66">
    <w:nsid w:val="100F59DC"/>
    <w:multiLevelType w:val="hybridMultilevel"/>
    <w:lvl w:ilvl="0">
      <w:lvlJc w:val="left"/>
      <w:lvlText w:val="%1."/>
      <w:numFmt w:val="lowerLetter"/>
      <w:start w:val="6"/>
    </w:lvl>
  </w:abstractNum>
  <w:abstractNum w:abstractNumId="67">
    <w:nsid w:val="7FB7E0AA"/>
    <w:multiLevelType w:val="hybridMultilevel"/>
    <w:lvl w:ilvl="0">
      <w:lvlJc w:val="left"/>
      <w:lvlText w:val="%1"/>
      <w:numFmt w:val="decimal"/>
      <w:start w:val="1"/>
    </w:lvl>
    <w:lvl w:ilvl="1">
      <w:lvlJc w:val="left"/>
      <w:lvlText w:val="%2."/>
      <w:numFmt w:val="lowerLetter"/>
      <w:start w:val="8"/>
    </w:lvl>
  </w:abstractNum>
  <w:abstractNum w:abstractNumId="68">
    <w:nsid w:val="6EB5BD4"/>
    <w:multiLevelType w:val="hybridMultilevel"/>
    <w:lvl w:ilvl="0">
      <w:lvlJc w:val="left"/>
      <w:lvlText w:val="%1."/>
      <w:numFmt w:val="decimal"/>
      <w:start w:val="15"/>
    </w:lvl>
    <w:lvl w:ilvl="1">
      <w:lvlJc w:val="left"/>
      <w:lvlText w:val="%2."/>
      <w:numFmt w:val="lowerLetter"/>
      <w:start w:val="1"/>
    </w:lvl>
  </w:abstractNum>
  <w:abstractNum w:abstractNumId="69">
    <w:nsid w:val="6F6DD9AC"/>
    <w:multiLevelType w:val="hybridMultilevel"/>
    <w:lvl w:ilvl="0">
      <w:lvlJc w:val="left"/>
      <w:lvlText w:val="%1"/>
      <w:numFmt w:val="decimal"/>
      <w:start w:val="1"/>
    </w:lvl>
    <w:lvl w:ilvl="1">
      <w:lvlJc w:val="left"/>
      <w:lvlText w:val="%2."/>
      <w:numFmt w:val="lowerLetter"/>
      <w:start w:val="3"/>
    </w:lvl>
  </w:abstractNum>
  <w:abstractNum w:abstractNumId="70">
    <w:nsid w:val="94211F2"/>
    <w:multiLevelType w:val="hybridMultilevel"/>
    <w:lvl w:ilvl="0">
      <w:lvlJc w:val="left"/>
      <w:lvlText w:val="%1."/>
      <w:numFmt w:val="decimal"/>
      <w:start w:val="10"/>
    </w:lvl>
    <w:lvl w:ilvl="1">
      <w:lvlJc w:val="left"/>
      <w:lvlText w:val="%2."/>
      <w:numFmt w:val="lowerLetter"/>
      <w:start w:val="6"/>
    </w:lvl>
  </w:abstractNum>
  <w:abstractNum w:abstractNumId="71">
    <w:nsid w:val="885E1B"/>
    <w:multiLevelType w:val="hybridMultilevel"/>
    <w:lvl w:ilvl="0">
      <w:lvlJc w:val="left"/>
      <w:lvlText w:val="%1."/>
      <w:numFmt w:val="decimal"/>
      <w:start w:val="16"/>
    </w:lvl>
    <w:lvl w:ilvl="1">
      <w:lvlJc w:val="left"/>
      <w:lvlText w:val="%2."/>
      <w:numFmt w:val="lowerLetter"/>
      <w:start w:val="1"/>
    </w:lvl>
  </w:abstractNum>
  <w:abstractNum w:abstractNumId="72">
    <w:nsid w:val="76272110"/>
    <w:multiLevelType w:val="hybridMultilevel"/>
    <w:lvl w:ilvl="0">
      <w:lvlJc w:val="left"/>
      <w:lvlText w:val="%1"/>
      <w:numFmt w:val="upperLetter"/>
      <w:start w:val="1"/>
    </w:lvl>
    <w:lvl w:ilvl="1">
      <w:lvlJc w:val="left"/>
      <w:lvlText w:val="%2."/>
      <w:numFmt w:val="lowerLetter"/>
      <w:start w:val="2"/>
    </w:lvl>
  </w:abstractNum>
  <w:abstractNum w:abstractNumId="73">
    <w:nsid w:val="4C04A8AF"/>
    <w:multiLevelType w:val="hybridMultilevel"/>
    <w:lvl w:ilvl="0">
      <w:lvlJc w:val="left"/>
      <w:lvlText w:val="(%1)"/>
      <w:numFmt w:val="upperLetter"/>
      <w:start w:val="1"/>
    </w:lvl>
    <w:lvl w:ilvl="1">
      <w:lvlJc w:val="left"/>
      <w:lvlText w:val="%2."/>
      <w:numFmt w:val="lowerLetter"/>
      <w:start w:val="4"/>
    </w:lvl>
  </w:abstractNum>
  <w:abstractNum w:abstractNumId="74">
    <w:nsid w:val="1716703B"/>
    <w:multiLevelType w:val="hybridMultilevel"/>
    <w:lvl w:ilvl="0">
      <w:lvlJc w:val="left"/>
      <w:lvlText w:val="%1."/>
      <w:numFmt w:val="decimal"/>
      <w:start w:val="17"/>
    </w:lvl>
  </w:abstractNum>
  <w:abstractNum w:abstractNumId="75">
    <w:nsid w:val="14E17E33"/>
    <w:multiLevelType w:val="hybridMultilevel"/>
    <w:lvl w:ilvl="0">
      <w:lvlJc w:val="left"/>
      <w:lvlText w:val="%1."/>
      <w:numFmt w:val="decimal"/>
      <w:start w:val="18"/>
    </w:lvl>
    <w:lvl w:ilvl="1">
      <w:lvlJc w:val="left"/>
      <w:lvlText w:val="%2"/>
      <w:numFmt w:val="lowerLetter"/>
      <w:start w:val="1"/>
    </w:lvl>
  </w:abstractNum>
  <w:abstractNum w:abstractNumId="76">
    <w:nsid w:val="3222E7CD"/>
    <w:multiLevelType w:val="hybridMultilevel"/>
    <w:lvl w:ilvl="0">
      <w:lvlJc w:val="left"/>
      <w:lvlText w:val="%1"/>
      <w:numFmt w:val="decimal"/>
      <w:start w:val="1"/>
    </w:lvl>
    <w:lvl w:ilvl="1">
      <w:lvlJc w:val="left"/>
      <w:lvlText w:val="%2."/>
      <w:numFmt w:val="lowerLetter"/>
      <w:start w:val="2"/>
    </w:lvl>
  </w:abstractNum>
  <w:abstractNum w:abstractNumId="77">
    <w:nsid w:val="74DE0EE3"/>
    <w:multiLevelType w:val="hybridMultilevel"/>
    <w:lvl w:ilvl="0">
      <w:lvlJc w:val="left"/>
      <w:lvlText w:val="%1."/>
      <w:numFmt w:val="decimal"/>
      <w:start w:val="19"/>
    </w:lvl>
    <w:lvl w:ilvl="1">
      <w:lvlJc w:val="left"/>
      <w:lvlText w:val="%2."/>
      <w:numFmt w:val="lowerLetter"/>
      <w:start w:val="1"/>
    </w:lvl>
  </w:abstractNum>
  <w:abstractNum w:abstractNumId="78">
    <w:nsid w:val="68EBC550"/>
    <w:multiLevelType w:val="hybridMultilevel"/>
    <w:lvl w:ilvl="0">
      <w:lvlJc w:val="left"/>
      <w:lvlText w:val="%1."/>
      <w:numFmt w:val="lowerLetter"/>
      <w:start w:val="2"/>
    </w:lvl>
  </w:abstractNum>
  <w:abstractNum w:abstractNumId="79">
    <w:nsid w:val="2DF6D648"/>
    <w:multiLevelType w:val="hybridMultilevel"/>
    <w:lvl w:ilvl="0">
      <w:lvlJc w:val="left"/>
      <w:lvlText w:val="%1."/>
      <w:numFmt w:val="decimal"/>
      <w:start w:val="21"/>
    </w:lvl>
  </w:abstractNum>
  <w:abstractNum w:abstractNumId="80">
    <w:nsid w:val="46B7D447"/>
    <w:multiLevelType w:val="hybridMultilevel"/>
    <w:lvl w:ilvl="0">
      <w:lvlJc w:val="left"/>
      <w:lvlText w:val="%1."/>
      <w:numFmt w:val="decimal"/>
      <w:start w:val="22"/>
    </w:lvl>
    <w:lvl w:ilvl="1">
      <w:lvlJc w:val="left"/>
      <w:lvlText w:val="%2."/>
      <w:numFmt w:val="lowerLetter"/>
      <w:start w:val="1"/>
    </w:lvl>
  </w:abstractNum>
  <w:abstractNum w:abstractNumId="81">
    <w:nsid w:val="4A2AC315"/>
    <w:multiLevelType w:val="hybridMultilevel"/>
    <w:lvl w:ilvl="0">
      <w:lvlJc w:val="left"/>
      <w:lvlText w:val="%1."/>
      <w:numFmt w:val="lowerLetter"/>
      <w:start w:val="5"/>
    </w:lvl>
  </w:abstractNum>
  <w:abstractNum w:abstractNumId="82">
    <w:nsid w:val="39EE015C"/>
    <w:multiLevelType w:val="hybridMultilevel"/>
    <w:lvl w:ilvl="0">
      <w:lvlJc w:val="left"/>
      <w:lvlText w:val="%1."/>
      <w:numFmt w:val="lowerRoman"/>
      <w:start w:val="1"/>
    </w:lvl>
  </w:abstractNum>
  <w:abstractNum w:abstractNumId="83">
    <w:nsid w:val="57FC4FBB"/>
    <w:multiLevelType w:val="hybridMultilevel"/>
    <w:lvl w:ilvl="0">
      <w:lvlJc w:val="left"/>
      <w:lvlText w:val="%1."/>
      <w:numFmt w:val="decimal"/>
      <w:start w:val="1"/>
    </w:lvl>
    <w:lvl w:ilvl="1">
      <w:lvlJc w:val="left"/>
      <w:lvlText w:val="%2."/>
      <w:numFmt w:val="decimal"/>
      <w:start w:val="2"/>
    </w:lvl>
  </w:abstractNum>
  <w:abstractNum w:abstractNumId="84">
    <w:nsid w:val="CC1016F"/>
    <w:multiLevelType w:val="hybridMultilevel"/>
    <w:lvl w:ilvl="0">
      <w:lvlJc w:val="left"/>
      <w:lvlText w:val="(%1)"/>
      <w:numFmt w:val="lowerLetter"/>
      <w:start w:val="1"/>
    </w:lvl>
  </w:abstractNum>
  <w:abstractNum w:abstractNumId="85">
    <w:nsid w:val="43F18422"/>
    <w:multiLevelType w:val="hybridMultilevel"/>
    <w:lvl w:ilvl="0">
      <w:lvlJc w:val="left"/>
      <w:lvlText w:val="(%1)"/>
      <w:numFmt w:val="lowerLetter"/>
      <w:start w:val="3"/>
    </w:lvl>
  </w:abstractNum>
  <w:abstractNum w:abstractNumId="86">
    <w:nsid w:val="60EF0119"/>
    <w:multiLevelType w:val="hybridMultilevel"/>
    <w:lvl w:ilvl="0">
      <w:lvlJc w:val="left"/>
      <w:lvlText w:val="%1"/>
      <w:numFmt w:val="lowerLetter"/>
      <w:start w:val="1"/>
    </w:lvl>
    <w:lvl w:ilvl="1">
      <w:lvlJc w:val="left"/>
      <w:lvlText w:val="%2."/>
      <w:numFmt w:val="decimal"/>
      <w:start w:val="3"/>
    </w:lvl>
  </w:abstractNum>
  <w:abstractNum w:abstractNumId="87">
    <w:nsid w:val="26F324BA"/>
    <w:multiLevelType w:val="hybridMultilevel"/>
    <w:lvl w:ilvl="0">
      <w:lvlJc w:val="left"/>
      <w:lvlText w:val="(%1)"/>
      <w:numFmt w:val="lowerLetter"/>
      <w:start w:val="5"/>
    </w:lvl>
    <w:lvl w:ilvl="1">
      <w:lvlJc w:val="left"/>
      <w:lvlText w:val="%2."/>
      <w:numFmt w:val="decimal"/>
      <w:start w:val="4"/>
    </w:lvl>
  </w:abstractNum>
  <w:abstractNum w:abstractNumId="88">
    <w:nsid w:val="7F01579B"/>
    <w:multiLevelType w:val="hybridMultilevel"/>
    <w:lvl w:ilvl="0">
      <w:lvlJc w:val="left"/>
      <w:lvlText w:val="%1"/>
      <w:numFmt w:val="lowerLetter"/>
      <w:start w:val="1"/>
    </w:lvl>
    <w:lvl w:ilvl="1">
      <w:lvlJc w:val="left"/>
      <w:lvlText w:val="%2."/>
      <w:numFmt w:val="decimal"/>
      <w:start w:val="5"/>
    </w:lvl>
  </w:abstractNum>
  <w:abstractNum w:abstractNumId="89">
    <w:nsid w:val="49DA307D"/>
    <w:multiLevelType w:val="hybridMultilevel"/>
    <w:lvl w:ilvl="0">
      <w:lvlJc w:val="left"/>
      <w:lvlText w:val="(%1)"/>
      <w:numFmt w:val="lowerLetter"/>
      <w:start w:val="3"/>
    </w:lvl>
    <w:lvl w:ilvl="1">
      <w:lvlJc w:val="left"/>
      <w:lvlText w:val="%2"/>
      <w:numFmt w:val="decimal"/>
      <w:start w:val="1"/>
    </w:lvl>
  </w:abstractNum>
  <w:abstractNum w:abstractNumId="90">
    <w:nsid w:val="7055A5F5"/>
    <w:multiLevelType w:val="hybridMultilevel"/>
    <w:lvl w:ilvl="0">
      <w:lvlJc w:val="left"/>
      <w:lvlText w:val="%1."/>
      <w:numFmt w:val="decimal"/>
      <w:start w:val="8"/>
    </w:lvl>
  </w:abstractNum>
  <w:abstractNum w:abstractNumId="91">
    <w:nsid w:val="5FB8370B"/>
    <w:multiLevelType w:val="hybridMultilevel"/>
    <w:lvl w:ilvl="0">
      <w:lvlJc w:val="left"/>
      <w:lvlText w:val="%1."/>
      <w:numFmt w:val="decimal"/>
      <w:start w:val="10"/>
    </w:lvl>
  </w:abstractNum>
  <w:abstractNum w:abstractNumId="92">
    <w:nsid w:val="50801EE1"/>
    <w:multiLevelType w:val="hybridMultilevel"/>
    <w:lvl w:ilvl="0">
      <w:lvlJc w:val="left"/>
      <w:lvlText w:val="%1."/>
      <w:numFmt w:val="decimal"/>
      <w:start w:val="1"/>
    </w:lvl>
  </w:abstractNum>
  <w:abstractNum w:abstractNumId="93">
    <w:nsid w:val="488AC1A"/>
    <w:multiLevelType w:val="hybridMultilevel"/>
    <w:lvl w:ilvl="0">
      <w:lvlJc w:val="left"/>
      <w:lvlText w:val="%1"/>
      <w:numFmt w:val="decimal"/>
      <w:start w:val="13"/>
    </w:lvl>
  </w:abstractNum>
  <w:abstractNum w:abstractNumId="94">
    <w:nsid w:val="5FB8011C"/>
    <w:multiLevelType w:val="hybridMultilevel"/>
    <w:lvl w:ilvl="0">
      <w:lvlJc w:val="left"/>
      <w:lvlText w:val="%1."/>
      <w:numFmt w:val="decimal"/>
      <w:start w:val="3"/>
    </w:lvl>
  </w:abstractNum>
  <w:abstractNum w:abstractNumId="95">
    <w:nsid w:val="6AA78F7F"/>
    <w:multiLevelType w:val="hybridMultilevel"/>
    <w:lvl w:ilvl="0">
      <w:lvlJc w:val="left"/>
      <w:lvlText w:val="%1."/>
      <w:numFmt w:val="decimal"/>
      <w:start w:val="4"/>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7" Type="http://schemas.openxmlformats.org/officeDocument/2006/relationships/image" Target="media/image127.png"/><Relationship Id="rId168" Type="http://schemas.openxmlformats.org/officeDocument/2006/relationships/image" Target="media/image128.png"/><Relationship Id="rId190" Type="http://schemas.openxmlformats.org/officeDocument/2006/relationships/image" Target="media/image129.png"/><Relationship Id="rId213" Type="http://schemas.openxmlformats.org/officeDocument/2006/relationships/image" Target="media/image130.png"/><Relationship Id="rId220" Type="http://schemas.openxmlformats.org/officeDocument/2006/relationships/image" Target="media/image131.png"/><Relationship Id="rId221" Type="http://schemas.openxmlformats.org/officeDocument/2006/relationships/image" Target="media/image132.png"/><Relationship Id="rId222" Type="http://schemas.openxmlformats.org/officeDocument/2006/relationships/image" Target="media/image133.png"/><Relationship Id="rId223" Type="http://schemas.openxmlformats.org/officeDocument/2006/relationships/image" Target="media/image134.png"/><Relationship Id="rId224" Type="http://schemas.openxmlformats.org/officeDocument/2006/relationships/image" Target="media/image135.png"/><Relationship Id="rId225" Type="http://schemas.openxmlformats.org/officeDocument/2006/relationships/image" Target="media/image136.png"/><Relationship Id="rId226" Type="http://schemas.openxmlformats.org/officeDocument/2006/relationships/image" Target="media/image137.png"/><Relationship Id="rId134" Type="http://schemas.openxmlformats.org/officeDocument/2006/relationships/hyperlink" Target="http://www.sec.gov/Archives/edgar/data/49754/000004975418000003/din-12312017x10kxex31.htm" TargetMode="External"/><Relationship Id="rId135" Type="http://schemas.openxmlformats.org/officeDocument/2006/relationships/hyperlink" Target="http://www.sec.gov/Archives/edgar/data/49754/000119312519146599/d748769dex31.htm" TargetMode="External"/><Relationship Id="rId136" Type="http://schemas.openxmlformats.org/officeDocument/2006/relationships/hyperlink" Target="http://www.sec.gov/Archives/edgar/data/49754/000119312519146599/d748769dex32.htm" TargetMode="External"/><Relationship Id="rId137" Type="http://schemas.openxmlformats.org/officeDocument/2006/relationships/hyperlink" Target="http://www.sec.gov/Archives/edgar/data/49754/000119312519166102/d748415dex41.htm" TargetMode="External"/><Relationship Id="rId138" Type="http://schemas.openxmlformats.org/officeDocument/2006/relationships/hyperlink" Target="http://www.sec.gov/Archives/edgar/data/49754/000119312519166102/d748415dex42.htm" TargetMode="External"/><Relationship Id="rId139" Type="http://schemas.openxmlformats.org/officeDocument/2006/relationships/hyperlink" Target="https://www.sec.gov/Archives/edgar/data/49754/000004975420000015/exhibit41dine2019-1xom.htm" TargetMode="External"/><Relationship Id="rId140" Type="http://schemas.openxmlformats.org/officeDocument/2006/relationships/hyperlink" Target="https://www.sec.gov/Archives/edgar/data/49754/000004975420000007/exhibit43descriptionof.htm" TargetMode="External"/><Relationship Id="rId141" Type="http://schemas.openxmlformats.org/officeDocument/2006/relationships/hyperlink" Target="http://www.sec.gov/Archives/edgar/data/49754/000004975417000020/din-2017930x10qxex101.htm" TargetMode="External"/><Relationship Id="rId142" Type="http://schemas.openxmlformats.org/officeDocument/2006/relationships/hyperlink" Target="http://www.sec.gov/Archives/edgar/data/49754/000004975417000020/din-2017930x10qxex102.htm" TargetMode="External"/><Relationship Id="rId143" Type="http://schemas.openxmlformats.org/officeDocument/2006/relationships/hyperlink" Target="http://www.sec.gov/Archives/edgar/data/49754/000004975417000020/din-2017930x10qxex103.htm" TargetMode="External"/><Relationship Id="rId144" Type="http://schemas.openxmlformats.org/officeDocument/2006/relationships/hyperlink" Target="http://www.sec.gov/Archives/edgar/data/49754/000004975417000020/din-2017930x10qxex104.htm" TargetMode="External"/><Relationship Id="rId145" Type="http://schemas.openxmlformats.org/officeDocument/2006/relationships/hyperlink" Target="http://www.sec.gov/Archives/edgar/data/49754/000119312518154794/d559086dex102.htm" TargetMode="External"/><Relationship Id="rId146" Type="http://schemas.openxmlformats.org/officeDocument/2006/relationships/hyperlink" Target="http://www.sec.gov/Archives/edgar/data/49754/000119312518154794/d559086dex101.htm" TargetMode="External"/><Relationship Id="rId148" Type="http://schemas.openxmlformats.org/officeDocument/2006/relationships/hyperlink" Target="http://www.sec.gov/Archives/edgar/data/49754/000004975417000007/din-201733110xqex101.htm" TargetMode="External"/><Relationship Id="rId149" Type="http://schemas.openxmlformats.org/officeDocument/2006/relationships/hyperlink" Target="http://www.sec.gov/Archives/edgar/data/49754/000119312519093688/d679111ddef14a.htm" TargetMode="External"/><Relationship Id="rId150" Type="http://schemas.openxmlformats.org/officeDocument/2006/relationships/hyperlink" Target="http://www.sec.gov/Archives/edgar/data/49754/000004975419000013/din-20190630x10qxex102.htm" TargetMode="External"/><Relationship Id="rId151" Type="http://schemas.openxmlformats.org/officeDocument/2006/relationships/hyperlink" Target="http://www.sec.gov/Archives/edgar/data/49754/000004975419000013/din-20190630x10qxex103.htm" TargetMode="External"/><Relationship Id="rId152" Type="http://schemas.openxmlformats.org/officeDocument/2006/relationships/hyperlink" Target="http://www.sec.gov/Archives/edgar/data/49754/000004975419000013/din-20190630x10qxex104.htm" TargetMode="External"/><Relationship Id="rId153" Type="http://schemas.openxmlformats.org/officeDocument/2006/relationships/hyperlink" Target="http://www.sec.gov/Archives/edgar/data/49754/000004975419000013/din-20190630x10qxex105.htm" TargetMode="External"/><Relationship Id="rId154" Type="http://schemas.openxmlformats.org/officeDocument/2006/relationships/hyperlink" Target="http://www.sec.gov/Archives/edgar/data/49754/000004975419000013/din-20190630x10qxex106.htm" TargetMode="External"/><Relationship Id="rId155" Type="http://schemas.openxmlformats.org/officeDocument/2006/relationships/hyperlink" Target="http://www.sec.gov/Archives/edgar/data/49754/000004975419000013/din-20190630x10qxex107.htm" TargetMode="External"/><Relationship Id="rId156" Type="http://schemas.openxmlformats.org/officeDocument/2006/relationships/hyperlink" Target="http://www.sec.gov/Archives/edgar/data/49754/000004975419000013/din-20190630x10qxex108.htm" TargetMode="External"/><Relationship Id="rId157" Type="http://schemas.openxmlformats.org/officeDocument/2006/relationships/hyperlink" Target="http://www.sec.gov/Archives/edgar/data/49754/000004975419000013/din-20190630x10qxex109.htm" TargetMode="External"/><Relationship Id="rId158" Type="http://schemas.openxmlformats.org/officeDocument/2006/relationships/hyperlink" Target="http://www.sec.gov/Archives/edgar/data/49754/000004975419000013/din-20190630x10qxex1010.htm" TargetMode="External"/><Relationship Id="rId159" Type="http://schemas.openxmlformats.org/officeDocument/2006/relationships/hyperlink" Target="http://www.sec.gov/Archives/edgar/data/49754/000004975419000013/din-20190630x10qxex1011.htm" TargetMode="External"/><Relationship Id="rId160" Type="http://schemas.openxmlformats.org/officeDocument/2006/relationships/hyperlink" Target="http://www.sec.gov/Archives/edgar/data/49754/000004975419000013/din-20190630x10qxex1012.htm" TargetMode="External"/><Relationship Id="rId161" Type="http://schemas.openxmlformats.org/officeDocument/2006/relationships/hyperlink" Target="http://www.sec.gov/Archives/edgar/data/49754/000004975419000013/din-20190630x10qxex1013.htm" TargetMode="External"/><Relationship Id="rId162" Type="http://schemas.openxmlformats.org/officeDocument/2006/relationships/hyperlink" Target="http://www.sec.gov/Archives/edgar/data/49754/000004975419000013/din-20190630x10qxex1014.htm" TargetMode="External"/><Relationship Id="rId163" Type="http://schemas.openxmlformats.org/officeDocument/2006/relationships/hyperlink" Target="http://www.sec.gov/Archives/edgar/data/49754/000004975418000009/din-2018331x10qxex101.htm" TargetMode="External"/><Relationship Id="rId164" Type="http://schemas.openxmlformats.org/officeDocument/2006/relationships/hyperlink" Target="http://www.sec.gov/Archives/edgar/data/49754/000004975418000009/din-2018331x10qxex1022.htm" TargetMode="External"/><Relationship Id="rId165" Type="http://schemas.openxmlformats.org/officeDocument/2006/relationships/hyperlink" Target="http://www.sec.gov/Archives/edgar/data/49754/000004975418000009/din-2018331x10qxex1023.htm" TargetMode="External"/><Relationship Id="rId166" Type="http://schemas.openxmlformats.org/officeDocument/2006/relationships/hyperlink" Target="http://www.sec.gov/Archives/edgar/data/49754/000004975418000009/din-2018331x10qxex1017.htm" TargetMode="External"/><Relationship Id="rId167" Type="http://schemas.openxmlformats.org/officeDocument/2006/relationships/hyperlink" Target="http://www.sec.gov/Archives/edgar/data/49754/000004975418000009/din-2018331x10qxex1018.htm" TargetMode="External"/><Relationship Id="rId169" Type="http://schemas.openxmlformats.org/officeDocument/2006/relationships/hyperlink" Target="http://www.sec.gov/Archives/edgar/data/49754/000004975418000009/din-2018331x10qxex1019.htm" TargetMode="External"/><Relationship Id="rId170" Type="http://schemas.openxmlformats.org/officeDocument/2006/relationships/hyperlink" Target="http://www.sec.gov/Archives/edgar/data/49754/000004975418000009/din-2018331x10qxex1020.htm" TargetMode="External"/><Relationship Id="rId171" Type="http://schemas.openxmlformats.org/officeDocument/2006/relationships/hyperlink" Target="http://www.sec.gov/Archives/edgar/data/49754/000004975418000009/din-2018331x10qxex1021.htm" TargetMode="External"/><Relationship Id="rId172" Type="http://schemas.openxmlformats.org/officeDocument/2006/relationships/hyperlink" Target="http://www.sec.gov/Archives/edgar/data/49754/000004975418000009/din-2018331x10qxex1024.htm" TargetMode="External"/><Relationship Id="rId173" Type="http://schemas.openxmlformats.org/officeDocument/2006/relationships/hyperlink" Target="http://www.sec.gov/Archives/edgar/data/49754/000004975418000014/din-2018630x10qxex101.htm" TargetMode="External"/><Relationship Id="rId174" Type="http://schemas.openxmlformats.org/officeDocument/2006/relationships/hyperlink" Target="http://www.sec.gov/Archives/edgar/data/49754/000004975418000009/din-2018331x10qxex108.htm" TargetMode="External"/><Relationship Id="rId175" Type="http://schemas.openxmlformats.org/officeDocument/2006/relationships/hyperlink" Target="http://www.sec.gov/Archives/edgar/data/49754/000004975418000009/din-2018331x10qxex105.htm" TargetMode="External"/><Relationship Id="rId176" Type="http://schemas.openxmlformats.org/officeDocument/2006/relationships/hyperlink" Target="http://www.sec.gov/Archives/edgar/data/49754/000004975419000004/din-1231x18x10kxex1021.htm" TargetMode="External"/><Relationship Id="rId177" Type="http://schemas.openxmlformats.org/officeDocument/2006/relationships/hyperlink" Target="http://www.sec.gov/Archives/edgar/data/49754/000004975418000009/din-2018331x10qxex106.htm" TargetMode="External"/><Relationship Id="rId178" Type="http://schemas.openxmlformats.org/officeDocument/2006/relationships/hyperlink" Target="http://www.sec.gov/Archives/edgar/data/49754/000004975418000009/din-2018331x10qxex107.htm" TargetMode="External"/><Relationship Id="rId179" Type="http://schemas.openxmlformats.org/officeDocument/2006/relationships/hyperlink" Target="http://www.sec.gov/Archives/edgar/data/49754/000004975416000024/din-2016630x10qxex108.htm" TargetMode="External"/><Relationship Id="rId180" Type="http://schemas.openxmlformats.org/officeDocument/2006/relationships/hyperlink" Target="http://www.sec.gov/Archives/edgar/data/49754/000004975418000009/din-2018331x10qxex103.htm" TargetMode="External"/><Relationship Id="rId181" Type="http://schemas.openxmlformats.org/officeDocument/2006/relationships/hyperlink" Target="http://www.sec.gov/Archives/edgar/data/49754/000004975418000009/din-2018331x10qxex102.htm" TargetMode="External"/><Relationship Id="rId182" Type="http://schemas.openxmlformats.org/officeDocument/2006/relationships/hyperlink" Target="http://www.sec.gov/Archives/edgar/data/49754/000004975418000009/din-2018331x10qxex104.htm" TargetMode="External"/><Relationship Id="rId183" Type="http://schemas.openxmlformats.org/officeDocument/2006/relationships/hyperlink" Target="http://www.sec.gov/Archives/edgar/data/49754/000004975418000009/din-2018331x10qxex109.htm" TargetMode="External"/><Relationship Id="rId184" Type="http://schemas.openxmlformats.org/officeDocument/2006/relationships/hyperlink" Target="http://www.sec.gov/Archives/edgar/data/49754/000004975419000004/din-1231x18x10kxex1029.htm" TargetMode="External"/><Relationship Id="rId185" Type="http://schemas.openxmlformats.org/officeDocument/2006/relationships/hyperlink" Target="http://www.sec.gov/Archives/edgar/data/49754/000004975418000009/din-2018331x10qxex1011.htm" TargetMode="External"/><Relationship Id="rId186" Type="http://schemas.openxmlformats.org/officeDocument/2006/relationships/hyperlink" Target="http://www.sec.gov/Archives/edgar/data/49754/000004975418000009/din-2018331x10qxex1010.htm" TargetMode="External"/><Relationship Id="rId187" Type="http://schemas.openxmlformats.org/officeDocument/2006/relationships/hyperlink" Target="http://www.sec.gov/Archives/edgar/data/49754/000004975419000004/din-1231x18x10kxex1032.htm" TargetMode="External"/><Relationship Id="rId188" Type="http://schemas.openxmlformats.org/officeDocument/2006/relationships/hyperlink" Target="http://www.sec.gov/Archives/edgar/data/49754/000004975418000009/din-2018331x10qxex1012.htm" TargetMode="External"/><Relationship Id="rId189" Type="http://schemas.openxmlformats.org/officeDocument/2006/relationships/hyperlink" Target="http://www.sec.gov/Archives/edgar/data/49754/000004975416000024/din-2016630x10qxex1015.htm" TargetMode="External"/><Relationship Id="rId191" Type="http://schemas.openxmlformats.org/officeDocument/2006/relationships/hyperlink" Target="http://www.sec.gov/Archives/edgar/data/49754/000004975416000024/din-2016630x10qxex1016.htm" TargetMode="External"/><Relationship Id="rId192" Type="http://schemas.openxmlformats.org/officeDocument/2006/relationships/hyperlink" Target="http://www.sec.gov/Archives/edgar/data/49754/000004975418000009/din-2018331x10qxex1015.htm" TargetMode="External"/><Relationship Id="rId193" Type="http://schemas.openxmlformats.org/officeDocument/2006/relationships/hyperlink" Target="http://www.sec.gov/Archives/edgar/data/49754/000004975418000009/din-2018331x10qxex1016.htm" TargetMode="External"/><Relationship Id="rId194" Type="http://schemas.openxmlformats.org/officeDocument/2006/relationships/hyperlink" Target="http://www.sec.gov/Archives/edgar/data/49754/000004975419000004/din-1231x18x10kxex1038.htm" TargetMode="External"/><Relationship Id="rId195" Type="http://schemas.openxmlformats.org/officeDocument/2006/relationships/hyperlink" Target="http://www.sec.gov/Archives/edgar/data/49754/000004975418000009/din-2018331x10qxex1025.htm" TargetMode="External"/><Relationship Id="rId196" Type="http://schemas.openxmlformats.org/officeDocument/2006/relationships/hyperlink" Target="http://www.sec.gov/Archives/edgar/data/49754/000004975419000009/din-20190331x10qxex101.htm" TargetMode="External"/><Relationship Id="rId197" Type="http://schemas.openxmlformats.org/officeDocument/2006/relationships/hyperlink" Target="http://www.sec.gov/Archives/edgar/data/49754/000104746911003573/a2203258zdef14a.htm#bg44301a_main_toc" TargetMode="External"/><Relationship Id="rId198" Type="http://schemas.openxmlformats.org/officeDocument/2006/relationships/hyperlink" Target="http://www.sec.gov/Archives/edgar/data/49754/000004975412000005/din-12312011x10kxex1010.htm" TargetMode="External"/><Relationship Id="rId199" Type="http://schemas.openxmlformats.org/officeDocument/2006/relationships/hyperlink" Target="http://www.sec.gov/Archives/edgar/data/49754/000004975412000005/din-12312011x10kxex1012.htm" TargetMode="External"/><Relationship Id="rId200" Type="http://schemas.openxmlformats.org/officeDocument/2006/relationships/hyperlink" Target="http://www.sec.gov/Archives/edgar/data/49754/000004975415000011/din-2016x6x30x10qxex101.htm" TargetMode="External"/><Relationship Id="rId201" Type="http://schemas.openxmlformats.org/officeDocument/2006/relationships/hyperlink" Target="http://www.sec.gov/Archives/edgar/data/49754/000004975412000005/din-12312011x10kxex1015.htm" TargetMode="External"/><Relationship Id="rId202" Type="http://schemas.openxmlformats.org/officeDocument/2006/relationships/hyperlink" Target="http://www.sec.gov/Archives/edgar/data/49754/000004975412000005/din-12312011x10kxex1016.htm" TargetMode="External"/><Relationship Id="rId203" Type="http://schemas.openxmlformats.org/officeDocument/2006/relationships/hyperlink" Target="http://www.sec.gov/Archives/edgar/data/49754/000004975414000004/din-12312013x10kxex1019.htm" TargetMode="External"/><Relationship Id="rId204" Type="http://schemas.openxmlformats.org/officeDocument/2006/relationships/hyperlink" Target="http://www.sec.gov/Archives/edgar/data/49754/000004975414000015/din-2014930x10xqxex101.htm" TargetMode="External"/><Relationship Id="rId205" Type="http://schemas.openxmlformats.org/officeDocument/2006/relationships/hyperlink" Target="http://www.sec.gov/Archives/edgar/data/49754/000104746904007675/a2129690zex-10_15.htm" TargetMode="External"/><Relationship Id="rId206" Type="http://schemas.openxmlformats.org/officeDocument/2006/relationships/hyperlink" Target="http://www.sec.gov/Archives/edgar/data/49754/000104746908004779/a2184364zdef14a.htm" TargetMode="External"/><Relationship Id="rId207" Type="http://schemas.openxmlformats.org/officeDocument/2006/relationships/hyperlink" Target="http://www.sec.gov/Archives/edgar/data/49754/000104746912003955/a2208668zdef14a.htm" TargetMode="External"/><Relationship Id="rId208" Type="http://schemas.openxmlformats.org/officeDocument/2006/relationships/hyperlink" Target="http://www.sec.gov/Archives/edgar/data/49754/000004975419000004/din-1231x18x10kxex1051.htm" TargetMode="External"/><Relationship Id="rId209" Type="http://schemas.openxmlformats.org/officeDocument/2006/relationships/hyperlink" Target="http://www.sec.gov/Archives/edgar/data/49754/000004975412000005/din-1231x2011x10kxex1027.htm" TargetMode="External"/><Relationship Id="rId210" Type="http://schemas.openxmlformats.org/officeDocument/2006/relationships/hyperlink" Target="http://www.sec.gov/Archives/edgar/data/49754/000004975419000004/din-1231x18x10kxex1053.htm" TargetMode="External"/><Relationship Id="rId211" Type="http://schemas.openxmlformats.org/officeDocument/2006/relationships/hyperlink" Target="http://www.sec.gov/Archives/edgar/data/49754/000004975419000004/din-1231x18x10kxex1054.htm" TargetMode="External"/><Relationship Id="rId212" Type="http://schemas.openxmlformats.org/officeDocument/2006/relationships/hyperlink" Target="http://www.sec.gov/Archives/edgar/data/49754/000119312519158495/d737808dex991.htm" TargetMode="External"/><Relationship Id="rId214" Type="http://schemas.openxmlformats.org/officeDocument/2006/relationships/hyperlink" Target="http://www.sec.gov/Archives/edgar/data/49754/000119312519166102/d748415dex101.htm" TargetMode="External"/><Relationship Id="rId215" Type="http://schemas.openxmlformats.org/officeDocument/2006/relationships/hyperlink" Target="http://www.sec.gov/Archives/edgar/data/49754/000119312519166102/d748415dex102.htm" TargetMode="External"/><Relationship Id="rId216" Type="http://schemas.openxmlformats.org/officeDocument/2006/relationships/hyperlink" Target="http://www.sec.gov/Archives/edgar/data/49754/000119312519166102/d748415dex103.htm" TargetMode="External"/><Relationship Id="rId217" Type="http://schemas.openxmlformats.org/officeDocument/2006/relationships/hyperlink" Target="http://www.sec.gov/Archives/edgar/data/49754/000004975420000007/exhibit1073din2019-1xa.htm" TargetMode="External"/><Relationship Id="rId218" Type="http://schemas.openxmlformats.org/officeDocument/2006/relationships/hyperlink" Target="http://www.sec.gov/Archives/edgar/data/49754/000119312519046137/d709303dex101.htm" TargetMode="External"/><Relationship Id="rId219" Type="http://schemas.openxmlformats.org/officeDocument/2006/relationships/hyperlink" Target="https://www.sec.gov/Archives/edgar/data/49754/000004975420000007/exhibit1075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2021-03-02T07:35:18Z</dcterms:created>
  <dcterms:modified xsi:type="dcterms:W3CDTF">2021-03-02T07:35:18Z</dcterms:modified>
</cp:coreProperties>
</file>