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line="215" w:lineRule="auto"/>
        <w:rPr>
          <w:sz w:val="20"/>
          <w:szCs w:val="20"/>
          <w:color w:val="auto"/>
        </w:rPr>
      </w:pPr>
      <w:r>
        <w:rPr>
          <w:rFonts w:ascii="Times New Roman" w:cs="Times New Roman" w:eastAsia="Times New Roman" w:hAnsi="Times New Roman"/>
          <w:sz w:val="18"/>
          <w:szCs w:val="18"/>
          <w:b w:val="1"/>
          <w:bCs w:val="1"/>
          <w:color w:val="auto"/>
        </w:rPr>
        <w:t>Washington, D.C. 20549</w:t>
      </w:r>
    </w:p>
    <w:p>
      <w:pPr>
        <w:ind w:left="3400"/>
        <w:spacing w:after="0" w:line="238" w:lineRule="auto"/>
        <w:rPr>
          <w:sz w:val="20"/>
          <w:szCs w:val="20"/>
          <w:color w:val="auto"/>
        </w:rPr>
      </w:pPr>
      <w:r>
        <w:rPr>
          <w:rFonts w:ascii="Times New Roman" w:cs="Times New Roman" w:eastAsia="Times New Roman" w:hAnsi="Times New Roman"/>
          <w:sz w:val="18"/>
          <w:szCs w:val="18"/>
          <w:color w:val="auto"/>
        </w:rPr>
        <w:t>__________________________________________________</w:t>
      </w:r>
    </w:p>
    <w:p>
      <w:pPr>
        <w:jc w:val="center"/>
        <w:ind w:right="-19"/>
        <w:spacing w:after="0" w:line="220" w:lineRule="auto"/>
        <w:rPr>
          <w:sz w:val="20"/>
          <w:szCs w:val="20"/>
          <w:color w:val="auto"/>
        </w:rPr>
      </w:pPr>
      <w:r>
        <w:rPr>
          <w:rFonts w:ascii="Times New Roman" w:cs="Times New Roman" w:eastAsia="Times New Roman" w:hAnsi="Times New Roman"/>
          <w:sz w:val="32"/>
          <w:szCs w:val="32"/>
          <w:b w:val="1"/>
          <w:bCs w:val="1"/>
          <w:color w:val="auto"/>
        </w:rPr>
        <w:t>FORM 10-Q</w:t>
      </w:r>
    </w:p>
    <w:p>
      <w:pPr>
        <w:ind w:left="60"/>
        <w:spacing w:after="0" w:line="231" w:lineRule="auto"/>
        <w:rPr>
          <w:sz w:val="20"/>
          <w:szCs w:val="20"/>
          <w:color w:val="auto"/>
        </w:rPr>
      </w:pPr>
      <w:r>
        <w:rPr>
          <w:rFonts w:ascii="Times New Roman" w:cs="Times New Roman" w:eastAsia="Times New Roman" w:hAnsi="Times New Roman"/>
          <w:sz w:val="18"/>
          <w:szCs w:val="18"/>
          <w:b w:val="1"/>
          <w:bCs w:val="1"/>
          <w:color w:val="auto"/>
        </w:rPr>
        <w:t>(Mark One)</w:t>
      </w:r>
    </w:p>
    <w:p>
      <w:pPr>
        <w:spacing w:after="0" w:line="1" w:lineRule="exact"/>
        <w:rPr>
          <w:sz w:val="24"/>
          <w:szCs w:val="24"/>
          <w:color w:val="auto"/>
        </w:rPr>
      </w:pPr>
    </w:p>
    <w:p>
      <w:pPr>
        <w:ind w:right="520" w:firstLine="324"/>
        <w:spacing w:after="0" w:line="230" w:lineRule="auto"/>
        <w:tabs>
          <w:tab w:leader="none" w:pos="742"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jc w:val="center"/>
        <w:ind w:right="-79"/>
        <w:spacing w:after="0" w:line="231" w:lineRule="auto"/>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jc w:val="center"/>
        <w:ind w:right="-79"/>
        <w:spacing w:after="0" w:line="215" w:lineRule="auto"/>
        <w:rPr>
          <w:sz w:val="20"/>
          <w:szCs w:val="20"/>
          <w:color w:val="auto"/>
        </w:rPr>
      </w:pPr>
      <w:r>
        <w:rPr>
          <w:rFonts w:ascii="Times New Roman" w:cs="Times New Roman" w:eastAsia="Times New Roman" w:hAnsi="Times New Roman"/>
          <w:sz w:val="18"/>
          <w:szCs w:val="18"/>
          <w:b w:val="1"/>
          <w:bCs w:val="1"/>
          <w:color w:val="auto"/>
        </w:rPr>
        <w:t>OR</w:t>
      </w:r>
    </w:p>
    <w:p>
      <w:pPr>
        <w:ind w:left="700" w:hanging="376"/>
        <w:spacing w:after="0" w:line="219" w:lineRule="auto"/>
        <w:tabs>
          <w:tab w:leader="none" w:pos="7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215" w:lineRule="auto"/>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1934</w:t>
      </w:r>
    </w:p>
    <w:p>
      <w:pPr>
        <w:spacing w:after="0" w:line="1" w:lineRule="exact"/>
        <w:rPr>
          <w:sz w:val="24"/>
          <w:szCs w:val="24"/>
          <w:color w:val="auto"/>
        </w:rPr>
      </w:pPr>
    </w:p>
    <w:p>
      <w:pPr>
        <w:ind w:left="368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001-15283</w:t>
      </w:r>
    </w:p>
    <w:p>
      <w:pPr>
        <w:spacing w:after="0" w:line="12" w:lineRule="exact"/>
        <w:rPr>
          <w:sz w:val="24"/>
          <w:szCs w:val="24"/>
          <w:color w:val="auto"/>
        </w:rPr>
      </w:pPr>
    </w:p>
    <w:p>
      <w:pPr>
        <w:jc w:val="center"/>
        <w:ind w:right="-19"/>
        <w:spacing w:after="0"/>
        <w:rPr>
          <w:sz w:val="20"/>
          <w:szCs w:val="20"/>
          <w:color w:val="auto"/>
        </w:rPr>
      </w:pPr>
      <w:r>
        <w:rPr>
          <w:sz w:val="1"/>
          <w:szCs w:val="1"/>
          <w:color w:val="auto"/>
        </w:rPr>
        <w:drawing>
          <wp:inline distT="0" distB="0" distL="0" distR="0">
            <wp:extent cx="1127125" cy="5549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27125" cy="554990"/>
                    </a:xfrm>
                    <a:prstGeom prst="rect">
                      <a:avLst/>
                    </a:prstGeom>
                    <a:noFill/>
                    <a:ln>
                      <a:noFill/>
                    </a:ln>
                  </pic:spPr>
                </pic:pic>
              </a:graphicData>
            </a:graphic>
          </wp:inline>
        </w:drawing>
      </w:r>
      <w:r>
        <w:rPr>
          <w:rFonts w:ascii="Times New Roman" w:cs="Times New Roman" w:eastAsia="Times New Roman" w:hAnsi="Times New Roman"/>
          <w:sz w:val="32"/>
          <w:szCs w:val="32"/>
          <w:b w:val="1"/>
          <w:bCs w:val="1"/>
          <w:color w:val="auto"/>
        </w:rPr>
        <w:t xml:space="preserve"> Dine Brands Global, Inc. </w:t>
      </w:r>
      <w:r>
        <w:rPr>
          <w:sz w:val="1"/>
          <w:szCs w:val="1"/>
          <w:color w:val="auto"/>
        </w:rPr>
        <w:drawing>
          <wp:inline distT="0" distB="0" distL="0" distR="0">
            <wp:extent cx="908685" cy="5384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08685" cy="538480"/>
                    </a:xfrm>
                    <a:prstGeom prst="rect">
                      <a:avLst/>
                    </a:prstGeom>
                    <a:noFill/>
                    <a:ln>
                      <a:noFill/>
                    </a:ln>
                  </pic:spPr>
                </pic:pic>
              </a:graphicData>
            </a:graphic>
          </wp:inline>
        </w:drawing>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 w:lineRule="exact"/>
        <w:rPr>
          <w:sz w:val="24"/>
          <w:szCs w:val="24"/>
          <w:color w:val="auto"/>
        </w:rPr>
      </w:pPr>
    </w:p>
    <w:tbl>
      <w:tblPr>
        <w:tblLayout w:type="fixed"/>
        <w:tblInd w:w="1880" w:type="dxa"/>
        <w:tblCellMar>
          <w:top w:w="0" w:type="dxa"/>
          <w:left w:w="0" w:type="dxa"/>
          <w:bottom w:w="0" w:type="dxa"/>
          <w:right w:w="0" w:type="dxa"/>
        </w:tblCellMar>
      </w:tblPr>
      <w:tr>
        <w:trPr>
          <w:trHeight w:val="210"/>
        </w:trPr>
        <w:tc>
          <w:tcPr>
            <w:tcW w:w="4840" w:type="dxa"/>
            <w:vAlign w:val="bottom"/>
          </w:tcPr>
          <w:p>
            <w:pPr>
              <w:jc w:val="center"/>
              <w:ind w:right="96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560" w:type="dxa"/>
            <w:vAlign w:val="bottom"/>
          </w:tcPr>
          <w:p>
            <w:pPr>
              <w:jc w:val="center"/>
              <w:ind w:left="161"/>
              <w:spacing w:after="0"/>
              <w:rPr>
                <w:sz w:val="20"/>
                <w:szCs w:val="20"/>
                <w:color w:val="auto"/>
              </w:rPr>
            </w:pPr>
            <w:r>
              <w:rPr>
                <w:rFonts w:ascii="Times New Roman" w:cs="Times New Roman" w:eastAsia="Times New Roman" w:hAnsi="Times New Roman"/>
                <w:sz w:val="16"/>
                <w:szCs w:val="16"/>
                <w:b w:val="1"/>
                <w:bCs w:val="1"/>
                <w:color w:val="auto"/>
                <w:w w:val="98"/>
              </w:rPr>
              <w:t>95-3038279</w:t>
            </w:r>
          </w:p>
        </w:tc>
      </w:tr>
      <w:tr>
        <w:trPr>
          <w:trHeight w:val="212"/>
        </w:trPr>
        <w:tc>
          <w:tcPr>
            <w:tcW w:w="4840" w:type="dxa"/>
            <w:vAlign w:val="bottom"/>
          </w:tcPr>
          <w:p>
            <w:pPr>
              <w:jc w:val="center"/>
              <w:ind w:right="961"/>
              <w:spacing w:after="0"/>
              <w:rPr>
                <w:sz w:val="20"/>
                <w:szCs w:val="20"/>
                <w:color w:val="auto"/>
              </w:rPr>
            </w:pPr>
            <w:r>
              <w:rPr>
                <w:rFonts w:ascii="Times New Roman" w:cs="Times New Roman" w:eastAsia="Times New Roman" w:hAnsi="Times New Roman"/>
                <w:sz w:val="16"/>
                <w:szCs w:val="16"/>
                <w:color w:val="auto"/>
                <w:w w:val="99"/>
              </w:rPr>
              <w:t>(State or other jurisdiction of incorporation or organization)</w:t>
            </w:r>
          </w:p>
        </w:tc>
        <w:tc>
          <w:tcPr>
            <w:tcW w:w="2560" w:type="dxa"/>
            <w:vAlign w:val="bottom"/>
          </w:tcPr>
          <w:p>
            <w:pPr>
              <w:jc w:val="center"/>
              <w:ind w:left="161"/>
              <w:spacing w:after="0"/>
              <w:rPr>
                <w:sz w:val="20"/>
                <w:szCs w:val="20"/>
                <w:color w:val="auto"/>
              </w:rPr>
            </w:pPr>
            <w:r>
              <w:rPr>
                <w:rFonts w:ascii="Times New Roman" w:cs="Times New Roman" w:eastAsia="Times New Roman" w:hAnsi="Times New Roman"/>
                <w:sz w:val="16"/>
                <w:szCs w:val="16"/>
                <w:color w:val="auto"/>
                <w:w w:val="99"/>
              </w:rPr>
              <w:t>(I.R.S. Employer Identification No.)</w:t>
            </w:r>
          </w:p>
        </w:tc>
      </w:tr>
      <w:tr>
        <w:trPr>
          <w:trHeight w:val="212"/>
        </w:trPr>
        <w:tc>
          <w:tcPr>
            <w:tcW w:w="4840" w:type="dxa"/>
            <w:vAlign w:val="bottom"/>
          </w:tcPr>
          <w:p>
            <w:pPr>
              <w:jc w:val="center"/>
              <w:ind w:right="981"/>
              <w:spacing w:after="0"/>
              <w:rPr>
                <w:sz w:val="20"/>
                <w:szCs w:val="20"/>
                <w:color w:val="auto"/>
              </w:rPr>
            </w:pPr>
            <w:r>
              <w:rPr>
                <w:rFonts w:ascii="Times New Roman" w:cs="Times New Roman" w:eastAsia="Times New Roman" w:hAnsi="Times New Roman"/>
                <w:sz w:val="16"/>
                <w:szCs w:val="16"/>
                <w:b w:val="1"/>
                <w:bCs w:val="1"/>
                <w:color w:val="auto"/>
                <w:w w:val="99"/>
              </w:rPr>
              <w:t>450 North Brand Boulevard,</w:t>
            </w:r>
          </w:p>
        </w:tc>
        <w:tc>
          <w:tcPr>
            <w:tcW w:w="2560" w:type="dxa"/>
            <w:vAlign w:val="bottom"/>
          </w:tcPr>
          <w:p>
            <w:pPr>
              <w:jc w:val="center"/>
              <w:ind w:left="161"/>
              <w:spacing w:after="0"/>
              <w:rPr>
                <w:sz w:val="20"/>
                <w:szCs w:val="20"/>
                <w:color w:val="auto"/>
              </w:rPr>
            </w:pPr>
            <w:r>
              <w:rPr>
                <w:rFonts w:ascii="Times New Roman" w:cs="Times New Roman" w:eastAsia="Times New Roman" w:hAnsi="Times New Roman"/>
                <w:sz w:val="16"/>
                <w:szCs w:val="16"/>
                <w:b w:val="1"/>
                <w:bCs w:val="1"/>
                <w:color w:val="auto"/>
                <w:w w:val="98"/>
              </w:rPr>
              <w:t>91203-2346</w:t>
            </w:r>
          </w:p>
        </w:tc>
      </w:tr>
      <w:tr>
        <w:trPr>
          <w:trHeight w:val="212"/>
        </w:trPr>
        <w:tc>
          <w:tcPr>
            <w:tcW w:w="4840" w:type="dxa"/>
            <w:vAlign w:val="bottom"/>
          </w:tcPr>
          <w:p>
            <w:pPr>
              <w:jc w:val="right"/>
              <w:ind w:right="2481"/>
              <w:spacing w:after="0"/>
              <w:rPr>
                <w:sz w:val="20"/>
                <w:szCs w:val="20"/>
                <w:color w:val="auto"/>
              </w:rPr>
            </w:pPr>
            <w:r>
              <w:rPr>
                <w:rFonts w:ascii="Times New Roman" w:cs="Times New Roman" w:eastAsia="Times New Roman" w:hAnsi="Times New Roman"/>
                <w:sz w:val="16"/>
                <w:szCs w:val="16"/>
                <w:b w:val="1"/>
                <w:bCs w:val="1"/>
                <w:color w:val="auto"/>
              </w:rPr>
              <w:t>Glendale, CA</w:t>
            </w:r>
          </w:p>
        </w:tc>
        <w:tc>
          <w:tcPr>
            <w:tcW w:w="2560" w:type="dxa"/>
            <w:vAlign w:val="bottom"/>
          </w:tcPr>
          <w:p>
            <w:pPr>
              <w:spacing w:after="0"/>
              <w:rPr>
                <w:sz w:val="18"/>
                <w:szCs w:val="18"/>
                <w:color w:val="auto"/>
              </w:rPr>
            </w:pPr>
          </w:p>
        </w:tc>
      </w:tr>
      <w:tr>
        <w:trPr>
          <w:trHeight w:val="212"/>
        </w:trPr>
        <w:tc>
          <w:tcPr>
            <w:tcW w:w="4840" w:type="dxa"/>
            <w:vAlign w:val="bottom"/>
          </w:tcPr>
          <w:p>
            <w:pPr>
              <w:jc w:val="center"/>
              <w:ind w:right="961"/>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256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517"/>
        </w:trPr>
        <w:tc>
          <w:tcPr>
            <w:tcW w:w="484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(818) 240-6055</w:t>
            </w:r>
          </w:p>
        </w:tc>
        <w:tc>
          <w:tcPr>
            <w:tcW w:w="2560" w:type="dxa"/>
            <w:vAlign w:val="bottom"/>
          </w:tcPr>
          <w:p>
            <w:pPr>
              <w:spacing w:after="0"/>
              <w:rPr>
                <w:sz w:val="24"/>
                <w:szCs w:val="24"/>
                <w:color w:val="auto"/>
              </w:rPr>
            </w:pPr>
          </w:p>
        </w:tc>
      </w:tr>
    </w:tbl>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8"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20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4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
        </w:trPr>
        <w:tc>
          <w:tcPr>
            <w:tcW w:w="4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01"/>
        </w:trPr>
        <w:tc>
          <w:tcPr>
            <w:tcW w:w="4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Common Stock, $0.01 par value</w:t>
            </w:r>
          </w:p>
        </w:tc>
        <w:tc>
          <w:tcPr>
            <w:tcW w:w="180" w:type="dxa"/>
            <w:vAlign w:val="bottom"/>
          </w:tcPr>
          <w:p>
            <w:pPr>
              <w:spacing w:after="0"/>
              <w:rPr>
                <w:sz w:val="17"/>
                <w:szCs w:val="17"/>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DIN</w:t>
            </w:r>
          </w:p>
        </w:tc>
        <w:tc>
          <w:tcPr>
            <w:tcW w:w="4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New York Stock Exchange</w:t>
            </w:r>
          </w:p>
        </w:tc>
      </w:tr>
    </w:tbl>
    <w:p>
      <w:pPr>
        <w:spacing w:after="0" w:line="251" w:lineRule="exact"/>
        <w:rPr>
          <w:sz w:val="24"/>
          <w:szCs w:val="24"/>
          <w:color w:val="auto"/>
        </w:rPr>
      </w:pPr>
    </w:p>
    <w:p>
      <w:pPr>
        <w:ind w:right="160" w:firstLine="318"/>
        <w:spacing w:after="0" w:line="227"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180" w:firstLine="362"/>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9" w:lineRule="exact"/>
        <w:rPr>
          <w:sz w:val="24"/>
          <w:szCs w:val="24"/>
          <w:color w:val="auto"/>
        </w:rPr>
      </w:pPr>
    </w:p>
    <w:p>
      <w:pPr>
        <w:jc w:val="both"/>
        <w:ind w:right="140" w:firstLine="362"/>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20" w:type="dxa"/>
        <w:tblCellMar>
          <w:top w:w="0" w:type="dxa"/>
          <w:left w:w="0" w:type="dxa"/>
          <w:bottom w:w="0" w:type="dxa"/>
          <w:right w:w="0" w:type="dxa"/>
        </w:tblCellMar>
      </w:tblPr>
      <w:tr>
        <w:trPr>
          <w:trHeight w:val="217"/>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278"/>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vMerge w:val="restart"/>
          </w:tcPr>
          <w:p>
            <w:pPr>
              <w:ind w:left="1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vMerge w:val="restart"/>
          </w:tcPr>
          <w:p>
            <w:pPr>
              <w:ind w:left="44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173"/>
        </w:trPr>
        <w:tc>
          <w:tcPr>
            <w:tcW w:w="20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98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20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right="40" w:firstLine="318"/>
        <w:spacing w:after="0" w:line="21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1" w:lineRule="exact"/>
        <w:rPr>
          <w:sz w:val="24"/>
          <w:szCs w:val="24"/>
          <w:color w:val="auto"/>
        </w:rPr>
      </w:pPr>
    </w:p>
    <w:p>
      <w:pPr>
        <w:ind w:left="420" w:right="2380" w:hanging="87"/>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August 2, 2022, the Registrant had 15,681,189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506730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89"/>
              </w:rPr>
              <w:t>PART I.</w:t>
            </w:r>
          </w:p>
        </w:tc>
        <w:tc>
          <w:tcPr>
            <w:tcW w:w="380" w:type="dxa"/>
            <w:vAlign w:val="bottom"/>
            <w:vMerge w:val="restart"/>
          </w:tcPr>
          <w:p>
            <w:pPr>
              <w:spacing w:after="0"/>
              <w:rPr>
                <w:sz w:val="2"/>
                <w:szCs w:val="2"/>
                <w:color w:val="auto"/>
              </w:rPr>
            </w:pPr>
          </w:p>
        </w:tc>
        <w:tc>
          <w:tcPr>
            <w:tcW w:w="964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9640" w:type="dxa"/>
            <w:vAlign w:val="bottom"/>
            <w:gridSpan w:val="19"/>
            <w:vMerge w:val="continue"/>
          </w:tcPr>
          <w:p>
            <w:pPr>
              <w:spacing w:after="0"/>
              <w:rPr>
                <w:sz w:val="15"/>
                <w:szCs w:val="15"/>
                <w:color w:val="auto"/>
              </w:rPr>
            </w:pPr>
          </w:p>
        </w:tc>
        <w:tc>
          <w:tcPr>
            <w:tcW w:w="540" w:type="dxa"/>
            <w:vAlign w:val="bottom"/>
            <w:gridSpan w:val="4"/>
          </w:tcPr>
          <w:p>
            <w:pPr>
              <w:jc w:val="right"/>
              <w:ind w:right="20"/>
              <w:spacing w:after="0" w:line="179"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0" w:type="dxa"/>
            <w:vAlign w:val="bottom"/>
            <w:gridSpan w:val="9"/>
          </w:tcPr>
          <w:p>
            <w:pPr>
              <w:spacing w:after="0" w:line="205" w:lineRule="exact"/>
              <w:rPr>
                <w:sz w:val="20"/>
                <w:szCs w:val="20"/>
                <w:color w:val="auto"/>
              </w:rPr>
            </w:pPr>
            <w:r>
              <w:rPr>
                <w:rFonts w:ascii="Times New Roman" w:cs="Times New Roman" w:eastAsia="Times New Roman" w:hAnsi="Times New Roman"/>
                <w:sz w:val="18"/>
                <w:szCs w:val="18"/>
                <w:color w:val="0000FF"/>
              </w:rPr>
              <w:t>Item 1—Financial Statements</w:t>
            </w:r>
          </w:p>
        </w:tc>
        <w:tc>
          <w:tcPr>
            <w:tcW w:w="7440" w:type="dxa"/>
            <w:vAlign w:val="bottom"/>
            <w:gridSpan w:val="10"/>
          </w:tcPr>
          <w:p>
            <w:pPr>
              <w:spacing w:after="0"/>
              <w:rPr>
                <w:sz w:val="17"/>
                <w:szCs w:val="17"/>
                <w:color w:val="auto"/>
              </w:rPr>
            </w:pPr>
          </w:p>
        </w:tc>
        <w:tc>
          <w:tcPr>
            <w:tcW w:w="54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8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Consolidated Balance Sheets - June 30, 2022 (unaudited) and December 31, 2021</w:t>
            </w:r>
          </w:p>
        </w:tc>
        <w:tc>
          <w:tcPr>
            <w:tcW w:w="54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8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Comprehensive Income (unaudited) - Three and Six Months Ended June 30, 2022 and 2021</w:t>
            </w:r>
          </w:p>
        </w:tc>
        <w:tc>
          <w:tcPr>
            <w:tcW w:w="54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8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Stockholders' Deficit (unaudited) - Three and Six Months Ended June 30, 2022 and 2021</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60" w:type="dxa"/>
            <w:vAlign w:val="bottom"/>
            <w:gridSpan w:val="15"/>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Cash Flows (unaudited) - Six Months Ended June 30, 2022 and 2021</w:t>
            </w:r>
          </w:p>
        </w:tc>
        <w:tc>
          <w:tcPr>
            <w:tcW w:w="142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c>
          <w:tcPr>
            <w:tcW w:w="54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tcBorders>
              <w:right w:val="single" w:sz="8" w:color="0000FF"/>
            </w:tcBorders>
            <w:gridSpan w:val="2"/>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60" w:type="dxa"/>
            <w:vAlign w:val="bottom"/>
            <w:gridSpan w:val="15"/>
          </w:tcPr>
          <w:p>
            <w:pPr>
              <w:spacing w:after="0" w:line="205" w:lineRule="exact"/>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2620" w:type="dxa"/>
            <w:vAlign w:val="bottom"/>
            <w:gridSpan w:val="3"/>
          </w:tcPr>
          <w:p>
            <w:pPr>
              <w:spacing w:after="0"/>
              <w:rPr>
                <w:sz w:val="17"/>
                <w:szCs w:val="17"/>
                <w:color w:val="auto"/>
              </w:rPr>
            </w:pPr>
          </w:p>
        </w:tc>
        <w:tc>
          <w:tcPr>
            <w:tcW w:w="54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2—Management’s Discussion and Analysis of Financial Condition and Results of Operations</w:t>
            </w:r>
          </w:p>
        </w:tc>
        <w:tc>
          <w:tcPr>
            <w:tcW w:w="5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60" w:type="dxa"/>
            <w:vAlign w:val="bottom"/>
            <w:tcBorders>
              <w:top w:val="single" w:sz="8" w:color="0000FF"/>
              <w:bottom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Item 3—Quantitative and Qualitative Disclosures about Market Risk</w:t>
            </w:r>
          </w:p>
        </w:tc>
        <w:tc>
          <w:tcPr>
            <w:tcW w:w="2160" w:type="dxa"/>
            <w:vAlign w:val="bottom"/>
            <w:tcBorders>
              <w:top w:val="single" w:sz="8" w:color="0000FF"/>
            </w:tcBorders>
            <w:gridSpan w:val="3"/>
          </w:tcPr>
          <w:p>
            <w:pPr>
              <w:spacing w:after="0"/>
              <w:rPr>
                <w:sz w:val="17"/>
                <w:szCs w:val="17"/>
                <w:color w:val="auto"/>
              </w:rPr>
            </w:pPr>
          </w:p>
        </w:tc>
        <w:tc>
          <w:tcPr>
            <w:tcW w:w="2620" w:type="dxa"/>
            <w:vAlign w:val="bottom"/>
            <w:gridSpan w:val="3"/>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64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4—Controls and Procedures</w:t>
            </w:r>
          </w:p>
        </w:tc>
        <w:tc>
          <w:tcPr>
            <w:tcW w:w="5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0" w:type="dxa"/>
            <w:vAlign w:val="bottom"/>
            <w:gridSpan w:val="2"/>
            <w:vMerge w:val="continue"/>
          </w:tcPr>
          <w:p>
            <w:pPr>
              <w:spacing w:after="0"/>
              <w:rPr>
                <w:sz w:val="17"/>
                <w:szCs w:val="17"/>
                <w:color w:val="auto"/>
              </w:rPr>
            </w:pPr>
          </w:p>
        </w:tc>
        <w:tc>
          <w:tcPr>
            <w:tcW w:w="2360" w:type="dxa"/>
            <w:vAlign w:val="bottom"/>
            <w:tcBorders>
              <w:top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rPr>
              <w:t>OTHER INFORMATION</w:t>
            </w:r>
          </w:p>
        </w:tc>
        <w:tc>
          <w:tcPr>
            <w:tcW w:w="7280" w:type="dxa"/>
            <w:vAlign w:val="bottom"/>
            <w:gridSpan w:val="9"/>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6"/>
              </w:rPr>
              <w:t>Item 1—Legal Proceedings</w:t>
            </w:r>
          </w:p>
        </w:tc>
        <w:tc>
          <w:tcPr>
            <w:tcW w:w="7700" w:type="dxa"/>
            <w:vAlign w:val="bottom"/>
            <w:gridSpan w:val="12"/>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1A—Risk Factors</w:t>
            </w:r>
          </w:p>
        </w:tc>
        <w:tc>
          <w:tcPr>
            <w:tcW w:w="5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900" w:type="dxa"/>
            <w:vAlign w:val="bottom"/>
            <w:tcBorders>
              <w:bottom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7"/>
              </w:rPr>
              <w:t>Item 2—Unregistered Sales of Equity Securities and Use of Proceeds</w:t>
            </w:r>
          </w:p>
        </w:tc>
        <w:tc>
          <w:tcPr>
            <w:tcW w:w="4740" w:type="dxa"/>
            <w:vAlign w:val="bottom"/>
            <w:gridSpan w:val="5"/>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2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Item 3—Defaults Upon Senior Securities</w:t>
            </w:r>
          </w:p>
        </w:tc>
        <w:tc>
          <w:tcPr>
            <w:tcW w:w="6720" w:type="dxa"/>
            <w:vAlign w:val="bottom"/>
            <w:gridSpan w:val="8"/>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4—Mine Safety Disclosures</w:t>
            </w:r>
          </w:p>
        </w:tc>
        <w:tc>
          <w:tcPr>
            <w:tcW w:w="5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Borders>
              <w:top w:val="single" w:sz="8" w:color="0000FF"/>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6"/>
              </w:rPr>
              <w:t>Item 5—Other Information</w:t>
            </w:r>
          </w:p>
        </w:tc>
        <w:tc>
          <w:tcPr>
            <w:tcW w:w="440" w:type="dxa"/>
            <w:vAlign w:val="bottom"/>
            <w:tcBorders>
              <w:top w:val="single" w:sz="8" w:color="0000FF"/>
            </w:tcBorders>
            <w:gridSpan w:val="4"/>
          </w:tcPr>
          <w:p>
            <w:pPr>
              <w:spacing w:after="0"/>
              <w:rPr>
                <w:sz w:val="17"/>
                <w:szCs w:val="17"/>
                <w:color w:val="auto"/>
              </w:rPr>
            </w:pPr>
          </w:p>
        </w:tc>
        <w:tc>
          <w:tcPr>
            <w:tcW w:w="7280" w:type="dxa"/>
            <w:vAlign w:val="bottom"/>
            <w:gridSpan w:val="9"/>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6"/>
              </w:rPr>
              <w:t>Item 6—Exhibits</w:t>
            </w:r>
          </w:p>
        </w:tc>
        <w:tc>
          <w:tcPr>
            <w:tcW w:w="8420" w:type="dxa"/>
            <w:vAlign w:val="bottom"/>
            <w:gridSpan w:val="16"/>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5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19"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Statements contained in this Quarterly Report on Form 10-Q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214" w:lineRule="exact"/>
        <w:rPr>
          <w:sz w:val="20"/>
          <w:szCs w:val="20"/>
          <w:color w:val="auto"/>
        </w:rPr>
      </w:pPr>
    </w:p>
    <w:p>
      <w:pPr>
        <w:ind w:right="20" w:firstLine="318"/>
        <w:spacing w:after="0" w:line="264" w:lineRule="auto"/>
        <w:rPr>
          <w:sz w:val="20"/>
          <w:szCs w:val="20"/>
          <w:color w:val="auto"/>
        </w:rPr>
      </w:pPr>
      <w:r>
        <w:rPr>
          <w:rFonts w:ascii="Times New Roman" w:cs="Times New Roman" w:eastAsia="Times New Roman" w:hAnsi="Times New Roman"/>
          <w:sz w:val="17"/>
          <w:szCs w:val="17"/>
          <w:color w:val="auto"/>
        </w:rPr>
        <w:t>Factors that could cause actual results to differ materially from the projections, forecasts, estimates and expectations discussed in this Quarterly Report on Form 10-Q include, among other things: uncertainty regarding the duration and severity of the ongoing COVID-19 pandemic (including the emergence of variant strains) and its ultimate impact on our business; general economic conditions, including the impact of inflation; our level of indebtedness; compliance with the terms of our securitized debt; our ability to refinance our current indebtedness or obtain additional financing; our dependence on information technology; potential cyber incidents; the implementation of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forecasting of appropriate inventory levels; development and implementation of innovative marketing and use of social media; changing health or dietary preference of consumers; risks associated with doing business in international markets; the results of litigation and other legal proceedings; third-party claims with respect to intellectual property assets; delivery initiatives and use of third-party delivery vendors; our allocation of human capital and our ability to attract and retain management and other key employees; compliance with federal, state and local governmental regulations; risks associated with our self-insurance; natural disasters or other serious incidents; our success with development initiatives outside of our core business; the adequacy of our internal controls over financial reporting and future changes in accounting standards; and other matters in the “Risk Factors” section of this report and our Annual Report on Form 10-K for the fiscal year ended December 31, 2021 and in our other filings with the Securities and Exchange Commission, many of which are beyond our control.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Quarter End</w:t>
      </w:r>
    </w:p>
    <w:p>
      <w:pPr>
        <w:spacing w:after="0" w:line="246" w:lineRule="exact"/>
        <w:rPr>
          <w:sz w:val="20"/>
          <w:szCs w:val="20"/>
          <w:color w:val="auto"/>
        </w:rPr>
      </w:pPr>
    </w:p>
    <w:p>
      <w:pPr>
        <w:ind w:right="140" w:firstLine="318"/>
        <w:spacing w:after="0" w:line="255" w:lineRule="auto"/>
        <w:rPr>
          <w:sz w:val="20"/>
          <w:szCs w:val="20"/>
          <w:color w:val="auto"/>
        </w:rPr>
      </w:pPr>
      <w:r>
        <w:rPr>
          <w:rFonts w:ascii="Times New Roman" w:cs="Times New Roman" w:eastAsia="Times New Roman" w:hAnsi="Times New Roman"/>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2022 began on January 3, 2022 and ended on April 3, 2022; the second fiscal quarter of 2022 ended on July 3, 2022. The first fiscal quarter of 2021 began on January 4, 2021 and ended on April 4, 2021; the second fiscal quarter of 2021 ended on July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jc w:val="center"/>
        <w:ind w:right="-19"/>
        <w:spacing w:after="0" w:line="217" w:lineRule="auto"/>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60" w:type="dxa"/>
            <w:vAlign w:val="bottom"/>
          </w:tcPr>
          <w:p>
            <w:pPr>
              <w:spacing w:after="0"/>
              <w:rPr>
                <w:sz w:val="18"/>
                <w:szCs w:val="18"/>
                <w:color w:val="auto"/>
              </w:rPr>
            </w:pPr>
          </w:p>
        </w:tc>
        <w:tc>
          <w:tcPr>
            <w:tcW w:w="160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06"/>
        </w:trPr>
        <w:tc>
          <w:tcPr>
            <w:tcW w:w="7460" w:type="dxa"/>
            <w:vAlign w:val="bottom"/>
          </w:tcPr>
          <w:p>
            <w:pPr>
              <w:ind w:left="34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rPr>
              <w:t>(Unaudited)</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263,536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361,412</w:t>
            </w:r>
          </w:p>
        </w:tc>
        <w:tc>
          <w:tcPr>
            <w:tcW w:w="0" w:type="dxa"/>
            <w:vAlign w:val="bottom"/>
          </w:tcPr>
          <w:p>
            <w:pPr>
              <w:spacing w:after="0"/>
              <w:rPr>
                <w:sz w:val="1"/>
                <w:szCs w:val="1"/>
                <w:color w:val="auto"/>
              </w:rPr>
            </w:pPr>
          </w:p>
        </w:tc>
      </w:tr>
      <w:tr>
        <w:trPr>
          <w:trHeight w:val="210"/>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of $4,500 (2022) and $4,959 (2021)</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119,968</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47,541</w:t>
            </w:r>
          </w:p>
        </w:tc>
        <w:tc>
          <w:tcPr>
            <w:tcW w:w="0" w:type="dxa"/>
            <w:vAlign w:val="bottom"/>
          </w:tcPr>
          <w:p>
            <w:pPr>
              <w:spacing w:after="0"/>
              <w:rPr>
                <w:sz w:val="1"/>
                <w:szCs w:val="1"/>
                <w:color w:val="auto"/>
              </w:rPr>
            </w:pPr>
          </w:p>
        </w:tc>
      </w:tr>
      <w:tr>
        <w:trPr>
          <w:trHeight w:val="210"/>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gift card costs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28,175</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income taxes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10,529</w:t>
            </w: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12,710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6,728</w:t>
            </w:r>
          </w:p>
        </w:tc>
        <w:tc>
          <w:tcPr>
            <w:tcW w:w="0" w:type="dxa"/>
            <w:vAlign w:val="bottom"/>
          </w:tcPr>
          <w:p>
            <w:pPr>
              <w:spacing w:after="0"/>
              <w:rPr>
                <w:sz w:val="1"/>
                <w:szCs w:val="1"/>
                <w:color w:val="auto"/>
              </w:rPr>
            </w:pPr>
          </w:p>
        </w:tc>
      </w:tr>
      <w:tr>
        <w:trPr>
          <w:trHeight w:val="207"/>
        </w:trPr>
        <w:tc>
          <w:tcPr>
            <w:tcW w:w="7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449,828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574,353</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534,247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539,390</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335,428</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251,628</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179,411</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rent receivable</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50,257</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receivables, net of allowance of $5,713 (2022) and $6,897 (2021)</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42,493</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restricted cash</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16,400</w:t>
            </w:r>
          </w:p>
        </w:tc>
        <w:tc>
          <w:tcPr>
            <w:tcW w:w="0" w:type="dxa"/>
            <w:vAlign w:val="bottom"/>
          </w:tcPr>
          <w:p>
            <w:pPr>
              <w:spacing w:after="0"/>
              <w:rPr>
                <w:sz w:val="1"/>
                <w:szCs w:val="1"/>
                <w:color w:val="auto"/>
              </w:rPr>
            </w:pPr>
          </w:p>
        </w:tc>
      </w:tr>
      <w:tr>
        <w:trPr>
          <w:trHeight w:val="21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10,006</w:t>
            </w:r>
          </w:p>
        </w:tc>
        <w:tc>
          <w:tcPr>
            <w:tcW w:w="0" w:type="dxa"/>
            <w:vAlign w:val="bottom"/>
          </w:tcPr>
          <w:p>
            <w:pPr>
              <w:spacing w:after="0"/>
              <w:rPr>
                <w:sz w:val="1"/>
                <w:szCs w:val="1"/>
                <w:color w:val="auto"/>
              </w:rPr>
            </w:pPr>
          </w:p>
        </w:tc>
      </w:tr>
      <w:tr>
        <w:trPr>
          <w:trHeight w:val="207"/>
        </w:trPr>
        <w:tc>
          <w:tcPr>
            <w:tcW w:w="7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1,881,766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1,999,366</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246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55,956</w:t>
            </w:r>
          </w:p>
        </w:tc>
        <w:tc>
          <w:tcPr>
            <w:tcW w:w="0" w:type="dxa"/>
            <w:vAlign w:val="bottom"/>
          </w:tcPr>
          <w:p>
            <w:pPr>
              <w:spacing w:after="0"/>
              <w:rPr>
                <w:sz w:val="1"/>
                <w:szCs w:val="1"/>
                <w:color w:val="auto"/>
              </w:rPr>
            </w:pPr>
          </w:p>
        </w:tc>
      </w:tr>
      <w:tr>
        <w:trPr>
          <w:trHeight w:val="210"/>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Gift card liability</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165,530</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maturities of operating lease obligations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72,079</w:t>
            </w:r>
          </w:p>
        </w:tc>
        <w:tc>
          <w:tcPr>
            <w:tcW w:w="0" w:type="dxa"/>
            <w:vAlign w:val="bottom"/>
          </w:tcPr>
          <w:p>
            <w:pPr>
              <w:spacing w:after="0"/>
              <w:rPr>
                <w:sz w:val="1"/>
                <w:szCs w:val="1"/>
                <w:color w:val="auto"/>
              </w:rPr>
            </w:pPr>
          </w:p>
        </w:tc>
      </w:tr>
      <w:tr>
        <w:trPr>
          <w:trHeight w:val="210"/>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maturities of finance lease and financing obligations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10,693</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employee compensation and benefits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40,785</w:t>
            </w:r>
          </w:p>
        </w:tc>
        <w:tc>
          <w:tcPr>
            <w:tcW w:w="0" w:type="dxa"/>
            <w:vAlign w:val="bottom"/>
          </w:tcPr>
          <w:p>
            <w:pPr>
              <w:spacing w:after="0"/>
              <w:rPr>
                <w:sz w:val="1"/>
                <w:szCs w:val="1"/>
                <w:color w:val="auto"/>
              </w:rPr>
            </w:pPr>
          </w:p>
        </w:tc>
      </w:tr>
      <w:tr>
        <w:trPr>
          <w:trHeight w:val="210"/>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advertising</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33,752</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payable</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6,919</w:t>
            </w:r>
          </w:p>
        </w:tc>
        <w:tc>
          <w:tcPr>
            <w:tcW w:w="0" w:type="dxa"/>
            <w:vAlign w:val="bottom"/>
          </w:tcPr>
          <w:p>
            <w:pPr>
              <w:spacing w:after="0"/>
              <w:rPr>
                <w:sz w:val="1"/>
                <w:szCs w:val="1"/>
                <w:color w:val="auto"/>
              </w:rPr>
            </w:pPr>
          </w:p>
        </w:tc>
      </w:tr>
      <w:tr>
        <w:trPr>
          <w:trHeight w:val="210"/>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franchise revenue, short-term</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7,246</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accrued expenses</w:t>
            </w: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17,770</w:t>
            </w:r>
          </w:p>
        </w:tc>
        <w:tc>
          <w:tcPr>
            <w:tcW w:w="0" w:type="dxa"/>
            <w:vAlign w:val="bottom"/>
          </w:tcPr>
          <w:p>
            <w:pPr>
              <w:spacing w:after="0"/>
              <w:rPr>
                <w:sz w:val="1"/>
                <w:szCs w:val="1"/>
                <w:color w:val="auto"/>
              </w:rPr>
            </w:pPr>
          </w:p>
        </w:tc>
      </w:tr>
      <w:tr>
        <w:trPr>
          <w:trHeight w:val="203"/>
        </w:trPr>
        <w:tc>
          <w:tcPr>
            <w:tcW w:w="7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343,798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410,730</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1,280,747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1,279,623</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obligations, less current maturities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338,169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320,848</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obligations, less current maturities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59,625</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obligations, less current maturities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31,967</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76,228</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franchise revenue, long-term</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46,100</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17,052</w:t>
            </w:r>
          </w:p>
        </w:tc>
        <w:tc>
          <w:tcPr>
            <w:tcW w:w="0" w:type="dxa"/>
            <w:vAlign w:val="bottom"/>
          </w:tcPr>
          <w:p>
            <w:pPr>
              <w:spacing w:after="0"/>
              <w:rPr>
                <w:sz w:val="1"/>
                <w:szCs w:val="1"/>
                <w:color w:val="auto"/>
              </w:rPr>
            </w:pPr>
          </w:p>
        </w:tc>
      </w:tr>
      <w:tr>
        <w:trPr>
          <w:trHeight w:val="203"/>
        </w:trPr>
        <w:tc>
          <w:tcPr>
            <w:tcW w:w="74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2,190,422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2,242,173</w:t>
            </w:r>
          </w:p>
        </w:tc>
        <w:tc>
          <w:tcPr>
            <w:tcW w:w="0" w:type="dxa"/>
            <w:vAlign w:val="bottom"/>
          </w:tcPr>
          <w:p>
            <w:pPr>
              <w:spacing w:after="0"/>
              <w:rPr>
                <w:sz w:val="1"/>
                <w:szCs w:val="1"/>
                <w:color w:val="auto"/>
              </w:rPr>
            </w:pPr>
          </w:p>
        </w:tc>
      </w:tr>
      <w:tr>
        <w:trPr>
          <w:trHeight w:val="19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 $1 par value, 10,000,000 shares authorized; no shares issued or outstanding</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7460" w:type="dxa"/>
            <w:vAlign w:val="bottom"/>
          </w:tcPr>
          <w:p>
            <w:pPr>
              <w:ind w:left="220"/>
              <w:spacing w:after="0" w:line="159" w:lineRule="exact"/>
              <w:rPr>
                <w:sz w:val="20"/>
                <w:szCs w:val="20"/>
                <w:color w:val="auto"/>
              </w:rPr>
            </w:pPr>
            <w:r>
              <w:rPr>
                <w:rFonts w:ascii="Times New Roman" w:cs="Times New Roman" w:eastAsia="Times New Roman" w:hAnsi="Times New Roman"/>
                <w:sz w:val="16"/>
                <w:szCs w:val="16"/>
                <w:color w:val="auto"/>
              </w:rPr>
              <w:t>Common stock, $0.01 par value; shares: 40,000,000 authorized; June 30, 2022 - 24,974,835 issued, 15,823,390</w:t>
            </w:r>
          </w:p>
        </w:tc>
        <w:tc>
          <w:tcPr>
            <w:tcW w:w="28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0"/>
        </w:trPr>
        <w:tc>
          <w:tcPr>
            <w:tcW w:w="7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outstanding; December 31, 2021 - 24,992,275 issued, 17,163,946 outstanding</w:t>
            </w:r>
          </w:p>
        </w:tc>
        <w:tc>
          <w:tcPr>
            <w:tcW w:w="28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256,189</w:t>
            </w:r>
          </w:p>
        </w:tc>
        <w:tc>
          <w:tcPr>
            <w:tcW w:w="0" w:type="dxa"/>
            <w:vAlign w:val="bottom"/>
          </w:tcPr>
          <w:p>
            <w:pPr>
              <w:spacing w:after="0"/>
              <w:rPr>
                <w:sz w:val="1"/>
                <w:szCs w:val="1"/>
                <w:color w:val="auto"/>
              </w:rPr>
            </w:pPr>
          </w:p>
        </w:tc>
      </w:tr>
      <w:tr>
        <w:trPr>
          <w:trHeight w:val="210"/>
        </w:trPr>
        <w:tc>
          <w:tcPr>
            <w:tcW w:w="7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35,415</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Treasury stock, at cost; shares: June 30, 2022 - 9,151,445; December 31, 2021 - 7,828,329</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(630,321)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(534,602)</w:t>
            </w:r>
          </w:p>
        </w:tc>
        <w:tc>
          <w:tcPr>
            <w:tcW w:w="0" w:type="dxa"/>
            <w:vAlign w:val="bottom"/>
          </w:tcPr>
          <w:p>
            <w:pPr>
              <w:spacing w:after="0"/>
              <w:rPr>
                <w:sz w:val="1"/>
                <w:szCs w:val="1"/>
                <w:color w:val="auto"/>
              </w:rPr>
            </w:pPr>
          </w:p>
        </w:tc>
      </w:tr>
      <w:tr>
        <w:trPr>
          <w:trHeight w:val="205"/>
        </w:trPr>
        <w:tc>
          <w:tcPr>
            <w:tcW w:w="7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(308,656)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(242,807)</w:t>
            </w:r>
          </w:p>
        </w:tc>
        <w:tc>
          <w:tcPr>
            <w:tcW w:w="0" w:type="dxa"/>
            <w:vAlign w:val="bottom"/>
          </w:tcPr>
          <w:p>
            <w:pPr>
              <w:spacing w:after="0"/>
              <w:rPr>
                <w:sz w:val="1"/>
                <w:szCs w:val="1"/>
                <w:color w:val="auto"/>
              </w:rPr>
            </w:pPr>
          </w:p>
        </w:tc>
      </w:tr>
      <w:tr>
        <w:trPr>
          <w:trHeight w:val="207"/>
        </w:trPr>
        <w:tc>
          <w:tcPr>
            <w:tcW w:w="7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1,881,766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1,999,366</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the accompanying Notes to Consolidated Financial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4"/>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1"/>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Franchise revenues: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Royalties, franchise fees and other</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94,148</w:t>
            </w:r>
          </w:p>
        </w:tc>
        <w:tc>
          <w:tcPr>
            <w:tcW w:w="4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94,630</w:t>
            </w:r>
          </w:p>
        </w:tc>
        <w:tc>
          <w:tcPr>
            <w:tcW w:w="4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184,497</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174,721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Advertising revenues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144,994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franchise revenues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307,930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 restaurant sales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74,143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Rental revenues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 revenues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8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237,794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468,217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437,818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Franchise expenses: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Advertising expenses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133,209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Bad debt credit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franchise expenses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franchise expenses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144,200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 restaurant expenses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Rental expenses: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 from finance leases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Other rental expenses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42,452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rental expenses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Financing expenses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 of revenues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142,099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134,742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279,769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253,655</w:t>
            </w:r>
          </w:p>
        </w:tc>
        <w:tc>
          <w:tcPr>
            <w:tcW w:w="0" w:type="dxa"/>
            <w:vAlign w:val="bottom"/>
          </w:tcPr>
          <w:p>
            <w:pPr>
              <w:spacing w:after="0"/>
              <w:rPr>
                <w:sz w:val="1"/>
                <w:szCs w:val="1"/>
                <w:color w:val="auto"/>
              </w:rPr>
            </w:pPr>
          </w:p>
        </w:tc>
      </w:tr>
      <w:tr>
        <w:trPr>
          <w:trHeight w:val="218"/>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184,163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79,187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disposition of assets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9"/>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0" w:type="dxa"/>
            <w:vAlign w:val="bottom"/>
          </w:tcPr>
          <w:p>
            <w:pPr>
              <w:spacing w:after="0"/>
              <w:rPr>
                <w:sz w:val="1"/>
                <w:szCs w:val="1"/>
                <w:color w:val="auto"/>
              </w:rPr>
            </w:pPr>
          </w:p>
        </w:tc>
      </w:tr>
      <w:tr>
        <w:trPr>
          <w:trHeight w:val="218"/>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8"/>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48,808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54,963</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available to common stockholders:</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8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23,962</w:t>
            </w:r>
          </w:p>
        </w:tc>
        <w:tc>
          <w:tcPr>
            <w:tcW w:w="46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29,362</w:t>
            </w:r>
          </w:p>
        </w:tc>
        <w:tc>
          <w:tcPr>
            <w:tcW w:w="42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Net income allocated to unvested participating restricted stock</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23,289</w:t>
            </w:r>
          </w:p>
        </w:tc>
        <w:tc>
          <w:tcPr>
            <w:tcW w:w="12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28,705</w:t>
            </w:r>
          </w:p>
        </w:tc>
        <w:tc>
          <w:tcPr>
            <w:tcW w:w="12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available to common stockholders per share:</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60" w:type="dxa"/>
            <w:vAlign w:val="bottom"/>
            <w:gridSpan w:val="2"/>
            <w:vMerge w:val="continue"/>
          </w:tcPr>
          <w:p>
            <w:pPr>
              <w:spacing w:after="0"/>
              <w:rPr>
                <w:sz w:val="24"/>
                <w:szCs w:val="24"/>
                <w:color w:val="auto"/>
              </w:rPr>
            </w:pPr>
          </w:p>
        </w:tc>
        <w:tc>
          <w:tcPr>
            <w:tcW w:w="28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460" w:type="dxa"/>
            <w:vAlign w:val="bottom"/>
            <w:gridSpan w:val="2"/>
            <w:vMerge w:val="restart"/>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20" w:type="dxa"/>
            <w:vAlign w:val="bottom"/>
            <w:gridSpan w:val="2"/>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24"/>
                <w:szCs w:val="24"/>
                <w:color w:val="auto"/>
              </w:rPr>
            </w:pPr>
          </w:p>
        </w:tc>
        <w:tc>
          <w:tcPr>
            <w:tcW w:w="36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8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16,050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16,886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16,386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16,673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0"/>
                <w:szCs w:val="20"/>
                <w:color w:val="auto"/>
              </w:rPr>
            </w:pPr>
          </w:p>
        </w:tc>
        <w:tc>
          <w:tcPr>
            <w:tcW w:w="5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the accompanying Notes to Consolidated Financial Statements.</w:t>
      </w:r>
    </w:p>
    <w:p>
      <w:pPr>
        <w:sectPr>
          <w:pgSz w:w="11900" w:h="16838" w:orient="portrait"/>
          <w:cols w:equalWidth="0" w:num="1">
            <w:col w:w="11260"/>
          </w:cols>
          <w:pgMar w:left="30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91440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5"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32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Three Months Ended June 30, 2022</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60" w:type="dxa"/>
            <w:vAlign w:val="bottom"/>
          </w:tcPr>
          <w:p>
            <w:pPr>
              <w:spacing w:after="0"/>
              <w:rPr>
                <w:sz w:val="20"/>
                <w:szCs w:val="20"/>
                <w:color w:val="auto"/>
              </w:rPr>
            </w:pPr>
          </w:p>
        </w:tc>
        <w:tc>
          <w:tcPr>
            <w:tcW w:w="1820" w:type="dxa"/>
            <w:vAlign w:val="bottom"/>
            <w:gridSpan w:val="5"/>
          </w:tcPr>
          <w:p>
            <w:pPr>
              <w:ind w:left="44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5"/>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32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71"/>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2"/>
                <w:szCs w:val="12"/>
                <w:b w:val="1"/>
                <w:bCs w:val="1"/>
                <w:color w:val="auto"/>
              </w:rPr>
              <w:t>Other</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260" w:type="dxa"/>
            <w:vAlign w:val="bottom"/>
          </w:tcPr>
          <w:p>
            <w:pPr>
              <w:spacing w:after="0"/>
              <w:rPr>
                <w:sz w:val="11"/>
                <w:szCs w:val="11"/>
                <w:color w:val="auto"/>
              </w:rPr>
            </w:pPr>
          </w:p>
        </w:tc>
        <w:tc>
          <w:tcPr>
            <w:tcW w:w="106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2"/>
                <w:szCs w:val="12"/>
                <w:b w:val="1"/>
                <w:bCs w:val="1"/>
                <w:color w:val="auto"/>
                <w:w w:val="97"/>
              </w:rPr>
              <w:t>Shares</w:t>
            </w:r>
          </w:p>
        </w:tc>
        <w:tc>
          <w:tcPr>
            <w:tcW w:w="100" w:type="dxa"/>
            <w:vAlign w:val="bottom"/>
          </w:tcPr>
          <w:p>
            <w:pPr>
              <w:spacing w:after="0"/>
              <w:rPr>
                <w:sz w:val="11"/>
                <w:szCs w:val="11"/>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1"/>
                <w:szCs w:val="11"/>
                <w:color w:val="auto"/>
              </w:rPr>
            </w:pPr>
          </w:p>
        </w:tc>
        <w:tc>
          <w:tcPr>
            <w:tcW w:w="740" w:type="dxa"/>
            <w:vAlign w:val="bottom"/>
          </w:tcPr>
          <w:p>
            <w:pPr>
              <w:jc w:val="right"/>
              <w:ind w:right="151"/>
              <w:spacing w:after="0" w:line="133" w:lineRule="exact"/>
              <w:rPr>
                <w:sz w:val="20"/>
                <w:szCs w:val="20"/>
                <w:color w:val="auto"/>
              </w:rPr>
            </w:pPr>
            <w:r>
              <w:rPr>
                <w:rFonts w:ascii="Times New Roman" w:cs="Times New Roman" w:eastAsia="Times New Roman" w:hAnsi="Times New Roman"/>
                <w:sz w:val="12"/>
                <w:szCs w:val="12"/>
                <w:b w:val="1"/>
                <w:bCs w:val="1"/>
                <w:color w:val="auto"/>
              </w:rPr>
              <w:t>Paid-in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Retained Earnings</w:t>
            </w: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1"/>
                <w:szCs w:val="11"/>
                <w:color w:val="auto"/>
              </w:rPr>
            </w:pP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60" w:type="dxa"/>
            <w:vAlign w:val="bottom"/>
          </w:tcPr>
          <w:p>
            <w:pPr>
              <w:spacing w:after="0"/>
              <w:rPr>
                <w:sz w:val="11"/>
                <w:szCs w:val="11"/>
                <w:color w:val="auto"/>
              </w:rPr>
            </w:pPr>
          </w:p>
        </w:tc>
        <w:tc>
          <w:tcPr>
            <w:tcW w:w="680" w:type="dxa"/>
            <w:vAlign w:val="bottom"/>
            <w:vMerge w:val="restart"/>
          </w:tcPr>
          <w:p>
            <w:pPr>
              <w:jc w:val="right"/>
              <w:ind w:right="23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7"/>
        </w:trPr>
        <w:tc>
          <w:tcPr>
            <w:tcW w:w="326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51"/>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Loss</w:t>
            </w:r>
          </w:p>
        </w:tc>
        <w:tc>
          <w:tcPr>
            <w:tcW w:w="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9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16,746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250,150</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52,516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8,245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(568,028)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(265,172)</w:t>
            </w: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23,962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23,962</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Purchase of common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(62,608)</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3,986</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(8,213)</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2022</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15,823</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253,213</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68,265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9,151</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(630,321)</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(308,656)</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2022</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340" w:type="dxa"/>
            <w:vAlign w:val="bottom"/>
          </w:tcPr>
          <w:p>
            <w:pPr>
              <w:spacing w:after="0"/>
              <w:rPr>
                <w:sz w:val="16"/>
                <w:szCs w:val="16"/>
                <w:color w:val="auto"/>
              </w:rPr>
            </w:pPr>
          </w:p>
        </w:tc>
        <w:tc>
          <w:tcPr>
            <w:tcW w:w="1840" w:type="dxa"/>
            <w:vAlign w:val="bottom"/>
            <w:gridSpan w:val="5"/>
          </w:tcPr>
          <w:p>
            <w:pPr>
              <w:ind w:left="4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5"/>
          </w:tcPr>
          <w:p>
            <w:pPr>
              <w:ind w:left="40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3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2"/>
                <w:szCs w:val="12"/>
                <w:b w:val="1"/>
                <w:bCs w:val="1"/>
                <w:color w:val="auto"/>
              </w:rPr>
              <w:t>Paid-in</w:t>
            </w: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334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Retained Earnings</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00" w:type="dxa"/>
            <w:vAlign w:val="bottom"/>
          </w:tcPr>
          <w:p>
            <w:pPr>
              <w:spacing w:after="0"/>
              <w:rPr>
                <w:sz w:val="15"/>
                <w:szCs w:val="15"/>
                <w:color w:val="auto"/>
              </w:rPr>
            </w:pPr>
          </w:p>
        </w:tc>
        <w:tc>
          <w:tcPr>
            <w:tcW w:w="740" w:type="dxa"/>
            <w:vAlign w:val="bottom"/>
          </w:tcPr>
          <w:p>
            <w:pPr>
              <w:jc w:val="right"/>
              <w:ind w:right="27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99"/>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256,189</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35,415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(534,602)</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(242,807)</w:t>
            </w:r>
          </w:p>
        </w:tc>
        <w:tc>
          <w:tcPr>
            <w:tcW w:w="0" w:type="dxa"/>
            <w:vAlign w:val="bottom"/>
          </w:tcPr>
          <w:p>
            <w:pPr>
              <w:spacing w:after="0"/>
              <w:rPr>
                <w:sz w:val="1"/>
                <w:szCs w:val="1"/>
                <w:color w:val="auto"/>
              </w:rPr>
            </w:pPr>
          </w:p>
        </w:tc>
      </w:tr>
      <w:tr>
        <w:trPr>
          <w:trHeight w:val="21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48,812</w:t>
            </w:r>
          </w:p>
        </w:tc>
        <w:tc>
          <w:tcPr>
            <w:tcW w:w="0" w:type="dxa"/>
            <w:vAlign w:val="bottom"/>
          </w:tcPr>
          <w:p>
            <w:pPr>
              <w:spacing w:after="0"/>
              <w:rPr>
                <w:sz w:val="1"/>
                <w:szCs w:val="1"/>
                <w:color w:val="auto"/>
              </w:rPr>
            </w:pPr>
          </w:p>
        </w:tc>
      </w:tr>
      <w:tr>
        <w:trPr>
          <w:trHeight w:val="214"/>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1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common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(104,053)</w:t>
            </w:r>
          </w:p>
        </w:tc>
        <w:tc>
          <w:tcPr>
            <w:tcW w:w="0" w:type="dxa"/>
            <w:vAlign w:val="bottom"/>
          </w:tcPr>
          <w:p>
            <w:pPr>
              <w:spacing w:after="0"/>
              <w:rPr>
                <w:sz w:val="1"/>
                <w:szCs w:val="1"/>
                <w:color w:val="auto"/>
              </w:rPr>
            </w:pPr>
          </w:p>
        </w:tc>
      </w:tr>
      <w:tr>
        <w:trPr>
          <w:trHeight w:val="214"/>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21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4"/>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0" w:type="dxa"/>
            <w:vAlign w:val="bottom"/>
          </w:tcPr>
          <w:p>
            <w:pPr>
              <w:spacing w:after="0"/>
              <w:rPr>
                <w:sz w:val="1"/>
                <w:szCs w:val="1"/>
                <w:color w:val="auto"/>
              </w:rPr>
            </w:pPr>
          </w:p>
        </w:tc>
      </w:tr>
      <w:tr>
        <w:trPr>
          <w:trHeight w:val="225"/>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8,327</w:t>
            </w: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(15,866)</w:t>
            </w:r>
          </w:p>
        </w:tc>
        <w:tc>
          <w:tcPr>
            <w:tcW w:w="0" w:type="dxa"/>
            <w:vAlign w:val="bottom"/>
          </w:tcPr>
          <w:p>
            <w:pPr>
              <w:spacing w:after="0"/>
              <w:rPr>
                <w:sz w:val="1"/>
                <w:szCs w:val="1"/>
                <w:color w:val="auto"/>
              </w:rPr>
            </w:pPr>
          </w:p>
        </w:tc>
      </w:tr>
      <w:tr>
        <w:trPr>
          <w:trHeight w:val="159"/>
        </w:trPr>
        <w:tc>
          <w:tcPr>
            <w:tcW w:w="334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0" w:type="dxa"/>
            <w:vAlign w:val="bottom"/>
          </w:tcPr>
          <w:p>
            <w:pPr>
              <w:spacing w:after="0"/>
              <w:rPr>
                <w:sz w:val="1"/>
                <w:szCs w:val="1"/>
                <w:color w:val="auto"/>
              </w:rPr>
            </w:pPr>
          </w:p>
        </w:tc>
      </w:tr>
      <w:tr>
        <w:trPr>
          <w:trHeight w:val="219"/>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(630,321)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(308,656)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the accompanying Notes to Consolidated Financial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32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Three Months Ended June 30, 2021</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40" w:type="dxa"/>
            <w:vAlign w:val="bottom"/>
          </w:tcPr>
          <w:p>
            <w:pPr>
              <w:spacing w:after="0"/>
              <w:rPr>
                <w:sz w:val="20"/>
                <w:szCs w:val="20"/>
                <w:color w:val="auto"/>
              </w:rPr>
            </w:pPr>
          </w:p>
        </w:tc>
        <w:tc>
          <w:tcPr>
            <w:tcW w:w="1840" w:type="dxa"/>
            <w:vAlign w:val="bottom"/>
            <w:gridSpan w:val="5"/>
          </w:tcPr>
          <w:p>
            <w:pPr>
              <w:ind w:left="4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5"/>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72"/>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Retained Earnings</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2"/>
                <w:szCs w:val="12"/>
                <w:b w:val="1"/>
                <w:bCs w:val="1"/>
                <w:color w:val="auto"/>
              </w:rPr>
              <w:t>Other</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240" w:type="dxa"/>
            <w:vAlign w:val="bottom"/>
          </w:tcPr>
          <w:p>
            <w:pPr>
              <w:spacing w:after="0"/>
              <w:rPr>
                <w:sz w:val="11"/>
                <w:szCs w:val="11"/>
                <w:color w:val="auto"/>
              </w:rPr>
            </w:pPr>
          </w:p>
        </w:tc>
        <w:tc>
          <w:tcPr>
            <w:tcW w:w="106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1"/>
                <w:szCs w:val="11"/>
                <w:color w:val="auto"/>
              </w:rPr>
            </w:pPr>
          </w:p>
        </w:tc>
        <w:tc>
          <w:tcPr>
            <w:tcW w:w="740" w:type="dxa"/>
            <w:vAlign w:val="bottom"/>
          </w:tcPr>
          <w:p>
            <w:pPr>
              <w:jc w:val="right"/>
              <w:ind w:right="172"/>
              <w:spacing w:after="0" w:line="133" w:lineRule="exact"/>
              <w:rPr>
                <w:sz w:val="20"/>
                <w:szCs w:val="20"/>
                <w:color w:val="auto"/>
              </w:rPr>
            </w:pPr>
            <w:r>
              <w:rPr>
                <w:rFonts w:ascii="Times New Roman" w:cs="Times New Roman" w:eastAsia="Times New Roman" w:hAnsi="Times New Roman"/>
                <w:sz w:val="12"/>
                <w:szCs w:val="12"/>
                <w:b w:val="1"/>
                <w:bCs w:val="1"/>
                <w:color w:val="auto"/>
              </w:rPr>
              <w:t>Paid-in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1"/>
                <w:szCs w:val="11"/>
                <w:color w:val="auto"/>
              </w:rPr>
            </w:pP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60" w:type="dxa"/>
            <w:vAlign w:val="bottom"/>
          </w:tcPr>
          <w:p>
            <w:pPr>
              <w:spacing w:after="0"/>
              <w:rPr>
                <w:sz w:val="11"/>
                <w:szCs w:val="11"/>
                <w:color w:val="auto"/>
              </w:rPr>
            </w:pPr>
          </w:p>
        </w:tc>
        <w:tc>
          <w:tcPr>
            <w:tcW w:w="680" w:type="dxa"/>
            <w:vAlign w:val="bottom"/>
            <w:vMerge w:val="restart"/>
          </w:tcPr>
          <w:p>
            <w:pPr>
              <w:jc w:val="right"/>
              <w:ind w:right="23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7"/>
        </w:trPr>
        <w:tc>
          <w:tcPr>
            <w:tcW w:w="324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Loss</w:t>
            </w:r>
          </w:p>
        </w:tc>
        <w:tc>
          <w:tcPr>
            <w:tcW w:w="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247,498</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(29,950)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7,891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(535,144)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(317,402)</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29,362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29,362</w:t>
            </w: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3,027</w:t>
            </w: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w:t>
            </w:r>
          </w:p>
        </w:tc>
        <w:tc>
          <w:tcPr>
            <w:tcW w:w="0" w:type="dxa"/>
            <w:vAlign w:val="bottom"/>
          </w:tcPr>
          <w:p>
            <w:pPr>
              <w:spacing w:after="0"/>
              <w:rPr>
                <w:sz w:val="1"/>
                <w:szCs w:val="1"/>
                <w:color w:val="auto"/>
              </w:rPr>
            </w:pPr>
          </w:p>
        </w:tc>
      </w:tr>
      <w:tr>
        <w:trPr>
          <w:trHeight w:val="159"/>
        </w:trPr>
        <w:tc>
          <w:tcPr>
            <w:tcW w:w="324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stock units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19"/>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250,509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7,833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(532,865)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(282,751)</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3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2021</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1860" w:type="dxa"/>
            <w:vAlign w:val="bottom"/>
            <w:gridSpan w:val="5"/>
          </w:tcPr>
          <w:p>
            <w:pPr>
              <w:ind w:left="4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5"/>
          </w:tcPr>
          <w:p>
            <w:pPr>
              <w:ind w:left="40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3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Retained Earnings</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332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00" w:type="dxa"/>
            <w:vAlign w:val="bottom"/>
          </w:tcPr>
          <w:p>
            <w:pPr>
              <w:spacing w:after="0"/>
              <w:rPr>
                <w:sz w:val="15"/>
                <w:szCs w:val="15"/>
                <w:color w:val="auto"/>
              </w:rPr>
            </w:pPr>
          </w:p>
        </w:tc>
        <w:tc>
          <w:tcPr>
            <w:tcW w:w="740" w:type="dxa"/>
            <w:vAlign w:val="bottom"/>
          </w:tcPr>
          <w:p>
            <w:pPr>
              <w:jc w:val="right"/>
              <w:ind w:right="27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99"/>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257,625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(55,553)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(556,917)</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(354,651)</w:t>
            </w:r>
          </w:p>
        </w:tc>
        <w:tc>
          <w:tcPr>
            <w:tcW w:w="0" w:type="dxa"/>
            <w:vAlign w:val="bottom"/>
          </w:tcPr>
          <w:p>
            <w:pPr>
              <w:spacing w:after="0"/>
              <w:rPr>
                <w:sz w:val="1"/>
                <w:szCs w:val="1"/>
                <w:color w:val="auto"/>
              </w:rPr>
            </w:pPr>
          </w:p>
        </w:tc>
      </w:tr>
      <w:tr>
        <w:trPr>
          <w:trHeight w:val="210"/>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54,965</w:t>
            </w:r>
          </w:p>
        </w:tc>
        <w:tc>
          <w:tcPr>
            <w:tcW w:w="0" w:type="dxa"/>
            <w:vAlign w:val="bottom"/>
          </w:tcPr>
          <w:p>
            <w:pPr>
              <w:spacing w:after="0"/>
              <w:rPr>
                <w:sz w:val="1"/>
                <w:szCs w:val="1"/>
                <w:color w:val="auto"/>
              </w:rPr>
            </w:pPr>
          </w:p>
        </w:tc>
      </w:tr>
      <w:tr>
        <w:trPr>
          <w:trHeight w:val="214"/>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0"/>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22,511</w:t>
            </w:r>
          </w:p>
        </w:tc>
        <w:tc>
          <w:tcPr>
            <w:tcW w:w="0" w:type="dxa"/>
            <w:vAlign w:val="bottom"/>
          </w:tcPr>
          <w:p>
            <w:pPr>
              <w:spacing w:after="0"/>
              <w:rPr>
                <w:sz w:val="1"/>
                <w:szCs w:val="1"/>
                <w:color w:val="auto"/>
              </w:rPr>
            </w:pPr>
          </w:p>
        </w:tc>
      </w:tr>
      <w:tr>
        <w:trPr>
          <w:trHeight w:val="214"/>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0" w:type="dxa"/>
            <w:vAlign w:val="bottom"/>
          </w:tcPr>
          <w:p>
            <w:pPr>
              <w:spacing w:after="0"/>
              <w:rPr>
                <w:sz w:val="1"/>
                <w:szCs w:val="1"/>
                <w:color w:val="auto"/>
              </w:rPr>
            </w:pPr>
          </w:p>
        </w:tc>
      </w:tr>
      <w:tr>
        <w:trPr>
          <w:trHeight w:val="214"/>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5,612</w:t>
            </w:r>
          </w:p>
        </w:tc>
        <w:tc>
          <w:tcPr>
            <w:tcW w:w="0" w:type="dxa"/>
            <w:vAlign w:val="bottom"/>
          </w:tcPr>
          <w:p>
            <w:pPr>
              <w:spacing w:after="0"/>
              <w:rPr>
                <w:sz w:val="1"/>
                <w:szCs w:val="1"/>
                <w:color w:val="auto"/>
              </w:rPr>
            </w:pPr>
          </w:p>
        </w:tc>
      </w:tr>
      <w:tr>
        <w:trPr>
          <w:trHeight w:val="159"/>
        </w:trPr>
        <w:tc>
          <w:tcPr>
            <w:tcW w:w="33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(9,783)</w:t>
            </w:r>
          </w:p>
        </w:tc>
        <w:tc>
          <w:tcPr>
            <w:tcW w:w="0" w:type="dxa"/>
            <w:vAlign w:val="bottom"/>
          </w:tcPr>
          <w:p>
            <w:pPr>
              <w:spacing w:after="0"/>
              <w:rPr>
                <w:sz w:val="1"/>
                <w:szCs w:val="1"/>
                <w:color w:val="auto"/>
              </w:rPr>
            </w:pPr>
          </w:p>
        </w:tc>
      </w:tr>
      <w:tr>
        <w:trPr>
          <w:trHeight w:val="219"/>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(532,865)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(282,751)</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the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gridSpan w:val="4"/>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8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6"/>
        </w:trPr>
        <w:tc>
          <w:tcPr>
            <w:tcW w:w="8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54,965</w:t>
            </w:r>
          </w:p>
        </w:tc>
        <w:tc>
          <w:tcPr>
            <w:tcW w:w="0" w:type="dxa"/>
            <w:vAlign w:val="bottom"/>
          </w:tcPr>
          <w:p>
            <w:pPr>
              <w:spacing w:after="0"/>
              <w:rPr>
                <w:sz w:val="1"/>
                <w:szCs w:val="1"/>
                <w:color w:val="auto"/>
              </w:rPr>
            </w:pPr>
          </w:p>
        </w:tc>
      </w:tr>
      <w:tr>
        <w:trPr>
          <w:trHeight w:val="225"/>
        </w:trPr>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cash flows provided by operating 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19,976</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Non-cash closure and impairment charges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(Gain) loss on disposition of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rent receivable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0" w:type="dxa"/>
            <w:vAlign w:val="bottom"/>
          </w:tcPr>
          <w:p>
            <w:pPr>
              <w:spacing w:after="0"/>
              <w:rPr>
                <w:sz w:val="1"/>
                <w:szCs w:val="1"/>
                <w:color w:val="auto"/>
              </w:rPr>
            </w:pPr>
          </w:p>
        </w:tc>
      </w:tr>
      <w:tr>
        <w:trPr>
          <w:trHeight w:val="225"/>
        </w:trPr>
        <w:tc>
          <w:tcPr>
            <w:tcW w:w="8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Current income tax receivables and payables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Gift card receivables and payables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0" w:type="dxa"/>
            <w:vAlign w:val="bottom"/>
          </w:tcPr>
          <w:p>
            <w:pPr>
              <w:spacing w:after="0"/>
              <w:rPr>
                <w:sz w:val="1"/>
                <w:szCs w:val="1"/>
                <w:color w:val="auto"/>
              </w:rPr>
            </w:pPr>
          </w:p>
        </w:tc>
      </w:tr>
      <w:tr>
        <w:trPr>
          <w:trHeight w:val="225"/>
        </w:trPr>
        <w:tc>
          <w:tcPr>
            <w:tcW w:w="8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0" w:type="dxa"/>
            <w:vAlign w:val="bottom"/>
          </w:tcPr>
          <w:p>
            <w:pPr>
              <w:spacing w:after="0"/>
              <w:rPr>
                <w:sz w:val="1"/>
                <w:szCs w:val="1"/>
                <w:color w:val="auto"/>
              </w:rPr>
            </w:pPr>
          </w:p>
        </w:tc>
      </w:tr>
      <w:tr>
        <w:trPr>
          <w:trHeight w:val="225"/>
        </w:trPr>
        <w:tc>
          <w:tcPr>
            <w:tcW w:w="8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Operating lease assets and liabilities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25"/>
        </w:trPr>
        <w:tc>
          <w:tcPr>
            <w:tcW w:w="8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advertising</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31,066</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0" w:type="dxa"/>
            <w:vAlign w:val="bottom"/>
          </w:tcPr>
          <w:p>
            <w:pPr>
              <w:spacing w:after="0"/>
              <w:rPr>
                <w:sz w:val="1"/>
                <w:szCs w:val="1"/>
                <w:color w:val="auto"/>
              </w:rPr>
            </w:pPr>
          </w:p>
        </w:tc>
      </w:tr>
      <w:tr>
        <w:trPr>
          <w:trHeight w:val="218"/>
        </w:trPr>
        <w:tc>
          <w:tcPr>
            <w:tcW w:w="878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106,016</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Principal receipts from notes, equipment contracts and other long-term receivables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additions to property and equipment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Additions to long-term receivables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7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Cash flows (used in) provided by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0" w:type="dxa"/>
            <w:vAlign w:val="bottom"/>
          </w:tcPr>
          <w:p>
            <w:pPr>
              <w:spacing w:after="0"/>
              <w:rPr>
                <w:sz w:val="1"/>
                <w:szCs w:val="1"/>
                <w:color w:val="auto"/>
              </w:rPr>
            </w:pPr>
          </w:p>
        </w:tc>
      </w:tr>
      <w:tr>
        <w:trPr>
          <w:trHeight w:val="218"/>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Repayment of revolving credit facility</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22,511</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Repurchase of restricted stock for tax payments upon vesting</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25"/>
        </w:trPr>
        <w:tc>
          <w:tcPr>
            <w:tcW w:w="87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Tax payments for share settlement of restricted stock units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0" w:type="dxa"/>
            <w:vAlign w:val="bottom"/>
          </w:tcPr>
          <w:p>
            <w:pPr>
              <w:spacing w:after="0"/>
              <w:rPr>
                <w:sz w:val="1"/>
                <w:szCs w:val="1"/>
                <w:color w:val="auto"/>
              </w:rPr>
            </w:pPr>
          </w:p>
        </w:tc>
      </w:tr>
      <w:tr>
        <w:trPr>
          <w:trHeight w:val="218"/>
        </w:trPr>
        <w:tc>
          <w:tcPr>
            <w:tcW w:w="87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(124,743)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(220,419)</w:t>
            </w:r>
          </w:p>
        </w:tc>
        <w:tc>
          <w:tcPr>
            <w:tcW w:w="0" w:type="dxa"/>
            <w:vAlign w:val="bottom"/>
          </w:tcPr>
          <w:p>
            <w:pPr>
              <w:spacing w:after="0"/>
              <w:rPr>
                <w:sz w:val="1"/>
                <w:szCs w:val="1"/>
                <w:color w:val="auto"/>
              </w:rPr>
            </w:pPr>
          </w:p>
        </w:tc>
      </w:tr>
      <w:tr>
        <w:trPr>
          <w:trHeight w:val="218"/>
        </w:trPr>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(108,055)</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425,353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456,053</w:t>
            </w:r>
          </w:p>
        </w:tc>
        <w:tc>
          <w:tcPr>
            <w:tcW w:w="0" w:type="dxa"/>
            <w:vAlign w:val="bottom"/>
          </w:tcPr>
          <w:p>
            <w:pPr>
              <w:spacing w:after="0"/>
              <w:rPr>
                <w:sz w:val="1"/>
                <w:szCs w:val="1"/>
                <w:color w:val="auto"/>
              </w:rPr>
            </w:pPr>
          </w:p>
        </w:tc>
      </w:tr>
      <w:tr>
        <w:trPr>
          <w:trHeight w:val="219"/>
        </w:trPr>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329,712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347,998</w:t>
            </w:r>
          </w:p>
        </w:tc>
        <w:tc>
          <w:tcPr>
            <w:tcW w:w="0" w:type="dxa"/>
            <w:vAlign w:val="bottom"/>
          </w:tcPr>
          <w:p>
            <w:pPr>
              <w:spacing w:after="0"/>
              <w:rPr>
                <w:sz w:val="1"/>
                <w:szCs w:val="1"/>
                <w:color w:val="auto"/>
              </w:rPr>
            </w:pPr>
          </w:p>
        </w:tc>
      </w:tr>
      <w:tr>
        <w:trPr>
          <w:trHeight w:val="20"/>
        </w:trPr>
        <w:tc>
          <w:tcPr>
            <w:tcW w:w="8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7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paid in cash</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31,701</w:t>
            </w:r>
          </w:p>
        </w:tc>
        <w:tc>
          <w:tcPr>
            <w:tcW w:w="12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33,405</w:t>
            </w: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taxes paid in cash</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13,341</w:t>
            </w:r>
          </w:p>
        </w:tc>
        <w:tc>
          <w:tcPr>
            <w:tcW w:w="0" w:type="dxa"/>
            <w:vAlign w:val="bottom"/>
          </w:tcPr>
          <w:p>
            <w:pPr>
              <w:spacing w:after="0"/>
              <w:rPr>
                <w:sz w:val="1"/>
                <w:szCs w:val="1"/>
                <w:color w:val="auto"/>
              </w:rPr>
            </w:pPr>
          </w:p>
        </w:tc>
      </w:tr>
      <w:tr>
        <w:trPr>
          <w:trHeight w:val="231"/>
        </w:trPr>
        <w:tc>
          <w:tcPr>
            <w:tcW w:w="8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Non-cash conversion of accounts receivable to notes receivable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219" w:lineRule="exact"/>
        <w:rPr>
          <w:sz w:val="20"/>
          <w:szCs w:val="20"/>
          <w:color w:val="auto"/>
        </w:rPr>
      </w:pPr>
    </w:p>
    <w:p>
      <w:pPr>
        <w:ind w:right="40" w:firstLine="318"/>
        <w:spacing w:after="0" w:line="239"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Dine Brands Global, Inc. (the “Company” or “Dine Brands Global”) have been prepared in accordance with United States generally accepted accounting principles (“U.S. GAAP”) for interim financial information and with the instructions to Form 10-Q and Article 10 of Regulation S-X. Accordingly, they do not include all the information and footnotes required by U.S. GAAP for complete financial statements. In the opinion of management, all adjustments (consisting of normal recurring accruals) considered necessary for a fair presentation have been included. The operating results for the six months ended June 30, 2022 are not necessarily indicative of the results that may be expected for the twelve months ending December 31, 2022.</w:t>
      </w:r>
    </w:p>
    <w:p>
      <w:pPr>
        <w:spacing w:after="0" w:line="181" w:lineRule="exact"/>
        <w:rPr>
          <w:sz w:val="20"/>
          <w:szCs w:val="20"/>
          <w:color w:val="auto"/>
        </w:rPr>
      </w:pPr>
    </w:p>
    <w:p>
      <w:pPr>
        <w:ind w:right="560" w:firstLine="318"/>
        <w:spacing w:after="0" w:line="258" w:lineRule="auto"/>
        <w:rPr>
          <w:sz w:val="20"/>
          <w:szCs w:val="20"/>
          <w:color w:val="auto"/>
        </w:rPr>
      </w:pPr>
      <w:r>
        <w:rPr>
          <w:rFonts w:ascii="Times New Roman" w:cs="Times New Roman" w:eastAsia="Times New Roman" w:hAnsi="Times New Roman"/>
          <w:sz w:val="18"/>
          <w:szCs w:val="18"/>
          <w:color w:val="auto"/>
        </w:rPr>
        <w:t>The consolidated balance sheet at December 31, 2021 has been derived from the audited consolidated financial statements at that date but does not include all of information and footnotes required by U.S. GAAP for complete financial statements.</w:t>
      </w:r>
    </w:p>
    <w:p>
      <w:pPr>
        <w:spacing w:after="0" w:line="164" w:lineRule="exact"/>
        <w:rPr>
          <w:sz w:val="20"/>
          <w:szCs w:val="20"/>
          <w:color w:val="auto"/>
        </w:rPr>
      </w:pPr>
    </w:p>
    <w:p>
      <w:pPr>
        <w:ind w:right="340" w:firstLine="318"/>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should be read in conjunction with the consolidated financial statements and footnotes thereto included in the Company’s Annual Report on Form 10-K for the year ended December 31, 2021.</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79" w:lineRule="exact"/>
        <w:rPr>
          <w:sz w:val="20"/>
          <w:szCs w:val="20"/>
          <w:color w:val="auto"/>
        </w:rPr>
      </w:pPr>
    </w:p>
    <w:p>
      <w:pPr>
        <w:ind w:right="160" w:firstLine="318"/>
        <w:spacing w:after="0" w:line="244" w:lineRule="auto"/>
        <w:rPr>
          <w:sz w:val="20"/>
          <w:szCs w:val="20"/>
          <w:color w:val="auto"/>
        </w:rPr>
      </w:pPr>
      <w:r>
        <w:rPr>
          <w:rFonts w:ascii="Times New Roman" w:cs="Times New Roman" w:eastAsia="Times New Roman" w:hAnsi="Times New Roman"/>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2022 began on January 3, 2022 and ended on April 3, 2022; the second fiscal quarter of 2022 ended on July 3, 2022. The first fiscal quarter of 2021 began on January 4, 2021 and ended on April 4, 2021; the second fiscal quarter of 2021 ended on July 4, 2021.</w:t>
      </w:r>
    </w:p>
    <w:p>
      <w:pPr>
        <w:spacing w:after="0" w:line="218" w:lineRule="exact"/>
        <w:rPr>
          <w:sz w:val="20"/>
          <w:szCs w:val="20"/>
          <w:color w:val="auto"/>
        </w:rPr>
      </w:pPr>
    </w:p>
    <w:p>
      <w:pPr>
        <w:ind w:right="240" w:firstLine="318"/>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that are consolidated in accordance with U.S. GAAP. All intercompany balances and transactions have been eliminated.</w:t>
      </w:r>
    </w:p>
    <w:p>
      <w:pPr>
        <w:spacing w:after="0" w:line="164" w:lineRule="exact"/>
        <w:rPr>
          <w:sz w:val="20"/>
          <w:szCs w:val="20"/>
          <w:color w:val="auto"/>
        </w:rPr>
      </w:pPr>
    </w:p>
    <w:p>
      <w:pPr>
        <w:ind w:right="60" w:firstLine="318"/>
        <w:spacing w:after="0"/>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assumptions and estimates that affect the reported amounts of assets and liabilities, disclosures of contingent assets and liabilities, if any, at the date of the consolidated financial statements, and the reported amounts of revenues and expenses during the reporting period. Significant estimates may include the calculation and assessment of the following: impairment of goodwill, other intangible assets and tangible assets; income taxes; allowance for credit losses on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34" w:lineRule="exact"/>
        <w:rPr>
          <w:sz w:val="20"/>
          <w:szCs w:val="20"/>
          <w:color w:val="auto"/>
        </w:rPr>
      </w:pPr>
    </w:p>
    <w:p>
      <w:pPr>
        <w:ind w:firstLine="318"/>
        <w:spacing w:after="0" w:line="227" w:lineRule="auto"/>
        <w:rPr>
          <w:sz w:val="20"/>
          <w:szCs w:val="20"/>
          <w:color w:val="auto"/>
        </w:rPr>
      </w:pPr>
      <w:r>
        <w:rPr>
          <w:rFonts w:ascii="Times New Roman" w:cs="Times New Roman" w:eastAsia="Times New Roman" w:hAnsi="Times New Roman"/>
          <w:sz w:val="18"/>
          <w:szCs w:val="18"/>
          <w:color w:val="auto"/>
        </w:rPr>
        <w:t>The Company was subject to risks and uncertainties as a result of the continuing outbreak of a novel strain of coronavirus, designated “COVID-19,” and evolving variants thereof. The extent of the continued impact of the COVID-19 pandemic on the Company's business remains uncertain and difficult to predict, as measures taken in response to and the effect of the pandemic have varied and continue to vary by country, state and municipalities within states. The Company first began to experience impacts from the COVID-19 pandemic in March 2020, as federal, state, local and international governments reacted to the public health crisis by encouraging social distancing and requiring, in varying degrees, restaurant dine-in limitations and other restrictions that largely limited the restaurants of the Company's franchisees and its company-operated restaurants to take-out and delivery sales during the initial stages of the pandemic. Subsequently, government-imposed dine-in restrictions have been relaxed or removed in many of the locations in which the Company operates as incidents of infection decline and vaccination rates increase within the respective governmental jurisdictions. As of June 30, 2022, substantially all domestic Applebee's Neighborhood Grill &amp; Bar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(“Applebee's”) and International House of Pancakes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(“IHOP”) were open and operating without government-mandated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(Continued)</w:t>
      </w:r>
    </w:p>
    <w:p>
      <w:pPr>
        <w:spacing w:after="0" w:line="200" w:lineRule="exact"/>
        <w:rPr>
          <w:sz w:val="20"/>
          <w:szCs w:val="20"/>
          <w:color w:val="auto"/>
        </w:rPr>
      </w:pPr>
    </w:p>
    <w:p>
      <w:pPr>
        <w:spacing w:after="0" w:line="303" w:lineRule="exact"/>
        <w:rPr>
          <w:sz w:val="20"/>
          <w:szCs w:val="20"/>
          <w:color w:val="auto"/>
        </w:rPr>
      </w:pPr>
    </w:p>
    <w:p>
      <w:pPr>
        <w:ind w:firstLine="318"/>
        <w:spacing w:after="0" w:line="239" w:lineRule="auto"/>
        <w:rPr>
          <w:sz w:val="20"/>
          <w:szCs w:val="20"/>
          <w:color w:val="auto"/>
        </w:rPr>
      </w:pPr>
      <w:r>
        <w:rPr>
          <w:rFonts w:ascii="Times New Roman" w:cs="Times New Roman" w:eastAsia="Times New Roman" w:hAnsi="Times New Roman"/>
          <w:sz w:val="18"/>
          <w:szCs w:val="18"/>
          <w:color w:val="auto"/>
        </w:rPr>
        <w:t>The severity of the continued impact of the COVID-19 pandemic on the Company's business will depend on a number of factors, including, but not limited to, how long the pandemic will last, whether/when recurrences of the virus and variants of the virus may arise, the availability and acceptance of vaccines, what restrictions on in-restaurant dining may be imposed or re-imposed, the timing and extent of customer re-engagement with the Company's brands and, in general, what the short- and long-term impact on consumer discretionary spending the COVID-19 pandemic might have on the Company and the restaurant industry as a whole, all of which are uncertain and cannot be predicted. The Company's future results of operations and liquidity could adversely be impacted by the resurgence of outbreaks of the virus and its variants that result in the re-imposition of dine-in restrictions, as well as the success of any initiatives or programs that the Company may undertake to address financial and operational challenges faced by itself and its franchisees. As such, the extent to which the COVID-19 pandemic may continue to materially impact the Company's financial condition, liquidity, or results of operations remains highly uncertain.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Accounting Standards Adopted and Newly Issued Accounting Standards Not Yet Adopted</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Adopted in the Current Fiscal Year</w:t>
      </w:r>
    </w:p>
    <w:p>
      <w:pPr>
        <w:spacing w:after="0" w:line="208" w:lineRule="exact"/>
        <w:rPr>
          <w:sz w:val="20"/>
          <w:szCs w:val="20"/>
          <w:color w:val="auto"/>
        </w:rPr>
      </w:pPr>
    </w:p>
    <w:p>
      <w:pPr>
        <w:ind w:right="20" w:firstLine="318"/>
        <w:spacing w:after="0" w:line="228" w:lineRule="auto"/>
        <w:rPr>
          <w:sz w:val="20"/>
          <w:szCs w:val="20"/>
          <w:color w:val="auto"/>
        </w:rPr>
      </w:pPr>
      <w:r>
        <w:rPr>
          <w:rFonts w:ascii="Times New Roman" w:cs="Times New Roman" w:eastAsia="Times New Roman" w:hAnsi="Times New Roman"/>
          <w:sz w:val="18"/>
          <w:szCs w:val="18"/>
          <w:color w:val="auto"/>
        </w:rPr>
        <w:t>In July 2021, the Financial Accounting Standards Board (“FASB”) issued guidance which affect lessors with lease contracts that (i) have variable lease payments that do not depend on a reference index or a rate and (ii) would have resulted in the recognition of a selling loss at lease commencement if classified as sales-type or direct financing. The amendments are effective for fiscal years beginning after December 15, 2021. Adoption did not have any material effect on the consolidated financial statements.</w:t>
      </w:r>
    </w:p>
    <w:p>
      <w:pPr>
        <w:spacing w:after="0" w:line="220" w:lineRule="exact"/>
        <w:rPr>
          <w:sz w:val="20"/>
          <w:szCs w:val="20"/>
          <w:color w:val="auto"/>
        </w:rPr>
      </w:pPr>
    </w:p>
    <w:p>
      <w:pPr>
        <w:ind w:right="40" w:firstLine="318"/>
        <w:spacing w:after="0" w:line="258" w:lineRule="auto"/>
        <w:rPr>
          <w:sz w:val="20"/>
          <w:szCs w:val="20"/>
          <w:color w:val="auto"/>
        </w:rPr>
      </w:pPr>
      <w:r>
        <w:rPr>
          <w:rFonts w:ascii="Times New Roman" w:cs="Times New Roman" w:eastAsia="Times New Roman" w:hAnsi="Times New Roman"/>
          <w:sz w:val="18"/>
          <w:szCs w:val="18"/>
          <w:color w:val="auto"/>
        </w:rPr>
        <w:t>Additional new accounting guidance became effective for the Company as of the beginning of fiscal 2022 that the Company reviewed and concluded was either not applicable to its operations or had no material effect on its consolidated financial statements in the current or future fiscal years.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Newly Issued Accounting Standards Not Yet Adopted</w:t>
      </w:r>
    </w:p>
    <w:p>
      <w:pPr>
        <w:spacing w:after="0" w:line="248" w:lineRule="exact"/>
        <w:rPr>
          <w:sz w:val="20"/>
          <w:szCs w:val="20"/>
          <w:color w:val="auto"/>
        </w:rPr>
      </w:pPr>
    </w:p>
    <w:p>
      <w:pPr>
        <w:ind w:right="140" w:firstLine="318"/>
        <w:spacing w:after="0" w:line="264" w:lineRule="auto"/>
        <w:rPr>
          <w:sz w:val="20"/>
          <w:szCs w:val="20"/>
          <w:color w:val="auto"/>
        </w:rPr>
      </w:pPr>
      <w:r>
        <w:rPr>
          <w:rFonts w:ascii="Times New Roman" w:cs="Times New Roman" w:eastAsia="Times New Roman" w:hAnsi="Times New Roman"/>
          <w:sz w:val="17"/>
          <w:szCs w:val="17"/>
          <w:color w:val="auto"/>
        </w:rPr>
        <w:t>In March 2020, with an update in January 2021, the FASB issued guidance which provides optional expedients and exceptions for applying current U.S. GAAP to contracts, hedging relationships, and other transactions affected by the discontinuation of the London Interbank Offered Rate (“LIBOR”) or by another reference rate expected to be discontinued. The guidance can be adopted immediately and is applicable to contracts entered into on or before December 31, 2022. The Company is currently evaluating its contracts that reference LIBOR and the potential effects of adopting this new guidance.</w:t>
      </w:r>
    </w:p>
    <w:p>
      <w:pPr>
        <w:spacing w:after="0" w:line="187" w:lineRule="exact"/>
        <w:rPr>
          <w:sz w:val="20"/>
          <w:szCs w:val="20"/>
          <w:color w:val="auto"/>
        </w:rPr>
      </w:pPr>
    </w:p>
    <w:p>
      <w:pPr>
        <w:ind w:right="60" w:firstLine="318"/>
        <w:spacing w:after="0" w:line="258" w:lineRule="auto"/>
        <w:rPr>
          <w:sz w:val="20"/>
          <w:szCs w:val="20"/>
          <w:color w:val="auto"/>
        </w:rPr>
      </w:pPr>
      <w:r>
        <w:rPr>
          <w:rFonts w:ascii="Times New Roman" w:cs="Times New Roman" w:eastAsia="Times New Roman" w:hAnsi="Times New Roman"/>
          <w:sz w:val="18"/>
          <w:szCs w:val="18"/>
          <w:color w:val="auto"/>
        </w:rPr>
        <w:t>The Company reviewed all other newly issued accounting pronouncements and concluded that they either are not applicable to the Company's operations or that no material effect is expected on the Company's financial statements when adoption is required in the future.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Disclosures</w:t>
      </w:r>
    </w:p>
    <w:p>
      <w:pPr>
        <w:spacing w:after="0" w:line="246" w:lineRule="exact"/>
        <w:rPr>
          <w:sz w:val="20"/>
          <w:szCs w:val="20"/>
          <w:color w:val="auto"/>
        </w:rPr>
      </w:pPr>
    </w:p>
    <w:p>
      <w:pPr>
        <w:ind w:right="200" w:firstLine="318"/>
        <w:spacing w:after="0" w:line="259" w:lineRule="auto"/>
        <w:rPr>
          <w:sz w:val="20"/>
          <w:szCs w:val="20"/>
          <w:color w:val="auto"/>
        </w:rPr>
      </w:pPr>
      <w:r>
        <w:rPr>
          <w:rFonts w:ascii="Times New Roman" w:cs="Times New Roman" w:eastAsia="Times New Roman" w:hAnsi="Times New Roman"/>
          <w:sz w:val="18"/>
          <w:szCs w:val="18"/>
          <w:color w:val="auto"/>
        </w:rPr>
        <w:t>Franchise revenue and revenue from company-operated restaurants are recognized in accordance with current guidance for revenue recognition as codified in Accounting Standards Topic 606 (“ASC 606”). Under ASC 606, revenue is recognized upon transfer of control of promised services or goods to customers in an amount that reflects the consideration the Company expects to receive for those services or goods.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Franchising Activities</w:t>
      </w:r>
    </w:p>
    <w:p>
      <w:pPr>
        <w:spacing w:after="0" w:line="246" w:lineRule="exact"/>
        <w:rPr>
          <w:sz w:val="20"/>
          <w:szCs w:val="20"/>
          <w:color w:val="auto"/>
        </w:rPr>
      </w:pPr>
    </w:p>
    <w:p>
      <w:pPr>
        <w:ind w:right="100" w:firstLine="318"/>
        <w:spacing w:after="0" w:line="249" w:lineRule="auto"/>
        <w:rPr>
          <w:sz w:val="20"/>
          <w:szCs w:val="20"/>
          <w:color w:val="auto"/>
        </w:rPr>
      </w:pPr>
      <w:r>
        <w:rPr>
          <w:rFonts w:ascii="Times New Roman" w:cs="Times New Roman" w:eastAsia="Times New Roman" w:hAnsi="Times New Roman"/>
          <w:sz w:val="18"/>
          <w:szCs w:val="18"/>
          <w:color w:val="auto"/>
        </w:rPr>
        <w:t>The Company owns, franchises and operates the Applebee's concept in the casual dining category of the restaurant industry and the Company owns and franchises the IHOP concept in the family dining category of the restaurant industry. The franchise arrangement for both brands is documented in the form of a franchise agreement and, in most cases, a development agreement. The franchise arrangement between the Company as the franchisor and the franchisee as the customer requires the Company to perform various activities to support the brands that do not directly transfer goods and services to the franchisee, but instead represent a single performance obligation, which is the transfer of the franchise license. The intellectual property subject to the franchise license is symbolic intellectual property as it does not have significant standalone functionality, and substantially all the utility is derived from its association with the Company’s past or ongoing activities. The nature of the Company’s promise in granting the franchise license is to provide the franchisee with access to the respective brand’s symbolic intellectual property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4. Revenue Disclosures (Continued)</w:t>
      </w:r>
    </w:p>
    <w:p>
      <w:pPr>
        <w:spacing w:after="0" w:line="251" w:lineRule="exact"/>
        <w:rPr>
          <w:sz w:val="20"/>
          <w:szCs w:val="20"/>
          <w:color w:val="auto"/>
        </w:rPr>
      </w:pPr>
    </w:p>
    <w:p>
      <w:pPr>
        <w:ind w:left="20" w:right="80"/>
        <w:spacing w:after="0" w:line="274" w:lineRule="auto"/>
        <w:rPr>
          <w:sz w:val="20"/>
          <w:szCs w:val="20"/>
          <w:color w:val="auto"/>
        </w:rPr>
      </w:pPr>
      <w:r>
        <w:rPr>
          <w:rFonts w:ascii="Times New Roman" w:cs="Times New Roman" w:eastAsia="Times New Roman" w:hAnsi="Times New Roman"/>
          <w:sz w:val="18"/>
          <w:szCs w:val="18"/>
          <w:color w:val="auto"/>
        </w:rPr>
        <w:t>over the term of the license. The services provided by the Company are highly interrelated with the franchise license and as such are considered to represent a single performance obligation.</w:t>
      </w:r>
    </w:p>
    <w:p>
      <w:pPr>
        <w:spacing w:after="0" w:line="190" w:lineRule="exact"/>
        <w:rPr>
          <w:sz w:val="20"/>
          <w:szCs w:val="20"/>
          <w:color w:val="auto"/>
        </w:rPr>
      </w:pPr>
    </w:p>
    <w:p>
      <w:pPr>
        <w:ind w:left="20" w:firstLine="318"/>
        <w:spacing w:after="0" w:line="255" w:lineRule="auto"/>
        <w:rPr>
          <w:sz w:val="20"/>
          <w:szCs w:val="20"/>
          <w:color w:val="auto"/>
        </w:rPr>
      </w:pPr>
      <w:r>
        <w:rPr>
          <w:rFonts w:ascii="Times New Roman" w:cs="Times New Roman" w:eastAsia="Times New Roman" w:hAnsi="Times New Roman"/>
          <w:sz w:val="18"/>
          <w:szCs w:val="18"/>
          <w:color w:val="auto"/>
        </w:rPr>
        <w:t>The transaction price in a standard franchise arrangement for both brands primarily consists of (a) initial franchise/development fees; (b) continuing franchise fees (royalties); and (c) advertising fees. Since the Company considers the licensing of the franchising right to be a single performance obligation, no allocation of the transaction price is required. All domestic IHOP franchise agreements require franchisees to purchase proprietary pancake and waffle dry mix from the Company.</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recognizes the primary components of the transaction price as follows:</w:t>
      </w:r>
    </w:p>
    <w:p>
      <w:pPr>
        <w:spacing w:after="0" w:line="244" w:lineRule="exact"/>
        <w:rPr>
          <w:sz w:val="20"/>
          <w:szCs w:val="20"/>
          <w:color w:val="auto"/>
        </w:rPr>
      </w:pPr>
    </w:p>
    <w:p>
      <w:pPr>
        <w:ind w:left="580" w:right="140" w:hanging="316"/>
        <w:spacing w:after="0" w:line="253" w:lineRule="auto"/>
        <w:tabs>
          <w:tab w:leader="none" w:pos="5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and development fees are recognized as revenue ratably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 over time.</w:t>
      </w:r>
    </w:p>
    <w:p>
      <w:pPr>
        <w:ind w:left="580" w:right="20" w:hanging="316"/>
        <w:spacing w:after="0" w:line="245" w:lineRule="auto"/>
        <w:tabs>
          <w:tab w:leader="none" w:pos="5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entitled to royalties and advertising fees based on a percentage of the franchisee's gross sales as defined in the franchise agreement. Royalty and advertising revenue are recognized when the franchisee's reported sales occur. Depending on timing within a fiscal period, the recognition of revenue results in either what is considered a contract asset (unbilled receivable) or once billed, accounts receivable, and are included in “receivables, net” in the Consolidated Balance Sheets.</w:t>
      </w:r>
    </w:p>
    <w:p>
      <w:pPr>
        <w:spacing w:after="0" w:line="2" w:lineRule="exact"/>
        <w:rPr>
          <w:rFonts w:ascii="Times New Roman" w:cs="Times New Roman" w:eastAsia="Times New Roman" w:hAnsi="Times New Roman"/>
          <w:sz w:val="18"/>
          <w:szCs w:val="18"/>
          <w:color w:val="auto"/>
        </w:rPr>
      </w:pPr>
    </w:p>
    <w:p>
      <w:pPr>
        <w:ind w:left="580" w:right="700" w:hanging="316"/>
        <w:spacing w:after="0" w:line="251" w:lineRule="auto"/>
        <w:tabs>
          <w:tab w:leader="none" w:pos="5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sale of proprietary pancake and waffle dry mix is recognized in the period in which distributors ship the franchisee's order; recognition of revenue results in an accounts receivable included in “receivables, net” in the Consolidated Balance Sheets.</w:t>
      </w:r>
    </w:p>
    <w:p>
      <w:pPr>
        <w:spacing w:after="0" w:line="210" w:lineRule="exact"/>
        <w:rPr>
          <w:sz w:val="20"/>
          <w:szCs w:val="20"/>
          <w:color w:val="auto"/>
        </w:rPr>
      </w:pPr>
    </w:p>
    <w:p>
      <w:pPr>
        <w:ind w:left="20" w:right="300" w:firstLine="318"/>
        <w:spacing w:after="0" w:line="252" w:lineRule="auto"/>
        <w:rPr>
          <w:sz w:val="20"/>
          <w:szCs w:val="20"/>
          <w:color w:val="auto"/>
        </w:rPr>
      </w:pPr>
      <w:r>
        <w:rPr>
          <w:rFonts w:ascii="Times New Roman" w:cs="Times New Roman" w:eastAsia="Times New Roman" w:hAnsi="Times New Roman"/>
          <w:sz w:val="18"/>
          <w:szCs w:val="18"/>
          <w:color w:val="auto"/>
        </w:rPr>
        <w:t>In determining the amount and timing of revenue from contracts with customers, the Company exercises significant judgment with respect to collectability of the amount; however, the timing of recognition does not require significant judgments as it is based on either the term of the franchise agreement, the month of reported sales by the franchisee or the date of product shipment, none of which require estimation. The Company does not incur a significant amount of contract acquisition costs in conducting franchising activities. The Company's franchising arrangements do not contain a significant financing component.</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Company Restaurant Revenue</w:t>
      </w:r>
    </w:p>
    <w:p>
      <w:pPr>
        <w:spacing w:after="0" w:line="246" w:lineRule="exact"/>
        <w:rPr>
          <w:sz w:val="20"/>
          <w:szCs w:val="20"/>
          <w:color w:val="auto"/>
        </w:rPr>
      </w:pPr>
    </w:p>
    <w:p>
      <w:pPr>
        <w:ind w:left="20" w:right="240" w:firstLine="318"/>
        <w:spacing w:after="0" w:line="274" w:lineRule="auto"/>
        <w:rPr>
          <w:sz w:val="20"/>
          <w:szCs w:val="20"/>
          <w:color w:val="auto"/>
        </w:rPr>
      </w:pPr>
      <w:r>
        <w:rPr>
          <w:rFonts w:ascii="Times New Roman" w:cs="Times New Roman" w:eastAsia="Times New Roman" w:hAnsi="Times New Roman"/>
          <w:sz w:val="18"/>
          <w:szCs w:val="18"/>
          <w:color w:val="auto"/>
        </w:rPr>
        <w:t>Sales by company-operated restaurants are recognized when food and beverage items are sold. Company restaurant sales are reported net of sales taxes collected from guests that are remitted to the appropriate taxing authorities.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disaggregates franchise revenue by major type for the three and six months ended June 30, 2022 and 2021: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8"/>
                <w:szCs w:val="18"/>
                <w:color w:val="auto"/>
              </w:rPr>
            </w:pPr>
          </w:p>
        </w:tc>
        <w:tc>
          <w:tcPr>
            <w:tcW w:w="2100" w:type="dxa"/>
            <w:vAlign w:val="bottom"/>
            <w:gridSpan w:val="4"/>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5"/>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0"/>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8"/>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Franchise Revenue:</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Royalties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142,401</w:t>
            </w:r>
          </w:p>
        </w:tc>
      </w:tr>
      <w:tr>
        <w:trPr>
          <w:trHeight w:val="225"/>
        </w:trPr>
        <w:tc>
          <w:tcPr>
            <w:tcW w:w="20" w:type="dxa"/>
            <w:vAlign w:val="bottom"/>
          </w:tcPr>
          <w:p>
            <w:pPr>
              <w:spacing w:after="0"/>
              <w:rPr>
                <w:sz w:val="19"/>
                <w:szCs w:val="19"/>
                <w:color w:val="auto"/>
              </w:rPr>
            </w:pPr>
          </w:p>
        </w:tc>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Advertising fees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133,209</w:t>
            </w:r>
          </w:p>
        </w:tc>
      </w:tr>
      <w:tr>
        <w:trPr>
          <w:trHeight w:val="225"/>
        </w:trPr>
        <w:tc>
          <w:tcPr>
            <w:tcW w:w="20" w:type="dxa"/>
            <w:vAlign w:val="bottom"/>
          </w:tcPr>
          <w:p>
            <w:pPr>
              <w:spacing w:after="0"/>
              <w:rPr>
                <w:sz w:val="19"/>
                <w:szCs w:val="19"/>
                <w:color w:val="auto"/>
              </w:rPr>
            </w:pPr>
          </w:p>
        </w:tc>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Pancake and waffle dry mix sales and 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24,415</w:t>
            </w:r>
          </w:p>
        </w:tc>
      </w:tr>
      <w:tr>
        <w:trPr>
          <w:trHeight w:val="225"/>
        </w:trPr>
        <w:tc>
          <w:tcPr>
            <w:tcW w:w="20" w:type="dxa"/>
            <w:vAlign w:val="bottom"/>
          </w:tcPr>
          <w:p>
            <w:pPr>
              <w:spacing w:after="0"/>
              <w:rPr>
                <w:sz w:val="19"/>
                <w:szCs w:val="19"/>
                <w:color w:val="auto"/>
              </w:rPr>
            </w:pPr>
          </w:p>
        </w:tc>
        <w:tc>
          <w:tcPr>
            <w:tcW w:w="6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Franchise and development fees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7,905</w:t>
            </w:r>
          </w:p>
        </w:tc>
      </w:tr>
      <w:tr>
        <w:trPr>
          <w:trHeight w:val="244"/>
        </w:trPr>
        <w:tc>
          <w:tcPr>
            <w:tcW w:w="20" w:type="dxa"/>
            <w:vAlign w:val="bottom"/>
          </w:tcPr>
          <w:p>
            <w:pPr>
              <w:spacing w:after="0"/>
              <w:rPr>
                <w:sz w:val="20"/>
                <w:szCs w:val="20"/>
                <w:color w:val="auto"/>
              </w:rPr>
            </w:pPr>
          </w:p>
        </w:tc>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franchise revenue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168,259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166,954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329,491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307,930</w:t>
            </w: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20" w:right="300" w:firstLine="318"/>
        <w:spacing w:after="0" w:line="304" w:lineRule="auto"/>
        <w:rPr>
          <w:sz w:val="20"/>
          <w:szCs w:val="20"/>
          <w:color w:val="auto"/>
        </w:rPr>
      </w:pPr>
      <w:r>
        <w:rPr>
          <w:rFonts w:ascii="Times New Roman" w:cs="Times New Roman" w:eastAsia="Times New Roman" w:hAnsi="Times New Roman"/>
          <w:sz w:val="17"/>
          <w:szCs w:val="17"/>
          <w:color w:val="auto"/>
        </w:rPr>
        <w:t>Accounts and other receivables related to franchise revenues as of June 30, 2022 and December 31, 2021 were $65.4 million (net of allowance of $0.7 million) and $66.0 million (net of allowance of $1.1 million), respectively, and were included in receivables, net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Revenue Disclosures (Continued)</w:t>
      </w: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Changes in the Company's contract liability for deferred franchise and development fees during the six months ended June 30, 2022 were as follows:</w:t>
      </w:r>
    </w:p>
    <w:p>
      <w:pPr>
        <w:spacing w:after="0" w:line="25"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Franchise Revenue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(short- and long-term)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Recognized as revenue during the six months ended June 30, 2022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deferred during the six months ended June 30, 2022</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22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The balance of deferred revenue as of June 30, 2022 is expected to be recognized as follows:</w:t>
            </w: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20" w:type="dxa"/>
            <w:vAlign w:val="bottom"/>
          </w:tcPr>
          <w:p>
            <w:pPr>
              <w:spacing w:after="0"/>
              <w:rPr>
                <w:sz w:val="24"/>
                <w:szCs w:val="24"/>
                <w:color w:val="auto"/>
              </w:rPr>
            </w:pPr>
          </w:p>
        </w:tc>
        <w:tc>
          <w:tcPr>
            <w:tcW w:w="89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89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(remaining six months)</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8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50,950</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9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Current Expected Credit Losses (“CECL”)</w:t>
      </w:r>
    </w:p>
    <w:p>
      <w:pPr>
        <w:spacing w:after="0" w:line="232" w:lineRule="exact"/>
        <w:rPr>
          <w:sz w:val="20"/>
          <w:szCs w:val="20"/>
          <w:color w:val="auto"/>
        </w:rPr>
      </w:pPr>
    </w:p>
    <w:p>
      <w:pPr>
        <w:ind w:firstLine="318"/>
        <w:spacing w:after="0" w:line="235" w:lineRule="auto"/>
        <w:rPr>
          <w:sz w:val="20"/>
          <w:szCs w:val="20"/>
          <w:color w:val="auto"/>
        </w:rPr>
      </w:pPr>
      <w:r>
        <w:rPr>
          <w:rFonts w:ascii="Times New Roman" w:cs="Times New Roman" w:eastAsia="Times New Roman" w:hAnsi="Times New Roman"/>
          <w:sz w:val="18"/>
          <w:szCs w:val="18"/>
          <w:color w:val="auto"/>
        </w:rPr>
        <w:t>The CECL reserve methodology requires companies to measure expected credit losses on financial instruments based on the total estimated amount to be collected over the lifetime of the instrument. Under the CECL model, reserves may be established against financial asset balances even if the risk of loss is remote or has not yet manifested itself. The Company records specific reserves against account balances of franchisees deemed at-risk when a potential loss is likely or imminent as a result of prolonged payment delinquency (greater than 90 days past due) and where notable credit deterioration has become evident. For financial assets that are not currently deemed at-risk, an allowance is recorded based on expected loss rates derived pursuant to the Company's CECL methodology that assesses four components – historical losses, current conditions, reasonable and supportable forecasts, and a reversion to history, if applicable.</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considers its portfolio segments to be the following:</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Accounts Receivable (Franchise-Related)</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Most of the Company’s short-term receivables due from franchisees are derived from royalty, advertising and other franchise-related fees.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Gift Card Receivables</w:t>
      </w:r>
    </w:p>
    <w:p>
      <w:pPr>
        <w:spacing w:after="0" w:line="217" w:lineRule="exact"/>
        <w:rPr>
          <w:sz w:val="20"/>
          <w:szCs w:val="20"/>
          <w:color w:val="auto"/>
        </w:rPr>
      </w:pPr>
    </w:p>
    <w:p>
      <w:pPr>
        <w:ind w:right="440" w:firstLine="318"/>
        <w:spacing w:after="0" w:line="274" w:lineRule="auto"/>
        <w:rPr>
          <w:sz w:val="20"/>
          <w:szCs w:val="20"/>
          <w:color w:val="auto"/>
        </w:rPr>
      </w:pPr>
      <w:r>
        <w:rPr>
          <w:rFonts w:ascii="Times New Roman" w:cs="Times New Roman" w:eastAsia="Times New Roman" w:hAnsi="Times New Roman"/>
          <w:sz w:val="18"/>
          <w:szCs w:val="18"/>
          <w:color w:val="auto"/>
        </w:rPr>
        <w:t>Gift card receivables consist primarily of amounts due from third-party vendors. Receivables related to gift card sales are subject to seasonality and usually peak around year-end as a result of the December holiday season.</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Notes Receivable</w:t>
      </w:r>
    </w:p>
    <w:p>
      <w:pPr>
        <w:spacing w:after="0" w:line="244"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Notes receivable balances primarily relate to the conversion of certain past due Applebee's franchisee accounts receivable to notes receivable, cash loans to franchisees for working capital purposes, a note receivable in connection with the sale of IHOP company restaurants and IHOP franchise fee and other notes. The notes are typically collateralized by the franchise. A significant portion of these notes have specific reserves recorded against them amounting to $9.2 million as of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2" w:name="page13"/>
    <w:bookmarkEnd w:id="12"/>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Current Expected Credit Losses (Continued)</w:t>
      </w:r>
    </w:p>
    <w:p>
      <w:pPr>
        <w:spacing w:after="0" w:line="200" w:lineRule="exact"/>
        <w:rPr>
          <w:sz w:val="20"/>
          <w:szCs w:val="20"/>
          <w:color w:val="auto"/>
        </w:rPr>
      </w:pP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Equipment Leases Receivable</w:t>
      </w:r>
    </w:p>
    <w:p>
      <w:pPr>
        <w:spacing w:after="0" w:line="244"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auto"/>
        </w:rPr>
        <w:t>Equipment leases receivable relate to IHOP franchise development activity prior to 2003 when IHOP typically leased or purchased the restaurant site, built and equipped the restaurant, then franchised the restaurant to a franchisee. Equipment lease contracts are collateralized by the equipment in the restaurant. The estimated fair value of the equipment collateralizing these lease contracts are not deemed to be significant given the very seasoned and mature nature of this portfolio. The weighted average remaining life of the Company’s equipment leases is 4.3 years as of June 30, 2022.</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Real Estate Leases Receivable</w:t>
      </w:r>
    </w:p>
    <w:p>
      <w:pPr>
        <w:spacing w:after="0" w:line="24" w:lineRule="exact"/>
        <w:rPr>
          <w:sz w:val="20"/>
          <w:szCs w:val="20"/>
          <w:color w:val="auto"/>
        </w:rPr>
      </w:pPr>
    </w:p>
    <w:p>
      <w:pPr>
        <w:jc w:val="both"/>
        <w:ind w:right="200" w:firstLine="318"/>
        <w:spacing w:after="0" w:line="248" w:lineRule="auto"/>
        <w:rPr>
          <w:sz w:val="20"/>
          <w:szCs w:val="20"/>
          <w:color w:val="auto"/>
        </w:rPr>
      </w:pPr>
      <w:r>
        <w:rPr>
          <w:rFonts w:ascii="Times New Roman" w:cs="Times New Roman" w:eastAsia="Times New Roman" w:hAnsi="Times New Roman"/>
          <w:sz w:val="18"/>
          <w:szCs w:val="18"/>
          <w:color w:val="auto"/>
        </w:rPr>
        <w:t>Real estate leases receivable relate to IHOP franchise development activity prior to 2003. IHOP provided the financing for leasing or subleasing the site. Real estate leases at June 30, 2022, comprised 62 leases with a weighted average remaining life of 5.8 years, and relate to locations that IHOP is leasing from third parties and subleasing to franchisees.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Distributor Receivables</w:t>
      </w:r>
    </w:p>
    <w:p>
      <w:pPr>
        <w:spacing w:after="0" w:line="244"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Receivables due from distributors are related to the sale of IHOP’s proprietary pancake and waffle dry mix to franchisees through the Company’s network of suppliers and distributors and are included as part of Other receivables.</w:t>
      </w:r>
    </w:p>
    <w:p>
      <w:pPr>
        <w:spacing w:after="0" w:line="22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20" w:type="dxa"/>
            <w:vAlign w:val="bottom"/>
          </w:tcPr>
          <w:p>
            <w:pPr>
              <w:spacing w:after="0"/>
              <w:rPr>
                <w:sz w:val="16"/>
                <w:szCs w:val="16"/>
                <w:color w:val="auto"/>
              </w:rPr>
            </w:pPr>
          </w:p>
        </w:tc>
        <w:tc>
          <w:tcPr>
            <w:tcW w:w="15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6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6"/>
        </w:trPr>
        <w:tc>
          <w:tcPr>
            <w:tcW w:w="6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00" w:type="dxa"/>
            <w:vAlign w:val="bottom"/>
          </w:tcPr>
          <w:p>
            <w:pPr>
              <w:spacing w:after="0"/>
              <w:rPr>
                <w:sz w:val="16"/>
                <w:szCs w:val="16"/>
                <w:color w:val="auto"/>
              </w:rPr>
            </w:pPr>
          </w:p>
        </w:tc>
      </w:tr>
      <w:tr>
        <w:trPr>
          <w:trHeight w:val="232"/>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Gift card receivables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receivables:</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5"/>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Equipment leases receivable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5"/>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estate leases receivable</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8"/>
        </w:trPr>
        <w:tc>
          <w:tcPr>
            <w:tcW w:w="6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8"/>
        </w:trPr>
        <w:tc>
          <w:tcPr>
            <w:tcW w:w="6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18"/>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receivables</w:t>
            </w: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0"/>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the allowance for credit losses during the six months ended June 30, 2022 were as follows:</w:t>
      </w:r>
    </w:p>
    <w:p>
      <w:pPr>
        <w:spacing w:after="0" w:line="2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200" w:type="dxa"/>
            <w:vAlign w:val="bottom"/>
          </w:tcPr>
          <w:p>
            <w:pPr>
              <w:spacing w:after="0"/>
              <w:rPr>
                <w:sz w:val="13"/>
                <w:szCs w:val="13"/>
                <w:color w:val="auto"/>
              </w:rPr>
            </w:pPr>
          </w:p>
        </w:tc>
        <w:tc>
          <w:tcPr>
            <w:tcW w:w="8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80" w:type="dxa"/>
            <w:vAlign w:val="bottom"/>
          </w:tcPr>
          <w:p>
            <w:pPr>
              <w:spacing w:after="0"/>
              <w:rPr>
                <w:sz w:val="13"/>
                <w:szCs w:val="13"/>
                <w:color w:val="auto"/>
              </w:rPr>
            </w:pPr>
          </w:p>
        </w:tc>
        <w:tc>
          <w:tcPr>
            <w:tcW w:w="94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Lease</w:t>
            </w:r>
          </w:p>
        </w:tc>
        <w:tc>
          <w:tcPr>
            <w:tcW w:w="180" w:type="dxa"/>
            <w:vAlign w:val="bottom"/>
          </w:tcPr>
          <w:p>
            <w:pPr>
              <w:spacing w:after="0"/>
              <w:rPr>
                <w:sz w:val="13"/>
                <w:szCs w:val="13"/>
                <w:color w:val="auto"/>
              </w:rPr>
            </w:pPr>
          </w:p>
        </w:tc>
        <w:tc>
          <w:tcPr>
            <w:tcW w:w="9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ind w:right="99"/>
              <w:spacing w:after="0" w:line="146"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w w:val="90"/>
              </w:rPr>
              <w:t xml:space="preserve">Other </w:t>
            </w:r>
            <w:r>
              <w:rPr>
                <w:rFonts w:ascii="Times New Roman" w:cs="Times New Roman" w:eastAsia="Times New Roman" w:hAnsi="Times New Roman"/>
                <w:sz w:val="18"/>
                <w:szCs w:val="18"/>
                <w:b w:val="1"/>
                <w:bCs w:val="1"/>
                <w:color w:val="auto"/>
                <w:w w:val="90"/>
                <w:vertAlign w:val="superscript"/>
              </w:rPr>
              <w:t>(1)</w:t>
            </w:r>
          </w:p>
        </w:tc>
        <w:tc>
          <w:tcPr>
            <w:tcW w:w="220" w:type="dxa"/>
            <w:vAlign w:val="bottom"/>
          </w:tcPr>
          <w:p>
            <w:pPr>
              <w:spacing w:after="0"/>
              <w:rPr>
                <w:sz w:val="12"/>
                <w:szCs w:val="12"/>
                <w:color w:val="auto"/>
              </w:rPr>
            </w:pPr>
          </w:p>
        </w:tc>
        <w:tc>
          <w:tcPr>
            <w:tcW w:w="5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9"/>
        </w:trPr>
        <w:tc>
          <w:tcPr>
            <w:tcW w:w="3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Receivable</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8"/>
              </w:rPr>
              <w:t>long-term</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8"/>
                <w:szCs w:val="18"/>
                <w:color w:val="auto"/>
                <w:w w:val="97"/>
              </w:rPr>
              <w:t>1.0</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(credit) expense</w:t>
            </w:r>
          </w:p>
        </w:tc>
        <w:tc>
          <w:tcPr>
            <w:tcW w:w="160" w:type="dxa"/>
            <w:vAlign w:val="bottom"/>
          </w:tcPr>
          <w:p>
            <w:pPr>
              <w:spacing w:after="0"/>
              <w:rPr>
                <w:sz w:val="19"/>
                <w:szCs w:val="19"/>
                <w:color w:val="auto"/>
              </w:rPr>
            </w:pPr>
          </w:p>
        </w:tc>
        <w:tc>
          <w:tcPr>
            <w:tcW w:w="920" w:type="dxa"/>
            <w:vAlign w:val="bottom"/>
          </w:tcPr>
          <w:p>
            <w:pPr>
              <w:jc w:val="center"/>
              <w:ind w:left="336"/>
              <w:spacing w:after="0"/>
              <w:rPr>
                <w:sz w:val="20"/>
                <w:szCs w:val="20"/>
                <w:color w:val="auto"/>
              </w:rPr>
            </w:pPr>
            <w:r>
              <w:rPr>
                <w:rFonts w:ascii="Times New Roman" w:cs="Times New Roman" w:eastAsia="Times New Roman" w:hAnsi="Times New Roman"/>
                <w:sz w:val="18"/>
                <w:szCs w:val="18"/>
                <w:color w:val="auto"/>
                <w:w w:val="98"/>
              </w:rPr>
              <w:t>(0.2)</w:t>
            </w:r>
          </w:p>
        </w:tc>
        <w:tc>
          <w:tcPr>
            <w:tcW w:w="22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9"/>
                <w:szCs w:val="19"/>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provision adjustment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8"/>
                <w:szCs w:val="18"/>
                <w:color w:val="auto"/>
                <w:w w:val="97"/>
              </w:rPr>
              <w:t>0.0</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60" w:type="dxa"/>
            <w:vAlign w:val="bottom"/>
          </w:tcPr>
          <w:p>
            <w:pPr>
              <w:spacing w:after="0"/>
              <w:rPr>
                <w:sz w:val="19"/>
                <w:szCs w:val="19"/>
                <w:color w:val="auto"/>
              </w:rPr>
            </w:pPr>
          </w:p>
        </w:tc>
        <w:tc>
          <w:tcPr>
            <w:tcW w:w="920" w:type="dxa"/>
            <w:vAlign w:val="bottom"/>
          </w:tcPr>
          <w:p>
            <w:pPr>
              <w:jc w:val="center"/>
              <w:ind w:left="336"/>
              <w:spacing w:after="0"/>
              <w:rPr>
                <w:sz w:val="20"/>
                <w:szCs w:val="20"/>
                <w:color w:val="auto"/>
              </w:rPr>
            </w:pPr>
            <w:r>
              <w:rPr>
                <w:rFonts w:ascii="Times New Roman" w:cs="Times New Roman" w:eastAsia="Times New Roman" w:hAnsi="Times New Roman"/>
                <w:sz w:val="18"/>
                <w:szCs w:val="18"/>
                <w:color w:val="auto"/>
                <w:w w:val="98"/>
              </w:rPr>
              <w:t>(0.1)</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376"/>
              <w:spacing w:after="0"/>
              <w:rPr>
                <w:sz w:val="20"/>
                <w:szCs w:val="20"/>
                <w:color w:val="auto"/>
              </w:rPr>
            </w:pPr>
            <w:r>
              <w:rPr>
                <w:rFonts w:ascii="Times New Roman" w:cs="Times New Roman" w:eastAsia="Times New Roman" w:hAnsi="Times New Roman"/>
                <w:sz w:val="18"/>
                <w:szCs w:val="18"/>
                <w:color w:val="auto"/>
                <w:w w:val="97"/>
              </w:rPr>
              <w:t>0.0</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center"/>
              <w:ind w:left="376"/>
              <w:spacing w:after="0"/>
              <w:rPr>
                <w:sz w:val="20"/>
                <w:szCs w:val="20"/>
                <w:color w:val="auto"/>
              </w:rPr>
            </w:pPr>
            <w:r>
              <w:rPr>
                <w:rFonts w:ascii="Times New Roman" w:cs="Times New Roman" w:eastAsia="Times New Roman" w:hAnsi="Times New Roman"/>
                <w:sz w:val="18"/>
                <w:szCs w:val="18"/>
                <w:color w:val="auto"/>
                <w:w w:val="97"/>
              </w:rPr>
              <w:t>0.7</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ind w:left="500" w:hanging="176"/>
        <w:spacing w:after="0"/>
        <w:tabs>
          <w:tab w:leader="none" w:pos="50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Primarily distributor receivables, gift card receivables and credit card receivables</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8"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Current Expected Credit Losses (Continued)</w:t>
      </w:r>
    </w:p>
    <w:p>
      <w:pPr>
        <w:spacing w:after="0" w:line="200" w:lineRule="exact"/>
        <w:rPr>
          <w:sz w:val="20"/>
          <w:szCs w:val="20"/>
          <w:color w:val="auto"/>
        </w:rPr>
      </w:pPr>
    </w:p>
    <w:p>
      <w:pPr>
        <w:spacing w:after="0" w:line="223" w:lineRule="exact"/>
        <w:rPr>
          <w:sz w:val="20"/>
          <w:szCs w:val="20"/>
          <w:color w:val="auto"/>
        </w:rPr>
      </w:pPr>
    </w:p>
    <w:p>
      <w:pPr>
        <w:ind w:right="440" w:firstLine="318"/>
        <w:spacing w:after="0" w:line="270" w:lineRule="auto"/>
        <w:rPr>
          <w:sz w:val="20"/>
          <w:szCs w:val="20"/>
          <w:color w:val="auto"/>
        </w:rPr>
      </w:pPr>
      <w:r>
        <w:rPr>
          <w:rFonts w:ascii="Times New Roman" w:cs="Times New Roman" w:eastAsia="Times New Roman" w:hAnsi="Times New Roman"/>
          <w:sz w:val="18"/>
          <w:szCs w:val="18"/>
          <w:color w:val="auto"/>
        </w:rPr>
        <w:t>The Company's primary credit quality indicator for all portfolio segments is delinquency. The delinquency status of receivables (other than accounts receivable, gift card receivables and distributor receivables) at June 30, 2022 was as follows:</w:t>
      </w:r>
    </w:p>
    <w:tbl>
      <w:tblPr>
        <w:tblLayout w:type="fixed"/>
        <w:tblInd w:w="22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295"/>
              <w:spacing w:after="0" w:line="162" w:lineRule="exact"/>
              <w:rPr>
                <w:sz w:val="20"/>
                <w:szCs w:val="20"/>
                <w:color w:val="auto"/>
              </w:rPr>
            </w:pPr>
            <w:r>
              <w:rPr>
                <w:rFonts w:ascii="Times New Roman" w:cs="Times New Roman" w:eastAsia="Times New Roman" w:hAnsi="Times New Roman"/>
                <w:sz w:val="16"/>
                <w:szCs w:val="16"/>
                <w:b w:val="1"/>
                <w:bCs w:val="1"/>
                <w:color w:val="auto"/>
              </w:rPr>
              <w:t>Notes</w:t>
            </w:r>
          </w:p>
        </w:tc>
        <w:tc>
          <w:tcPr>
            <w:tcW w:w="240" w:type="dxa"/>
            <w:vAlign w:val="bottom"/>
          </w:tcPr>
          <w:p>
            <w:pPr>
              <w:spacing w:after="0"/>
              <w:rPr>
                <w:sz w:val="14"/>
                <w:szCs w:val="14"/>
                <w:color w:val="auto"/>
              </w:rPr>
            </w:pPr>
          </w:p>
        </w:tc>
        <w:tc>
          <w:tcPr>
            <w:tcW w:w="98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w w:val="99"/>
              </w:rPr>
              <w:t>Notes</w:t>
            </w:r>
          </w:p>
        </w:tc>
        <w:tc>
          <w:tcPr>
            <w:tcW w:w="220" w:type="dxa"/>
            <w:vAlign w:val="bottom"/>
          </w:tcPr>
          <w:p>
            <w:pPr>
              <w:spacing w:after="0"/>
              <w:rPr>
                <w:sz w:val="14"/>
                <w:szCs w:val="14"/>
                <w:color w:val="auto"/>
              </w:rPr>
            </w:pPr>
          </w:p>
        </w:tc>
        <w:tc>
          <w:tcPr>
            <w:tcW w:w="1040" w:type="dxa"/>
            <w:vAlign w:val="bottom"/>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Lease</w:t>
            </w:r>
          </w:p>
        </w:tc>
        <w:tc>
          <w:tcPr>
            <w:tcW w:w="220" w:type="dxa"/>
            <w:vAlign w:val="bottom"/>
          </w:tcPr>
          <w:p>
            <w:pPr>
              <w:spacing w:after="0"/>
              <w:rPr>
                <w:sz w:val="14"/>
                <w:szCs w:val="14"/>
                <w:color w:val="auto"/>
              </w:rPr>
            </w:pPr>
          </w:p>
        </w:tc>
        <w:tc>
          <w:tcPr>
            <w:tcW w:w="1000" w:type="dxa"/>
            <w:vAlign w:val="bottom"/>
            <w:vMerge w:val="restart"/>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w w:val="99"/>
              </w:rPr>
              <w:t>Equipment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135"/>
              <w:spacing w:after="0" w:line="159" w:lineRule="exact"/>
              <w:rPr>
                <w:sz w:val="20"/>
                <w:szCs w:val="20"/>
                <w:color w:val="auto"/>
              </w:rPr>
            </w:pPr>
            <w:r>
              <w:rPr>
                <w:rFonts w:ascii="Times New Roman" w:cs="Times New Roman" w:eastAsia="Times New Roman" w:hAnsi="Times New Roman"/>
                <w:sz w:val="16"/>
                <w:szCs w:val="16"/>
                <w:b w:val="1"/>
                <w:bCs w:val="1"/>
                <w:color w:val="auto"/>
              </w:rPr>
              <w:t>receivable,</w:t>
            </w:r>
          </w:p>
        </w:tc>
        <w:tc>
          <w:tcPr>
            <w:tcW w:w="240" w:type="dxa"/>
            <w:vAlign w:val="bottom"/>
          </w:tcPr>
          <w:p>
            <w:pPr>
              <w:spacing w:after="0"/>
              <w:rPr>
                <w:sz w:val="13"/>
                <w:szCs w:val="13"/>
                <w:color w:val="auto"/>
              </w:rPr>
            </w:pPr>
          </w:p>
        </w:tc>
        <w:tc>
          <w:tcPr>
            <w:tcW w:w="980" w:type="dxa"/>
            <w:vAlign w:val="bottom"/>
          </w:tcPr>
          <w:p>
            <w:pPr>
              <w:jc w:val="center"/>
              <w:ind w:right="95"/>
              <w:spacing w:after="0" w:line="159" w:lineRule="exact"/>
              <w:rPr>
                <w:sz w:val="20"/>
                <w:szCs w:val="20"/>
                <w:color w:val="auto"/>
              </w:rPr>
            </w:pPr>
            <w:r>
              <w:rPr>
                <w:rFonts w:ascii="Times New Roman" w:cs="Times New Roman" w:eastAsia="Times New Roman" w:hAnsi="Times New Roman"/>
                <w:sz w:val="16"/>
                <w:szCs w:val="16"/>
                <w:b w:val="1"/>
                <w:bCs w:val="1"/>
                <w:color w:val="auto"/>
                <w:w w:val="98"/>
              </w:rPr>
              <w:t>receivable,</w:t>
            </w:r>
          </w:p>
        </w:tc>
        <w:tc>
          <w:tcPr>
            <w:tcW w:w="2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 xml:space="preserve">Other </w:t>
            </w:r>
            <w:r>
              <w:rPr>
                <w:rFonts w:ascii="Times New Roman" w:cs="Times New Roman" w:eastAsia="Times New Roman" w:hAnsi="Times New Roman"/>
                <w:sz w:val="20"/>
                <w:szCs w:val="20"/>
                <w:b w:val="1"/>
                <w:bCs w:val="1"/>
                <w:color w:val="auto"/>
                <w:vertAlign w:val="superscript"/>
              </w:rPr>
              <w:t>(1)</w:t>
            </w:r>
          </w:p>
        </w:tc>
        <w:tc>
          <w:tcPr>
            <w:tcW w:w="320" w:type="dxa"/>
            <w:vAlign w:val="bottom"/>
          </w:tcPr>
          <w:p>
            <w:pPr>
              <w:spacing w:after="0"/>
              <w:rPr>
                <w:sz w:val="13"/>
                <w:szCs w:val="13"/>
                <w:color w:val="auto"/>
              </w:rPr>
            </w:pPr>
          </w:p>
        </w:tc>
        <w:tc>
          <w:tcPr>
            <w:tcW w:w="920" w:type="dxa"/>
            <w:vAlign w:val="bottom"/>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short-term</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Notes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3"/>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25"/>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30-59 days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5"/>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60-89 days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5"/>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90-119 days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5"/>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120+ days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30.2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500" w:hanging="176"/>
        <w:spacing w:after="0"/>
        <w:tabs>
          <w:tab w:leader="none" w:pos="5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Primarily c</w:t>
      </w:r>
      <w:r>
        <w:rPr>
          <w:rFonts w:ascii="Times New Roman" w:cs="Times New Roman" w:eastAsia="Times New Roman" w:hAnsi="Times New Roman"/>
          <w:sz w:val="14"/>
          <w:szCs w:val="14"/>
          <w:color w:val="auto"/>
        </w:rPr>
        <w:t>redit card receivables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of origination of the Company's notes receivable and financing receivables is as follows:</w:t>
      </w:r>
    </w:p>
    <w:p>
      <w:pPr>
        <w:spacing w:after="0" w:line="25" w:lineRule="exact"/>
        <w:rPr>
          <w:sz w:val="20"/>
          <w:szCs w:val="20"/>
          <w:color w:val="auto"/>
        </w:rPr>
      </w:pPr>
    </w:p>
    <w:tbl>
      <w:tblPr>
        <w:tblLayout w:type="fixed"/>
        <w:tblInd w:w="5860" w:type="dxa"/>
        <w:tblCellMar>
          <w:top w:w="0" w:type="dxa"/>
          <w:left w:w="0" w:type="dxa"/>
          <w:bottom w:w="0" w:type="dxa"/>
          <w:right w:w="0" w:type="dxa"/>
        </w:tblCellMar>
      </w:tblPr>
      <w:tr>
        <w:trPr>
          <w:trHeight w:val="184"/>
        </w:trPr>
        <w:tc>
          <w:tcPr>
            <w:tcW w:w="1640" w:type="dxa"/>
            <w:vAlign w:val="bottom"/>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receivable,</w:t>
            </w:r>
          </w:p>
        </w:tc>
        <w:tc>
          <w:tcPr>
            <w:tcW w:w="1460" w:type="dxa"/>
            <w:vAlign w:val="bottom"/>
          </w:tcPr>
          <w:p>
            <w:pPr>
              <w:jc w:val="center"/>
              <w:ind w:right="201"/>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120" w:type="dxa"/>
            <w:vAlign w:val="bottom"/>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99"/>
              </w:rPr>
              <w:t>Equipment</w:t>
            </w:r>
          </w:p>
        </w:tc>
        <w:tc>
          <w:tcPr>
            <w:tcW w:w="112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164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9"/>
              </w:rPr>
              <w:t>short and long-term</w:t>
            </w:r>
          </w:p>
        </w:tc>
        <w:tc>
          <w:tcPr>
            <w:tcW w:w="146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9"/>
              </w:rPr>
              <w:t>Receivables</w:t>
            </w:r>
          </w:p>
        </w:tc>
        <w:tc>
          <w:tcPr>
            <w:tcW w:w="112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16"/>
                <w:szCs w:val="16"/>
                <w:b w:val="1"/>
                <w:bCs w:val="1"/>
                <w:color w:val="auto"/>
                <w:w w:val="99"/>
              </w:rPr>
              <w:t>Notes</w:t>
            </w: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640" w:type="dxa"/>
            <w:vAlign w:val="bottom"/>
          </w:tcPr>
          <w:p>
            <w:pPr>
              <w:spacing w:after="0"/>
              <w:rPr>
                <w:sz w:val="17"/>
                <w:szCs w:val="17"/>
                <w:color w:val="auto"/>
              </w:rPr>
            </w:pPr>
          </w:p>
        </w:tc>
        <w:tc>
          <w:tcPr>
            <w:tcW w:w="1460" w:type="dxa"/>
            <w:vAlign w:val="bottom"/>
          </w:tcPr>
          <w:p>
            <w:pPr>
              <w:ind w:left="60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9" w:right="339" w:bottom="1440" w:gutter="0" w:footer="0" w:header="0"/>
        </w:sectPr>
      </w:pPr>
    </w:p>
    <w:p>
      <w:pPr>
        <w:ind w:left="380"/>
        <w:spacing w:after="0"/>
        <w:rPr>
          <w:sz w:val="20"/>
          <w:szCs w:val="20"/>
          <w:color w:val="auto"/>
        </w:rPr>
      </w:pPr>
      <w:r>
        <w:rPr>
          <w:rFonts w:ascii="Times New Roman" w:cs="Times New Roman" w:eastAsia="Times New Roman" w:hAnsi="Times New Roman"/>
          <w:sz w:val="18"/>
          <w:szCs w:val="18"/>
          <w:color w:val="auto"/>
        </w:rPr>
        <w:t>2022</w:t>
      </w:r>
    </w:p>
    <w:p>
      <w:pPr>
        <w:spacing w:after="0" w:line="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2021</w:t>
      </w:r>
    </w:p>
    <w:p>
      <w:pPr>
        <w:spacing w:after="0" w:line="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2020</w:t>
      </w:r>
    </w:p>
    <w:p>
      <w:pPr>
        <w:spacing w:after="0" w:line="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2019</w:t>
      </w:r>
    </w:p>
    <w:p>
      <w:pPr>
        <w:spacing w:after="0" w:line="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2018</w:t>
      </w:r>
    </w:p>
    <w:p>
      <w:pPr>
        <w:spacing w:after="0" w:line="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Prior</w:t>
      </w:r>
    </w:p>
    <w:p>
      <w:pPr>
        <w:spacing w:after="0" w:line="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w:t>
      </w:r>
    </w:p>
    <w:p>
      <w:pPr>
        <w:spacing w:after="0" w:line="3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does not place its financing receivables in non-accrual status.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0.5</w:t>
            </w:r>
          </w:p>
        </w:tc>
        <w:tc>
          <w:tcPr>
            <w:tcW w:w="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w:t>
            </w:r>
          </w:p>
        </w:tc>
        <w:tc>
          <w:tcPr>
            <w:tcW w:w="5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5"/>
        </w:trPr>
        <w:tc>
          <w:tcPr>
            <w:tcW w:w="6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w:t>
            </w:r>
          </w:p>
        </w:tc>
        <w:tc>
          <w:tcPr>
            <w:tcW w:w="52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5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5"/>
        </w:trPr>
        <w:tc>
          <w:tcPr>
            <w:tcW w:w="6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0.5</w:t>
            </w:r>
          </w:p>
        </w:tc>
        <w:tc>
          <w:tcPr>
            <w:tcW w:w="52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5"/>
        </w:trPr>
        <w:tc>
          <w:tcPr>
            <w:tcW w:w="6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52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0.8</w:t>
            </w:r>
          </w:p>
        </w:tc>
        <w:tc>
          <w:tcPr>
            <w:tcW w:w="5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6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30"/>
        </w:trPr>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5.3</w:t>
            </w:r>
          </w:p>
        </w:tc>
        <w:tc>
          <w:tcPr>
            <w:tcW w:w="5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8.3</w:t>
            </w:r>
          </w:p>
        </w:tc>
        <w:tc>
          <w:tcPr>
            <w:tcW w:w="5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30.2</w:t>
            </w:r>
          </w:p>
        </w:tc>
        <w:tc>
          <w:tcPr>
            <w:tcW w:w="5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18"/>
        </w:trPr>
        <w:tc>
          <w:tcPr>
            <w:tcW w:w="6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17.9</w:t>
            </w:r>
          </w:p>
        </w:tc>
        <w:tc>
          <w:tcPr>
            <w:tcW w:w="5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19.4</w:t>
            </w:r>
          </w:p>
        </w:tc>
        <w:tc>
          <w:tcPr>
            <w:tcW w:w="5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30.2</w:t>
            </w:r>
          </w:p>
        </w:tc>
        <w:tc>
          <w:tcPr>
            <w:tcW w:w="5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-1042670</wp:posOffset>
            </wp:positionV>
            <wp:extent cx="6873875" cy="142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73875" cy="14287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-756285</wp:posOffset>
            </wp:positionV>
            <wp:extent cx="6873875" cy="142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73875" cy="14287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-470535</wp:posOffset>
            </wp:positionV>
            <wp:extent cx="6873875" cy="142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73875" cy="14287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-184150</wp:posOffset>
            </wp:positionV>
            <wp:extent cx="6873875" cy="168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73875" cy="168275"/>
                    </a:xfrm>
                    <a:prstGeom prst="rect">
                      <a:avLst/>
                    </a:prstGeom>
                    <a:noFill/>
                  </pic:spPr>
                </pic:pic>
              </a:graphicData>
            </a:graphic>
          </wp:anchor>
        </w:drawing>
      </w:r>
    </w:p>
    <w:p>
      <w:pPr>
        <w:spacing w:after="0" w:line="695" w:lineRule="exact"/>
        <w:rPr>
          <w:sz w:val="20"/>
          <w:szCs w:val="20"/>
          <w:color w:val="auto"/>
        </w:rPr>
      </w:pPr>
    </w:p>
    <w:p>
      <w:pPr>
        <w:sectPr>
          <w:pgSz w:w="11900" w:h="16838" w:orient="portrait"/>
          <w:cols w:equalWidth="0" w:num="2">
            <w:col w:w="5700" w:space="160"/>
            <w:col w:w="5380"/>
          </w:cols>
          <w:pgMar w:left="320" w:top="119" w:right="339" w:bottom="1440" w:gutter="0" w:footer="0" w:header="0"/>
          <w:type w:val="continuous"/>
        </w:sectPr>
      </w:pP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 Disclosures</w:t>
      </w:r>
    </w:p>
    <w:p>
      <w:pPr>
        <w:spacing w:after="0" w:line="24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Company engages in leasing activity as both a lessee and a lessor. The Company currently leases from third parties the real property on which approximately 540 IHOP franchisee-operated restaurants and one Applebee's franchisee-operated restaurant are located; the Company (as lessor) subleases the property to the franchisees that operate those restaurants. The Company also leases property it owns to the franchisees that operate approximately 50 IHOP restaurants and one Applebee's restaurant. The Company leases from third parties the real property on which 69 Applebee's company-operated restaurants are located. The Company also leases office space for its principal corporate offices in Glendale, California and Pasadena, California and restaurant support centers in Leawood, Kansas and Raleigh, North Carolina. The Company does not have a significant amount of non-real estate leases.</w:t>
      </w:r>
    </w:p>
    <w:p>
      <w:pPr>
        <w:spacing w:after="0" w:line="212" w:lineRule="exact"/>
        <w:rPr>
          <w:sz w:val="20"/>
          <w:szCs w:val="20"/>
          <w:color w:val="auto"/>
        </w:rPr>
      </w:pPr>
    </w:p>
    <w:p>
      <w:pPr>
        <w:ind w:firstLine="238"/>
        <w:spacing w:after="0" w:line="251" w:lineRule="auto"/>
        <w:rPr>
          <w:sz w:val="20"/>
          <w:szCs w:val="20"/>
          <w:color w:val="auto"/>
        </w:rPr>
      </w:pPr>
      <w:r>
        <w:rPr>
          <w:rFonts w:ascii="Times New Roman" w:cs="Times New Roman" w:eastAsia="Times New Roman" w:hAnsi="Times New Roman"/>
          <w:sz w:val="18"/>
          <w:szCs w:val="18"/>
          <w:color w:val="auto"/>
        </w:rPr>
        <w:t>The Company's existing leases/subleases related to IHOP restaurants generally provide for an initial term of 20 to 25 years, with most having one or more five-year renewal options. Leases related to Applebee's restaurants generally have an initial term of 10 to 20 years, with renewal terms of five to 20 years. Option periods were not included in determining liabilities and right-of-use assets related to operating leases. Approximately 285 of the Company's leases met the sales levels that required variable rent payments to the Company (as lessor), based on a percentage of restaurant sales during the six months ended June 30, 2022. Approximately 40 of the leases met the sales levels that required variable rent payments by the Company (as lessee), based on a percentage of restaurant sales during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Lease Disclosures (Continued)</w:t>
      </w:r>
    </w:p>
    <w:p>
      <w:pPr>
        <w:spacing w:after="0" w:line="200" w:lineRule="exact"/>
        <w:rPr>
          <w:sz w:val="20"/>
          <w:szCs w:val="20"/>
          <w:color w:val="auto"/>
        </w:rPr>
      </w:pP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lease cost for the three and six months ended June 30, 2022 and 2021 was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20" w:type="dxa"/>
            <w:vAlign w:val="bottom"/>
          </w:tcPr>
          <w:p>
            <w:pPr>
              <w:spacing w:after="0"/>
              <w:rPr>
                <w:sz w:val="18"/>
                <w:szCs w:val="18"/>
                <w:color w:val="auto"/>
              </w:rPr>
            </w:pPr>
          </w:p>
        </w:tc>
        <w:tc>
          <w:tcPr>
            <w:tcW w:w="280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240" w:type="dxa"/>
            <w:vAlign w:val="bottom"/>
            <w:gridSpan w:val="3"/>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59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0"/>
        </w:trPr>
        <w:tc>
          <w:tcPr>
            <w:tcW w:w="5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8"/>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5"/>
        </w:trPr>
        <w:tc>
          <w:tcPr>
            <w:tcW w:w="5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5"/>
        </w:trPr>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52"/>
        </w:trPr>
        <w:tc>
          <w:tcPr>
            <w:tcW w:w="5920" w:type="dxa"/>
            <w:vAlign w:val="bottom"/>
            <w:shd w:val="clear" w:color="auto" w:fill="CCEEFF"/>
          </w:tcPr>
          <w:p>
            <w:pPr>
              <w:ind w:left="20"/>
              <w:spacing w:after="0" w:line="251"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2"/>
                <w:szCs w:val="22"/>
                <w:color w:val="auto"/>
                <w:vertAlign w:val="superscript"/>
              </w:rPr>
              <w:t>(1)</w:t>
            </w:r>
          </w:p>
        </w:tc>
        <w:tc>
          <w:tcPr>
            <w:tcW w:w="86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42.3</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25"/>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5"/>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0.0</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25"/>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(53.1)</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4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(income) cost</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Operating lease cost for the three and six months ended June 30, 2021 previously disclosed as $24.7 million and $49.8 million, respectively, were overstated due to the inclusion of certain</w:t>
      </w:r>
    </w:p>
    <w:p>
      <w:pPr>
        <w:spacing w:after="0" w:line="48" w:lineRule="exact"/>
        <w:rPr>
          <w:sz w:val="20"/>
          <w:szCs w:val="20"/>
          <w:color w:val="auto"/>
        </w:rPr>
      </w:pPr>
    </w:p>
    <w:p>
      <w:pPr>
        <w:ind w:right="480"/>
        <w:spacing w:after="0" w:line="290" w:lineRule="auto"/>
        <w:rPr>
          <w:sz w:val="20"/>
          <w:szCs w:val="20"/>
          <w:color w:val="auto"/>
        </w:rPr>
      </w:pPr>
      <w:r>
        <w:rPr>
          <w:rFonts w:ascii="Times New Roman" w:cs="Times New Roman" w:eastAsia="Times New Roman" w:hAnsi="Times New Roman"/>
          <w:sz w:val="14"/>
          <w:szCs w:val="14"/>
          <w:color w:val="auto"/>
        </w:rPr>
        <w:t>finance lease activity. The correct operating lease cost for the three and six months ended June 30, 2021 was $21.0 million and $42.4 million, respectively, as reflected in the above table. The overstatement only impacted this note disclosure, and there was no impact to the Consolidated Statement of Comprehensive Income.</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as lessee as of June 30, 2022 were as follows:</w:t>
      </w:r>
    </w:p>
    <w:p>
      <w:pPr>
        <w:spacing w:after="0" w:line="26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92"/>
        </w:trPr>
        <w:tc>
          <w:tcPr>
            <w:tcW w:w="80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192"/>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6"/>
                <w:szCs w:val="16"/>
                <w:color w:val="auto"/>
              </w:rPr>
            </w:pPr>
          </w:p>
        </w:tc>
      </w:tr>
      <w:tr>
        <w:trPr>
          <w:trHeight w:val="23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(remaining six months)</w:t>
            </w:r>
          </w:p>
        </w:tc>
        <w:tc>
          <w:tcPr>
            <w:tcW w:w="960" w:type="dxa"/>
            <w:vAlign w:val="bottom"/>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interest/imputed interest</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obligations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right="580" w:firstLine="318"/>
        <w:spacing w:after="0" w:line="274" w:lineRule="auto"/>
        <w:rPr>
          <w:sz w:val="20"/>
          <w:szCs w:val="20"/>
          <w:color w:val="auto"/>
        </w:rPr>
      </w:pPr>
      <w:r>
        <w:rPr>
          <w:rFonts w:ascii="Times New Roman" w:cs="Times New Roman" w:eastAsia="Times New Roman" w:hAnsi="Times New Roman"/>
          <w:sz w:val="18"/>
          <w:szCs w:val="18"/>
          <w:color w:val="auto"/>
        </w:rPr>
        <w:t>The weighted average remaining lease term as of June 30, 2022 was 10.0 years for finance leases and 6.6 years for operating leases. The weighted average discount rate as of June 30, 2022 was 9.8% for finance leases and 5.5% for operating leases.</w:t>
      </w:r>
    </w:p>
    <w:p>
      <w:pPr>
        <w:spacing w:after="0" w:line="200" w:lineRule="exact"/>
        <w:rPr>
          <w:sz w:val="20"/>
          <w:szCs w:val="20"/>
          <w:color w:val="auto"/>
        </w:rPr>
      </w:pP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three and six months ended June 30, 2022 and 2021, the Company made the following cash payments for leases:</w:t>
      </w:r>
    </w:p>
    <w:p>
      <w:pPr>
        <w:spacing w:after="0" w:line="47"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18"/>
                <w:szCs w:val="18"/>
                <w:color w:val="auto"/>
              </w:rPr>
            </w:pPr>
          </w:p>
        </w:tc>
        <w:tc>
          <w:tcPr>
            <w:tcW w:w="2380" w:type="dxa"/>
            <w:vAlign w:val="bottom"/>
            <w:gridSpan w:val="3"/>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49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7"/>
        </w:trPr>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5"/>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payments on finance lease obligations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operating leases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22.8</w:t>
            </w:r>
          </w:p>
        </w:tc>
        <w:tc>
          <w:tcPr>
            <w:tcW w:w="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45.8</w:t>
            </w:r>
          </w:p>
        </w:tc>
        <w:tc>
          <w:tcPr>
            <w:tcW w:w="4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31"/>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payments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20"/>
                <w:szCs w:val="20"/>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3.9</w:t>
            </w:r>
          </w:p>
        </w:tc>
        <w:tc>
          <w:tcPr>
            <w:tcW w:w="4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bl>
    <w:p>
      <w:pPr>
        <w:spacing w:after="0" w:line="200" w:lineRule="exact"/>
        <w:rPr>
          <w:sz w:val="20"/>
          <w:szCs w:val="20"/>
          <w:color w:val="auto"/>
        </w:rPr>
      </w:pP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15" w:name="page16"/>
    <w:bookmarkEnd w:id="1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Lease Disclosures (Continued)</w:t>
      </w:r>
    </w:p>
    <w:p>
      <w:pPr>
        <w:spacing w:after="0" w:line="200" w:lineRule="exact"/>
        <w:rPr>
          <w:sz w:val="20"/>
          <w:szCs w:val="20"/>
          <w:color w:val="auto"/>
        </w:rPr>
      </w:pP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income from operating leases for the three and six months ended June 30, 2022 and 2021 was as follows:</w:t>
      </w:r>
    </w:p>
    <w:p>
      <w:pPr>
        <w:spacing w:after="0" w:line="47"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88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40" w:type="dxa"/>
            <w:vAlign w:val="bottom"/>
          </w:tcPr>
          <w:p>
            <w:pPr>
              <w:spacing w:after="0"/>
              <w:rPr>
                <w:sz w:val="18"/>
                <w:szCs w:val="18"/>
                <w:color w:val="auto"/>
              </w:rPr>
            </w:pPr>
          </w:p>
        </w:tc>
        <w:tc>
          <w:tcPr>
            <w:tcW w:w="2340" w:type="dxa"/>
            <w:vAlign w:val="bottom"/>
            <w:gridSpan w:val="3"/>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w w:val="99"/>
              </w:rPr>
              <w:t>Six Months Ended June 30,</w:t>
            </w:r>
          </w:p>
        </w:tc>
        <w:tc>
          <w:tcPr>
            <w:tcW w:w="40" w:type="dxa"/>
            <w:vAlign w:val="bottom"/>
          </w:tcPr>
          <w:p>
            <w:pPr>
              <w:spacing w:after="0"/>
              <w:rPr>
                <w:sz w:val="18"/>
                <w:szCs w:val="18"/>
                <w:color w:val="auto"/>
              </w:rPr>
            </w:pPr>
          </w:p>
        </w:tc>
      </w:tr>
      <w:tr>
        <w:trPr>
          <w:trHeight w:val="207"/>
        </w:trPr>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7"/>
                <w:szCs w:val="17"/>
                <w:color w:val="auto"/>
              </w:rPr>
            </w:pPr>
          </w:p>
        </w:tc>
      </w:tr>
      <w:tr>
        <w:trPr>
          <w:trHeight w:val="187"/>
        </w:trPr>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2"/>
        </w:trPr>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lease payments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40" w:type="dxa"/>
            <w:vAlign w:val="bottom"/>
          </w:tcPr>
          <w:p>
            <w:pPr>
              <w:spacing w:after="0"/>
              <w:rPr>
                <w:sz w:val="20"/>
                <w:szCs w:val="20"/>
                <w:color w:val="auto"/>
              </w:rPr>
            </w:pPr>
          </w:p>
        </w:tc>
      </w:tr>
      <w:tr>
        <w:trPr>
          <w:trHeight w:val="225"/>
        </w:trPr>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9"/>
                <w:szCs w:val="19"/>
                <w:color w:val="auto"/>
              </w:rPr>
            </w:pPr>
          </w:p>
        </w:tc>
      </w:tr>
      <w:tr>
        <w:trPr>
          <w:trHeight w:val="244"/>
        </w:trPr>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income</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40" w:type="dxa"/>
            <w:vAlign w:val="bottom"/>
          </w:tcPr>
          <w:p>
            <w:pPr>
              <w:spacing w:after="0"/>
              <w:rPr>
                <w:sz w:val="20"/>
                <w:szCs w:val="20"/>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30"/>
        </w:trPr>
        <w:tc>
          <w:tcPr>
            <w:tcW w:w="844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auto"/>
                <w:w w:val="97"/>
              </w:rPr>
              <w:t>Minimum payments to be received as lessor under noncancelable operating leases as of June 30, 2022 were as follows:</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0"/>
        </w:trPr>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7"/>
                <w:szCs w:val="17"/>
                <w:color w:val="auto"/>
              </w:rPr>
            </w:pPr>
          </w:p>
        </w:tc>
      </w:tr>
      <w:tr>
        <w:trPr>
          <w:trHeight w:val="24"/>
        </w:trPr>
        <w:tc>
          <w:tcPr>
            <w:tcW w:w="120" w:type="dxa"/>
            <w:vAlign w:val="bottom"/>
          </w:tcPr>
          <w:p>
            <w:pPr>
              <w:spacing w:after="0"/>
              <w:rPr>
                <w:sz w:val="2"/>
                <w:szCs w:val="2"/>
                <w:color w:val="auto"/>
              </w:rPr>
            </w:pPr>
          </w:p>
        </w:tc>
        <w:tc>
          <w:tcPr>
            <w:tcW w:w="50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5"/>
        </w:trPr>
        <w:tc>
          <w:tcPr>
            <w:tcW w:w="120" w:type="dxa"/>
            <w:vAlign w:val="bottom"/>
          </w:tcPr>
          <w:p>
            <w:pPr>
              <w:spacing w:after="0"/>
              <w:rPr>
                <w:sz w:val="19"/>
                <w:szCs w:val="19"/>
                <w:color w:val="auto"/>
              </w:rPr>
            </w:pPr>
          </w:p>
        </w:tc>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(remaining six months)</w:t>
            </w: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40" w:type="dxa"/>
            <w:vAlign w:val="bottom"/>
            <w:shd w:val="clear" w:color="auto" w:fill="CCEEFF"/>
          </w:tcPr>
          <w:p>
            <w:pPr>
              <w:spacing w:after="0"/>
              <w:rPr>
                <w:sz w:val="19"/>
                <w:szCs w:val="19"/>
                <w:color w:val="auto"/>
              </w:rPr>
            </w:pPr>
          </w:p>
        </w:tc>
      </w:tr>
      <w:tr>
        <w:trPr>
          <w:trHeight w:val="225"/>
        </w:trPr>
        <w:tc>
          <w:tcPr>
            <w:tcW w:w="120" w:type="dxa"/>
            <w:vAlign w:val="bottom"/>
          </w:tcPr>
          <w:p>
            <w:pPr>
              <w:spacing w:after="0"/>
              <w:rPr>
                <w:sz w:val="19"/>
                <w:szCs w:val="19"/>
                <w:color w:val="auto"/>
              </w:rPr>
            </w:pPr>
          </w:p>
        </w:tc>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40" w:type="dxa"/>
            <w:vAlign w:val="bottom"/>
          </w:tcPr>
          <w:p>
            <w:pPr>
              <w:spacing w:after="0"/>
              <w:rPr>
                <w:sz w:val="19"/>
                <w:szCs w:val="19"/>
                <w:color w:val="auto"/>
              </w:rPr>
            </w:pPr>
          </w:p>
        </w:tc>
      </w:tr>
      <w:tr>
        <w:trPr>
          <w:trHeight w:val="225"/>
        </w:trPr>
        <w:tc>
          <w:tcPr>
            <w:tcW w:w="120" w:type="dxa"/>
            <w:vAlign w:val="bottom"/>
          </w:tcPr>
          <w:p>
            <w:pPr>
              <w:spacing w:after="0"/>
              <w:rPr>
                <w:sz w:val="19"/>
                <w:szCs w:val="19"/>
                <w:color w:val="auto"/>
              </w:rPr>
            </w:pPr>
          </w:p>
        </w:tc>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40" w:type="dxa"/>
            <w:vAlign w:val="bottom"/>
            <w:shd w:val="clear" w:color="auto" w:fill="CCEEFF"/>
          </w:tcPr>
          <w:p>
            <w:pPr>
              <w:spacing w:after="0"/>
              <w:rPr>
                <w:sz w:val="19"/>
                <w:szCs w:val="19"/>
                <w:color w:val="auto"/>
              </w:rPr>
            </w:pPr>
          </w:p>
        </w:tc>
      </w:tr>
      <w:tr>
        <w:trPr>
          <w:trHeight w:val="225"/>
        </w:trPr>
        <w:tc>
          <w:tcPr>
            <w:tcW w:w="120" w:type="dxa"/>
            <w:vAlign w:val="bottom"/>
          </w:tcPr>
          <w:p>
            <w:pPr>
              <w:spacing w:after="0"/>
              <w:rPr>
                <w:sz w:val="19"/>
                <w:szCs w:val="19"/>
                <w:color w:val="auto"/>
              </w:rPr>
            </w:pPr>
          </w:p>
        </w:tc>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40" w:type="dxa"/>
            <w:vAlign w:val="bottom"/>
          </w:tcPr>
          <w:p>
            <w:pPr>
              <w:spacing w:after="0"/>
              <w:rPr>
                <w:sz w:val="19"/>
                <w:szCs w:val="19"/>
                <w:color w:val="auto"/>
              </w:rPr>
            </w:pPr>
          </w:p>
        </w:tc>
      </w:tr>
      <w:tr>
        <w:trPr>
          <w:trHeight w:val="225"/>
        </w:trPr>
        <w:tc>
          <w:tcPr>
            <w:tcW w:w="120" w:type="dxa"/>
            <w:vAlign w:val="bottom"/>
          </w:tcPr>
          <w:p>
            <w:pPr>
              <w:spacing w:after="0"/>
              <w:rPr>
                <w:sz w:val="19"/>
                <w:szCs w:val="19"/>
                <w:color w:val="auto"/>
              </w:rPr>
            </w:pPr>
          </w:p>
        </w:tc>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40" w:type="dxa"/>
            <w:vAlign w:val="bottom"/>
            <w:shd w:val="clear" w:color="auto" w:fill="CCEEFF"/>
          </w:tcPr>
          <w:p>
            <w:pPr>
              <w:spacing w:after="0"/>
              <w:rPr>
                <w:sz w:val="19"/>
                <w:szCs w:val="19"/>
                <w:color w:val="auto"/>
              </w:rPr>
            </w:pPr>
          </w:p>
        </w:tc>
      </w:tr>
      <w:tr>
        <w:trPr>
          <w:trHeight w:val="225"/>
        </w:trPr>
        <w:tc>
          <w:tcPr>
            <w:tcW w:w="120" w:type="dxa"/>
            <w:vAlign w:val="bottom"/>
          </w:tcPr>
          <w:p>
            <w:pPr>
              <w:spacing w:after="0"/>
              <w:rPr>
                <w:sz w:val="19"/>
                <w:szCs w:val="19"/>
                <w:color w:val="auto"/>
              </w:rPr>
            </w:pPr>
          </w:p>
        </w:tc>
        <w:tc>
          <w:tcPr>
            <w:tcW w:w="5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40" w:type="dxa"/>
            <w:vAlign w:val="bottom"/>
            <w:tcBorders>
              <w:bottom w:val="single" w:sz="8" w:color="auto"/>
            </w:tcBorders>
          </w:tcPr>
          <w:p>
            <w:pPr>
              <w:spacing w:after="0"/>
              <w:rPr>
                <w:sz w:val="19"/>
                <w:szCs w:val="19"/>
                <w:color w:val="auto"/>
              </w:rPr>
            </w:pPr>
          </w:p>
        </w:tc>
      </w:tr>
      <w:tr>
        <w:trPr>
          <w:trHeight w:val="244"/>
        </w:trPr>
        <w:tc>
          <w:tcPr>
            <w:tcW w:w="120" w:type="dxa"/>
            <w:vAlign w:val="bottom"/>
          </w:tcPr>
          <w:p>
            <w:pPr>
              <w:spacing w:after="0"/>
              <w:rPr>
                <w:sz w:val="20"/>
                <w:szCs w:val="20"/>
                <w:color w:val="auto"/>
              </w:rPr>
            </w:pPr>
          </w:p>
        </w:tc>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rents receivable</w:t>
            </w:r>
          </w:p>
        </w:tc>
        <w:tc>
          <w:tcPr>
            <w:tcW w:w="9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40" w:type="dxa"/>
            <w:vAlign w:val="bottom"/>
            <w:tcBorders>
              <w:bottom w:val="single" w:sz="8" w:color="auto"/>
            </w:tcBorders>
            <w:shd w:val="clear" w:color="auto" w:fill="CCEEFF"/>
          </w:tcPr>
          <w:p>
            <w:pPr>
              <w:spacing w:after="0"/>
              <w:rPr>
                <w:sz w:val="20"/>
                <w:szCs w:val="20"/>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income from real estate leases receivables for the three and six months ended June 30, 2022 and 2021 was as follows:</w:t>
      </w:r>
    </w:p>
    <w:p>
      <w:pPr>
        <w:spacing w:after="0" w:line="47"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1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0" w:type="dxa"/>
            <w:vAlign w:val="bottom"/>
          </w:tcPr>
          <w:p>
            <w:pPr>
              <w:spacing w:after="0"/>
              <w:rPr>
                <w:sz w:val="18"/>
                <w:szCs w:val="18"/>
                <w:color w:val="auto"/>
              </w:rPr>
            </w:pPr>
          </w:p>
        </w:tc>
      </w:tr>
      <w:tr>
        <w:trPr>
          <w:trHeight w:val="207"/>
        </w:trPr>
        <w:tc>
          <w:tcPr>
            <w:tcW w:w="16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7"/>
                <w:szCs w:val="17"/>
                <w:color w:val="auto"/>
              </w:rPr>
            </w:pPr>
          </w:p>
        </w:tc>
      </w:tr>
      <w:tr>
        <w:trPr>
          <w:trHeight w:val="187"/>
        </w:trPr>
        <w:tc>
          <w:tcPr>
            <w:tcW w:w="16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2"/>
        </w:trPr>
        <w:tc>
          <w:tcPr>
            <w:tcW w:w="160" w:type="dxa"/>
            <w:vAlign w:val="bottom"/>
          </w:tcPr>
          <w:p>
            <w:pPr>
              <w:spacing w:after="0"/>
              <w:rPr>
                <w:sz w:val="20"/>
                <w:szCs w:val="20"/>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0"/>
                <w:szCs w:val="20"/>
                <w:color w:val="auto"/>
              </w:rPr>
            </w:pPr>
          </w:p>
        </w:tc>
      </w:tr>
      <w:tr>
        <w:trPr>
          <w:trHeight w:val="225"/>
        </w:trPr>
        <w:tc>
          <w:tcPr>
            <w:tcW w:w="16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9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9"/>
                <w:szCs w:val="19"/>
                <w:color w:val="auto"/>
              </w:rPr>
            </w:pPr>
          </w:p>
        </w:tc>
      </w:tr>
      <w:tr>
        <w:trPr>
          <w:trHeight w:val="225"/>
        </w:trPr>
        <w:tc>
          <w:tcPr>
            <w:tcW w:w="16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(loss) profit</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19"/>
        </w:trPr>
        <w:tc>
          <w:tcPr>
            <w:tcW w:w="16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real estate lease income</w:t>
            </w: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50"/>
        </w:trPr>
        <w:tc>
          <w:tcPr>
            <w:tcW w:w="846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w w:val="97"/>
              </w:rPr>
              <w:t>Minimum payments to be received as lessor under noncancelable real estate leases as of June 30, 2022 were as follows: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0"/>
        </w:trPr>
        <w:tc>
          <w:tcPr>
            <w:tcW w:w="16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7"/>
                <w:szCs w:val="17"/>
                <w:color w:val="auto"/>
              </w:rPr>
            </w:pPr>
          </w:p>
        </w:tc>
      </w:tr>
      <w:tr>
        <w:trPr>
          <w:trHeight w:val="24"/>
        </w:trPr>
        <w:tc>
          <w:tcPr>
            <w:tcW w:w="1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5"/>
        </w:trPr>
        <w:tc>
          <w:tcPr>
            <w:tcW w:w="160" w:type="dxa"/>
            <w:vAlign w:val="bottom"/>
            <w:tcBorders>
              <w:right w:val="single" w:sz="8" w:color="CCEEFF"/>
            </w:tcBorders>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(remaining six months)</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shd w:val="clear" w:color="auto" w:fill="CCEEFF"/>
          </w:tcPr>
          <w:p>
            <w:pPr>
              <w:spacing w:after="0"/>
              <w:rPr>
                <w:sz w:val="19"/>
                <w:szCs w:val="19"/>
                <w:color w:val="auto"/>
              </w:rPr>
            </w:pPr>
          </w:p>
        </w:tc>
      </w:tr>
      <w:tr>
        <w:trPr>
          <w:trHeight w:val="225"/>
        </w:trPr>
        <w:tc>
          <w:tcPr>
            <w:tcW w:w="1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9"/>
                <w:szCs w:val="19"/>
                <w:color w:val="auto"/>
              </w:rPr>
            </w:pPr>
          </w:p>
        </w:tc>
      </w:tr>
      <w:tr>
        <w:trPr>
          <w:trHeight w:val="225"/>
        </w:trPr>
        <w:tc>
          <w:tcPr>
            <w:tcW w:w="160" w:type="dxa"/>
            <w:vAlign w:val="bottom"/>
            <w:tcBorders>
              <w:right w:val="single" w:sz="8" w:color="CCEEFF"/>
            </w:tcBorders>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CEEFF"/>
          </w:tcPr>
          <w:p>
            <w:pPr>
              <w:spacing w:after="0"/>
              <w:rPr>
                <w:sz w:val="19"/>
                <w:szCs w:val="19"/>
                <w:color w:val="auto"/>
              </w:rPr>
            </w:pPr>
          </w:p>
        </w:tc>
      </w:tr>
      <w:tr>
        <w:trPr>
          <w:trHeight w:val="225"/>
        </w:trPr>
        <w:tc>
          <w:tcPr>
            <w:tcW w:w="1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r>
      <w:tr>
        <w:trPr>
          <w:trHeight w:val="225"/>
        </w:trPr>
        <w:tc>
          <w:tcPr>
            <w:tcW w:w="160" w:type="dxa"/>
            <w:vAlign w:val="bottom"/>
            <w:tcBorders>
              <w:right w:val="single" w:sz="8" w:color="CCEEFF"/>
            </w:tcBorders>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9"/>
                <w:szCs w:val="19"/>
                <w:color w:val="auto"/>
              </w:rPr>
            </w:pPr>
          </w:p>
        </w:tc>
      </w:tr>
      <w:tr>
        <w:trPr>
          <w:trHeight w:val="225"/>
        </w:trPr>
        <w:tc>
          <w:tcPr>
            <w:tcW w:w="160" w:type="dxa"/>
            <w:vAlign w:val="bottom"/>
          </w:tcPr>
          <w:p>
            <w:pPr>
              <w:spacing w:after="0"/>
              <w:rPr>
                <w:sz w:val="19"/>
                <w:szCs w:val="19"/>
                <w:color w:val="auto"/>
              </w:rPr>
            </w:pPr>
          </w:p>
        </w:tc>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9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Borders>
              <w:bottom w:val="single" w:sz="8" w:color="auto"/>
            </w:tcBorders>
          </w:tcPr>
          <w:p>
            <w:pPr>
              <w:spacing w:after="0"/>
              <w:rPr>
                <w:sz w:val="19"/>
                <w:szCs w:val="19"/>
                <w:color w:val="auto"/>
              </w:rPr>
            </w:pPr>
          </w:p>
        </w:tc>
      </w:tr>
      <w:tr>
        <w:trPr>
          <w:trHeight w:val="219"/>
        </w:trPr>
        <w:tc>
          <w:tcPr>
            <w:tcW w:w="160" w:type="dxa"/>
            <w:vAlign w:val="bottom"/>
            <w:tcBorders>
              <w:right w:val="single" w:sz="8" w:color="CCEEFF"/>
            </w:tcBorders>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rents receivable</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shd w:val="clear" w:color="auto" w:fill="CCEEFF"/>
          </w:tcPr>
          <w:p>
            <w:pPr>
              <w:spacing w:after="0"/>
              <w:rPr>
                <w:sz w:val="19"/>
                <w:szCs w:val="19"/>
                <w:color w:val="auto"/>
              </w:rPr>
            </w:pPr>
          </w:p>
        </w:tc>
      </w:tr>
      <w:tr>
        <w:trPr>
          <w:trHeight w:val="225"/>
        </w:trPr>
        <w:tc>
          <w:tcPr>
            <w:tcW w:w="160" w:type="dxa"/>
            <w:vAlign w:val="bottom"/>
          </w:tcPr>
          <w:p>
            <w:pPr>
              <w:spacing w:after="0"/>
              <w:rPr>
                <w:sz w:val="19"/>
                <w:szCs w:val="19"/>
                <w:color w:val="auto"/>
              </w:rPr>
            </w:pPr>
          </w:p>
        </w:tc>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unearned income</w:t>
            </w:r>
          </w:p>
        </w:tc>
        <w:tc>
          <w:tcPr>
            <w:tcW w:w="9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Borders>
              <w:bottom w:val="single" w:sz="8" w:color="auto"/>
            </w:tcBorders>
          </w:tcPr>
          <w:p>
            <w:pPr>
              <w:spacing w:after="0"/>
              <w:rPr>
                <w:sz w:val="19"/>
                <w:szCs w:val="19"/>
                <w:color w:val="auto"/>
              </w:rPr>
            </w:pPr>
          </w:p>
        </w:tc>
      </w:tr>
      <w:tr>
        <w:trPr>
          <w:trHeight w:val="219"/>
        </w:trPr>
        <w:tc>
          <w:tcPr>
            <w:tcW w:w="160" w:type="dxa"/>
            <w:vAlign w:val="bottom"/>
            <w:tcBorders>
              <w:right w:val="single" w:sz="8" w:color="CCEEFF"/>
            </w:tcBorders>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investment in real estate leases</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shd w:val="clear" w:color="auto" w:fill="CCEEFF"/>
          </w:tcPr>
          <w:p>
            <w:pPr>
              <w:spacing w:after="0"/>
              <w:rPr>
                <w:sz w:val="19"/>
                <w:szCs w:val="19"/>
                <w:color w:val="auto"/>
              </w:rPr>
            </w:pPr>
          </w:p>
        </w:tc>
      </w:tr>
      <w:tr>
        <w:trPr>
          <w:trHeight w:val="225"/>
        </w:trPr>
        <w:tc>
          <w:tcPr>
            <w:tcW w:w="160" w:type="dxa"/>
            <w:vAlign w:val="bottom"/>
          </w:tcPr>
          <w:p>
            <w:pPr>
              <w:spacing w:after="0"/>
              <w:rPr>
                <w:sz w:val="19"/>
                <w:szCs w:val="19"/>
                <w:color w:val="auto"/>
              </w:rPr>
            </w:pPr>
          </w:p>
        </w:tc>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9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Borders>
              <w:bottom w:val="single" w:sz="8" w:color="auto"/>
            </w:tcBorders>
          </w:tcPr>
          <w:p>
            <w:pPr>
              <w:spacing w:after="0"/>
              <w:rPr>
                <w:sz w:val="19"/>
                <w:szCs w:val="19"/>
                <w:color w:val="auto"/>
              </w:rPr>
            </w:pPr>
          </w:p>
        </w:tc>
      </w:tr>
      <w:tr>
        <w:trPr>
          <w:trHeight w:val="244"/>
        </w:trPr>
        <w:tc>
          <w:tcPr>
            <w:tcW w:w="160" w:type="dxa"/>
            <w:vAlign w:val="bottom"/>
            <w:tcBorders>
              <w:right w:val="single" w:sz="8" w:color="CCEEFF"/>
            </w:tcBorders>
          </w:tcPr>
          <w:p>
            <w:pPr>
              <w:spacing w:after="0"/>
              <w:rPr>
                <w:sz w:val="20"/>
                <w:szCs w:val="20"/>
                <w:color w:val="auto"/>
              </w:rPr>
            </w:pPr>
          </w:p>
        </w:tc>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 in real estate leases</w:t>
            </w:r>
          </w:p>
        </w:tc>
        <w:tc>
          <w:tcPr>
            <w:tcW w:w="9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16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358"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June 30, 2022 and December 31, 2021, long-term debt consisted of the following:</w:t>
      </w:r>
    </w:p>
    <w:p>
      <w:pPr>
        <w:spacing w:after="0" w:line="47" w:lineRule="exact"/>
        <w:rPr>
          <w:sz w:val="20"/>
          <w:szCs w:val="20"/>
          <w:color w:val="auto"/>
        </w:rPr>
      </w:pPr>
    </w:p>
    <w:tbl>
      <w:tblPr>
        <w:tblLayout w:type="fixed"/>
        <w:tblInd w:w="440" w:type="dxa"/>
        <w:tblCellMar>
          <w:top w:w="0" w:type="dxa"/>
          <w:left w:w="0" w:type="dxa"/>
          <w:bottom w:w="0" w:type="dxa"/>
          <w:right w:w="0" w:type="dxa"/>
        </w:tblCellMar>
      </w:tblPr>
      <w:tr>
        <w:trPr>
          <w:trHeight w:val="212"/>
        </w:trPr>
        <w:tc>
          <w:tcPr>
            <w:tcW w:w="16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88"/>
        </w:trPr>
        <w:tc>
          <w:tcPr>
            <w:tcW w:w="160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80" w:type="dxa"/>
            <w:vAlign w:val="bottom"/>
            <w:gridSpan w:val="4"/>
          </w:tcPr>
          <w:p>
            <w:pPr>
              <w:jc w:val="right"/>
              <w:ind w:right="137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2"/>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Series 2019-1 4.194%</w:t>
            </w: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Senior Secured Notes, Class A-2-I</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r>
      <w:tr>
        <w:trPr>
          <w:trHeight w:val="225"/>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Series 2019-1 4.723%</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Senior Secured Notes, Class A-2-II</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w:t>
            </w:r>
          </w:p>
        </w:tc>
      </w:tr>
      <w:tr>
        <w:trPr>
          <w:trHeight w:val="225"/>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54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9"/>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net of debt issuance costs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1,279.6</w:t>
            </w:r>
          </w:p>
        </w:tc>
      </w:tr>
      <w:tr>
        <w:trPr>
          <w:trHeight w:val="225"/>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54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1,279.6</w:t>
            </w:r>
          </w:p>
        </w:tc>
      </w:tr>
      <w:tr>
        <w:trPr>
          <w:trHeight w:val="20"/>
        </w:trPr>
        <w:tc>
          <w:tcPr>
            <w:tcW w:w="16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right="120" w:firstLine="318"/>
        <w:spacing w:after="0" w:line="251" w:lineRule="auto"/>
        <w:rPr>
          <w:sz w:val="20"/>
          <w:szCs w:val="20"/>
          <w:color w:val="auto"/>
        </w:rPr>
      </w:pPr>
      <w:r>
        <w:rPr>
          <w:rFonts w:ascii="Times New Roman" w:cs="Times New Roman" w:eastAsia="Times New Roman" w:hAnsi="Times New Roman"/>
          <w:sz w:val="18"/>
          <w:szCs w:val="18"/>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(“Class A-2-I Notes”) in an initial aggregate principal amount of $700 million and the Series 2019-1 4.723% Fixed Rate Senior Secured Notes, Class A-2-II (“Class A-2-II Notes”) in an initial aggregate</w:t>
      </w:r>
    </w:p>
    <w:p>
      <w:pPr>
        <w:spacing w:after="0" w:line="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principal amount of $600 million (the “Class A-2-II Notes” and, together with the Class A-2-I Notes, the “2019 Class A-2 Notes”). The 2019 Class A-2 Notes were issued pursuant to an offering exempt from registration under the Securities Act of 1933, as amended.</w:t>
      </w:r>
    </w:p>
    <w:p>
      <w:pPr>
        <w:spacing w:after="0" w:line="210"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The Co-Issuers also entered into a revolving financing facility, the 2019-1 Variable Funding Senior Notes, Class A-1 (the “Credit Facility”), that allows for drawings up to $225 million of variable funding notes and the issuance of letters of credit. The Credit Facility and the 2019 Class A-2 Notes are referred to collectively herein as the “New Notes.” The New Notes were issued in a securitization transaction pursuant to which substantially all the domestic revenue-generating assets and domestic intellectual property held by the Co-Issuers and certain other special-purpose, wholly-owned indirect subsidiaries of the Company (the “Guarantors”) were pledged as collateral to secure the New Notes.</w:t>
      </w:r>
    </w:p>
    <w:p>
      <w:pPr>
        <w:spacing w:after="0" w:line="212"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The New Notes were issued under a Base Indenture, dated as of September 30, 2014, and amended and restated as of June 5, 2019 (the “Base Indenture”), and the related Series 2019-1 Supplement to the Base Indenture, dated June 5, 2019 (the “Series 2019-1 Supplement”), among the Co-Issuers and Citibank, N.A., as the trustee (in such capacity, the “Trustee”) and securities intermediary. The Base Indenture and the Series 2019-1 Supplement (collectively, the “Indenture”) will allow the Co-Issuers to issue additional series of notes in the future subject to certain conditions set forth therein.</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2019 Class A-2 Notes</w:t>
      </w:r>
    </w:p>
    <w:p>
      <w:pPr>
        <w:spacing w:after="0" w:line="246" w:lineRule="exact"/>
        <w:rPr>
          <w:sz w:val="20"/>
          <w:szCs w:val="20"/>
          <w:color w:val="auto"/>
        </w:rPr>
      </w:pPr>
    </w:p>
    <w:p>
      <w:pPr>
        <w:jc w:val="both"/>
        <w:ind w:right="100" w:firstLine="318"/>
        <w:spacing w:after="0" w:line="266" w:lineRule="auto"/>
        <w:rPr>
          <w:sz w:val="20"/>
          <w:szCs w:val="20"/>
          <w:color w:val="auto"/>
        </w:rPr>
      </w:pPr>
      <w:r>
        <w:rPr>
          <w:rFonts w:ascii="Times New Roman" w:cs="Times New Roman" w:eastAsia="Times New Roman" w:hAnsi="Times New Roman"/>
          <w:sz w:val="17"/>
          <w:szCs w:val="17"/>
          <w:color w:val="auto"/>
        </w:rPr>
        <w:t>The legal final maturity of the 2019 Class A-2 Notes is June 2049, but rapid amortization will apply if the Class A-2-I Notes are not repaid by June 2024 (the “Class A-2-I Anticipated Repayment Date”) and for the Class A-2-II Notes if not repaid by June 2026 (the “Class A-2-II Anticipated Repayment Date”). If the Co-Issuers have not repaid or refinanced the Class A-2-I Notes by the Class A-2-I Anticipated Repayment Date or the Class A-2-II Notes by the Class A-2-II Anticipated Repayment Date, then additional interest will accrue on the Class A-2-I Notes and the Class A-2-II Notes, as applicable, at the greater of:</w:t>
      </w:r>
    </w:p>
    <w:p>
      <w:pPr>
        <w:spacing w:after="0" w:line="1" w:lineRule="exact"/>
        <w:rPr>
          <w:sz w:val="20"/>
          <w:szCs w:val="20"/>
          <w:color w:val="auto"/>
        </w:rPr>
      </w:pPr>
    </w:p>
    <w:p>
      <w:pPr>
        <w:jc w:val="both"/>
        <w:ind w:right="340" w:firstLine="6"/>
        <w:spacing w:after="0" w:line="270" w:lineRule="auto"/>
        <w:tabs>
          <w:tab w:leader="none" w:pos="28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and (B) the amount, if any, by which the sum of the following exceeds the applicable Series 2019-1 Class A-2 Note interest rate: (x) the yield to maturity (adjusted to a quarterly bond-equivalent basis) on the applicable anticipated repayment date of the United States Treasury Security having a term closest to 10 years plus (y) 5.0%, plus (z) 2.15% for the Series 2019-1 Class A-2-I Notes and 2.64% for the Series 2019-1 Class A-2-II Notes.</w:t>
      </w:r>
    </w:p>
    <w:p>
      <w:pPr>
        <w:spacing w:after="0" w:line="195" w:lineRule="exact"/>
        <w:rPr>
          <w:sz w:val="20"/>
          <w:szCs w:val="20"/>
          <w:color w:val="auto"/>
        </w:rPr>
      </w:pPr>
    </w:p>
    <w:p>
      <w:pPr>
        <w:ind w:right="240" w:firstLine="318"/>
        <w:spacing w:after="0" w:line="271" w:lineRule="auto"/>
        <w:rPr>
          <w:sz w:val="20"/>
          <w:szCs w:val="20"/>
          <w:color w:val="auto"/>
        </w:rPr>
      </w:pPr>
      <w:r>
        <w:rPr>
          <w:rFonts w:ascii="Times New Roman" w:cs="Times New Roman" w:eastAsia="Times New Roman" w:hAnsi="Times New Roman"/>
          <w:sz w:val="17"/>
          <w:szCs w:val="17"/>
          <w:color w:val="auto"/>
        </w:rPr>
        <w:t>While the 2019 Class A-2 Notes are outstanding, payment of principal and interest is required to be made on the 2019 Class A-2 Notes on a quarterly basis. The quarterly principal payment of $3.25 million on the 2019 Class A-2 Notes may be suspended when the leverage ratio for the Company and its subsidiaries is less than or equal to 5.25x. Exceeding the leverage ratio of 5.25x does not violate any covenant related to the New Notes. In general, the leverage ratio is the Company's indebtedness (as defined in the Indenture) divided by adjusted EBITDA (as defined in the Indenture) for the four preceding quarterly periods. The complete definitions of all calculation elements of the leverage ratio are contained in the Indenture.</w:t>
      </w:r>
    </w:p>
    <w:p>
      <w:pPr>
        <w:spacing w:after="0" w:line="195" w:lineRule="exact"/>
        <w:rPr>
          <w:sz w:val="20"/>
          <w:szCs w:val="20"/>
          <w:color w:val="auto"/>
        </w:rPr>
      </w:pPr>
    </w:p>
    <w:p>
      <w:pPr>
        <w:ind w:right="340" w:firstLine="318"/>
        <w:spacing w:after="0" w:line="274" w:lineRule="auto"/>
        <w:rPr>
          <w:sz w:val="20"/>
          <w:szCs w:val="20"/>
          <w:color w:val="auto"/>
        </w:rPr>
      </w:pPr>
      <w:r>
        <w:rPr>
          <w:rFonts w:ascii="Times New Roman" w:cs="Times New Roman" w:eastAsia="Times New Roman" w:hAnsi="Times New Roman"/>
          <w:sz w:val="18"/>
          <w:szCs w:val="18"/>
          <w:color w:val="auto"/>
        </w:rPr>
        <w:t>As of June 30, 2022, the Company's leverage ratio was 4.27x. As a result, quarterly principal payments on the 2019 Class A-2 Notes of $3.25 million currently are not required.</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Long-Term Debt (Continued)</w:t>
      </w:r>
    </w:p>
    <w:p>
      <w:pPr>
        <w:spacing w:after="0" w:line="200" w:lineRule="exact"/>
        <w:rPr>
          <w:sz w:val="20"/>
          <w:szCs w:val="20"/>
          <w:color w:val="auto"/>
        </w:rPr>
      </w:pPr>
    </w:p>
    <w:p>
      <w:pPr>
        <w:spacing w:after="0" w:line="303" w:lineRule="exact"/>
        <w:rPr>
          <w:sz w:val="20"/>
          <w:szCs w:val="20"/>
          <w:color w:val="auto"/>
        </w:rPr>
      </w:pPr>
    </w:p>
    <w:p>
      <w:pPr>
        <w:ind w:right="40" w:firstLine="318"/>
        <w:spacing w:after="0" w:line="267" w:lineRule="auto"/>
        <w:rPr>
          <w:sz w:val="20"/>
          <w:szCs w:val="20"/>
          <w:color w:val="auto"/>
        </w:rPr>
      </w:pPr>
      <w:r>
        <w:rPr>
          <w:rFonts w:ascii="Times New Roman" w:cs="Times New Roman" w:eastAsia="Times New Roman" w:hAnsi="Times New Roman"/>
          <w:sz w:val="17"/>
          <w:szCs w:val="17"/>
          <w:color w:val="auto"/>
        </w:rPr>
        <w:t>The Company may voluntarily repay the 2019 Class A-2 Notes at any time; however, if the 2019 Class A-2 Notes are repaid prior to certain dates, the Company would be required to pay make-whole premiums. As of June 30, 2022, the make-whole premium associated with voluntary prepayment of the Class A-2-I Notes was zero and will remain as such. As of June 30, 2022, the make-whole premium associated with voluntary prepayment of the Class A-2-II Notes was approximately $16 million; this amount declines progressively each quarter to zero in June 2024. The Company also would be subject to a make-whole premium in the event of a mandatory prepayment required following a Rapid Amortization Event or certain asset dispositions. The mandatory make-whole premium requirements are considered derivatives embedded in the New Notes that must be bifurcated for separate valuation. The Company estimated the fair value of these derivatives to be immaterial as of June 30, 2022, based on the probability-weighted discounted cash flows associated with either event.</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2019 Class A-1 Notes</w:t>
      </w:r>
    </w:p>
    <w:p>
      <w:pPr>
        <w:spacing w:after="0" w:line="26" w:lineRule="exact"/>
        <w:rPr>
          <w:sz w:val="20"/>
          <w:szCs w:val="20"/>
          <w:color w:val="auto"/>
        </w:rPr>
      </w:pPr>
    </w:p>
    <w:p>
      <w:pPr>
        <w:ind w:right="20" w:firstLine="318"/>
        <w:spacing w:after="0" w:line="260" w:lineRule="auto"/>
        <w:rPr>
          <w:sz w:val="20"/>
          <w:szCs w:val="20"/>
          <w:color w:val="auto"/>
        </w:rPr>
      </w:pPr>
      <w:r>
        <w:rPr>
          <w:rFonts w:ascii="Times New Roman" w:cs="Times New Roman" w:eastAsia="Times New Roman" w:hAnsi="Times New Roman"/>
          <w:sz w:val="17"/>
          <w:szCs w:val="17"/>
          <w:color w:val="auto"/>
        </w:rPr>
        <w:t>The Co-Issuers entered into the Credit Facility that allows for drawings up to $225 million of variable funding notes and the issuance of letters of credit. The applicable interest rate under the Credit Facility depends on the type of borrowing by the Co-Issuers. The applicable interest rate for advances is generally calculated at a per annum rate equal to the commercial paper funding rate or one-, two-, three- or six-month Eurodollar Funding Rate, in either case, plus</w:t>
      </w:r>
    </w:p>
    <w:p>
      <w:pPr>
        <w:spacing w:after="0" w:line="1"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7"/>
          <w:szCs w:val="17"/>
          <w:color w:val="auto"/>
        </w:rPr>
        <w:t>2.15%. The applicable interest rate for swingline advances and unreimbursed draws on outstanding letters of credit is a per annum base rate equal to the sum of (a) 1.15% plus (b) the greatest of (i) the Prime Rate in effect from time to time; (ii) the Federal Funds Rate in effect from time to time plus 0.50% and (iii) the one-month Eurodollar Funding Rate plus 1.00%. There is no upfront fee for the Credit Facility. There is a fee of 50 basis points on any unused portion of the revolving financing facility. Undrawn face amounts of outstanding letters of credit that are not cash collateralized accrue a fee of 2.15% per annum.</w:t>
      </w:r>
    </w:p>
    <w:p>
      <w:pPr>
        <w:spacing w:after="0" w:line="197"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In March 2020, the Company borrowed $220.0 million against the Credit Facility. The $220.0 million was repaid on March 5, 2021, and there have been no new borrowings since that date. As of June 30, 2022, there were no outstanding borrowings under the Credit Facility. The interest rate for borrowings under the Credit Facility is the three-month LIBOR rate plus 2.15% for 60% of the advances and the commercial paper funding rate of the Company's conduit investor plus 2.15% for 40% of the advances.</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June 30, 2022, $3.5 million was pledged against the Credit Facility for outstanding letters of credit, leaving $221.5 million available for borrowing.</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letters of credit are used primarily to satisfy insurance-related collateral requirements.</w:t>
      </w:r>
    </w:p>
    <w:p>
      <w:pPr>
        <w:spacing w:after="0" w:line="200" w:lineRule="exact"/>
        <w:rPr>
          <w:sz w:val="20"/>
          <w:szCs w:val="20"/>
          <w:color w:val="auto"/>
        </w:rPr>
      </w:pPr>
    </w:p>
    <w:p>
      <w:pPr>
        <w:spacing w:after="0" w:line="2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Covenants and Restrictions</w:t>
      </w:r>
    </w:p>
    <w:p>
      <w:pPr>
        <w:spacing w:after="0" w:line="246"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The New Notes are subject to a series of covenants and restrictions customary for transactions of this type, including: (i) that the Co-Issuers maintain specified reserve accounts to be used to make required payments in respect of the New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New Notes are in stated ways defective or ineffective; and (iv) covenants relating to recordkeeping, access to information and similar matters. The New Notes are subject to customary rapid amortization events provided for in the Indenture, including events tied to failure of the Securitization Entities (as defined in the Indenture)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New Notes are also subject to certain customary events of default, including events relating to non-payment of required interest, principal or other amounts due on or with respect to the New Notes, failure of the Securitization Entities to maintain the stated DSCR, failure to comply with covenants within certain time frames, certain bankruptcy events, breaches of specified representations and warranties and certain judgments.</w:t>
      </w:r>
    </w:p>
    <w:p>
      <w:pPr>
        <w:spacing w:after="0" w:line="218"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as described below. In a Cash Flow Sweeping Event, the Trustee is required to retain 50% of excess Cash Flow (as defined in the Indenture) in a restricted account. In a Rapid Amortization Event, all excess Cash Flow is retained and used to retire principal</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Long-Term Debt (Continued)</w:t>
      </w:r>
    </w:p>
    <w:p>
      <w:pPr>
        <w:spacing w:after="0" w:line="264" w:lineRule="exact"/>
        <w:rPr>
          <w:sz w:val="20"/>
          <w:szCs w:val="20"/>
          <w:color w:val="auto"/>
        </w:rPr>
      </w:pPr>
    </w:p>
    <w:p>
      <w:pPr>
        <w:ind w:right="160"/>
        <w:spacing w:after="0" w:line="304" w:lineRule="auto"/>
        <w:rPr>
          <w:sz w:val="20"/>
          <w:szCs w:val="20"/>
          <w:color w:val="auto"/>
        </w:rPr>
      </w:pPr>
      <w:r>
        <w:rPr>
          <w:rFonts w:ascii="Times New Roman" w:cs="Times New Roman" w:eastAsia="Times New Roman" w:hAnsi="Times New Roman"/>
          <w:sz w:val="17"/>
          <w:szCs w:val="17"/>
          <w:color w:val="auto"/>
        </w:rPr>
        <w:t>amounts of debt. In a Manager Termination Event, the Company may be replaced as manager of the assets securitized under the Indenture. In a Default Event, the outstanding principal amount and any accrued but unpaid interest can be called to become immediately due and payable. Key DSCRs are as follows:</w:t>
      </w:r>
    </w:p>
    <w:p>
      <w:pPr>
        <w:spacing w:after="0" w:line="167" w:lineRule="exact"/>
        <w:rPr>
          <w:sz w:val="20"/>
          <w:szCs w:val="20"/>
          <w:color w:val="auto"/>
        </w:rPr>
      </w:pPr>
    </w:p>
    <w:p>
      <w:pPr>
        <w:ind w:left="1280" w:hanging="320"/>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1.75x - Cash Flow Sweeping Event</w:t>
      </w:r>
    </w:p>
    <w:p>
      <w:pPr>
        <w:spacing w:after="0" w:line="2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1.20x - Rapid Amortization Event</w:t>
      </w:r>
    </w:p>
    <w:p>
      <w:pPr>
        <w:spacing w:after="0" w:line="5"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1.20x - Manager Termination Event</w:t>
      </w:r>
    </w:p>
    <w:p>
      <w:pPr>
        <w:spacing w:after="0" w:line="5"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1.10x - Default Event</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DSCR for the reporting period ended June 30, 2022 was approximately 4.31x.</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46" w:lineRule="exact"/>
        <w:rPr>
          <w:sz w:val="20"/>
          <w:szCs w:val="20"/>
          <w:color w:val="auto"/>
        </w:rPr>
      </w:pPr>
    </w:p>
    <w:p>
      <w:pPr>
        <w:ind w:right="160" w:firstLine="318"/>
        <w:spacing w:after="0" w:line="249" w:lineRule="auto"/>
        <w:rPr>
          <w:sz w:val="20"/>
          <w:szCs w:val="20"/>
          <w:color w:val="auto"/>
        </w:rPr>
      </w:pPr>
      <w:r>
        <w:rPr>
          <w:rFonts w:ascii="Times New Roman" w:cs="Times New Roman" w:eastAsia="Times New Roman" w:hAnsi="Times New Roman"/>
          <w:sz w:val="18"/>
          <w:szCs w:val="18"/>
          <w:color w:val="auto"/>
        </w:rPr>
        <w:t>Amortization of costs incurred in connection with the issuance of the 2019 Class A-2 Notes of $0.6 million and $0.6 million were included in interest expense for the three months ended June 30, 2022 and 2021, respectively. Amortization of costs incurred in connection with the issuance of the 2019 Class A-2 Notes of $1.1 million and $1.1 million were included in interest expense for the six months ended June 30, 2022 and 2021, respectively. Amortization costs incurred in connection with the Company's Credit Facility of $0.1 million and $0.1 million were included in interest expense for the three months ended June 30, 2022 and 2021, respectively. Amortization costs incurred in connection with the Company's Credit Facility of $0.3 million and $0.3 million were included in interest expense for the six months ended June 30, 2022 and 2021, respectively.</w:t>
      </w:r>
    </w:p>
    <w:p>
      <w:pPr>
        <w:spacing w:after="0" w:line="3" w:lineRule="exact"/>
        <w:rPr>
          <w:sz w:val="20"/>
          <w:szCs w:val="20"/>
          <w:color w:val="auto"/>
        </w:rPr>
      </w:pPr>
    </w:p>
    <w:p>
      <w:pPr>
        <w:jc w:val="both"/>
        <w:ind w:right="220" w:firstLine="318"/>
        <w:spacing w:after="0" w:line="248" w:lineRule="auto"/>
        <w:rPr>
          <w:sz w:val="20"/>
          <w:szCs w:val="20"/>
          <w:color w:val="auto"/>
        </w:rPr>
      </w:pPr>
      <w:r>
        <w:rPr>
          <w:rFonts w:ascii="Times New Roman" w:cs="Times New Roman" w:eastAsia="Times New Roman" w:hAnsi="Times New Roman"/>
          <w:sz w:val="18"/>
          <w:szCs w:val="18"/>
          <w:color w:val="auto"/>
        </w:rPr>
        <w:t>At June 30, 2022, total unamortized debt issuance costs related to the 2019 Class A-2 Notes of $6.3 million are reported as a direct reduction of the 2019 Class A-2 Notes in the Consolidated Balance Sheets. At June 30, 2022, total unamortized debt issuance costs of $1.2 million related to the Credit Facility are classified as other long-term assets.</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Maturities of Long-term Debt</w:t>
      </w:r>
    </w:p>
    <w:p>
      <w:pPr>
        <w:spacing w:after="0" w:line="246" w:lineRule="exact"/>
        <w:rPr>
          <w:sz w:val="20"/>
          <w:szCs w:val="20"/>
          <w:color w:val="auto"/>
        </w:rPr>
      </w:pPr>
    </w:p>
    <w:p>
      <w:pPr>
        <w:ind w:left="640" w:hanging="316"/>
        <w:spacing w:after="0"/>
        <w:tabs>
          <w:tab w:leader="none" w:pos="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repayment date of the Class A-2-I Notes is June 2024.</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repayment date of the Class A-2-II Notes is June 2026.</w:t>
      </w:r>
    </w:p>
    <w:p>
      <w:pPr>
        <w:spacing w:after="0" w:line="5" w:lineRule="exact"/>
        <w:rPr>
          <w:rFonts w:ascii="Times New Roman" w:cs="Times New Roman" w:eastAsia="Times New Roman" w:hAnsi="Times New Roman"/>
          <w:sz w:val="18"/>
          <w:szCs w:val="18"/>
          <w:color w:val="auto"/>
        </w:rPr>
      </w:pPr>
    </w:p>
    <w:p>
      <w:pPr>
        <w:ind w:left="640" w:right="820" w:hanging="316"/>
        <w:spacing w:after="0" w:line="251" w:lineRule="auto"/>
        <w:tabs>
          <w:tab w:leader="none" w:pos="63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principal payments on the Class A-2-I and Class A-2-II Notes totaling $3.25 million ($13.0 million per annum) are required if the Company's leverage ratio is greater than 5.25x.</w:t>
      </w: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180" w:hanging="174"/>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Deficit</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Dividends declared and paid per share for the three and six months ended June 30, 2022 and 2021 were as follows:</w:t>
      </w:r>
    </w:p>
    <w:p>
      <w:pPr>
        <w:spacing w:after="0" w:line="25"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220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Three Months Ended June</w:t>
            </w:r>
          </w:p>
        </w:tc>
        <w:tc>
          <w:tcPr>
            <w:tcW w:w="17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Six Months Ended June 3</w:t>
            </w:r>
          </w:p>
        </w:tc>
        <w:tc>
          <w:tcPr>
            <w:tcW w:w="0" w:type="dxa"/>
            <w:vAlign w:val="bottom"/>
          </w:tcPr>
          <w:p>
            <w:pPr>
              <w:spacing w:after="0"/>
              <w:rPr>
                <w:sz w:val="1"/>
                <w:szCs w:val="1"/>
                <w:color w:val="auto"/>
              </w:rPr>
            </w:pPr>
          </w:p>
        </w:tc>
      </w:tr>
      <w:tr>
        <w:trPr>
          <w:trHeight w:val="211"/>
        </w:trPr>
        <w:tc>
          <w:tcPr>
            <w:tcW w:w="7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30,</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0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1"/>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per common share</w:t>
            </w: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60" w:type="dxa"/>
            <w:vAlign w:val="bottom"/>
          </w:tcPr>
          <w:p>
            <w:pPr>
              <w:spacing w:after="0"/>
              <w:rPr>
                <w:sz w:val="20"/>
                <w:szCs w:val="20"/>
                <w:color w:val="auto"/>
              </w:rPr>
            </w:pPr>
          </w:p>
        </w:tc>
        <w:tc>
          <w:tcPr>
            <w:tcW w:w="74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right="620" w:firstLine="318"/>
        <w:spacing w:after="0" w:line="274" w:lineRule="auto"/>
        <w:rPr>
          <w:sz w:val="20"/>
          <w:szCs w:val="20"/>
          <w:color w:val="auto"/>
        </w:rPr>
      </w:pPr>
      <w:r>
        <w:rPr>
          <w:rFonts w:ascii="Times New Roman" w:cs="Times New Roman" w:eastAsia="Times New Roman" w:hAnsi="Times New Roman"/>
          <w:sz w:val="18"/>
          <w:szCs w:val="18"/>
          <w:color w:val="auto"/>
        </w:rPr>
        <w:t>On October 28, 2021, the Company's Board of Directors declared a fourth quarter 2021 cash dividend of $0.40 per share of common stock, paid on January 7, 2022 to the stockholders of record as of the close of business on December 17, 2021.</w:t>
      </w:r>
    </w:p>
    <w:p>
      <w:pPr>
        <w:spacing w:after="0" w:line="177" w:lineRule="exact"/>
        <w:rPr>
          <w:sz w:val="20"/>
          <w:szCs w:val="20"/>
          <w:color w:val="auto"/>
        </w:rPr>
      </w:pPr>
    </w:p>
    <w:p>
      <w:pPr>
        <w:ind w:right="2380" w:firstLine="318"/>
        <w:spacing w:after="0" w:line="274" w:lineRule="auto"/>
        <w:rPr>
          <w:sz w:val="20"/>
          <w:szCs w:val="20"/>
          <w:color w:val="auto"/>
        </w:rPr>
      </w:pPr>
      <w:r>
        <w:rPr>
          <w:rFonts w:ascii="Times New Roman" w:cs="Times New Roman" w:eastAsia="Times New Roman" w:hAnsi="Times New Roman"/>
          <w:sz w:val="18"/>
          <w:szCs w:val="18"/>
          <w:color w:val="auto"/>
        </w:rPr>
        <w:t>On February 17, 2022, the Company's Board of Directors declared a first quarter 2022 cash dividend of $0.46 per share of common stock, paid on April 1, 2022 to the stockholders of record as of the close of business on March 21, 2022.</w:t>
      </w:r>
    </w:p>
    <w:p>
      <w:pPr>
        <w:spacing w:after="0" w:line="190" w:lineRule="exact"/>
        <w:rPr>
          <w:sz w:val="20"/>
          <w:szCs w:val="20"/>
          <w:color w:val="auto"/>
        </w:rPr>
      </w:pPr>
    </w:p>
    <w:p>
      <w:pPr>
        <w:ind w:right="2500" w:firstLine="318"/>
        <w:spacing w:after="0" w:line="274" w:lineRule="auto"/>
        <w:rPr>
          <w:sz w:val="20"/>
          <w:szCs w:val="20"/>
          <w:color w:val="auto"/>
        </w:rPr>
      </w:pPr>
      <w:r>
        <w:rPr>
          <w:rFonts w:ascii="Times New Roman" w:cs="Times New Roman" w:eastAsia="Times New Roman" w:hAnsi="Times New Roman"/>
          <w:sz w:val="18"/>
          <w:szCs w:val="18"/>
          <w:color w:val="auto"/>
        </w:rPr>
        <w:t>On May 12, 2022, the Company's Board of Directors declared a second quarter 2022 cash dividend of $0.51 per share of common stock, paid on July 8, 2022 to the stockholders of record as of the close of business on June 20, 2022.</w:t>
      </w:r>
    </w:p>
    <w:p>
      <w:pPr>
        <w:sectPr>
          <w:pgSz w:w="11900" w:h="16838" w:orient="portrait"/>
          <w:cols w:equalWidth="0" w:num="1">
            <w:col w:w="11340"/>
          </w:cols>
          <w:pgMar w:left="320" w:top="1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4" w:right="239" w:bottom="1440" w:gutter="0" w:footer="0" w:header="0"/>
          <w:type w:val="continuous"/>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Stockholders' Deficit (Continued)</w:t>
      </w: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48"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In February 2019, the Company’s Board of Directors approved a stock repurchase program authorizing the Company to repurchase up to $200 million of the Company’s common stock (the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w:t>
      </w:r>
    </w:p>
    <w:p>
      <w:pPr>
        <w:spacing w:after="0" w:line="207" w:lineRule="exact"/>
        <w:rPr>
          <w:sz w:val="20"/>
          <w:szCs w:val="20"/>
          <w:color w:val="auto"/>
        </w:rPr>
      </w:pPr>
    </w:p>
    <w:p>
      <w:pPr>
        <w:jc w:val="both"/>
        <w:ind w:right="140" w:firstLine="318"/>
        <w:spacing w:after="0" w:line="282" w:lineRule="auto"/>
        <w:rPr>
          <w:sz w:val="20"/>
          <w:szCs w:val="20"/>
          <w:color w:val="auto"/>
        </w:rPr>
      </w:pPr>
      <w:r>
        <w:rPr>
          <w:rFonts w:ascii="Times New Roman" w:cs="Times New Roman" w:eastAsia="Times New Roman" w:hAnsi="Times New Roman"/>
          <w:sz w:val="17"/>
          <w:szCs w:val="17"/>
          <w:color w:val="auto"/>
        </w:rPr>
        <w:t>On February 17, 2022, the Company's Board of Directors authorized a new share repurchase program, effective April 1, 2022, of up to $250 million (the “2022 Repurchase Program”). In connection with the approval of the 2022 Repurchase Program, the 2019 Repurchase Program terminated effective April 1, 2022. Cumulatively, the Company repurchased 2,344,804 shares at a cost of $175.8 million under the 2019 Repurchase Program through April 1, 2022.</w:t>
      </w:r>
    </w:p>
    <w:p>
      <w:pPr>
        <w:spacing w:after="0" w:line="185" w:lineRule="exact"/>
        <w:rPr>
          <w:sz w:val="20"/>
          <w:szCs w:val="20"/>
          <w:color w:val="auto"/>
        </w:rPr>
      </w:pPr>
    </w:p>
    <w:p>
      <w:pPr>
        <w:ind w:firstLine="318"/>
        <w:spacing w:after="0" w:line="244"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repurchased 912,992 and 1,501,100 shares of common stock at a cost of $62.6 million and $104.1 million, respectively. The amounts for the three months ended June 30, 2022 relate to the 2022 Repurchase Program. The Company did not repurchase any shares during the three and six months ended June 30, 2021.</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21"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Repurchases of the Company's common stock are included in treasury stock at the cost of shares repurchased plus any transaction costs. Treasury stock may be re-issued when stock options are exercised, when restricted stock awards are granted and when restricted stock units settle in stock upon vesting. The cost of treasury stock re-issued is determined using the first-in, first-out (“FIFO”) method. During the six months ended June 30, 2022, the Company re-issued 177,984 shares of treasury stock at a total FIFO cost of $8.3 million.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53" w:lineRule="exact"/>
        <w:rPr>
          <w:sz w:val="20"/>
          <w:szCs w:val="20"/>
          <w:color w:val="auto"/>
        </w:rPr>
      </w:pPr>
    </w:p>
    <w:p>
      <w:pPr>
        <w:ind w:right="20" w:firstLine="318"/>
        <w:spacing w:after="0" w:line="236" w:lineRule="auto"/>
        <w:rPr>
          <w:sz w:val="20"/>
          <w:szCs w:val="20"/>
          <w:color w:val="auto"/>
        </w:rPr>
      </w:pPr>
      <w:r>
        <w:rPr>
          <w:rFonts w:ascii="Times New Roman" w:cs="Times New Roman" w:eastAsia="Times New Roman" w:hAnsi="Times New Roman"/>
          <w:sz w:val="18"/>
          <w:szCs w:val="18"/>
          <w:color w:val="auto"/>
        </w:rPr>
        <w:t>The Company's effective tax rate was 26.8% (a tax provision of $17.9 million on pre-tax book income of $66.7 million) for the six months ended June 30, 2022, as compared to 12.3% (a tax provision of $7.7 million on pre-tax book income of $62.7 million) for the six months ended June 30, 2021. The effective tax rate for the six months ended June 30, 2022 was different than the rate of the prior comparable period, primarily due to the recognition of excess tax benefits on stock-based compensation related to the departure of the Company's previous chief executive officer in the first quarter of 2021.</w:t>
      </w:r>
    </w:p>
    <w:p>
      <w:pPr>
        <w:spacing w:after="0" w:line="219"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7"/>
          <w:szCs w:val="17"/>
          <w:color w:val="auto"/>
        </w:rPr>
        <w:t>The total gross unrecognized tax benefit as of June 30, 2022 and December 31, 2021 was $2.2 million and $1.9 million, respectively, excluding interest, penalties and related tax benefits. The Company estimates the unrecognized tax benefit as of June 30, 2022 may decrease over the upcoming 12 months by an amount up to $0.3 million related to settlements with taxing authorities and expiring statutes of limitations. For the remaining liability, due to the uncertainties related to these tax matters, the Company is unable to make a reasonable estimate as to when cash settlement with a taxing authority will occur.</w:t>
      </w:r>
    </w:p>
    <w:p>
      <w:pPr>
        <w:spacing w:after="0" w:line="194"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As of June 30, 2022, accrued interest was $0.7 million and accrued penalties were less than $0.1 million, excluding any related income tax benefits. As of December 31, 2021, accrued interest was $0.6 million and accrued penalties were less than $0.1 million, excluding any related income tax benefits. The Company recognizes interest accrued related to unrecognized tax benefits and penalties as a component of its income tax provision recognized in its Consolidated Statements of Comprehensive Income.</w:t>
      </w:r>
    </w:p>
    <w:p>
      <w:pPr>
        <w:spacing w:after="0" w:line="207" w:lineRule="exact"/>
        <w:rPr>
          <w:sz w:val="20"/>
          <w:szCs w:val="20"/>
          <w:color w:val="auto"/>
        </w:rPr>
      </w:pPr>
    </w:p>
    <w:p>
      <w:pPr>
        <w:ind w:right="340" w:firstLine="318"/>
        <w:spacing w:after="0" w:line="255" w:lineRule="auto"/>
        <w:rPr>
          <w:sz w:val="20"/>
          <w:szCs w:val="20"/>
          <w:color w:val="auto"/>
        </w:rPr>
      </w:pPr>
      <w:r>
        <w:rPr>
          <w:rFonts w:ascii="Times New Roman" w:cs="Times New Roman" w:eastAsia="Times New Roman" w:hAnsi="Times New Roman"/>
          <w:sz w:val="18"/>
          <w:szCs w:val="18"/>
          <w:color w:val="auto"/>
        </w:rPr>
        <w:t>The Company files federal income tax returns and the Company or one of its subsidiaries file income tax returns in various state and international jurisdictions. With few exceptions, the Company is no longer subject to federal tax examinations by tax authorities for years before 2017 and state or non-United States tax examinations by tax authorities for years before 2011. The Company believes that adequate reserves have been provided related to all matters contained in the tax periods open to examination.</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expense included in general and administrative expenses in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234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7"/>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6"/>
        </w:trPr>
        <w:tc>
          <w:tcPr>
            <w:tcW w:w="68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classified awards expense</w:t>
            </w:r>
          </w:p>
        </w:tc>
        <w:tc>
          <w:tcPr>
            <w:tcW w:w="70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7"/>
              </w:rPr>
              <w:t>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center"/>
              <w:ind w:left="293"/>
              <w:spacing w:after="0"/>
              <w:rPr>
                <w:sz w:val="20"/>
                <w:szCs w:val="20"/>
                <w:color w:val="auto"/>
              </w:rPr>
            </w:pPr>
            <w:r>
              <w:rPr>
                <w:rFonts w:ascii="Times New Roman" w:cs="Times New Roman" w:eastAsia="Times New Roman" w:hAnsi="Times New Roman"/>
                <w:sz w:val="18"/>
                <w:szCs w:val="18"/>
                <w:color w:val="auto"/>
                <w:w w:val="97"/>
              </w:rPr>
              <w:t>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center"/>
              <w:ind w:left="273"/>
              <w:spacing w:after="0"/>
              <w:rPr>
                <w:sz w:val="20"/>
                <w:szCs w:val="20"/>
                <w:color w:val="auto"/>
              </w:rPr>
            </w:pPr>
            <w:r>
              <w:rPr>
                <w:rFonts w:ascii="Times New Roman" w:cs="Times New Roman" w:eastAsia="Times New Roman" w:hAnsi="Times New Roman"/>
                <w:sz w:val="18"/>
                <w:szCs w:val="18"/>
                <w:color w:val="auto"/>
                <w:w w:val="97"/>
              </w:rPr>
              <w:t>5.6</w:t>
            </w:r>
          </w:p>
        </w:tc>
        <w:tc>
          <w:tcPr>
            <w:tcW w:w="0" w:type="dxa"/>
            <w:vAlign w:val="bottom"/>
          </w:tcPr>
          <w:p>
            <w:pPr>
              <w:spacing w:after="0"/>
              <w:rPr>
                <w:sz w:val="1"/>
                <w:szCs w:val="1"/>
                <w:color w:val="auto"/>
              </w:rPr>
            </w:pPr>
          </w:p>
        </w:tc>
      </w:tr>
      <w:tr>
        <w:trPr>
          <w:trHeight w:val="225"/>
        </w:trPr>
        <w:tc>
          <w:tcPr>
            <w:tcW w:w="6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Liability classified awards expense</w:t>
            </w: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55"/>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93"/>
              <w:spacing w:after="0"/>
              <w:rPr>
                <w:sz w:val="20"/>
                <w:szCs w:val="20"/>
                <w:color w:val="auto"/>
              </w:rPr>
            </w:pPr>
            <w:r>
              <w:rPr>
                <w:rFonts w:ascii="Times New Roman" w:cs="Times New Roman" w:eastAsia="Times New Roman" w:hAnsi="Times New Roman"/>
                <w:sz w:val="18"/>
                <w:szCs w:val="18"/>
                <w:color w:val="auto"/>
                <w:w w:val="97"/>
              </w:rPr>
              <w:t>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left="273"/>
              <w:spacing w:after="0"/>
              <w:rPr>
                <w:sz w:val="20"/>
                <w:szCs w:val="20"/>
                <w:color w:val="auto"/>
              </w:rPr>
            </w:pPr>
            <w:r>
              <w:rPr>
                <w:rFonts w:ascii="Times New Roman" w:cs="Times New Roman" w:eastAsia="Times New Roman" w:hAnsi="Times New Roman"/>
                <w:sz w:val="18"/>
                <w:szCs w:val="18"/>
                <w:color w:val="auto"/>
                <w:w w:val="97"/>
              </w:rPr>
              <w:t>2.0</w:t>
            </w:r>
          </w:p>
        </w:tc>
        <w:tc>
          <w:tcPr>
            <w:tcW w:w="0" w:type="dxa"/>
            <w:vAlign w:val="bottom"/>
          </w:tcPr>
          <w:p>
            <w:pPr>
              <w:spacing w:after="0"/>
              <w:rPr>
                <w:sz w:val="1"/>
                <w:szCs w:val="1"/>
                <w:color w:val="auto"/>
              </w:rPr>
            </w:pPr>
          </w:p>
        </w:tc>
      </w:tr>
      <w:tr>
        <w:trPr>
          <w:trHeight w:val="218"/>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pre-tax stock-based compensation expense</w:t>
            </w: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7"/>
              </w:rPr>
              <w:t>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293"/>
              <w:spacing w:after="0"/>
              <w:rPr>
                <w:sz w:val="20"/>
                <w:szCs w:val="20"/>
                <w:color w:val="auto"/>
              </w:rPr>
            </w:pPr>
            <w:r>
              <w:rPr>
                <w:rFonts w:ascii="Times New Roman" w:cs="Times New Roman" w:eastAsia="Times New Roman" w:hAnsi="Times New Roman"/>
                <w:sz w:val="18"/>
                <w:szCs w:val="18"/>
                <w:color w:val="auto"/>
                <w:w w:val="97"/>
              </w:rPr>
              <w:t>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left="273"/>
              <w:spacing w:after="0"/>
              <w:rPr>
                <w:sz w:val="20"/>
                <w:szCs w:val="20"/>
                <w:color w:val="auto"/>
              </w:rPr>
            </w:pPr>
            <w:r>
              <w:rPr>
                <w:rFonts w:ascii="Times New Roman" w:cs="Times New Roman" w:eastAsia="Times New Roman" w:hAnsi="Times New Roman"/>
                <w:sz w:val="18"/>
                <w:szCs w:val="18"/>
                <w:color w:val="auto"/>
                <w:w w:val="97"/>
              </w:rPr>
              <w:t>7.6</w:t>
            </w:r>
          </w:p>
        </w:tc>
        <w:tc>
          <w:tcPr>
            <w:tcW w:w="0" w:type="dxa"/>
            <w:vAlign w:val="bottom"/>
          </w:tcPr>
          <w:p>
            <w:pPr>
              <w:spacing w:after="0"/>
              <w:rPr>
                <w:sz w:val="1"/>
                <w:szCs w:val="1"/>
                <w:color w:val="auto"/>
              </w:rPr>
            </w:pPr>
          </w:p>
        </w:tc>
      </w:tr>
      <w:tr>
        <w:trPr>
          <w:trHeight w:val="225"/>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Book income tax benefit</w:t>
            </w: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35"/>
              <w:spacing w:after="0"/>
              <w:rPr>
                <w:sz w:val="20"/>
                <w:szCs w:val="20"/>
                <w:color w:val="auto"/>
              </w:rPr>
            </w:pPr>
            <w:r>
              <w:rPr>
                <w:rFonts w:ascii="Times New Roman" w:cs="Times New Roman" w:eastAsia="Times New Roman" w:hAnsi="Times New Roman"/>
                <w:sz w:val="18"/>
                <w:szCs w:val="18"/>
                <w:color w:val="auto"/>
                <w:w w:val="92"/>
              </w:rPr>
              <w:t>(0.8)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73"/>
              <w:spacing w:after="0"/>
              <w:rPr>
                <w:sz w:val="20"/>
                <w:szCs w:val="20"/>
                <w:color w:val="auto"/>
              </w:rPr>
            </w:pPr>
            <w:r>
              <w:rPr>
                <w:rFonts w:ascii="Times New Roman" w:cs="Times New Roman" w:eastAsia="Times New Roman" w:hAnsi="Times New Roman"/>
                <w:sz w:val="18"/>
                <w:szCs w:val="18"/>
                <w:color w:val="auto"/>
                <w:w w:val="92"/>
              </w:rPr>
              <w:t>(2.4)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left="233"/>
              <w:spacing w:after="0"/>
              <w:rPr>
                <w:sz w:val="20"/>
                <w:szCs w:val="20"/>
                <w:color w:val="auto"/>
              </w:rPr>
            </w:pPr>
            <w:r>
              <w:rPr>
                <w:rFonts w:ascii="Times New Roman" w:cs="Times New Roman" w:eastAsia="Times New Roman" w:hAnsi="Times New Roman"/>
                <w:sz w:val="18"/>
                <w:szCs w:val="18"/>
                <w:color w:val="auto"/>
                <w:w w:val="98"/>
              </w:rPr>
              <w:t>(1.9)</w:t>
            </w:r>
          </w:p>
        </w:tc>
        <w:tc>
          <w:tcPr>
            <w:tcW w:w="0" w:type="dxa"/>
            <w:vAlign w:val="bottom"/>
          </w:tcPr>
          <w:p>
            <w:pPr>
              <w:spacing w:after="0"/>
              <w:rPr>
                <w:sz w:val="1"/>
                <w:szCs w:val="1"/>
                <w:color w:val="auto"/>
              </w:rPr>
            </w:pPr>
          </w:p>
        </w:tc>
      </w:tr>
      <w:tr>
        <w:trPr>
          <w:trHeight w:val="243"/>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 net of tax</w:t>
            </w:r>
          </w:p>
        </w:tc>
        <w:tc>
          <w:tcPr>
            <w:tcW w:w="70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center"/>
              <w:ind w:left="293"/>
              <w:spacing w:after="0"/>
              <w:rPr>
                <w:sz w:val="20"/>
                <w:szCs w:val="20"/>
                <w:color w:val="auto"/>
              </w:rPr>
            </w:pPr>
            <w:r>
              <w:rPr>
                <w:rFonts w:ascii="Times New Roman" w:cs="Times New Roman" w:eastAsia="Times New Roman" w:hAnsi="Times New Roman"/>
                <w:sz w:val="18"/>
                <w:szCs w:val="18"/>
                <w:color w:val="auto"/>
                <w:w w:val="97"/>
              </w:rPr>
              <w:t>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center"/>
              <w:ind w:left="273"/>
              <w:spacing w:after="0"/>
              <w:rPr>
                <w:sz w:val="20"/>
                <w:szCs w:val="20"/>
                <w:color w:val="auto"/>
              </w:rPr>
            </w:pPr>
            <w:r>
              <w:rPr>
                <w:rFonts w:ascii="Times New Roman" w:cs="Times New Roman" w:eastAsia="Times New Roman" w:hAnsi="Times New Roman"/>
                <w:sz w:val="18"/>
                <w:szCs w:val="18"/>
                <w:color w:val="auto"/>
                <w:w w:val="97"/>
              </w:rPr>
              <w:t>5.7</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As of June 30, 2022, total unrecognized compensation expense of $22.7 million related to restricted stock and restricted stock units and $3.9 million related to stock options are expected to be recognized over a weighted average period of 1.6 years for restricted stock and restricted stock units and 1.6 years for stock options.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Fair Value Assumptions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assumptions used in the Black-Scholes model for stock options granted during the six months ended June 30, 2022.</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Historical volatility</w:t>
            </w:r>
          </w:p>
        </w:tc>
        <w:tc>
          <w:tcPr>
            <w:tcW w:w="4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70.1 %</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4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years until exercise</w:t>
            </w:r>
          </w:p>
        </w:tc>
        <w:tc>
          <w:tcPr>
            <w:tcW w:w="4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options granted</w:t>
            </w:r>
          </w:p>
        </w:tc>
        <w:tc>
          <w:tcPr>
            <w:tcW w:w="4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Stock Options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Stock option balances at June 30, 2022, and activity for the six months ended June 30, 2022 were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200" w:type="dxa"/>
            <w:vAlign w:val="bottom"/>
          </w:tcPr>
          <w:p>
            <w:pPr>
              <w:spacing w:after="0"/>
              <w:rPr>
                <w:sz w:val="16"/>
                <w:szCs w:val="16"/>
                <w:color w:val="auto"/>
              </w:rPr>
            </w:pPr>
          </w:p>
        </w:tc>
        <w:tc>
          <w:tcPr>
            <w:tcW w:w="10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59"/>
        </w:trPr>
        <w:tc>
          <w:tcPr>
            <w:tcW w:w="5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82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200" w:type="dxa"/>
            <w:vAlign w:val="bottom"/>
          </w:tcPr>
          <w:p>
            <w:pPr>
              <w:spacing w:after="0"/>
              <w:rPr>
                <w:sz w:val="13"/>
                <w:szCs w:val="13"/>
                <w:color w:val="auto"/>
              </w:rPr>
            </w:pPr>
          </w:p>
        </w:tc>
        <w:tc>
          <w:tcPr>
            <w:tcW w:w="1040" w:type="dxa"/>
            <w:vAlign w:val="bottom"/>
          </w:tcPr>
          <w:p>
            <w:pPr>
              <w:jc w:val="center"/>
              <w:ind w:right="97"/>
              <w:spacing w:after="0" w:line="159"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59"/>
        </w:trPr>
        <w:tc>
          <w:tcPr>
            <w:tcW w:w="5680" w:type="dxa"/>
            <w:vAlign w:val="bottom"/>
          </w:tcPr>
          <w:p>
            <w:pPr>
              <w:spacing w:after="0"/>
              <w:rPr>
                <w:sz w:val="13"/>
                <w:szCs w:val="13"/>
                <w:color w:val="auto"/>
              </w:rPr>
            </w:pPr>
          </w:p>
        </w:tc>
        <w:tc>
          <w:tcPr>
            <w:tcW w:w="118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82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6"/>
                <w:szCs w:val="16"/>
                <w:b w:val="1"/>
                <w:bCs w:val="1"/>
                <w:color w:val="auto"/>
                <w:w w:val="97"/>
              </w:rPr>
              <w:t>Contractual Term</w:t>
            </w:r>
          </w:p>
        </w:tc>
        <w:tc>
          <w:tcPr>
            <w:tcW w:w="200" w:type="dxa"/>
            <w:vAlign w:val="bottom"/>
          </w:tcPr>
          <w:p>
            <w:pPr>
              <w:spacing w:after="0"/>
              <w:rPr>
                <w:sz w:val="13"/>
                <w:szCs w:val="13"/>
                <w:color w:val="auto"/>
              </w:rPr>
            </w:pPr>
          </w:p>
        </w:tc>
        <w:tc>
          <w:tcPr>
            <w:tcW w:w="1040" w:type="dxa"/>
            <w:vAlign w:val="bottom"/>
          </w:tcPr>
          <w:p>
            <w:pPr>
              <w:jc w:val="center"/>
              <w:ind w:right="117"/>
              <w:spacing w:after="0" w:line="159" w:lineRule="exact"/>
              <w:rPr>
                <w:sz w:val="20"/>
                <w:szCs w:val="20"/>
                <w:color w:val="auto"/>
              </w:rPr>
            </w:pPr>
            <w:r>
              <w:rPr>
                <w:rFonts w:ascii="Times New Roman" w:cs="Times New Roman" w:eastAsia="Times New Roman" w:hAnsi="Times New Roman"/>
                <w:sz w:val="16"/>
                <w:szCs w:val="16"/>
                <w:b w:val="1"/>
                <w:bCs w:val="1"/>
                <w:color w:val="auto"/>
                <w:w w:val="95"/>
              </w:rPr>
              <w:t>Value (in</w:t>
            </w:r>
          </w:p>
        </w:tc>
        <w:tc>
          <w:tcPr>
            <w:tcW w:w="0" w:type="dxa"/>
            <w:vAlign w:val="bottom"/>
          </w:tcPr>
          <w:p>
            <w:pPr>
              <w:spacing w:after="0"/>
              <w:rPr>
                <w:sz w:val="1"/>
                <w:szCs w:val="1"/>
                <w:color w:val="auto"/>
              </w:rPr>
            </w:pPr>
          </w:p>
        </w:tc>
      </w:tr>
      <w:tr>
        <w:trPr>
          <w:trHeight w:val="211"/>
        </w:trPr>
        <w:tc>
          <w:tcPr>
            <w:tcW w:w="56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(in Years)</w:t>
            </w:r>
          </w:p>
        </w:tc>
        <w:tc>
          <w:tcPr>
            <w:tcW w:w="200" w:type="dxa"/>
            <w:vAlign w:val="bottom"/>
          </w:tcPr>
          <w:p>
            <w:pPr>
              <w:spacing w:after="0"/>
              <w:rPr>
                <w:sz w:val="18"/>
                <w:szCs w:val="18"/>
                <w:color w:val="auto"/>
              </w:rPr>
            </w:pPr>
          </w:p>
        </w:tc>
        <w:tc>
          <w:tcPr>
            <w:tcW w:w="10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0" w:type="dxa"/>
            <w:vAlign w:val="bottom"/>
          </w:tcPr>
          <w:p>
            <w:pPr>
              <w:spacing w:after="0"/>
              <w:rPr>
                <w:sz w:val="1"/>
                <w:szCs w:val="1"/>
                <w:color w:val="auto"/>
              </w:rPr>
            </w:pPr>
          </w:p>
        </w:tc>
      </w:tr>
      <w:tr>
        <w:trPr>
          <w:trHeight w:val="220"/>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475,904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543,111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10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at June 30, 2022 and Expected to Vest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6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Exercisable at June 30, 2022</w:t>
            </w:r>
          </w:p>
        </w:tc>
        <w:tc>
          <w:tcPr>
            <w:tcW w:w="11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373,651</w:t>
            </w:r>
          </w:p>
        </w:tc>
        <w:tc>
          <w:tcPr>
            <w:tcW w:w="2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75.86</w:t>
            </w:r>
          </w:p>
        </w:tc>
        <w:tc>
          <w:tcPr>
            <w:tcW w:w="100" w:type="dxa"/>
            <w:vAlign w:val="bottom"/>
          </w:tcPr>
          <w:p>
            <w:pPr>
              <w:spacing w:after="0"/>
              <w:rPr>
                <w:sz w:val="17"/>
                <w:szCs w:val="17"/>
                <w:color w:val="auto"/>
              </w:rPr>
            </w:pPr>
          </w:p>
        </w:tc>
        <w:tc>
          <w:tcPr>
            <w:tcW w:w="17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5.4</w:t>
            </w:r>
          </w:p>
        </w:tc>
        <w:tc>
          <w:tcPr>
            <w:tcW w:w="100" w:type="dxa"/>
            <w:vAlign w:val="bottom"/>
          </w:tcPr>
          <w:p>
            <w:pPr>
              <w:spacing w:after="0"/>
              <w:rPr>
                <w:sz w:val="17"/>
                <w:szCs w:val="17"/>
                <w:color w:val="auto"/>
              </w:rPr>
            </w:pPr>
          </w:p>
        </w:tc>
        <w:tc>
          <w:tcPr>
            <w:tcW w:w="2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closing stock price of the Company’s common stock on the last trading day of the second quarter of 2022 and the exercise price, multiplied by the number of in-the-money options) that would have been received by the option holders had all option holders exercised their options on June 30, 2022. The aggregate intrinsic value will change based on the fair market value of the Company’s common stock and the number of in-the-money options.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Stock-Based Compensation (Continued)</w:t>
      </w:r>
    </w:p>
    <w:p>
      <w:pPr>
        <w:spacing w:after="0" w:line="200" w:lineRule="exact"/>
        <w:rPr>
          <w:sz w:val="20"/>
          <w:szCs w:val="20"/>
          <w:color w:val="auto"/>
        </w:rPr>
      </w:pP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Restricted Stock and Restricted Stock Units</w:t>
      </w:r>
    </w:p>
    <w:p>
      <w:pPr>
        <w:spacing w:after="0" w:line="221" w:lineRule="exact"/>
        <w:rPr>
          <w:sz w:val="20"/>
          <w:szCs w:val="20"/>
          <w:color w:val="auto"/>
        </w:rPr>
      </w:pPr>
    </w:p>
    <w:p>
      <w:pPr>
        <w:ind w:right="40" w:firstLine="318"/>
        <w:spacing w:after="0" w:line="270" w:lineRule="auto"/>
        <w:rPr>
          <w:sz w:val="20"/>
          <w:szCs w:val="20"/>
          <w:color w:val="auto"/>
        </w:rPr>
      </w:pPr>
      <w:r>
        <w:rPr>
          <w:rFonts w:ascii="Times New Roman" w:cs="Times New Roman" w:eastAsia="Times New Roman" w:hAnsi="Times New Roman"/>
          <w:sz w:val="18"/>
          <w:szCs w:val="18"/>
          <w:color w:val="auto"/>
        </w:rPr>
        <w:t>Outstanding balances as of June 30, 2022, and activity related to restricted stock and restricted stock units for the six months ended June 30, 2022 were as follows:</w:t>
      </w:r>
    </w:p>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Stock-Settled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56"/>
              <w:spacing w:after="0" w:line="162"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59"/>
        </w:trPr>
        <w:tc>
          <w:tcPr>
            <w:tcW w:w="5940" w:type="dxa"/>
            <w:vAlign w:val="bottom"/>
          </w:tcPr>
          <w:p>
            <w:pPr>
              <w:spacing w:after="0"/>
              <w:rPr>
                <w:sz w:val="13"/>
                <w:szCs w:val="13"/>
                <w:color w:val="auto"/>
              </w:rPr>
            </w:pPr>
          </w:p>
        </w:tc>
        <w:tc>
          <w:tcPr>
            <w:tcW w:w="13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76"/>
              <w:spacing w:after="0" w:line="159"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59"/>
        </w:trPr>
        <w:tc>
          <w:tcPr>
            <w:tcW w:w="59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132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6"/>
              </w:rPr>
              <w:t>Restricted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76"/>
              <w:spacing w:after="0" w:line="159"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211"/>
        </w:trPr>
        <w:tc>
          <w:tcPr>
            <w:tcW w:w="5940" w:type="dxa"/>
            <w:vAlign w:val="bottom"/>
          </w:tcPr>
          <w:p>
            <w:pPr>
              <w:spacing w:after="0"/>
              <w:rPr>
                <w:sz w:val="18"/>
                <w:szCs w:val="18"/>
                <w:color w:val="auto"/>
              </w:rPr>
            </w:pPr>
          </w:p>
        </w:tc>
        <w:tc>
          <w:tcPr>
            <w:tcW w:w="132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 Units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0" w:type="dxa"/>
            <w:vAlign w:val="bottom"/>
          </w:tcPr>
          <w:p>
            <w:pPr>
              <w:spacing w:after="0"/>
              <w:rPr>
                <w:sz w:val="1"/>
                <w:szCs w:val="1"/>
                <w:color w:val="auto"/>
              </w:rPr>
            </w:pPr>
          </w:p>
        </w:tc>
      </w:tr>
      <w:tr>
        <w:trPr>
          <w:trHeight w:val="220"/>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3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276,611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0" w:type="dxa"/>
            <w:vAlign w:val="bottom"/>
          </w:tcPr>
          <w:p>
            <w:pPr>
              <w:spacing w:after="0"/>
              <w:rPr>
                <w:sz w:val="1"/>
                <w:szCs w:val="1"/>
                <w:color w:val="auto"/>
              </w:rPr>
            </w:pPr>
          </w:p>
        </w:tc>
      </w:tr>
      <w:tr>
        <w:trPr>
          <w:trHeight w:val="225"/>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174,479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0" w:type="dxa"/>
            <w:vAlign w:val="bottom"/>
          </w:tcPr>
          <w:p>
            <w:pPr>
              <w:spacing w:after="0"/>
              <w:rPr>
                <w:sz w:val="1"/>
                <w:szCs w:val="1"/>
                <w:color w:val="auto"/>
              </w:rPr>
            </w:pPr>
          </w:p>
        </w:tc>
      </w:tr>
      <w:tr>
        <w:trPr>
          <w:trHeight w:val="225"/>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(77,563)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w:t>
            </w:r>
          </w:p>
        </w:tc>
        <w:tc>
          <w:tcPr>
            <w:tcW w:w="0" w:type="dxa"/>
            <w:vAlign w:val="bottom"/>
          </w:tcPr>
          <w:p>
            <w:pPr>
              <w:spacing w:after="0"/>
              <w:rPr>
                <w:sz w:val="1"/>
                <w:szCs w:val="1"/>
                <w:color w:val="auto"/>
              </w:rPr>
            </w:pPr>
          </w:p>
        </w:tc>
      </w:tr>
      <w:tr>
        <w:trPr>
          <w:trHeight w:val="225"/>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(15,708)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77.95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13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357,819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122,487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Awards - Cash-settled Restricted Stock Units</w:t>
      </w:r>
    </w:p>
    <w:p>
      <w:pPr>
        <w:spacing w:after="0" w:line="248" w:lineRule="exact"/>
        <w:rPr>
          <w:sz w:val="20"/>
          <w:szCs w:val="20"/>
          <w:color w:val="auto"/>
        </w:rPr>
      </w:pPr>
    </w:p>
    <w:p>
      <w:pPr>
        <w:ind w:right="440" w:firstLine="318"/>
        <w:spacing w:after="0" w:line="270" w:lineRule="auto"/>
        <w:rPr>
          <w:sz w:val="20"/>
          <w:szCs w:val="20"/>
          <w:color w:val="auto"/>
        </w:rPr>
      </w:pPr>
      <w:r>
        <w:rPr>
          <w:rFonts w:ascii="Times New Roman" w:cs="Times New Roman" w:eastAsia="Times New Roman" w:hAnsi="Times New Roman"/>
          <w:sz w:val="18"/>
          <w:szCs w:val="18"/>
          <w:color w:val="auto"/>
        </w:rPr>
        <w:t>The Company has granted cash-settled restricted stock units to certain employees. These instruments are recorded as liabilities at fair value as of the respective period end.</w:t>
      </w:r>
    </w:p>
    <w:tbl>
      <w:tblPr>
        <w:tblLayout w:type="fixed"/>
        <w:tblInd w:w="420" w:type="dxa"/>
        <w:tblCellMar>
          <w:top w:w="0" w:type="dxa"/>
          <w:left w:w="0" w:type="dxa"/>
          <w:bottom w:w="0" w:type="dxa"/>
          <w:right w:w="0" w:type="dxa"/>
        </w:tblCellMar>
      </w:tblPr>
      <w:tr>
        <w:trPr>
          <w:trHeight w:val="162"/>
        </w:trPr>
        <w:tc>
          <w:tcPr>
            <w:tcW w:w="8420" w:type="dxa"/>
            <w:vAlign w:val="bottom"/>
          </w:tcPr>
          <w:p>
            <w:pPr>
              <w:spacing w:after="0"/>
              <w:rPr>
                <w:sz w:val="14"/>
                <w:szCs w:val="14"/>
                <w:color w:val="auto"/>
              </w:rPr>
            </w:pPr>
          </w:p>
        </w:tc>
        <w:tc>
          <w:tcPr>
            <w:tcW w:w="2300" w:type="dxa"/>
            <w:vAlign w:val="bottom"/>
          </w:tcPr>
          <w:p>
            <w:pPr>
              <w:jc w:val="right"/>
              <w:ind w:right="255"/>
              <w:spacing w:after="0" w:line="162" w:lineRule="exact"/>
              <w:rPr>
                <w:sz w:val="20"/>
                <w:szCs w:val="20"/>
                <w:color w:val="auto"/>
              </w:rPr>
            </w:pPr>
            <w:r>
              <w:rPr>
                <w:rFonts w:ascii="Times New Roman" w:cs="Times New Roman" w:eastAsia="Times New Roman" w:hAnsi="Times New Roman"/>
                <w:sz w:val="16"/>
                <w:szCs w:val="16"/>
                <w:b w:val="1"/>
                <w:bCs w:val="1"/>
                <w:color w:val="auto"/>
              </w:rPr>
              <w:t>Cash-Settled Restricted</w:t>
            </w:r>
          </w:p>
        </w:tc>
      </w:tr>
      <w:tr>
        <w:trPr>
          <w:trHeight w:val="211"/>
        </w:trPr>
        <w:tc>
          <w:tcPr>
            <w:tcW w:w="8420" w:type="dxa"/>
            <w:vAlign w:val="bottom"/>
            <w:tcBorders>
              <w:bottom w:val="single" w:sz="8" w:color="CCEEFF"/>
            </w:tcBorders>
          </w:tcPr>
          <w:p>
            <w:pPr>
              <w:spacing w:after="0"/>
              <w:rPr>
                <w:sz w:val="18"/>
                <w:szCs w:val="18"/>
                <w:color w:val="auto"/>
              </w:rPr>
            </w:pPr>
          </w:p>
        </w:tc>
        <w:tc>
          <w:tcPr>
            <w:tcW w:w="23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Stock Units</w:t>
            </w:r>
          </w:p>
        </w:tc>
      </w:tr>
      <w:tr>
        <w:trPr>
          <w:trHeight w:val="22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w:t>
            </w:r>
          </w:p>
        </w:tc>
      </w:tr>
      <w:tr>
        <w:trPr>
          <w:trHeight w:val="225"/>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5"/>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(12,866)</w:t>
            </w:r>
          </w:p>
        </w:tc>
      </w:tr>
      <w:tr>
        <w:trPr>
          <w:trHeight w:val="21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4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For the three months ended June 30, 2022 and 2021, an expense of zero and $0.1 million, respectively, was included as stock-based compensation expense related to cash-settled restricted stock units. For the six months ended June 30, 2022 and 2021, an expense of $0.2 million and a credit of $1.5 million, respectively, was included as stock-based compensation expense related to cash-settled restricted stock units. At June 30, 2022 and December 31, 2021, liabilities were zero and $0.9 million, respectively, related to cash-settled restricted stock units were included as part of accrued employee compensation and benefits in the Consolidated Balance Sheets.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Awards - Long-Term Incentive Awards</w:t>
      </w:r>
    </w:p>
    <w:p>
      <w:pPr>
        <w:spacing w:after="0" w:line="155" w:lineRule="exact"/>
        <w:rPr>
          <w:sz w:val="20"/>
          <w:szCs w:val="20"/>
          <w:color w:val="auto"/>
        </w:rPr>
      </w:pPr>
    </w:p>
    <w:p>
      <w:pPr>
        <w:ind w:right="80" w:firstLine="318"/>
        <w:spacing w:after="0" w:line="249" w:lineRule="auto"/>
        <w:rPr>
          <w:sz w:val="20"/>
          <w:szCs w:val="20"/>
          <w:color w:val="auto"/>
        </w:rPr>
      </w:pPr>
      <w:r>
        <w:rPr>
          <w:rFonts w:ascii="Times New Roman" w:cs="Times New Roman" w:eastAsia="Times New Roman" w:hAnsi="Times New Roman"/>
          <w:sz w:val="18"/>
          <w:szCs w:val="18"/>
          <w:color w:val="auto"/>
        </w:rPr>
        <w:t>The Company has granted cash long-term incentive awards (“LTIP awards”) to certain employees. Annual LTIP awards vest over a three-year period and are determined using multipliers from 0% to 200% of the target award based on the total stockholder return of the Company's common stock compared to the total stockholder returns of a peer group of companies. The awards are considered stock-based compensation and are classified as liabilities measured at fair value as of the respective period end. For the three months ended June 30, 2022 and 2021, an expense of $1.0 million and $0.4 million, respectively, were included in total stock-based compensation expense related to LTIP awards. For the six months ended June 30, 2022 and 2021, $1.3 million and $0.5 million, respectively, were included in total stock-based compensation expense related to LTIP awards. At June 30, 2022 and December 31, 2021, liabilities of $2.2 million and $1.2 million, respectively, related to LTIP awards were included as part of accrued employee compensation and benefits, and for the long-term portion in other non-current liabilities in the Consolidated Balance Sheets.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Income per Share</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computation of the Company's basic and diluted net income per share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520" w:type="dxa"/>
            <w:vAlign w:val="bottom"/>
          </w:tcPr>
          <w:p>
            <w:pPr>
              <w:spacing w:after="0"/>
              <w:rPr>
                <w:sz w:val="20"/>
                <w:szCs w:val="20"/>
                <w:color w:val="auto"/>
              </w:rPr>
            </w:pPr>
          </w:p>
        </w:tc>
        <w:tc>
          <w:tcPr>
            <w:tcW w:w="2340" w:type="dxa"/>
            <w:vAlign w:val="bottom"/>
            <w:gridSpan w:val="6"/>
          </w:tcPr>
          <w:p>
            <w:pPr>
              <w:ind w:left="4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120" w:type="dxa"/>
            <w:vAlign w:val="bottom"/>
          </w:tcPr>
          <w:p>
            <w:pPr>
              <w:spacing w:after="0"/>
              <w:rPr>
                <w:sz w:val="20"/>
                <w:szCs w:val="20"/>
                <w:color w:val="auto"/>
              </w:rPr>
            </w:pPr>
          </w:p>
        </w:tc>
        <w:tc>
          <w:tcPr>
            <w:tcW w:w="2100" w:type="dxa"/>
            <w:vAlign w:val="bottom"/>
            <w:gridSpan w:val="4"/>
          </w:tcPr>
          <w:p>
            <w:pPr>
              <w:jc w:val="right"/>
              <w:ind w:right="32"/>
              <w:spacing w:after="0"/>
              <w:rPr>
                <w:sz w:val="20"/>
                <w:szCs w:val="20"/>
                <w:color w:val="auto"/>
              </w:rPr>
            </w:pPr>
            <w:r>
              <w:rPr>
                <w:rFonts w:ascii="Times New Roman" w:cs="Times New Roman" w:eastAsia="Times New Roman" w:hAnsi="Times New Roman"/>
                <w:sz w:val="17"/>
                <w:szCs w:val="17"/>
                <w:b w:val="1"/>
                <w:bCs w:val="1"/>
                <w:color w:val="auto"/>
                <w:w w:val="98"/>
              </w:rPr>
              <w:t>Six Months Ended June 30,</w:t>
            </w:r>
          </w:p>
        </w:tc>
        <w:tc>
          <w:tcPr>
            <w:tcW w:w="0" w:type="dxa"/>
            <w:vAlign w:val="bottom"/>
          </w:tcPr>
          <w:p>
            <w:pPr>
              <w:spacing w:after="0"/>
              <w:rPr>
                <w:sz w:val="1"/>
                <w:szCs w:val="1"/>
                <w:color w:val="auto"/>
              </w:rPr>
            </w:pPr>
          </w:p>
        </w:tc>
      </w:tr>
      <w:tr>
        <w:trPr>
          <w:trHeight w:val="211"/>
        </w:trPr>
        <w:tc>
          <w:tcPr>
            <w:tcW w:w="65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80"/>
        </w:trPr>
        <w:tc>
          <w:tcPr>
            <w:tcW w:w="6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4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income per common share:</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23,962</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54,965</w:t>
            </w:r>
          </w:p>
        </w:tc>
        <w:tc>
          <w:tcPr>
            <w:tcW w:w="0" w:type="dxa"/>
            <w:vAlign w:val="bottom"/>
          </w:tcPr>
          <w:p>
            <w:pPr>
              <w:spacing w:after="0"/>
              <w:rPr>
                <w:sz w:val="1"/>
                <w:szCs w:val="1"/>
                <w:color w:val="auto"/>
              </w:rPr>
            </w:pPr>
          </w:p>
        </w:tc>
      </w:tr>
      <w:tr>
        <w:trPr>
          <w:trHeight w:val="225"/>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Net income allocated to unvested participating restricted stock</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1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 basic</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53,534</w:t>
            </w:r>
          </w:p>
        </w:tc>
        <w:tc>
          <w:tcPr>
            <w:tcW w:w="0" w:type="dxa"/>
            <w:vAlign w:val="bottom"/>
          </w:tcPr>
          <w:p>
            <w:pPr>
              <w:spacing w:after="0"/>
              <w:rPr>
                <w:sz w:val="1"/>
                <w:szCs w:val="1"/>
                <w:color w:val="auto"/>
              </w:rPr>
            </w:pPr>
          </w:p>
        </w:tc>
      </w:tr>
      <w:tr>
        <w:trPr>
          <w:trHeight w:val="225"/>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Effect of unvested participating restricted stock in two-class calculation</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 diluted</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5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outstanding shares of common stock - basic</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16,673</w:t>
            </w:r>
          </w:p>
        </w:tc>
        <w:tc>
          <w:tcPr>
            <w:tcW w:w="0" w:type="dxa"/>
            <w:vAlign w:val="bottom"/>
          </w:tcPr>
          <w:p>
            <w:pPr>
              <w:spacing w:after="0"/>
              <w:rPr>
                <w:sz w:val="1"/>
                <w:szCs w:val="1"/>
                <w:color w:val="auto"/>
              </w:rPr>
            </w:pPr>
          </w:p>
        </w:tc>
      </w:tr>
      <w:tr>
        <w:trPr>
          <w:trHeight w:val="225"/>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43"/>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outstanding shares of common stock - diluted</w:t>
            </w: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5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6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5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auto"/>
              <w:bottom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identifies its reporting segments based on the organizational units used by management to monitor performance and make operating</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decisions. The Company currently has five operating segments: Applebee's franchise operations, Applebee's company-operated restaurant operations, IHOP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franchise operations, rental operations and financing operations. The Company has four reportable segments: franchise operations, (an aggregation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Applebee's and IHOP franchise operations), company-operated restaurant operations, rental operations and financing operations. The Company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considers these to be its reportable segments, regardless of whether any segment exceeds 10% of consolidated revenues, income before income tax provision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total assets.</w:t>
      </w:r>
    </w:p>
    <w:p>
      <w:pPr>
        <w:spacing w:after="0" w:line="224" w:lineRule="exact"/>
        <w:rPr>
          <w:sz w:val="20"/>
          <w:szCs w:val="20"/>
          <w:color w:val="auto"/>
        </w:rPr>
      </w:pPr>
    </w:p>
    <w:p>
      <w:pPr>
        <w:ind w:firstLine="352"/>
        <w:spacing w:after="0" w:line="251" w:lineRule="auto"/>
        <w:rPr>
          <w:sz w:val="20"/>
          <w:szCs w:val="20"/>
          <w:color w:val="auto"/>
        </w:rPr>
      </w:pPr>
      <w:r>
        <w:rPr>
          <w:rFonts w:ascii="Times New Roman" w:cs="Times New Roman" w:eastAsia="Times New Roman" w:hAnsi="Times New Roman"/>
          <w:sz w:val="18"/>
          <w:szCs w:val="18"/>
          <w:color w:val="auto"/>
        </w:rPr>
        <w:t>As of June 30, 2022, the franchise operations segment consisted of (i) 1,604 restaurants operated by Applebee’s franchisees in the United States, two U.S. territories and 11 countries outside the United States and (ii) 1,764 restaurants operated by IHOP franchisees and area licensees in the United States, two U.S. territories and eight countries outside the United States. Franchise operations revenue consists primarily of franchise royalty revenues, franchise advertising revenue, sales of proprietary products to franchisees (primarily pancake and waffle dry mixes for the IHOP restaurants), and franchise fees. Franchise operations expenses include advertising expenses, the cost of IHOP proprietary products, bad debt expense, franchisor contributions to marketing funds, pre-opening training expenses and other franchise-related costs.</w:t>
      </w:r>
    </w:p>
    <w:p>
      <w:pPr>
        <w:spacing w:after="0" w:line="212" w:lineRule="exact"/>
        <w:rPr>
          <w:sz w:val="20"/>
          <w:szCs w:val="20"/>
          <w:color w:val="auto"/>
        </w:rPr>
      </w:pPr>
    </w:p>
    <w:p>
      <w:pPr>
        <w:ind w:right="640" w:firstLine="318"/>
        <w:spacing w:after="0" w:line="257" w:lineRule="auto"/>
        <w:rPr>
          <w:sz w:val="20"/>
          <w:szCs w:val="20"/>
          <w:color w:val="auto"/>
        </w:rPr>
      </w:pPr>
      <w:r>
        <w:rPr>
          <w:rFonts w:ascii="Times New Roman" w:cs="Times New Roman" w:eastAsia="Times New Roman" w:hAnsi="Times New Roman"/>
          <w:sz w:val="18"/>
          <w:szCs w:val="18"/>
          <w:color w:val="auto"/>
        </w:rPr>
        <w:t>Company restaurant sales are retail sales at 69 Applebee's company-operated restaurants. Company restaurant expenses are operating expenses at company-operated restaurants and include food, labor, utilities, rent and other restaurant operating costs.</w:t>
      </w:r>
    </w:p>
    <w:p>
      <w:pPr>
        <w:ind w:right="700"/>
        <w:spacing w:after="0" w:line="245" w:lineRule="auto"/>
        <w:rPr>
          <w:sz w:val="20"/>
          <w:szCs w:val="20"/>
          <w:color w:val="auto"/>
        </w:rPr>
      </w:pPr>
      <w:r>
        <w:rPr>
          <w:rFonts w:ascii="Times New Roman" w:cs="Times New Roman" w:eastAsia="Times New Roman" w:hAnsi="Times New Roman"/>
          <w:sz w:val="18"/>
          <w:szCs w:val="18"/>
          <w:color w:val="auto"/>
        </w:rPr>
        <w:t>Rental operations revenue includes revenue from operating leases and interest income from real estate leases. Rental operations expenses are costs of operating leases and interest expense from finance leases on which the Company is the lessee.</w:t>
      </w:r>
    </w:p>
    <w:p>
      <w:pPr>
        <w:spacing w:after="0" w:line="1"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18"/>
          <w:szCs w:val="18"/>
          <w:color w:val="auto"/>
        </w:rPr>
        <w:t>Financing revenues primarily consist of interest income from the financing of IHOP equipment leases and franchise fees and interest income on Applebee's notes receivable from franchisees. Financing expenses are the cost of taxes related to IHOP equipment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 Global, Inc. and Subsidiaries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Segments (Continued)</w:t>
      </w:r>
    </w:p>
    <w:p>
      <w:pPr>
        <w:spacing w:after="0" w:line="2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on segments is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2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7"/>
        </w:trPr>
        <w:tc>
          <w:tcPr>
            <w:tcW w:w="49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80"/>
        </w:trPr>
        <w:tc>
          <w:tcPr>
            <w:tcW w:w="4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from external customers:</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98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166.9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25"/>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233.6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98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98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8"/>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980" w:type="dxa"/>
            <w:vAlign w:val="bottom"/>
            <w:vMerge w:val="continue"/>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98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5"/>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3"/>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(loss), by segment:</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98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98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5"/>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8"/>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profit</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0" w:type="dxa"/>
            <w:vAlign w:val="bottom"/>
          </w:tcPr>
          <w:p>
            <w:pPr>
              <w:spacing w:after="0"/>
              <w:rPr>
                <w:sz w:val="1"/>
                <w:szCs w:val="1"/>
                <w:color w:val="auto"/>
              </w:rPr>
            </w:pPr>
          </w:p>
        </w:tc>
      </w:tr>
      <w:tr>
        <w:trPr>
          <w:trHeight w:val="225"/>
        </w:trPr>
        <w:tc>
          <w:tcPr>
            <w:tcW w:w="4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Corporate and unallocated expenses, net</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8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Closure and Impairment Charges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Closure and impairment charges for the three and six months ended June 30, 2022 and 2021 were as follows:</w:t>
      </w:r>
    </w:p>
    <w:p>
      <w:pPr>
        <w:spacing w:after="0" w:line="267"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54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Closure and Impairment Charges</w:t>
            </w:r>
          </w:p>
        </w:tc>
        <w:tc>
          <w:tcPr>
            <w:tcW w:w="220" w:type="dxa"/>
            <w:vAlign w:val="bottom"/>
          </w:tcPr>
          <w:p>
            <w:pPr>
              <w:spacing w:after="0"/>
              <w:rPr>
                <w:sz w:val="18"/>
                <w:szCs w:val="18"/>
                <w:color w:val="auto"/>
              </w:rPr>
            </w:pPr>
          </w:p>
        </w:tc>
        <w:tc>
          <w:tcPr>
            <w:tcW w:w="262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40" w:type="dxa"/>
            <w:vAlign w:val="bottom"/>
          </w:tcPr>
          <w:p>
            <w:pPr>
              <w:spacing w:after="0"/>
              <w:rPr>
                <w:sz w:val="18"/>
                <w:szCs w:val="18"/>
                <w:color w:val="auto"/>
              </w:rPr>
            </w:pPr>
          </w:p>
        </w:tc>
        <w:tc>
          <w:tcPr>
            <w:tcW w:w="2220" w:type="dxa"/>
            <w:vAlign w:val="bottom"/>
            <w:gridSpan w:val="3"/>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
        </w:trPr>
        <w:tc>
          <w:tcPr>
            <w:tcW w:w="100" w:type="dxa"/>
            <w:vAlign w:val="bottom"/>
          </w:tcPr>
          <w:p>
            <w:pPr>
              <w:spacing w:after="0" w:line="20" w:lineRule="exact"/>
              <w:rPr>
                <w:sz w:val="1"/>
                <w:szCs w:val="1"/>
                <w:color w:val="auto"/>
              </w:rPr>
            </w:pPr>
          </w:p>
        </w:tc>
        <w:tc>
          <w:tcPr>
            <w:tcW w:w="254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4"/>
        </w:trPr>
        <w:tc>
          <w:tcPr>
            <w:tcW w:w="1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7"/>
        </w:trPr>
        <w:tc>
          <w:tcPr>
            <w:tcW w:w="1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2"/>
        </w:trPr>
        <w:tc>
          <w:tcPr>
            <w:tcW w:w="5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Closure charges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5"/>
        </w:trPr>
        <w:tc>
          <w:tcPr>
            <w:tcW w:w="548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Long-lived tangible asset impairment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0.3</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548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closure and impairment charges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160" w:firstLine="318"/>
        <w:spacing w:after="0" w:line="244" w:lineRule="auto"/>
        <w:rPr>
          <w:sz w:val="20"/>
          <w:szCs w:val="20"/>
          <w:color w:val="auto"/>
        </w:rPr>
      </w:pPr>
      <w:r>
        <w:rPr>
          <w:rFonts w:ascii="Times New Roman" w:cs="Times New Roman" w:eastAsia="Times New Roman" w:hAnsi="Times New Roman"/>
          <w:sz w:val="18"/>
          <w:szCs w:val="18"/>
          <w:color w:val="auto"/>
        </w:rPr>
        <w:t>The closure charges for the three and six months ended June 30, 2022 were primarily related to the revisions to existing closure reserves, including accretion, primarily for approximately 35 IHOP restaurants. The closure charges for the three months ended June 30, 2021 related to the establishment of, or revisions to existing closure reserves, including accretion, primarily for approximately 30 IHOP restaurants. The closure charges for the six months ended June 30, 2021 related to the establishment of or revisions to existing closure reserves for approximately 50 IHOP restaurants.</w:t>
      </w:r>
    </w:p>
    <w:p>
      <w:pPr>
        <w:spacing w:after="0" w:line="205" w:lineRule="exact"/>
        <w:rPr>
          <w:sz w:val="20"/>
          <w:szCs w:val="20"/>
          <w:color w:val="auto"/>
        </w:rPr>
      </w:pPr>
    </w:p>
    <w:p>
      <w:pPr>
        <w:jc w:val="both"/>
        <w:ind w:right="260" w:firstLine="318"/>
        <w:spacing w:after="0" w:line="298" w:lineRule="auto"/>
        <w:rPr>
          <w:sz w:val="20"/>
          <w:szCs w:val="20"/>
          <w:color w:val="auto"/>
        </w:rPr>
      </w:pPr>
      <w:r>
        <w:rPr>
          <w:rFonts w:ascii="Times New Roman" w:cs="Times New Roman" w:eastAsia="Times New Roman" w:hAnsi="Times New Roman"/>
          <w:sz w:val="17"/>
          <w:szCs w:val="17"/>
          <w:color w:val="auto"/>
        </w:rPr>
        <w:t>Long-lived tangible asset impairment charges for the three and six months ended June 30, 2022 related to the impairment of land and buildings for two IHOP restaurants located on sites owned by the Company. Long-lived tangible asset impairment charges for the six months ended June 30, 2021 related to four IHOP franchisee-operated restaurants. The impairment recorded represented the difference between the carrying value and the estimated fair value.</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153"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The Company does not have a material amount of financial assets or liabilities that are required under U.S. GAAP to be measured on a recurring basis at fair value. The Company is not a party to any material derivative financial instruments. The Company does not have a material amount of non-financial assets or non-financial liabilities that are required under U.S. GAAP to be measured at fair value on a recurring basis. The Company has not elected to use the fair value measurement option, as permitted under U.S. GAAP, for any assets or liabilities for which fair value measurement is not presently required.</w:t>
      </w:r>
    </w:p>
    <w:p>
      <w:pPr>
        <w:spacing w:after="0" w:line="14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Company believes the fair values of cash equivalents, accounts receivable and accounts payable approximate their carrying amounts due to their short duration.</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values of the Company's 2019 Class A-2 Notes at June 30, 2022 and December 31, 2021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6"/>
                <w:szCs w:val="16"/>
                <w:color w:val="auto"/>
              </w:rPr>
            </w:pPr>
          </w:p>
        </w:tc>
        <w:tc>
          <w:tcPr>
            <w:tcW w:w="144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r>
      <w:tr>
        <w:trPr>
          <w:trHeight w:val="24"/>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86"/>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80" w:type="dxa"/>
            <w:vAlign w:val="bottom"/>
            <w:gridSpan w:val="4"/>
          </w:tcPr>
          <w:p>
            <w:pPr>
              <w:jc w:val="right"/>
              <w:ind w:right="117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r>
      <w:tr>
        <w:trPr>
          <w:trHeight w:val="257"/>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Face Value of Class A-2 Notes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1,287.0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1,287.0</w:t>
            </w:r>
          </w:p>
        </w:tc>
        <w:tc>
          <w:tcPr>
            <w:tcW w:w="100" w:type="dxa"/>
            <w:vAlign w:val="bottom"/>
          </w:tcPr>
          <w:p>
            <w:pPr>
              <w:spacing w:after="0"/>
              <w:rPr>
                <w:sz w:val="21"/>
                <w:szCs w:val="2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77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Fair Value of Class A-2 Notes</w:t>
            </w:r>
          </w:p>
        </w:tc>
        <w:tc>
          <w:tcPr>
            <w:tcW w:w="280" w:type="dxa"/>
            <w:vAlign w:val="bottom"/>
            <w:tcBorders>
              <w:bottom w:val="single" w:sz="8" w:color="auto"/>
            </w:tcBorders>
          </w:tcPr>
          <w:p>
            <w:pPr>
              <w:jc w:val="right"/>
              <w:ind w:right="9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
              <w:spacing w:after="0" w:line="198" w:lineRule="exact"/>
              <w:rPr>
                <w:sz w:val="20"/>
                <w:szCs w:val="20"/>
                <w:color w:val="auto"/>
              </w:rPr>
            </w:pPr>
            <w:r>
              <w:rPr>
                <w:rFonts w:ascii="Times New Roman" w:cs="Times New Roman" w:eastAsia="Times New Roman" w:hAnsi="Times New Roman"/>
                <w:sz w:val="18"/>
                <w:szCs w:val="18"/>
                <w:color w:val="auto"/>
              </w:rPr>
              <w:t>1,253.8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1,312.9</w:t>
            </w:r>
          </w:p>
        </w:tc>
        <w:tc>
          <w:tcPr>
            <w:tcW w:w="100" w:type="dxa"/>
            <w:vAlign w:val="bottom"/>
          </w:tcPr>
          <w:p>
            <w:pPr>
              <w:spacing w:after="0"/>
              <w:rPr>
                <w:sz w:val="17"/>
                <w:szCs w:val="17"/>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0" w:lineRule="exact"/>
        <w:rPr>
          <w:sz w:val="20"/>
          <w:szCs w:val="20"/>
          <w:color w:val="auto"/>
        </w:rPr>
      </w:pPr>
    </w:p>
    <w:p>
      <w:pPr>
        <w:ind w:right="480" w:firstLine="318"/>
        <w:spacing w:after="0" w:line="274" w:lineRule="auto"/>
        <w:rPr>
          <w:sz w:val="20"/>
          <w:szCs w:val="20"/>
          <w:color w:val="auto"/>
        </w:rPr>
      </w:pPr>
      <w:r>
        <w:rPr>
          <w:rFonts w:ascii="Times New Roman" w:cs="Times New Roman" w:eastAsia="Times New Roman" w:hAnsi="Times New Roman"/>
          <w:sz w:val="18"/>
          <w:szCs w:val="18"/>
          <w:color w:val="auto"/>
        </w:rPr>
        <w:t>The fair values were determined based on Level 2 inputs, including information gathered from brokers who trade in the Company’s 2019 Class A-2 Notes, as well as information on notes that are similar to those of the Company.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Litigation, Claims and Disputes</w:t>
      </w:r>
    </w:p>
    <w:p>
      <w:pPr>
        <w:spacing w:after="0" w:line="181" w:lineRule="exact"/>
        <w:rPr>
          <w:sz w:val="20"/>
          <w:szCs w:val="20"/>
          <w:color w:val="auto"/>
        </w:rPr>
      </w:pPr>
    </w:p>
    <w:p>
      <w:pPr>
        <w:ind w:right="140" w:firstLine="318"/>
        <w:spacing w:after="0" w:line="256" w:lineRule="auto"/>
        <w:rPr>
          <w:sz w:val="20"/>
          <w:szCs w:val="20"/>
          <w:color w:val="auto"/>
        </w:rPr>
      </w:pPr>
      <w:r>
        <w:rPr>
          <w:rFonts w:ascii="Times New Roman" w:cs="Times New Roman" w:eastAsia="Times New Roman" w:hAnsi="Times New Roman"/>
          <w:sz w:val="17"/>
          <w:szCs w:val="17"/>
          <w:color w:val="auto"/>
        </w:rPr>
        <w:t>The Company is subject to various lawsuits, administrative proceedings, audits and claims arising in the ordinary course of business. Some of these lawsuits purport to be class actions and/or seek substantial damages. The Company is required under U.S. GAAP to record an accrual for litigation loss contingencies that are both probable and reasonably estimable. Legal fees and expenses associated with the defense of all of the Company's litigation are expensed as such fees and expenses are incurred. Management regularly assesses the Company's insurance coverage, analyzes litigation information with the Company's attorneys and evaluates the Company's loss experience in connection with pending legal proceedings. While the Company does not presently believe that any of the legal proceedings to which it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Lease Guarantees</w:t>
      </w:r>
    </w:p>
    <w:p>
      <w:pPr>
        <w:spacing w:after="0" w:line="195"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In connection with the sale of Applebee’s restaurants to franchisees, the Company has, in certain cases, guaranteed or has potential continuing liability for lease payments totaling $215.8 million as of June 30, 2022. This amount represents the maximum potential liability for future payments under these leases. These leases have been assigned to the buyers and expire at the end of the respective lease terms, which range from 2022 through 2048. Excluding unexercised option periods, the Company's potential liability for future payments under these leases is $45.5 million. In the event of default, the indemnity and default clauses in the sale or assignment agreements govern the Company's ability to pursue and recover damages incurred.</w:t>
      </w:r>
    </w:p>
    <w:p>
      <w:pPr>
        <w:spacing w:after="0" w:line="210" w:lineRule="exact"/>
        <w:rPr>
          <w:sz w:val="20"/>
          <w:szCs w:val="20"/>
          <w:color w:val="auto"/>
        </w:rPr>
      </w:pPr>
    </w:p>
    <w:p>
      <w:pPr>
        <w:ind w:left="360" w:right="7600" w:hanging="354"/>
        <w:spacing w:after="0" w:line="408" w:lineRule="auto"/>
        <w:tabs>
          <w:tab w:leader="none" w:pos="267"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Cash Equivalents and Restricted Cash </w:t>
      </w:r>
      <w:r>
        <w:rPr>
          <w:rFonts w:ascii="Times New Roman" w:cs="Times New Roman" w:eastAsia="Times New Roman" w:hAnsi="Times New Roman"/>
          <w:sz w:val="18"/>
          <w:szCs w:val="18"/>
          <w:i w:val="1"/>
          <w:iCs w:val="1"/>
          <w:color w:val="auto"/>
        </w:rPr>
        <w:t>Cash and Cash Equivalents</w:t>
      </w:r>
    </w:p>
    <w:p>
      <w:pPr>
        <w:spacing w:after="0" w:line="1"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The Company considers all highly liquid investment securities with remaining maturities at the date of purchase of three months or less to be cash equivalents. These cash equivalents are stated at cost which approximates market value. Cash held related to IHOP advertising funds and the Company's gift card programs is not considered to be restricted cash as there are no restrictions on the use of these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Cash, Cash Equivalents and Restricted Cash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cash and cash equivalents were as follows:</w:t>
      </w:r>
    </w:p>
    <w:p>
      <w:pPr>
        <w:spacing w:after="0" w:line="357"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7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r>
      <w:tr>
        <w:trPr>
          <w:trHeight w:val="186"/>
        </w:trPr>
        <w:tc>
          <w:tcPr>
            <w:tcW w:w="7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4"/>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5"/>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advertising funds and gift card programs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depository accounts</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18"/>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0"/>
        </w:trPr>
        <w:tc>
          <w:tcPr>
            <w:tcW w:w="7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Current Restricted Cash</w:t>
      </w:r>
    </w:p>
    <w:p>
      <w:pPr>
        <w:spacing w:after="0" w:line="153" w:lineRule="exact"/>
        <w:rPr>
          <w:sz w:val="20"/>
          <w:szCs w:val="20"/>
          <w:color w:val="auto"/>
        </w:rPr>
      </w:pPr>
    </w:p>
    <w:p>
      <w:pPr>
        <w:ind w:right="420" w:firstLine="318"/>
        <w:spacing w:after="0" w:line="259" w:lineRule="auto"/>
        <w:rPr>
          <w:sz w:val="20"/>
          <w:szCs w:val="20"/>
          <w:color w:val="auto"/>
        </w:rPr>
      </w:pPr>
      <w:r>
        <w:rPr>
          <w:rFonts w:ascii="Times New Roman" w:cs="Times New Roman" w:eastAsia="Times New Roman" w:hAnsi="Times New Roman"/>
          <w:sz w:val="18"/>
          <w:szCs w:val="18"/>
          <w:color w:val="auto"/>
        </w:rPr>
        <w:t>Current restricted cash primarily consisted of funds required to be held in trust in connection with the Company's securitized debt and funds from Applebee's franchisees pursuant to franchise agreements, usage of which was restricted to advertising activities. The components of current restricted cash were as follows:</w:t>
      </w:r>
    </w:p>
    <w:p>
      <w:pPr>
        <w:spacing w:after="0" w:line="331"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79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6"/>
        </w:trPr>
        <w:tc>
          <w:tcPr>
            <w:tcW w:w="7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gridSpan w:val="3"/>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20" w:type="dxa"/>
            <w:vAlign w:val="bottom"/>
          </w:tcPr>
          <w:p>
            <w:pPr>
              <w:spacing w:after="0"/>
              <w:rPr>
                <w:sz w:val="16"/>
                <w:szCs w:val="16"/>
                <w:color w:val="auto"/>
              </w:rPr>
            </w:pPr>
          </w:p>
        </w:tc>
      </w:tr>
      <w:tr>
        <w:trPr>
          <w:trHeight w:val="23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Securitized debt reserves</w:t>
            </w:r>
          </w:p>
        </w:tc>
        <w:tc>
          <w:tcPr>
            <w:tcW w:w="1260" w:type="dxa"/>
            <w:vAlign w:val="bottom"/>
            <w:shd w:val="clear" w:color="auto" w:fill="CCEEFF"/>
          </w:tcPr>
          <w:p>
            <w:pPr>
              <w:jc w:val="right"/>
              <w:ind w:right="1078"/>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29.6</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5"/>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advertising funds</w:t>
            </w:r>
          </w:p>
        </w:tc>
        <w:tc>
          <w:tcPr>
            <w:tcW w:w="1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restricted cash</w:t>
            </w:r>
          </w:p>
        </w:tc>
        <w:tc>
          <w:tcPr>
            <w:tcW w:w="1260" w:type="dxa"/>
            <w:vAlign w:val="bottom"/>
            <w:tcBorders>
              <w:bottom w:val="single" w:sz="8" w:color="auto"/>
            </w:tcBorders>
          </w:tcPr>
          <w:p>
            <w:pPr>
              <w:jc w:val="right"/>
              <w:ind w:right="1078"/>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49.8</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79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Non-current Restricted Cash</w:t>
      </w:r>
    </w:p>
    <w:p>
      <w:pPr>
        <w:spacing w:after="0" w:line="140" w:lineRule="exact"/>
        <w:rPr>
          <w:sz w:val="20"/>
          <w:szCs w:val="20"/>
          <w:color w:val="auto"/>
        </w:rPr>
      </w:pPr>
    </w:p>
    <w:p>
      <w:pPr>
        <w:ind w:right="340" w:firstLine="318"/>
        <w:spacing w:after="0" w:line="274" w:lineRule="auto"/>
        <w:rPr>
          <w:sz w:val="20"/>
          <w:szCs w:val="20"/>
          <w:color w:val="auto"/>
        </w:rPr>
      </w:pPr>
      <w:r>
        <w:rPr>
          <w:rFonts w:ascii="Times New Roman" w:cs="Times New Roman" w:eastAsia="Times New Roman" w:hAnsi="Times New Roman"/>
          <w:sz w:val="18"/>
          <w:szCs w:val="18"/>
          <w:color w:val="auto"/>
        </w:rPr>
        <w:t>Non-current restricted cash was $16.4 million and $16.4 million at June 30, 2022 and December 31, 2021, respectively, and represents interest reserves required to be set aside for the duration of the Company's securitized debt.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w:t>
      </w:r>
    </w:p>
    <w:p>
      <w:pPr>
        <w:spacing w:after="0" w:line="232" w:lineRule="exact"/>
        <w:rPr>
          <w:sz w:val="20"/>
          <w:szCs w:val="20"/>
          <w:color w:val="auto"/>
        </w:rPr>
      </w:pPr>
    </w:p>
    <w:p>
      <w:pPr>
        <w:ind w:right="560" w:firstLine="318"/>
        <w:spacing w:after="0" w:line="271" w:lineRule="auto"/>
        <w:rPr>
          <w:sz w:val="20"/>
          <w:szCs w:val="20"/>
          <w:color w:val="auto"/>
        </w:rPr>
      </w:pPr>
      <w:r>
        <w:rPr>
          <w:rFonts w:ascii="Times New Roman" w:cs="Times New Roman" w:eastAsia="Times New Roman" w:hAnsi="Times New Roman"/>
          <w:sz w:val="17"/>
          <w:szCs w:val="17"/>
          <w:color w:val="auto"/>
        </w:rPr>
        <w:t>On July 26, 2022, the Company entered into an asset purchase agreement for the refranchising and sale of related restaurant assets of 69 Applebee’s company-operated restaurants located in North Carolina and South Carolina. This sale is expected to close in the fiscal third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4"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46"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You should read the following Management's Discussion and Analysis of Financial Condition and Results of Operations (“MD&amp;A”) in conjunction with the consolidated financial statements and the related notes that appear elsewhere in this report. Statements contained in this report may constitute forward-looking statements within the meaning of the Private Securities Litigation Reform Act of 1995. Please refer to the section of this report under the heading “Cautionary Statement Regarding Forward-Looking Statements” for more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9"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The following discussion and analysis provides information which we believe is relevant to an assessment and understanding of our consolidated results of operations and financial condition. The discussion should be read in conjunction with the consolidated financial statements and the notes thereto included in Item 1 of Part I of this Quarterly Report and the audited consolidated financial statements and notes thereto and the MD&amp;A contained in the Company’s Annual Report on Form 10-K for the fiscal year ended December 31, 2021. Except where the context indicates otherwise, the words “we,” “us,” “our,” “Dine Brands Global” and the “Company” refer to Dine Brands Global, Inc., together with its subsidiaries that are consolidated in accordance with United States generally accepted accounting principles (“U.S. GAAP”).</w:t>
      </w:r>
    </w:p>
    <w:p>
      <w:pPr>
        <w:spacing w:after="0" w:line="182" w:lineRule="exact"/>
        <w:rPr>
          <w:sz w:val="20"/>
          <w:szCs w:val="20"/>
          <w:color w:val="auto"/>
        </w:rPr>
      </w:pPr>
    </w:p>
    <w:p>
      <w:pPr>
        <w:ind w:right="100" w:firstLine="318"/>
        <w:spacing w:after="0" w:line="221" w:lineRule="auto"/>
        <w:rPr>
          <w:sz w:val="20"/>
          <w:szCs w:val="20"/>
          <w:color w:val="auto"/>
        </w:rPr>
      </w:pPr>
      <w:r>
        <w:rPr>
          <w:rFonts w:ascii="Times New Roman" w:cs="Times New Roman" w:eastAsia="Times New Roman" w:hAnsi="Times New Roman"/>
          <w:sz w:val="18"/>
          <w:szCs w:val="18"/>
          <w:color w:val="auto"/>
        </w:rPr>
        <w:t>Through various subsidiaries, we own, franchise and operate the Applebee's Neighborhood Grill &amp; Bar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(“Applebee's”) concept in the bar and grill segment within the casual dining category of the restaurant industry and we own and franchise the International House of Pancakes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(“IHOP”) concept in the family dining category of the restaurant industry. References herein to Applebee's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IHOP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restaurants are to these two restaurant concepts, whether operated by franchisees, area licensees and their sub-licensees (collectively, “area licensees”) or by us. With 3,437 restaurants combined, 98% of which are franchised, we believe we are one of the largest full-service restaurant companies in the world.</w:t>
      </w:r>
    </w:p>
    <w:p>
      <w:pPr>
        <w:spacing w:after="0" w:line="222" w:lineRule="exact"/>
        <w:rPr>
          <w:sz w:val="20"/>
          <w:szCs w:val="20"/>
          <w:color w:val="auto"/>
        </w:rPr>
      </w:pPr>
    </w:p>
    <w:p>
      <w:pPr>
        <w:ind w:right="160" w:firstLine="318"/>
        <w:spacing w:after="0" w:line="252" w:lineRule="auto"/>
        <w:rPr>
          <w:sz w:val="20"/>
          <w:szCs w:val="20"/>
          <w:color w:val="auto"/>
        </w:rPr>
      </w:pPr>
      <w:r>
        <w:rPr>
          <w:rFonts w:ascii="Times New Roman" w:cs="Times New Roman" w:eastAsia="Times New Roman" w:hAnsi="Times New Roman"/>
          <w:sz w:val="18"/>
          <w:szCs w:val="18"/>
          <w:color w:val="auto"/>
        </w:rPr>
        <w:t>We identify our business segments based on the organizational units used by management to monitor performance and make operating decisions. We currently have five operating segments: Applebee's franchise operations, Applebee's company-operated restaurant operations, IHOP franchise operations, rental operations and financing operations. We have four reportable segments: franchise operations (an aggregation of Applebee's and IHOP franchise operations), company-operated restaurant operations, rental operations and financing operations. We consider these to be our reportable segments, regardless of whether any segment exceeds 10% of consolidated revenues, income before income tax provision or total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Impacting the Comparability of Financial Information</w:t>
      </w:r>
    </w:p>
    <w:p>
      <w:pPr>
        <w:spacing w:after="0" w:line="232" w:lineRule="exact"/>
        <w:rPr>
          <w:sz w:val="20"/>
          <w:szCs w:val="20"/>
          <w:color w:val="auto"/>
        </w:rPr>
      </w:pPr>
    </w:p>
    <w:p>
      <w:pPr>
        <w:ind w:right="320" w:firstLine="318"/>
        <w:spacing w:after="0" w:line="238" w:lineRule="auto"/>
        <w:rPr>
          <w:sz w:val="20"/>
          <w:szCs w:val="20"/>
          <w:color w:val="auto"/>
        </w:rPr>
      </w:pPr>
      <w:r>
        <w:rPr>
          <w:rFonts w:ascii="Times New Roman" w:cs="Times New Roman" w:eastAsia="Times New Roman" w:hAnsi="Times New Roman"/>
          <w:sz w:val="18"/>
          <w:szCs w:val="18"/>
          <w:color w:val="auto"/>
        </w:rPr>
        <w:t>Comparisons of financial results for the three and six months ended June 30, 2022 with those for the three and six months ended June 30, 2021 were impacted by the extent of restrictions in place on restaurant operations in 2021. In March 2020, the World Health Organization declared a global pandemic related to the outbreak of a novel strain of coronavirus, designated “COVID-19.” Initially, federal, state, local and international governments reacted to the COVID-19 pandemic by implementing restrictions that resulted in, to varying degrees, reduced operating hours, restaurant dine-in and/or indoor dining limitations, capacity limitations or other restrictions.</w:t>
      </w:r>
    </w:p>
    <w:p>
      <w:pPr>
        <w:spacing w:after="0" w:line="219"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The operating status of our restaurants was fluid during the three and six months ended June 30, 2021 and subject to change. Restrictions on restaurant operations were relaxed, removed or increased in response to changes in the number of COVID-19 infections, the availability and acceptance of vaccines and an increase in vaccination rates within the respective governmental jurisdictions. Generally speaking, during the second quarter of 2021, many federal, state and local governments began to relax or remove the restrictive protocols noted above, while most international governments maintained the restrictions, the degree of which varied by country.</w:t>
      </w:r>
    </w:p>
    <w:p>
      <w:pPr>
        <w:spacing w:after="0" w:line="212"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As of June 30, 2022, almost all domestic Applebee's and IHOP restaurants were open and operating without government-mandated restrictions. This represents a slight improvement from June 30, 2021, at which time some restaurants were operating with restrictions that varied by individual geographic area. Internationally, government-mandated restrictions vary by country, with some international restaurants still under restrictions. As of June 30, 2022, approximately 87% of international restaurants were operating without restrictions, a significant improvement from June 30, 2021, at which time there were no international restaurants operating without restrictions.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Government-mandated restrictions notwithstanding, almost half of IHOP restaurants that operated 24 hours a day for all or parts of a week prior to the pandemic are currently closed during overnight hours. As of June 30, 2022, approximately 514 IHOP restaurants were operating 24 hours a day, seven days a week, with approximately 149 restaurants operating 24 hours a day for some portion of the week. As of December 31, 2019, the last reporting period prior to the pandemic, approximately 845 IHOP restaurants were operating 24 hours a day, seven days a week, with approximately 245 restaurants operating 24 hours a day for some portion of the week.</w:t>
      </w:r>
    </w:p>
    <w:p>
      <w:pPr>
        <w:spacing w:after="0" w:line="212" w:lineRule="exact"/>
        <w:rPr>
          <w:sz w:val="20"/>
          <w:szCs w:val="20"/>
          <w:color w:val="auto"/>
        </w:rPr>
      </w:pPr>
    </w:p>
    <w:p>
      <w:pPr>
        <w:ind w:right="260" w:firstLine="318"/>
        <w:spacing w:after="0" w:line="241" w:lineRule="auto"/>
        <w:rPr>
          <w:sz w:val="20"/>
          <w:szCs w:val="20"/>
          <w:color w:val="auto"/>
        </w:rPr>
      </w:pPr>
      <w:r>
        <w:rPr>
          <w:rFonts w:ascii="Times New Roman" w:cs="Times New Roman" w:eastAsia="Times New Roman" w:hAnsi="Times New Roman"/>
          <w:sz w:val="18"/>
          <w:szCs w:val="18"/>
          <w:color w:val="auto"/>
        </w:rPr>
        <w:t>We have experienced a number of temporary and permanent closures of our restaurants during the COVID-19 pandemic. These closures occurred for a variety of reasons, and all closures were not necessarily related to the impact of the COVID-19 pandemic or related restrictions. We cannot predict the duration of the pandemic, recurrences of the virus (including the emergence of new variants of the virus), the acceptance of vaccines and booster vaccines worldwide and the availability of vaccines internationally, restrictions on in-restaurant dining that may be re-imposed, and, in general, what the ultimate impact on consumer discretionary spending the COVID-19 pandemic might have on our operations and the restaurant industry as a whole.</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Key Financial Results</w:t>
      </w:r>
    </w:p>
    <w:p>
      <w:pPr>
        <w:spacing w:after="0" w:line="246"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The financial tables appearing in MD&amp;A present amounts in millions of dollars that are rounded from our consolidated financial statements presented in thousands of dollars. As a result, the tables may not foot or crossfoot due to rounding.</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Favorable</w:t>
            </w:r>
          </w:p>
        </w:tc>
        <w:tc>
          <w:tcPr>
            <w:tcW w:w="300" w:type="dxa"/>
            <w:vAlign w:val="bottom"/>
          </w:tcPr>
          <w:p>
            <w:pPr>
              <w:spacing w:after="0"/>
              <w:rPr>
                <w:sz w:val="13"/>
                <w:szCs w:val="13"/>
                <w:color w:val="auto"/>
              </w:rPr>
            </w:pPr>
          </w:p>
        </w:tc>
        <w:tc>
          <w:tcPr>
            <w:tcW w:w="2620" w:type="dxa"/>
            <w:vAlign w:val="bottom"/>
            <w:gridSpan w:val="5"/>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80" w:type="dxa"/>
            <w:vAlign w:val="bottom"/>
          </w:tcPr>
          <w:p>
            <w:pPr>
              <w:spacing w:after="0"/>
              <w:rPr>
                <w:sz w:val="13"/>
                <w:szCs w:val="13"/>
                <w:color w:val="auto"/>
              </w:rPr>
            </w:pPr>
          </w:p>
        </w:tc>
        <w:tc>
          <w:tcPr>
            <w:tcW w:w="11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119"/>
        </w:trPr>
        <w:tc>
          <w:tcPr>
            <w:tcW w:w="2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4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260"/>
              <w:spacing w:after="0" w:line="113"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300" w:type="dxa"/>
            <w:vAlign w:val="bottom"/>
          </w:tcPr>
          <w:p>
            <w:pPr>
              <w:spacing w:after="0"/>
              <w:rPr>
                <w:sz w:val="10"/>
                <w:szCs w:val="10"/>
                <w:color w:val="auto"/>
              </w:rPr>
            </w:pPr>
          </w:p>
        </w:tc>
        <w:tc>
          <w:tcPr>
            <w:tcW w:w="2620" w:type="dxa"/>
            <w:vAlign w:val="bottom"/>
            <w:gridSpan w:val="5"/>
            <w:vMerge w:val="continue"/>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jc w:val="center"/>
              <w:ind w:right="99"/>
              <w:spacing w:after="0" w:line="113"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204"/>
        </w:trPr>
        <w:tc>
          <w:tcPr>
            <w:tcW w:w="27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235"/>
        </w:trPr>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5"/>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7"/>
        </w:trPr>
        <w:tc>
          <w:tcPr>
            <w:tcW w:w="2740" w:type="dxa"/>
            <w:vAlign w:val="bottom"/>
            <w:tcBorders>
              <w:bottom w:val="single" w:sz="8" w:color="CCEEFF"/>
            </w:tcBorders>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shd w:val="clear" w:color="auto" w:fill="CCEEFF"/>
          </w:tcPr>
          <w:p>
            <w:pPr>
              <w:jc w:val="right"/>
              <w:ind w:right="3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560"/>
              <w:spacing w:after="0" w:line="192" w:lineRule="exact"/>
              <w:rPr>
                <w:sz w:val="20"/>
                <w:szCs w:val="20"/>
                <w:color w:val="auto"/>
              </w:rPr>
            </w:pPr>
            <w:r>
              <w:rPr>
                <w:rFonts w:ascii="Times New Roman" w:cs="Times New Roman" w:eastAsia="Times New Roman" w:hAnsi="Times New Roman"/>
                <w:sz w:val="18"/>
                <w:szCs w:val="18"/>
                <w:color w:val="auto"/>
              </w:rPr>
              <w:t>24.0</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ind w:left="480"/>
              <w:spacing w:after="0" w:line="192" w:lineRule="exact"/>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80"/>
              <w:spacing w:after="0" w:line="192" w:lineRule="exact"/>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2"/>
              <w:spacing w:after="0" w:line="19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ind w:left="560"/>
              <w:spacing w:after="0" w:line="192" w:lineRule="exact"/>
              <w:rPr>
                <w:sz w:val="20"/>
                <w:szCs w:val="20"/>
                <w:color w:val="auto"/>
              </w:rPr>
            </w:pPr>
            <w:r>
              <w:rPr>
                <w:rFonts w:ascii="Times New Roman" w:cs="Times New Roman" w:eastAsia="Times New Roman" w:hAnsi="Times New Roman"/>
                <w:sz w:val="18"/>
                <w:szCs w:val="18"/>
                <w:color w:val="auto"/>
              </w:rPr>
              <w:t>48.8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ind w:left="500"/>
              <w:spacing w:after="0" w:line="192" w:lineRule="exact"/>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99"/>
              <w:spacing w:after="0" w:line="192"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7"/>
              </w:rPr>
              <w:t>26.3 %</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24.0 %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7"/>
              </w:rPr>
              <w:t>26.8 %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7"/>
              </w:rPr>
              <w:t>12.3 %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diluted share</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74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CCEEFF"/>
            </w:tcBorders>
          </w:tcPr>
          <w:p>
            <w:pPr>
              <w:spacing w:after="0"/>
              <w:rPr>
                <w:sz w:val="14"/>
                <w:szCs w:val="14"/>
                <w:color w:val="auto"/>
              </w:rPr>
            </w:pPr>
          </w:p>
        </w:tc>
        <w:tc>
          <w:tcPr>
            <w:tcW w:w="1080" w:type="dxa"/>
            <w:vAlign w:val="bottom"/>
            <w:tcBorders>
              <w:top w:val="single" w:sz="8" w:color="auto"/>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CCEEFF"/>
            </w:tcBorders>
          </w:tcPr>
          <w:p>
            <w:pPr>
              <w:spacing w:after="0"/>
              <w:rPr>
                <w:sz w:val="14"/>
                <w:szCs w:val="14"/>
                <w:color w:val="auto"/>
              </w:rPr>
            </w:pPr>
          </w:p>
        </w:tc>
        <w:tc>
          <w:tcPr>
            <w:tcW w:w="1020" w:type="dxa"/>
            <w:vAlign w:val="bottom"/>
            <w:tcBorders>
              <w:top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 decrease</w:t>
            </w:r>
          </w:p>
        </w:tc>
        <w:tc>
          <w:tcPr>
            <w:tcW w:w="10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CCEEFF"/>
            </w:tcBorders>
          </w:tcPr>
          <w:p>
            <w:pPr>
              <w:spacing w:after="0"/>
              <w:rPr>
                <w:sz w:val="14"/>
                <w:szCs w:val="14"/>
                <w:color w:val="auto"/>
              </w:rPr>
            </w:pPr>
          </w:p>
        </w:tc>
        <w:tc>
          <w:tcPr>
            <w:tcW w:w="1080" w:type="dxa"/>
            <w:vAlign w:val="bottom"/>
            <w:tcBorders>
              <w:top w:val="single" w:sz="8" w:color="auto"/>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CCEEFF"/>
            </w:tcBorders>
          </w:tcPr>
          <w:p>
            <w:pPr>
              <w:spacing w:after="0"/>
              <w:rPr>
                <w:sz w:val="14"/>
                <w:szCs w:val="14"/>
                <w:color w:val="auto"/>
              </w:rPr>
            </w:pPr>
          </w:p>
        </w:tc>
        <w:tc>
          <w:tcPr>
            <w:tcW w:w="1020" w:type="dxa"/>
            <w:vAlign w:val="bottom"/>
            <w:tcBorders>
              <w:top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 decrease</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right="20" w:firstLine="318"/>
        <w:spacing w:after="0" w:line="258" w:lineRule="auto"/>
        <w:rPr>
          <w:sz w:val="20"/>
          <w:szCs w:val="20"/>
          <w:color w:val="auto"/>
        </w:rPr>
      </w:pPr>
      <w:r>
        <w:rPr>
          <w:rFonts w:ascii="Times New Roman" w:cs="Times New Roman" w:eastAsia="Times New Roman" w:hAnsi="Times New Roman"/>
          <w:sz w:val="18"/>
          <w:szCs w:val="18"/>
          <w:color w:val="auto"/>
        </w:rPr>
        <w:t>The effective tax rate for the six months ended June 30, 2022 was different than the rate of the prior comparable period primarily due to the recognition of excess tax benefits on stock-based compensation related to the departure of our previous chief executive officer in the first quarter of 2021.</w:t>
      </w:r>
    </w:p>
    <w:p>
      <w:pPr>
        <w:spacing w:after="0" w:line="204" w:lineRule="exact"/>
        <w:rPr>
          <w:sz w:val="20"/>
          <w:szCs w:val="20"/>
          <w:color w:val="auto"/>
        </w:rPr>
      </w:pPr>
    </w:p>
    <w:p>
      <w:pPr>
        <w:ind w:right="260" w:firstLine="318"/>
        <w:spacing w:after="0" w:line="265" w:lineRule="auto"/>
        <w:rPr>
          <w:sz w:val="20"/>
          <w:szCs w:val="20"/>
          <w:color w:val="auto"/>
        </w:rPr>
      </w:pPr>
      <w:r>
        <w:rPr>
          <w:rFonts w:ascii="Times New Roman" w:cs="Times New Roman" w:eastAsia="Times New Roman" w:hAnsi="Times New Roman"/>
          <w:sz w:val="18"/>
          <w:szCs w:val="18"/>
          <w:color w:val="auto"/>
        </w:rPr>
        <w:t>The following table highlights the primary components of the increase (decrease) in our income before income taxes for the six months ended June 30, 2022, compared to our income before income taxes for the three and six months ended June 30, 2021:</w:t>
      </w:r>
    </w:p>
    <w:p>
      <w:pPr>
        <w:jc w:val="center"/>
        <w:ind w:left="7060"/>
        <w:spacing w:after="0" w:line="225" w:lineRule="auto"/>
        <w:rPr>
          <w:sz w:val="20"/>
          <w:szCs w:val="20"/>
          <w:color w:val="auto"/>
        </w:rPr>
      </w:pPr>
      <w:r>
        <w:rPr>
          <w:rFonts w:ascii="Times New Roman" w:cs="Times New Roman" w:eastAsia="Times New Roman" w:hAnsi="Times New Roman"/>
          <w:sz w:val="14"/>
          <w:szCs w:val="14"/>
          <w:b w:val="1"/>
          <w:bCs w:val="1"/>
          <w:color w:val="auto"/>
        </w:rPr>
        <w:t>Favorable</w:t>
      </w: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(Unfavorable) Variance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(Decrease) increase in gross profit:</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Applebee's franchise operations</w:t>
      </w:r>
    </w:p>
    <w:p>
      <w:pPr>
        <w:spacing w:after="0" w:line="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IHOP franchise operations</w:t>
      </w:r>
    </w:p>
    <w:p>
      <w:pPr>
        <w:spacing w:after="0" w:line="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Company restaurant operations</w:t>
      </w:r>
    </w:p>
    <w:p>
      <w:pPr>
        <w:spacing w:after="0" w:line="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Rental and financing operations</w:t>
      </w:r>
    </w:p>
    <w:p>
      <w:pPr>
        <w:spacing w:after="0" w:line="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Total (decrease) increase in gross profit</w:t>
      </w:r>
    </w:p>
    <w:p>
      <w:pPr>
        <w:spacing w:after="0" w:line="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Increase in general and administrative expenses</w:t>
      </w:r>
    </w:p>
    <w:p>
      <w:pPr>
        <w:spacing w:after="0" w:line="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Decrease in closure and impairment charges</w:t>
      </w:r>
    </w:p>
    <w:p>
      <w:pPr>
        <w:spacing w:after="0" w:line="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Other</w:t>
      </w:r>
    </w:p>
    <w:p>
      <w:pPr>
        <w:spacing w:after="0" w:line="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(Decrease) increase in income before income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080" w:type="dxa"/>
            <w:vAlign w:val="bottom"/>
            <w:tcBorders>
              <w:top w:val="single" w:sz="8" w:color="auto"/>
            </w:tcBorders>
            <w:gridSpan w:val="3"/>
          </w:tcPr>
          <w:p>
            <w:pPr>
              <w:jc w:val="center"/>
              <w:ind w:right="140"/>
              <w:spacing w:after="0" w:line="172" w:lineRule="exact"/>
              <w:rPr>
                <w:sz w:val="20"/>
                <w:szCs w:val="20"/>
                <w:color w:val="auto"/>
              </w:rPr>
            </w:pPr>
            <w:r>
              <w:rPr>
                <w:rFonts w:ascii="Times New Roman" w:cs="Times New Roman" w:eastAsia="Times New Roman" w:hAnsi="Times New Roman"/>
                <w:sz w:val="16"/>
                <w:szCs w:val="16"/>
                <w:b w:val="1"/>
                <w:bCs w:val="1"/>
                <w:color w:val="auto"/>
                <w:w w:val="99"/>
              </w:rPr>
              <w:t>Three Months Ended June</w:t>
            </w:r>
          </w:p>
        </w:tc>
        <w:tc>
          <w:tcPr>
            <w:tcW w:w="1960" w:type="dxa"/>
            <w:vAlign w:val="bottom"/>
            <w:tcBorders>
              <w:top w:val="single" w:sz="8" w:color="auto"/>
            </w:tcBorders>
            <w:gridSpan w:val="2"/>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9"/>
              </w:rPr>
              <w:t>Six Months Ended June 30,</w:t>
            </w:r>
          </w:p>
        </w:tc>
      </w:tr>
      <w:tr>
        <w:trPr>
          <w:trHeight w:val="211"/>
        </w:trPr>
        <w:tc>
          <w:tcPr>
            <w:tcW w:w="4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30, 2022</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0"/>
        </w:trPr>
        <w:tc>
          <w:tcPr>
            <w:tcW w:w="400" w:type="dxa"/>
            <w:vAlign w:val="bottom"/>
          </w:tcPr>
          <w:p>
            <w:pPr>
              <w:spacing w:after="0"/>
              <w:rPr>
                <w:sz w:val="15"/>
                <w:szCs w:val="15"/>
                <w:color w:val="auto"/>
              </w:rPr>
            </w:pPr>
          </w:p>
        </w:tc>
        <w:tc>
          <w:tcPr>
            <w:tcW w:w="2240" w:type="dxa"/>
            <w:vAlign w:val="bottom"/>
            <w:gridSpan w:val="3"/>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0" w:type="dxa"/>
            <w:vAlign w:val="bottom"/>
          </w:tcPr>
          <w:p>
            <w:pPr>
              <w:spacing w:after="0"/>
              <w:rPr>
                <w:sz w:val="15"/>
                <w:szCs w:val="15"/>
                <w:color w:val="auto"/>
              </w:rPr>
            </w:pPr>
          </w:p>
        </w:tc>
      </w:tr>
      <w:tr>
        <w:trPr>
          <w:trHeight w:val="458"/>
        </w:trPr>
        <w:tc>
          <w:tcPr>
            <w:tcW w:w="4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center"/>
              <w:ind w:left="1134"/>
              <w:spacing w:after="0"/>
              <w:rPr>
                <w:sz w:val="20"/>
                <w:szCs w:val="20"/>
                <w:color w:val="auto"/>
              </w:rPr>
            </w:pPr>
            <w:r>
              <w:rPr>
                <w:rFonts w:ascii="Times New Roman" w:cs="Times New Roman" w:eastAsia="Times New Roman" w:hAnsi="Times New Roman"/>
                <w:sz w:val="18"/>
                <w:szCs w:val="18"/>
                <w:color w:val="auto"/>
                <w:w w:val="97"/>
              </w:rPr>
              <w:t>0.0</w:t>
            </w:r>
          </w:p>
        </w:tc>
        <w:tc>
          <w:tcPr>
            <w:tcW w:w="120" w:type="dxa"/>
            <w:vAlign w:val="bottom"/>
          </w:tcPr>
          <w:p>
            <w:pPr>
              <w:spacing w:after="0"/>
              <w:rPr>
                <w:sz w:val="24"/>
                <w:szCs w:val="24"/>
                <w:color w:val="auto"/>
              </w:rPr>
            </w:pPr>
          </w:p>
        </w:tc>
        <w:tc>
          <w:tcPr>
            <w:tcW w:w="56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center"/>
              <w:ind w:left="973"/>
              <w:spacing w:after="0"/>
              <w:rPr>
                <w:sz w:val="20"/>
                <w:szCs w:val="20"/>
                <w:color w:val="auto"/>
              </w:rPr>
            </w:pPr>
            <w:r>
              <w:rPr>
                <w:rFonts w:ascii="Times New Roman" w:cs="Times New Roman" w:eastAsia="Times New Roman" w:hAnsi="Times New Roman"/>
                <w:sz w:val="18"/>
                <w:szCs w:val="18"/>
                <w:color w:val="auto"/>
                <w:w w:val="97"/>
              </w:rPr>
              <w:t>5.6</w:t>
            </w:r>
          </w:p>
        </w:tc>
      </w:tr>
      <w:tr>
        <w:trPr>
          <w:trHeight w:val="225"/>
        </w:trPr>
        <w:tc>
          <w:tcPr>
            <w:tcW w:w="400" w:type="dxa"/>
            <w:vAlign w:val="bottom"/>
          </w:tcPr>
          <w:p>
            <w:pPr>
              <w:spacing w:after="0"/>
              <w:rPr>
                <w:sz w:val="19"/>
                <w:szCs w:val="19"/>
                <w:color w:val="auto"/>
              </w:rPr>
            </w:pPr>
          </w:p>
        </w:tc>
        <w:tc>
          <w:tcPr>
            <w:tcW w:w="1560" w:type="dxa"/>
            <w:vAlign w:val="bottom"/>
          </w:tcPr>
          <w:p>
            <w:pPr>
              <w:jc w:val="center"/>
              <w:ind w:left="1094"/>
              <w:spacing w:after="0"/>
              <w:rPr>
                <w:sz w:val="20"/>
                <w:szCs w:val="20"/>
                <w:color w:val="auto"/>
              </w:rPr>
            </w:pPr>
            <w:r>
              <w:rPr>
                <w:rFonts w:ascii="Times New Roman" w:cs="Times New Roman" w:eastAsia="Times New Roman" w:hAnsi="Times New Roman"/>
                <w:sz w:val="18"/>
                <w:szCs w:val="18"/>
                <w:color w:val="auto"/>
                <w:w w:val="98"/>
              </w:rPr>
              <w:t>(1.7)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jc w:val="center"/>
              <w:ind w:left="933"/>
              <w:spacing w:after="0"/>
              <w:rPr>
                <w:sz w:val="20"/>
                <w:szCs w:val="20"/>
                <w:color w:val="auto"/>
              </w:rPr>
            </w:pPr>
            <w:r>
              <w:rPr>
                <w:rFonts w:ascii="Times New Roman" w:cs="Times New Roman" w:eastAsia="Times New Roman" w:hAnsi="Times New Roman"/>
                <w:sz w:val="18"/>
                <w:szCs w:val="18"/>
                <w:color w:val="auto"/>
                <w:w w:val="98"/>
              </w:rPr>
              <w:t>(0.1)</w:t>
            </w:r>
          </w:p>
        </w:tc>
      </w:tr>
      <w:tr>
        <w:trPr>
          <w:trHeight w:val="225"/>
        </w:trPr>
        <w:tc>
          <w:tcPr>
            <w:tcW w:w="400" w:type="dxa"/>
            <w:vAlign w:val="bottom"/>
          </w:tcPr>
          <w:p>
            <w:pPr>
              <w:spacing w:after="0"/>
              <w:rPr>
                <w:sz w:val="19"/>
                <w:szCs w:val="19"/>
                <w:color w:val="auto"/>
              </w:rPr>
            </w:pPr>
          </w:p>
        </w:tc>
        <w:tc>
          <w:tcPr>
            <w:tcW w:w="1560" w:type="dxa"/>
            <w:vAlign w:val="bottom"/>
          </w:tcPr>
          <w:p>
            <w:pPr>
              <w:jc w:val="center"/>
              <w:ind w:left="1094"/>
              <w:spacing w:after="0"/>
              <w:rPr>
                <w:sz w:val="20"/>
                <w:szCs w:val="20"/>
                <w:color w:val="auto"/>
              </w:rPr>
            </w:pPr>
            <w:r>
              <w:rPr>
                <w:rFonts w:ascii="Times New Roman" w:cs="Times New Roman" w:eastAsia="Times New Roman" w:hAnsi="Times New Roman"/>
                <w:sz w:val="18"/>
                <w:szCs w:val="18"/>
                <w:color w:val="auto"/>
                <w:w w:val="98"/>
              </w:rPr>
              <w:t>(1.8)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jc w:val="center"/>
              <w:ind w:left="933"/>
              <w:spacing w:after="0"/>
              <w:rPr>
                <w:sz w:val="20"/>
                <w:szCs w:val="20"/>
                <w:color w:val="auto"/>
              </w:rPr>
            </w:pPr>
            <w:r>
              <w:rPr>
                <w:rFonts w:ascii="Times New Roman" w:cs="Times New Roman" w:eastAsia="Times New Roman" w:hAnsi="Times New Roman"/>
                <w:sz w:val="18"/>
                <w:szCs w:val="18"/>
                <w:color w:val="auto"/>
                <w:w w:val="98"/>
              </w:rPr>
              <w:t>(2.9)</w:t>
            </w:r>
          </w:p>
        </w:tc>
      </w:tr>
      <w:tr>
        <w:trPr>
          <w:trHeight w:val="230"/>
        </w:trPr>
        <w:tc>
          <w:tcPr>
            <w:tcW w:w="4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left="1134"/>
              <w:spacing w:after="0"/>
              <w:rPr>
                <w:sz w:val="20"/>
                <w:szCs w:val="20"/>
                <w:color w:val="auto"/>
              </w:rPr>
            </w:pPr>
            <w:r>
              <w:rPr>
                <w:rFonts w:ascii="Times New Roman" w:cs="Times New Roman" w:eastAsia="Times New Roman" w:hAnsi="Times New Roman"/>
                <w:sz w:val="18"/>
                <w:szCs w:val="18"/>
                <w:color w:val="auto"/>
                <w:w w:val="97"/>
              </w:rPr>
              <w:t>0.3</w:t>
            </w:r>
          </w:p>
        </w:tc>
        <w:tc>
          <w:tcPr>
            <w:tcW w:w="1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left="973"/>
              <w:spacing w:after="0"/>
              <w:rPr>
                <w:sz w:val="20"/>
                <w:szCs w:val="20"/>
                <w:color w:val="auto"/>
              </w:rPr>
            </w:pPr>
            <w:r>
              <w:rPr>
                <w:rFonts w:ascii="Times New Roman" w:cs="Times New Roman" w:eastAsia="Times New Roman" w:hAnsi="Times New Roman"/>
                <w:sz w:val="18"/>
                <w:szCs w:val="18"/>
                <w:color w:val="auto"/>
                <w:w w:val="97"/>
              </w:rPr>
              <w:t>1.7</w:t>
            </w:r>
          </w:p>
        </w:tc>
      </w:tr>
      <w:tr>
        <w:trPr>
          <w:trHeight w:val="213"/>
        </w:trPr>
        <w:tc>
          <w:tcPr>
            <w:tcW w:w="400" w:type="dxa"/>
            <w:vAlign w:val="bottom"/>
          </w:tcPr>
          <w:p>
            <w:pPr>
              <w:spacing w:after="0"/>
              <w:rPr>
                <w:sz w:val="18"/>
                <w:szCs w:val="18"/>
                <w:color w:val="auto"/>
              </w:rPr>
            </w:pPr>
          </w:p>
        </w:tc>
        <w:tc>
          <w:tcPr>
            <w:tcW w:w="1560" w:type="dxa"/>
            <w:vAlign w:val="bottom"/>
          </w:tcPr>
          <w:p>
            <w:pPr>
              <w:jc w:val="center"/>
              <w:ind w:left="1094"/>
              <w:spacing w:after="0"/>
              <w:rPr>
                <w:sz w:val="20"/>
                <w:szCs w:val="20"/>
                <w:color w:val="auto"/>
              </w:rPr>
            </w:pPr>
            <w:r>
              <w:rPr>
                <w:rFonts w:ascii="Times New Roman" w:cs="Times New Roman" w:eastAsia="Times New Roman" w:hAnsi="Times New Roman"/>
                <w:sz w:val="18"/>
                <w:szCs w:val="18"/>
                <w:color w:val="auto"/>
                <w:w w:val="98"/>
              </w:rPr>
              <w:t>(3.2)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jc w:val="center"/>
              <w:ind w:left="973"/>
              <w:spacing w:after="0"/>
              <w:rPr>
                <w:sz w:val="20"/>
                <w:szCs w:val="20"/>
                <w:color w:val="auto"/>
              </w:rPr>
            </w:pPr>
            <w:r>
              <w:rPr>
                <w:rFonts w:ascii="Times New Roman" w:cs="Times New Roman" w:eastAsia="Times New Roman" w:hAnsi="Times New Roman"/>
                <w:sz w:val="18"/>
                <w:szCs w:val="18"/>
                <w:color w:val="auto"/>
                <w:w w:val="97"/>
              </w:rPr>
              <w:t>4.3</w:t>
            </w:r>
          </w:p>
        </w:tc>
      </w:tr>
      <w:tr>
        <w:trPr>
          <w:trHeight w:val="225"/>
        </w:trPr>
        <w:tc>
          <w:tcPr>
            <w:tcW w:w="400" w:type="dxa"/>
            <w:vAlign w:val="bottom"/>
          </w:tcPr>
          <w:p>
            <w:pPr>
              <w:spacing w:after="0"/>
              <w:rPr>
                <w:sz w:val="19"/>
                <w:szCs w:val="19"/>
                <w:color w:val="auto"/>
              </w:rPr>
            </w:pPr>
          </w:p>
        </w:tc>
        <w:tc>
          <w:tcPr>
            <w:tcW w:w="1560" w:type="dxa"/>
            <w:vAlign w:val="bottom"/>
          </w:tcPr>
          <w:p>
            <w:pPr>
              <w:jc w:val="center"/>
              <w:ind w:left="1094"/>
              <w:spacing w:after="0"/>
              <w:rPr>
                <w:sz w:val="20"/>
                <w:szCs w:val="20"/>
                <w:color w:val="auto"/>
              </w:rPr>
            </w:pPr>
            <w:r>
              <w:rPr>
                <w:rFonts w:ascii="Times New Roman" w:cs="Times New Roman" w:eastAsia="Times New Roman" w:hAnsi="Times New Roman"/>
                <w:sz w:val="18"/>
                <w:szCs w:val="18"/>
                <w:color w:val="auto"/>
                <w:w w:val="98"/>
              </w:rPr>
              <w:t>(4.8)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jc w:val="center"/>
              <w:ind w:left="933"/>
              <w:spacing w:after="0"/>
              <w:rPr>
                <w:sz w:val="20"/>
                <w:szCs w:val="20"/>
                <w:color w:val="auto"/>
              </w:rPr>
            </w:pPr>
            <w:r>
              <w:rPr>
                <w:rFonts w:ascii="Times New Roman" w:cs="Times New Roman" w:eastAsia="Times New Roman" w:hAnsi="Times New Roman"/>
                <w:sz w:val="18"/>
                <w:szCs w:val="18"/>
                <w:color w:val="auto"/>
                <w:w w:val="98"/>
              </w:rPr>
              <w:t>(6.4)</w:t>
            </w:r>
          </w:p>
        </w:tc>
      </w:tr>
      <w:tr>
        <w:trPr>
          <w:trHeight w:val="225"/>
        </w:trPr>
        <w:tc>
          <w:tcPr>
            <w:tcW w:w="400" w:type="dxa"/>
            <w:vAlign w:val="bottom"/>
          </w:tcPr>
          <w:p>
            <w:pPr>
              <w:spacing w:after="0"/>
              <w:rPr>
                <w:sz w:val="19"/>
                <w:szCs w:val="19"/>
                <w:color w:val="auto"/>
              </w:rPr>
            </w:pPr>
          </w:p>
        </w:tc>
        <w:tc>
          <w:tcPr>
            <w:tcW w:w="1560" w:type="dxa"/>
            <w:vAlign w:val="bottom"/>
          </w:tcPr>
          <w:p>
            <w:pPr>
              <w:jc w:val="center"/>
              <w:ind w:left="1134"/>
              <w:spacing w:after="0"/>
              <w:rPr>
                <w:sz w:val="20"/>
                <w:szCs w:val="20"/>
                <w:color w:val="auto"/>
              </w:rPr>
            </w:pPr>
            <w:r>
              <w:rPr>
                <w:rFonts w:ascii="Times New Roman" w:cs="Times New Roman" w:eastAsia="Times New Roman" w:hAnsi="Times New Roman"/>
                <w:sz w:val="18"/>
                <w:szCs w:val="18"/>
                <w:color w:val="auto"/>
                <w:w w:val="97"/>
              </w:rPr>
              <w:t>1.3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jc w:val="center"/>
              <w:ind w:left="973"/>
              <w:spacing w:after="0"/>
              <w:rPr>
                <w:sz w:val="20"/>
                <w:szCs w:val="20"/>
                <w:color w:val="auto"/>
              </w:rPr>
            </w:pPr>
            <w:r>
              <w:rPr>
                <w:rFonts w:ascii="Times New Roman" w:cs="Times New Roman" w:eastAsia="Times New Roman" w:hAnsi="Times New Roman"/>
                <w:sz w:val="18"/>
                <w:szCs w:val="18"/>
                <w:color w:val="auto"/>
                <w:w w:val="97"/>
              </w:rPr>
              <w:t>3.1</w:t>
            </w:r>
          </w:p>
        </w:tc>
      </w:tr>
      <w:tr>
        <w:trPr>
          <w:trHeight w:val="230"/>
        </w:trPr>
        <w:tc>
          <w:tcPr>
            <w:tcW w:w="4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left="1134"/>
              <w:spacing w:after="0"/>
              <w:rPr>
                <w:sz w:val="20"/>
                <w:szCs w:val="20"/>
                <w:color w:val="auto"/>
              </w:rPr>
            </w:pPr>
            <w:r>
              <w:rPr>
                <w:rFonts w:ascii="Times New Roman" w:cs="Times New Roman" w:eastAsia="Times New Roman" w:hAnsi="Times New Roman"/>
                <w:sz w:val="18"/>
                <w:szCs w:val="18"/>
                <w:color w:val="auto"/>
                <w:w w:val="97"/>
              </w:rPr>
              <w:t>0.6</w:t>
            </w:r>
          </w:p>
        </w:tc>
        <w:tc>
          <w:tcPr>
            <w:tcW w:w="1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left="973"/>
              <w:spacing w:after="0"/>
              <w:rPr>
                <w:sz w:val="20"/>
                <w:szCs w:val="20"/>
                <w:color w:val="auto"/>
              </w:rPr>
            </w:pPr>
            <w:r>
              <w:rPr>
                <w:rFonts w:ascii="Times New Roman" w:cs="Times New Roman" w:eastAsia="Times New Roman" w:hAnsi="Times New Roman"/>
                <w:sz w:val="18"/>
                <w:szCs w:val="18"/>
                <w:color w:val="auto"/>
                <w:w w:val="97"/>
              </w:rPr>
              <w:t>3.0</w:t>
            </w:r>
          </w:p>
        </w:tc>
      </w:tr>
      <w:tr>
        <w:trPr>
          <w:trHeight w:val="218"/>
        </w:trPr>
        <w:tc>
          <w:tcPr>
            <w:tcW w:w="4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center"/>
              <w:ind w:left="1094"/>
              <w:spacing w:after="0"/>
              <w:rPr>
                <w:sz w:val="20"/>
                <w:szCs w:val="20"/>
                <w:color w:val="auto"/>
              </w:rPr>
            </w:pPr>
            <w:r>
              <w:rPr>
                <w:rFonts w:ascii="Times New Roman" w:cs="Times New Roman" w:eastAsia="Times New Roman" w:hAnsi="Times New Roman"/>
                <w:sz w:val="18"/>
                <w:szCs w:val="18"/>
                <w:color w:val="auto"/>
                <w:w w:val="98"/>
              </w:rPr>
              <w:t>(6.1)</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center"/>
              <w:ind w:left="973"/>
              <w:spacing w:after="0"/>
              <w:rPr>
                <w:sz w:val="20"/>
                <w:szCs w:val="20"/>
                <w:color w:val="auto"/>
              </w:rPr>
            </w:pPr>
            <w:r>
              <w:rPr>
                <w:rFonts w:ascii="Times New Roman" w:cs="Times New Roman" w:eastAsia="Times New Roman" w:hAnsi="Times New Roman"/>
                <w:sz w:val="18"/>
                <w:szCs w:val="18"/>
                <w:color w:val="auto"/>
                <w:w w:val="97"/>
              </w:rPr>
              <w:t>4.0</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-4487545</wp:posOffset>
            </wp:positionH>
            <wp:positionV relativeFrom="paragraph">
              <wp:posOffset>-1614805</wp:posOffset>
            </wp:positionV>
            <wp:extent cx="7059295" cy="134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59295" cy="134620"/>
                    </a:xfrm>
                    <a:prstGeom prst="rect">
                      <a:avLst/>
                    </a:prstGeom>
                    <a:noFill/>
                  </pic:spPr>
                </pic:pic>
              </a:graphicData>
            </a:graphic>
          </wp:anchor>
        </w:drawing>
        <w:drawing>
          <wp:anchor simplePos="0" relativeHeight="251657728" behindDoc="1" locked="0" layoutInCell="0" allowOverlap="1">
            <wp:simplePos x="0" y="0"/>
            <wp:positionH relativeFrom="column">
              <wp:posOffset>-4487545</wp:posOffset>
            </wp:positionH>
            <wp:positionV relativeFrom="paragraph">
              <wp:posOffset>-1337310</wp:posOffset>
            </wp:positionV>
            <wp:extent cx="7059295" cy="142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59295" cy="142875"/>
                    </a:xfrm>
                    <a:prstGeom prst="rect">
                      <a:avLst/>
                    </a:prstGeom>
                    <a:noFill/>
                  </pic:spPr>
                </pic:pic>
              </a:graphicData>
            </a:graphic>
          </wp:anchor>
        </w:drawing>
        <w:drawing>
          <wp:anchor simplePos="0" relativeHeight="251657728" behindDoc="1" locked="0" layoutInCell="0" allowOverlap="1">
            <wp:simplePos x="0" y="0"/>
            <wp:positionH relativeFrom="column">
              <wp:posOffset>-4487545</wp:posOffset>
            </wp:positionH>
            <wp:positionV relativeFrom="paragraph">
              <wp:posOffset>-1050925</wp:posOffset>
            </wp:positionV>
            <wp:extent cx="7059295" cy="142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59295" cy="142875"/>
                    </a:xfrm>
                    <a:prstGeom prst="rect">
                      <a:avLst/>
                    </a:prstGeom>
                    <a:noFill/>
                  </pic:spPr>
                </pic:pic>
              </a:graphicData>
            </a:graphic>
          </wp:anchor>
        </w:drawing>
        <w:drawing>
          <wp:anchor simplePos="0" relativeHeight="251657728" behindDoc="1" locked="0" layoutInCell="0" allowOverlap="1">
            <wp:simplePos x="0" y="0"/>
            <wp:positionH relativeFrom="column">
              <wp:posOffset>-4487545</wp:posOffset>
            </wp:positionH>
            <wp:positionV relativeFrom="paragraph">
              <wp:posOffset>-765175</wp:posOffset>
            </wp:positionV>
            <wp:extent cx="7059295" cy="151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59295" cy="151130"/>
                    </a:xfrm>
                    <a:prstGeom prst="rect">
                      <a:avLst/>
                    </a:prstGeom>
                    <a:noFill/>
                  </pic:spPr>
                </pic:pic>
              </a:graphicData>
            </a:graphic>
          </wp:anchor>
        </w:drawing>
        <w:drawing>
          <wp:anchor simplePos="0" relativeHeight="251657728" behindDoc="1" locked="0" layoutInCell="0" allowOverlap="1">
            <wp:simplePos x="0" y="0"/>
            <wp:positionH relativeFrom="column">
              <wp:posOffset>-4487545</wp:posOffset>
            </wp:positionH>
            <wp:positionV relativeFrom="paragraph">
              <wp:posOffset>-470535</wp:posOffset>
            </wp:positionV>
            <wp:extent cx="7059295" cy="142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59295" cy="142875"/>
                    </a:xfrm>
                    <a:prstGeom prst="rect">
                      <a:avLst/>
                    </a:prstGeom>
                    <a:noFill/>
                  </pic:spPr>
                </pic:pic>
              </a:graphicData>
            </a:graphic>
          </wp:anchor>
        </w:drawing>
        <w:drawing>
          <wp:anchor simplePos="0" relativeHeight="251657728" behindDoc="1" locked="0" layoutInCell="0" allowOverlap="1">
            <wp:simplePos x="0" y="0"/>
            <wp:positionH relativeFrom="column">
              <wp:posOffset>-4487545</wp:posOffset>
            </wp:positionH>
            <wp:positionV relativeFrom="paragraph">
              <wp:posOffset>-184150</wp:posOffset>
            </wp:positionV>
            <wp:extent cx="7059295" cy="168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59295"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20" w:space="720"/>
            <w:col w:w="410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firstLine="318"/>
        <w:spacing w:after="0" w:line="252" w:lineRule="auto"/>
        <w:rPr>
          <w:sz w:val="20"/>
          <w:szCs w:val="20"/>
          <w:color w:val="auto"/>
        </w:rPr>
      </w:pPr>
      <w:r>
        <w:rPr>
          <w:rFonts w:ascii="Times New Roman" w:cs="Times New Roman" w:eastAsia="Times New Roman" w:hAnsi="Times New Roman"/>
          <w:sz w:val="18"/>
          <w:szCs w:val="18"/>
          <w:color w:val="auto"/>
        </w:rPr>
        <w:t>With almost all domestic Applebee’s and IHOP restaurants open and operating without government-mandated restrictions, the Company has returned to normal operations supporting franchisees as well as making strategic growth investments, resulting in the increase in general and administrative (“G&amp;A”) expenses for the three and six months ended June 30, 2022, compared with the same respective periods of the prior year.</w:t>
      </w:r>
    </w:p>
    <w:p>
      <w:pPr>
        <w:spacing w:after="0" w:line="196"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Increases in commodity, labor and other restaurant operating costs experienced at restaurants owned and operated by our franchisees could impact us to the extent our franchisees are adversely impacted by a sustained decline in their operating margins; and at company operated restaurants, impact us directly. The changes in company restaurant operations gross profit for the three and six months ended June 30, 2022 compared with the same respective periods of the prior year were primarily impacted by increases in commodity, labor and other restaurant operating costs offset by higher retail sales. As of June 30, 2022, we operate 69 Applebee’s restaurants, representing 2% of the 3,437 restaurants comprising our system.</w:t>
      </w:r>
    </w:p>
    <w:p>
      <w:pPr>
        <w:spacing w:after="0" w:line="212"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The decrease in IHOP franchise operations gross profit for the three months ended June 30, 2022 compared with the same period of the prior year was primarily due to higher termination fees in the prior year. The increase in Applebee’s franchise operations gross profit for the six months ended June 30, 2022 compared with the same period of the prior year, was primarily due to higher royalty revenues from a 7.6% domestic franchise same-restaurant sales and increased international royalty revenues.</w:t>
      </w:r>
    </w:p>
    <w:p>
      <w:pPr>
        <w:spacing w:after="0" w:line="205" w:lineRule="exact"/>
        <w:rPr>
          <w:sz w:val="20"/>
          <w:szCs w:val="20"/>
          <w:color w:val="auto"/>
        </w:rPr>
      </w:pPr>
    </w:p>
    <w:p>
      <w:pPr>
        <w:ind w:right="380" w:firstLine="318"/>
        <w:spacing w:after="0" w:line="276"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“Consolidated Results of Operations - Comparison of the Three and Six Months Ended June 30, 2022 and 2021”</w:t>
      </w:r>
      <w:r>
        <w:rPr>
          <w:rFonts w:ascii="Times New Roman" w:cs="Times New Roman" w:eastAsia="Times New Roman" w:hAnsi="Times New Roman"/>
          <w:sz w:val="18"/>
          <w:szCs w:val="18"/>
          <w:color w:val="auto"/>
        </w:rPr>
        <w:t xml:space="preserve"> for additional discussion of the changes shown above.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19"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In evaluating the performance of each restaurant concept, we consider the key performance indicators to be the system-wide sales percentage change, the percentage change in domestic system-wide same-restaurant sales (“domestic same-restaurant sales”), net franchise restaurant development and the change in effective restaurants. Changes in both domestic same-restaurant sales and in the number of Applebee's and IHOP restaurants will impact our system-wide retail sales that drive franchise royalty revenues. Restaurant development also impacts franchise revenues in the form of initial franchise fees and, in the case of IHOP restaurants, sales of proprietary pancake and waffle dry mix.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key performance indicators for the three and six months ended June 30, 2022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2660" w:type="dxa"/>
            <w:vAlign w:val="bottom"/>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June 30, 2022</w:t>
            </w:r>
          </w:p>
        </w:tc>
        <w:tc>
          <w:tcPr>
            <w:tcW w:w="2340" w:type="dxa"/>
            <w:vAlign w:val="bottom"/>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Six Months Ended June 30, 2022</w:t>
            </w:r>
          </w:p>
        </w:tc>
      </w:tr>
      <w:tr>
        <w:trPr>
          <w:trHeight w:val="168"/>
        </w:trPr>
        <w:tc>
          <w:tcPr>
            <w:tcW w:w="6240" w:type="dxa"/>
            <w:vAlign w:val="bottom"/>
          </w:tcPr>
          <w:p>
            <w:pPr>
              <w:spacing w:after="0"/>
              <w:rPr>
                <w:sz w:val="14"/>
                <w:szCs w:val="14"/>
                <w:color w:val="auto"/>
              </w:rPr>
            </w:pPr>
          </w:p>
        </w:tc>
        <w:tc>
          <w:tcPr>
            <w:tcW w:w="1600" w:type="dxa"/>
            <w:vAlign w:val="bottom"/>
            <w:tcBorders>
              <w:top w:val="single" w:sz="8" w:color="auto"/>
            </w:tcBorders>
            <w:gridSpan w:val="3"/>
          </w:tcPr>
          <w:p>
            <w:pPr>
              <w:jc w:val="right"/>
              <w:ind w:right="560"/>
              <w:spacing w:after="0" w:line="168" w:lineRule="exact"/>
              <w:rPr>
                <w:sz w:val="20"/>
                <w:szCs w:val="20"/>
                <w:color w:val="auto"/>
              </w:rPr>
            </w:pPr>
            <w:r>
              <w:rPr>
                <w:rFonts w:ascii="Times New Roman" w:cs="Times New Roman" w:eastAsia="Times New Roman" w:hAnsi="Times New Roman"/>
                <w:sz w:val="16"/>
                <w:szCs w:val="16"/>
                <w:b w:val="1"/>
                <w:bCs w:val="1"/>
                <w:color w:val="auto"/>
              </w:rPr>
              <w:t>Applebee's</w:t>
            </w:r>
          </w:p>
        </w:tc>
        <w:tc>
          <w:tcPr>
            <w:tcW w:w="960" w:type="dxa"/>
            <w:vAlign w:val="bottom"/>
            <w:tcBorders>
              <w:top w:val="single" w:sz="8" w:color="auto"/>
            </w:tcBorders>
            <w:gridSpan w:val="3"/>
          </w:tcPr>
          <w:p>
            <w:pPr>
              <w:jc w:val="right"/>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IHOP</w:t>
            </w:r>
          </w:p>
        </w:tc>
        <w:tc>
          <w:tcPr>
            <w:tcW w:w="100" w:type="dxa"/>
            <w:vAlign w:val="bottom"/>
          </w:tcPr>
          <w:p>
            <w:pPr>
              <w:spacing w:after="0"/>
              <w:rPr>
                <w:sz w:val="14"/>
                <w:szCs w:val="14"/>
                <w:color w:val="auto"/>
              </w:rPr>
            </w:pPr>
          </w:p>
        </w:tc>
        <w:tc>
          <w:tcPr>
            <w:tcW w:w="1440" w:type="dxa"/>
            <w:vAlign w:val="bottom"/>
            <w:tcBorders>
              <w:top w:val="single" w:sz="8" w:color="auto"/>
            </w:tcBorders>
            <w:gridSpan w:val="3"/>
          </w:tcPr>
          <w:p>
            <w:pPr>
              <w:jc w:val="right"/>
              <w:ind w:right="460"/>
              <w:spacing w:after="0" w:line="168" w:lineRule="exact"/>
              <w:rPr>
                <w:sz w:val="20"/>
                <w:szCs w:val="20"/>
                <w:color w:val="auto"/>
              </w:rPr>
            </w:pPr>
            <w:r>
              <w:rPr>
                <w:rFonts w:ascii="Times New Roman" w:cs="Times New Roman" w:eastAsia="Times New Roman" w:hAnsi="Times New Roman"/>
                <w:sz w:val="16"/>
                <w:szCs w:val="16"/>
                <w:b w:val="1"/>
                <w:bCs w:val="1"/>
                <w:color w:val="auto"/>
              </w:rPr>
              <w:t>Applebee's</w:t>
            </w:r>
          </w:p>
        </w:tc>
        <w:tc>
          <w:tcPr>
            <w:tcW w:w="900" w:type="dxa"/>
            <w:vAlign w:val="bottom"/>
            <w:tcBorders>
              <w:top w:val="single" w:sz="8" w:color="auto"/>
            </w:tcBorders>
            <w:gridSpan w:val="3"/>
          </w:tcPr>
          <w:p>
            <w:pPr>
              <w:jc w:val="right"/>
              <w:ind w:right="240"/>
              <w:spacing w:after="0" w:line="168" w:lineRule="exact"/>
              <w:rPr>
                <w:sz w:val="20"/>
                <w:szCs w:val="20"/>
                <w:color w:val="auto"/>
              </w:rPr>
            </w:pPr>
            <w:r>
              <w:rPr>
                <w:rFonts w:ascii="Times New Roman" w:cs="Times New Roman" w:eastAsia="Times New Roman" w:hAnsi="Times New Roman"/>
                <w:sz w:val="16"/>
                <w:szCs w:val="16"/>
                <w:b w:val="1"/>
                <w:bCs w:val="1"/>
                <w:color w:val="auto"/>
              </w:rPr>
              <w:t>IHOP</w:t>
            </w:r>
          </w:p>
        </w:tc>
      </w:tr>
      <w:tr>
        <w:trPr>
          <w:trHeight w:val="30"/>
        </w:trPr>
        <w:tc>
          <w:tcPr>
            <w:tcW w:w="6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3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percentage increase in reported retail sales - 2022 vs. 2021</w:t>
            </w:r>
          </w:p>
        </w:tc>
        <w:tc>
          <w:tcPr>
            <w:tcW w:w="3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1.4 %</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7.2 %</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12.1 %</w:t>
            </w:r>
          </w:p>
        </w:tc>
      </w:tr>
      <w:tr>
        <w:trPr>
          <w:trHeight w:val="225"/>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increase in domestic system-wide same-restaurant sales - 2022 vs. 2021</w:t>
            </w:r>
          </w:p>
        </w:tc>
        <w:tc>
          <w:tcPr>
            <w:tcW w:w="16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1.8 %</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9"/>
                <w:szCs w:val="19"/>
                <w:color w:val="auto"/>
              </w:rPr>
            </w:pP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7.6 %</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10.1 %</w:t>
            </w:r>
          </w:p>
        </w:tc>
      </w:tr>
      <w:tr>
        <w:trPr>
          <w:trHeight w:val="22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franchise restaurant (reduction) increase </w:t>
            </w:r>
            <w:r>
              <w:rPr>
                <w:rFonts w:ascii="Times New Roman" w:cs="Times New Roman" w:eastAsia="Times New Roman" w:hAnsi="Times New Roman"/>
                <w:sz w:val="10"/>
                <w:szCs w:val="10"/>
                <w:color w:val="auto"/>
              </w:rPr>
              <w:t>(1)</w:t>
            </w:r>
          </w:p>
        </w:tc>
        <w:tc>
          <w:tcPr>
            <w:tcW w:w="16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w:t>
            </w: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r>
      <w:tr>
        <w:trPr>
          <w:trHeight w:val="30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Net (decrease) increase in total effective restaurants </w:t>
            </w:r>
            <w:r>
              <w:rPr>
                <w:rFonts w:ascii="Times New Roman" w:cs="Times New Roman" w:eastAsia="Times New Roman" w:hAnsi="Times New Roman"/>
                <w:sz w:val="22"/>
                <w:szCs w:val="22"/>
                <w:color w:val="auto"/>
                <w:vertAlign w:val="superscript"/>
              </w:rPr>
              <w:t>(2)</w:t>
            </w:r>
          </w:p>
        </w:tc>
        <w:tc>
          <w:tcPr>
            <w:tcW w:w="16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(19)</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14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(20)</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r>
    </w:tbl>
    <w:p>
      <w:pPr>
        <w:spacing w:after="0" w:line="229" w:lineRule="auto"/>
        <w:rPr>
          <w:sz w:val="20"/>
          <w:szCs w:val="20"/>
          <w:color w:val="auto"/>
        </w:rPr>
      </w:pPr>
      <w:r>
        <w:rPr>
          <w:rFonts w:ascii="Times New Roman" w:cs="Times New Roman" w:eastAsia="Times New Roman" w:hAnsi="Times New Roman"/>
          <w:sz w:val="18"/>
          <w:szCs w:val="18"/>
          <w:color w:val="auto"/>
        </w:rPr>
        <w:t>________________________________________________</w:t>
      </w:r>
    </w:p>
    <w:p>
      <w:pPr>
        <w:ind w:left="160" w:hanging="154"/>
        <w:spacing w:after="0" w:line="181" w:lineRule="auto"/>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Franchise and area license restaurant closings, net of openings, during the three and six months ended June 30, 2022.</w:t>
      </w:r>
    </w:p>
    <w:p>
      <w:pPr>
        <w:ind w:left="160" w:right="60" w:hanging="154"/>
        <w:spacing w:after="0" w:line="218" w:lineRule="auto"/>
        <w:tabs>
          <w:tab w:leader="none" w:pos="152"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Change in the weighted average number of franchise, area license and company-operated restaurants open during the three and six months ended June 30, 2022, compared to the weighted average number of those open during the same period of 2021.</w:t>
      </w:r>
    </w:p>
    <w:p>
      <w:pPr>
        <w:spacing w:after="0" w:line="205"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 xml:space="preserve">The changes in sales percentage and domestic same-restaurant sales of both brands were impacted by increases in customer traffic and average check, as the varying degrees of restrictions on in-restaurant dining in effect during the first quarter of 2021 that substantially had been relaxed during the first quarter of 2022, as discussed </w:t>
      </w:r>
      <w:r>
        <w:rPr>
          <w:rFonts w:ascii="Times New Roman" w:cs="Times New Roman" w:eastAsia="Times New Roman" w:hAnsi="Times New Roman"/>
          <w:sz w:val="18"/>
          <w:szCs w:val="18"/>
          <w:color w:val="252525"/>
        </w:rPr>
        <w:t>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 Impacting the Comparability of Financial Information.”</w:t>
      </w:r>
    </w:p>
    <w:p>
      <w:pPr>
        <w:spacing w:after="0" w:line="204"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8"/>
          <w:szCs w:val="18"/>
          <w:color w:val="auto"/>
        </w:rPr>
        <w:t>The change in total effective restaurants for each brand reflects both permanent closures, net of openings, over the past 12 months as well as the weighted effect of restaurants temporarily closed during each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416560</wp:posOffset>
            </wp:positionV>
            <wp:extent cx="5258435" cy="27343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5843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Domestic Same-Restaurant Sales</w:t>
      </w:r>
    </w:p>
    <w:p>
      <w:pPr>
        <w:spacing w:after="0" w:line="246" w:lineRule="exact"/>
        <w:rPr>
          <w:sz w:val="20"/>
          <w:szCs w:val="20"/>
          <w:color w:val="auto"/>
        </w:rPr>
      </w:pPr>
    </w:p>
    <w:p>
      <w:pPr>
        <w:ind w:firstLine="238"/>
        <w:spacing w:after="0" w:line="250" w:lineRule="auto"/>
        <w:rPr>
          <w:sz w:val="20"/>
          <w:szCs w:val="20"/>
          <w:color w:val="auto"/>
        </w:rPr>
      </w:pPr>
      <w:r>
        <w:rPr>
          <w:rFonts w:ascii="Times New Roman" w:cs="Times New Roman" w:eastAsia="Times New Roman" w:hAnsi="Times New Roman"/>
          <w:sz w:val="18"/>
          <w:szCs w:val="18"/>
          <w:color w:val="auto"/>
        </w:rPr>
        <w:t xml:space="preserve">Applebee’s system-wide domestic same-restaurant sales increased 1.8% for the three months ended June 30, 2022 and 7.6% for the six months ended June 30, 2022 as compared to the same period of 2021. The increase of 1.8% for the three months ended June 30, 2022 was due to an increase in average check, partially offset by a decrease in customer traffic. The increase of 7.6% for the six months ended June 30, 2022 was due to an increase in customer traffic and average check. The increase in customer traffic primarily was due to the positive changes in restaurant operating status as discussed under </w:t>
      </w:r>
      <w:r>
        <w:rPr>
          <w:rFonts w:ascii="Times New Roman" w:cs="Times New Roman" w:eastAsia="Times New Roman" w:hAnsi="Times New Roman"/>
          <w:sz w:val="18"/>
          <w:szCs w:val="18"/>
          <w:i w:val="1"/>
          <w:iCs w:val="1"/>
          <w:color w:val="auto"/>
        </w:rPr>
        <w:t>“Events Impacting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Comparability of Financial Information,” </w:t>
      </w:r>
      <w:r>
        <w:rPr>
          <w:rFonts w:ascii="Times New Roman" w:cs="Times New Roman" w:eastAsia="Times New Roman" w:hAnsi="Times New Roman"/>
          <w:sz w:val="18"/>
          <w:szCs w:val="18"/>
          <w:color w:val="auto"/>
        </w:rPr>
        <w:t>as well as increased consumer desire to patronize restaurants after the relaxation of pandemic restrictions.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average check was primarily due to favorable mix shifts related to a reduction in core menu items, successful promotional food and beverage offerings as well as menu price increases by franchisees.</w:t>
      </w: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0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Applebee's Off-premise Sales Data</w:t>
            </w:r>
          </w:p>
        </w:tc>
        <w:tc>
          <w:tcPr>
            <w:tcW w:w="240" w:type="dxa"/>
            <w:vAlign w:val="bottom"/>
          </w:tcPr>
          <w:p>
            <w:pPr>
              <w:spacing w:after="0"/>
              <w:rPr>
                <w:sz w:val="17"/>
                <w:szCs w:val="17"/>
                <w:color w:val="auto"/>
              </w:rPr>
            </w:pPr>
          </w:p>
        </w:tc>
        <w:tc>
          <w:tcPr>
            <w:tcW w:w="2720" w:type="dxa"/>
            <w:vAlign w:val="bottom"/>
            <w:gridSpan w:val="8"/>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20" w:type="dxa"/>
            <w:vAlign w:val="bottom"/>
          </w:tcPr>
          <w:p>
            <w:pPr>
              <w:spacing w:after="0"/>
              <w:rPr>
                <w:sz w:val="17"/>
                <w:szCs w:val="17"/>
                <w:color w:val="auto"/>
              </w:rPr>
            </w:pPr>
          </w:p>
        </w:tc>
        <w:tc>
          <w:tcPr>
            <w:tcW w:w="2580" w:type="dxa"/>
            <w:vAlign w:val="bottom"/>
            <w:gridSpan w:val="6"/>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580"/>
              <w:spacing w:after="0" w:line="165" w:lineRule="exact"/>
              <w:rPr>
                <w:sz w:val="20"/>
                <w:szCs w:val="20"/>
                <w:color w:val="auto"/>
              </w:rPr>
            </w:pPr>
            <w:r>
              <w:rPr>
                <w:rFonts w:ascii="Times New Roman" w:cs="Times New Roman" w:eastAsia="Times New Roman" w:hAnsi="Times New Roman"/>
                <w:sz w:val="16"/>
                <w:szCs w:val="16"/>
                <w:b w:val="1"/>
                <w:bCs w:val="1"/>
                <w:color w:val="auto"/>
                <w:w w:val="93"/>
              </w:rPr>
              <w:t>2022</w:t>
            </w:r>
          </w:p>
        </w:tc>
        <w:tc>
          <w:tcPr>
            <w:tcW w:w="420" w:type="dxa"/>
            <w:vAlign w:val="bottom"/>
          </w:tcPr>
          <w:p>
            <w:pPr>
              <w:spacing w:after="0"/>
              <w:rPr>
                <w:sz w:val="14"/>
                <w:szCs w:val="14"/>
                <w:color w:val="auto"/>
              </w:rPr>
            </w:pPr>
          </w:p>
        </w:tc>
        <w:tc>
          <w:tcPr>
            <w:tcW w:w="56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2021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gridSpan w:val="2"/>
          </w:tcPr>
          <w:p>
            <w:pPr>
              <w:jc w:val="right"/>
              <w:ind w:right="460"/>
              <w:spacing w:after="0" w:line="165" w:lineRule="exact"/>
              <w:rPr>
                <w:sz w:val="20"/>
                <w:szCs w:val="20"/>
                <w:color w:val="auto"/>
              </w:rPr>
            </w:pPr>
            <w:r>
              <w:rPr>
                <w:rFonts w:ascii="Times New Roman" w:cs="Times New Roman" w:eastAsia="Times New Roman" w:hAnsi="Times New Roman"/>
                <w:sz w:val="16"/>
                <w:szCs w:val="16"/>
                <w:b w:val="1"/>
                <w:bCs w:val="1"/>
                <w:color w:val="auto"/>
                <w:w w:val="93"/>
              </w:rPr>
              <w:t>2021</w:t>
            </w:r>
          </w:p>
        </w:tc>
      </w:tr>
      <w:tr>
        <w:trPr>
          <w:trHeight w:val="30"/>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r>
      <w:tr>
        <w:trPr>
          <w:trHeight w:val="235"/>
        </w:trPr>
        <w:tc>
          <w:tcPr>
            <w:tcW w:w="20" w:type="dxa"/>
            <w:vAlign w:val="bottom"/>
            <w:shd w:val="clear" w:color="auto" w:fill="CCEEFF"/>
          </w:tcPr>
          <w:p>
            <w:pPr>
              <w:spacing w:after="0"/>
              <w:rPr>
                <w:sz w:val="20"/>
                <w:szCs w:val="20"/>
                <w:color w:val="auto"/>
              </w:rPr>
            </w:pPr>
          </w:p>
        </w:tc>
        <w:tc>
          <w:tcPr>
            <w:tcW w:w="508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18"/>
                <w:szCs w:val="18"/>
                <w:color w:val="auto"/>
              </w:rPr>
              <w:t xml:space="preserve">Off-premise sales (in millions) </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281.6</w:t>
            </w:r>
          </w:p>
        </w:tc>
        <w:tc>
          <w:tcPr>
            <w:tcW w:w="4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578.7</w:t>
            </w:r>
          </w:p>
        </w:tc>
        <w:tc>
          <w:tcPr>
            <w:tcW w:w="68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661.6</w:t>
            </w:r>
          </w:p>
        </w:tc>
      </w:tr>
      <w:tr>
        <w:trPr>
          <w:trHeight w:val="225"/>
        </w:trPr>
        <w:tc>
          <w:tcPr>
            <w:tcW w:w="2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sales mix</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25.6 %</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30.3 %</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26.6 %</w:t>
            </w:r>
          </w:p>
        </w:tc>
        <w:tc>
          <w:tcPr>
            <w:tcW w:w="6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33.3 %</w:t>
            </w:r>
          </w:p>
        </w:tc>
      </w:tr>
    </w:tbl>
    <w:p>
      <w:pPr>
        <w:spacing w:after="0" w:line="32" w:lineRule="exact"/>
        <w:rPr>
          <w:sz w:val="20"/>
          <w:szCs w:val="20"/>
          <w:color w:val="auto"/>
        </w:rPr>
      </w:pPr>
    </w:p>
    <w:p>
      <w:pPr>
        <w:ind w:left="240" w:hanging="234"/>
        <w:spacing w:after="0"/>
        <w:tabs>
          <w:tab w:leader="none" w:pos="2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to-go, delivery and catering sales for comparable 2022 and 2021 restaurants.</w:t>
      </w:r>
    </w:p>
    <w:p>
      <w:pPr>
        <w:spacing w:after="0" w:line="225" w:lineRule="exact"/>
        <w:rPr>
          <w:sz w:val="20"/>
          <w:szCs w:val="20"/>
          <w:color w:val="auto"/>
        </w:rPr>
      </w:pPr>
    </w:p>
    <w:p>
      <w:pPr>
        <w:ind w:left="160" w:right="220" w:firstLine="238"/>
        <w:spacing w:after="0" w:line="259" w:lineRule="auto"/>
        <w:rPr>
          <w:sz w:val="20"/>
          <w:szCs w:val="20"/>
          <w:color w:val="auto"/>
        </w:rPr>
      </w:pPr>
      <w:r>
        <w:rPr>
          <w:rFonts w:ascii="Times New Roman" w:cs="Times New Roman" w:eastAsia="Times New Roman" w:hAnsi="Times New Roman"/>
          <w:sz w:val="18"/>
          <w:szCs w:val="18"/>
          <w:color w:val="auto"/>
        </w:rPr>
        <w:t>Based on data from Black Box Intelligence, a restaurant sales reporting firm (“Black Box”), Applebee's increase in same-restaurant sales for both the three and six months ended June 30, 2022 underperformed the casual dining segment of the restaurant industry (excluding Applebee's) during the same period of 2022.</w:t>
      </w: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416560</wp:posOffset>
            </wp:positionV>
            <wp:extent cx="5258435" cy="27343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5843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40" w:firstLine="318"/>
        <w:spacing w:after="0" w:line="244" w:lineRule="auto"/>
        <w:rPr>
          <w:sz w:val="20"/>
          <w:szCs w:val="20"/>
          <w:color w:val="auto"/>
        </w:rPr>
      </w:pPr>
      <w:r>
        <w:rPr>
          <w:rFonts w:ascii="Times New Roman" w:cs="Times New Roman" w:eastAsia="Times New Roman" w:hAnsi="Times New Roman"/>
          <w:sz w:val="18"/>
          <w:szCs w:val="18"/>
          <w:color w:val="auto"/>
        </w:rPr>
        <w:t>IHOP's system-wide domestic same-restaurant sales increased 3.6% for the three months ended June 30, 2022 and 10.1% for the six months ended June 30, 2022 as compared to the same periods of 2021. The improvement was due to an increase in average check, partially offset by a decrease in customer traffic. The increase in average check was primarily due to an increase in menu prices as well as a general increase in consumer spending due to larger party sizes and greater spending per person.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IHOP Off-premise Sales Data</w:t>
            </w:r>
          </w:p>
        </w:tc>
        <w:tc>
          <w:tcPr>
            <w:tcW w:w="260" w:type="dxa"/>
            <w:vAlign w:val="bottom"/>
          </w:tcPr>
          <w:p>
            <w:pPr>
              <w:spacing w:after="0"/>
              <w:rPr>
                <w:sz w:val="18"/>
                <w:szCs w:val="18"/>
                <w:color w:val="auto"/>
              </w:rPr>
            </w:pPr>
          </w:p>
        </w:tc>
        <w:tc>
          <w:tcPr>
            <w:tcW w:w="2700" w:type="dxa"/>
            <w:vAlign w:val="bottom"/>
            <w:gridSpan w:val="7"/>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20" w:type="dxa"/>
            <w:vAlign w:val="bottom"/>
          </w:tcPr>
          <w:p>
            <w:pPr>
              <w:spacing w:after="0"/>
              <w:rPr>
                <w:sz w:val="18"/>
                <w:szCs w:val="18"/>
                <w:color w:val="auto"/>
              </w:rPr>
            </w:pPr>
          </w:p>
        </w:tc>
        <w:tc>
          <w:tcPr>
            <w:tcW w:w="2580" w:type="dxa"/>
            <w:vAlign w:val="bottom"/>
            <w:gridSpan w:val="7"/>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gridSpan w:val="2"/>
          </w:tcPr>
          <w:p>
            <w:pPr>
              <w:jc w:val="right"/>
              <w:ind w:right="440"/>
              <w:spacing w:after="0" w:line="165" w:lineRule="exact"/>
              <w:rPr>
                <w:sz w:val="20"/>
                <w:szCs w:val="20"/>
                <w:color w:val="auto"/>
              </w:rPr>
            </w:pPr>
            <w:r>
              <w:rPr>
                <w:rFonts w:ascii="Times New Roman" w:cs="Times New Roman" w:eastAsia="Times New Roman" w:hAnsi="Times New Roman"/>
                <w:sz w:val="16"/>
                <w:szCs w:val="16"/>
                <w:b w:val="1"/>
                <w:bCs w:val="1"/>
                <w:color w:val="auto"/>
                <w:w w:val="93"/>
              </w:rPr>
              <w:t>2021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3"/>
          </w:tcPr>
          <w:p>
            <w:pPr>
              <w:jc w:val="right"/>
              <w:ind w:right="600"/>
              <w:spacing w:after="0" w:line="165" w:lineRule="exact"/>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Pr>
          <w:p>
            <w:pPr>
              <w:spacing w:after="0"/>
              <w:rPr>
                <w:sz w:val="14"/>
                <w:szCs w:val="14"/>
                <w:color w:val="auto"/>
              </w:rPr>
            </w:pPr>
          </w:p>
        </w:tc>
        <w:tc>
          <w:tcPr>
            <w:tcW w:w="58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2021</w:t>
            </w:r>
          </w:p>
        </w:tc>
        <w:tc>
          <w:tcPr>
            <w:tcW w:w="460" w:type="dxa"/>
            <w:vAlign w:val="bottom"/>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r>
      <w:tr>
        <w:trPr>
          <w:trHeight w:val="235"/>
        </w:trPr>
        <w:tc>
          <w:tcPr>
            <w:tcW w:w="20" w:type="dxa"/>
            <w:vAlign w:val="bottom"/>
            <w:shd w:val="clear" w:color="auto" w:fill="CCEEFF"/>
          </w:tcPr>
          <w:p>
            <w:pPr>
              <w:spacing w:after="0"/>
              <w:rPr>
                <w:sz w:val="20"/>
                <w:szCs w:val="20"/>
                <w:color w:val="auto"/>
              </w:rPr>
            </w:pPr>
          </w:p>
        </w:tc>
        <w:tc>
          <w:tcPr>
            <w:tcW w:w="494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18"/>
                <w:szCs w:val="18"/>
                <w:color w:val="auto"/>
              </w:rPr>
              <w:t xml:space="preserve">Off-premise sales (in millions) </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154.6</w:t>
            </w:r>
          </w:p>
        </w:tc>
        <w:tc>
          <w:tcPr>
            <w:tcW w:w="66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317.3</w:t>
            </w:r>
          </w:p>
        </w:tc>
        <w:tc>
          <w:tcPr>
            <w:tcW w:w="4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350.3</w:t>
            </w:r>
          </w:p>
        </w:tc>
      </w:tr>
      <w:tr>
        <w:trPr>
          <w:trHeight w:val="225"/>
        </w:trPr>
        <w:tc>
          <w:tcPr>
            <w:tcW w:w="2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sales mix</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21.3 %</w:t>
            </w:r>
          </w:p>
        </w:tc>
        <w:tc>
          <w:tcPr>
            <w:tcW w:w="6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26.1 %</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22.9 %</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29.4 %</w:t>
            </w:r>
          </w:p>
        </w:tc>
      </w:tr>
    </w:tbl>
    <w:p>
      <w:pPr>
        <w:spacing w:after="0" w:line="32" w:lineRule="exact"/>
        <w:rPr>
          <w:sz w:val="20"/>
          <w:szCs w:val="20"/>
          <w:color w:val="auto"/>
        </w:rPr>
      </w:pPr>
    </w:p>
    <w:p>
      <w:pPr>
        <w:ind w:left="240" w:hanging="234"/>
        <w:spacing w:after="0"/>
        <w:tabs>
          <w:tab w:leader="none" w:pos="24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to-go, delivery and catering sales for comparable 2022 and 2021 restaurants</w:t>
      </w:r>
    </w:p>
    <w:p>
      <w:pPr>
        <w:spacing w:after="0" w:line="212" w:lineRule="exact"/>
        <w:rPr>
          <w:sz w:val="20"/>
          <w:szCs w:val="20"/>
          <w:color w:val="auto"/>
        </w:rPr>
      </w:pPr>
    </w:p>
    <w:p>
      <w:pPr>
        <w:ind w:right="280" w:firstLine="318"/>
        <w:spacing w:after="0" w:line="274" w:lineRule="auto"/>
        <w:rPr>
          <w:sz w:val="20"/>
          <w:szCs w:val="20"/>
          <w:color w:val="auto"/>
        </w:rPr>
      </w:pPr>
      <w:r>
        <w:rPr>
          <w:rFonts w:ascii="Times New Roman" w:cs="Times New Roman" w:eastAsia="Times New Roman" w:hAnsi="Times New Roman"/>
          <w:sz w:val="18"/>
          <w:szCs w:val="18"/>
          <w:color w:val="auto"/>
        </w:rPr>
        <w:t>Based on data from Black Box, IHOP's increase in same-restaurant sales for the three and six months ended June 30, 2022 underperformed the family dining segment of the restaurant industry (excluding IHOP) during that same period of 2022.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Restaurant Data</w:t>
      </w:r>
    </w:p>
    <w:p>
      <w:pPr>
        <w:spacing w:after="0" w:line="206" w:lineRule="exact"/>
        <w:rPr>
          <w:sz w:val="20"/>
          <w:szCs w:val="20"/>
          <w:color w:val="auto"/>
        </w:rPr>
      </w:pPr>
    </w:p>
    <w:p>
      <w:pPr>
        <w:ind w:firstLine="318"/>
        <w:spacing w:after="0" w:line="269" w:lineRule="auto"/>
        <w:rPr>
          <w:sz w:val="20"/>
          <w:szCs w:val="20"/>
          <w:color w:val="auto"/>
        </w:rPr>
      </w:pPr>
      <w:r>
        <w:rPr>
          <w:rFonts w:ascii="Times New Roman" w:cs="Times New Roman" w:eastAsia="Times New Roman" w:hAnsi="Times New Roman"/>
          <w:sz w:val="17"/>
          <w:szCs w:val="17"/>
          <w:color w:val="auto"/>
        </w:rPr>
        <w:t>The following table sets forth the number of “Effective Restaurants” in the Applebee’s and IHOP systems and information regarding the percentage change in sales at those restaurants compared to the same period of the prior year. Sales at restaurants that are owned by franchisees and area licensees are not attributable to the Company and, as such, the percentage change in sales at Effective Restaurants is based on non-GAAP sales data. However, we believe that presentation of this information is useful in analyzing our revenues because franchisees and area licensees pay us royalties and advertising fees that are based on a percentage of their sales, and, where applicable, rental payments under leases that partially may be based on a percentage of their sales. Management also uses this information to make decisions about plans for future development of additional restaurants as well as evaluation of current operations.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40" w:type="dxa"/>
            <w:vAlign w:val="bottom"/>
          </w:tcPr>
          <w:p>
            <w:pPr>
              <w:spacing w:after="0"/>
              <w:rPr>
                <w:sz w:val="18"/>
                <w:szCs w:val="18"/>
                <w:color w:val="auto"/>
              </w:rPr>
            </w:pPr>
          </w:p>
        </w:tc>
        <w:tc>
          <w:tcPr>
            <w:tcW w:w="2520" w:type="dxa"/>
            <w:vAlign w:val="bottom"/>
            <w:gridSpan w:val="4"/>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Applebee's Restaurant Data</w:t>
            </w: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2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120" w:type="dxa"/>
            <w:vAlign w:val="bottom"/>
            <w:tcBorders>
              <w:top w:val="single" w:sz="8" w:color="auto"/>
            </w:tcBorders>
            <w:gridSpan w:val="2"/>
          </w:tcPr>
          <w:p>
            <w:pPr>
              <w:spacing w:after="0" w:line="245" w:lineRule="exact"/>
              <w:rPr>
                <w:sz w:val="20"/>
                <w:szCs w:val="20"/>
                <w:color w:val="auto"/>
              </w:rPr>
            </w:pPr>
            <w:r>
              <w:rPr>
                <w:rFonts w:ascii="Times New Roman" w:cs="Times New Roman" w:eastAsia="Times New Roman" w:hAnsi="Times New Roman"/>
                <w:sz w:val="18"/>
                <w:szCs w:val="18"/>
                <w:b w:val="1"/>
                <w:bCs w:val="1"/>
                <w:color w:val="auto"/>
              </w:rPr>
              <w:t>Effective Restaurants</w:t>
            </w:r>
            <w:r>
              <w:rPr>
                <w:rFonts w:ascii="Times New Roman" w:cs="Times New Roman" w:eastAsia="Times New Roman" w:hAnsi="Times New Roman"/>
                <w:sz w:val="22"/>
                <w:szCs w:val="22"/>
                <w:b w:val="1"/>
                <w:bCs w:val="1"/>
                <w:color w:val="auto"/>
                <w:vertAlign w:val="superscript"/>
              </w:rPr>
              <w:t>(a)</w:t>
            </w:r>
          </w:p>
        </w:tc>
        <w:tc>
          <w:tcPr>
            <w:tcW w:w="3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Franchise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Company</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5200" w:type="dxa"/>
            <w:vAlign w:val="bottom"/>
            <w:tcBorders>
              <w:bottom w:val="single" w:sz="8" w:color="CCEEFF"/>
            </w:tcBorders>
            <w:gridSpan w:val="3"/>
            <w:shd w:val="clear" w:color="auto" w:fill="CCEEFF"/>
          </w:tcPr>
          <w:p>
            <w:pPr>
              <w:ind w:left="440"/>
              <w:spacing w:after="0" w:line="192" w:lineRule="exact"/>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2"/>
              <w:spacing w:after="0" w:line="192" w:lineRule="exact"/>
              <w:rPr>
                <w:sz w:val="20"/>
                <w:szCs w:val="20"/>
                <w:color w:val="auto"/>
              </w:rPr>
            </w:pPr>
            <w:r>
              <w:rPr>
                <w:rFonts w:ascii="Times New Roman" w:cs="Times New Roman" w:eastAsia="Times New Roman" w:hAnsi="Times New Roman"/>
                <w:sz w:val="18"/>
                <w:szCs w:val="18"/>
                <w:b w:val="1"/>
                <w:bCs w:val="1"/>
                <w:color w:val="auto"/>
              </w:rPr>
              <w:t>1,673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3"/>
              <w:spacing w:after="0" w:line="192" w:lineRule="exact"/>
              <w:rPr>
                <w:sz w:val="20"/>
                <w:szCs w:val="20"/>
                <w:color w:val="auto"/>
              </w:rPr>
            </w:pPr>
            <w:r>
              <w:rPr>
                <w:rFonts w:ascii="Times New Roman" w:cs="Times New Roman" w:eastAsia="Times New Roman" w:hAnsi="Times New Roman"/>
                <w:sz w:val="18"/>
                <w:szCs w:val="18"/>
                <w:b w:val="1"/>
                <w:bCs w:val="1"/>
                <w:color w:val="auto"/>
              </w:rPr>
              <w:t>1,692</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32"/>
              <w:spacing w:after="0" w:line="192" w:lineRule="exact"/>
              <w:rPr>
                <w:sz w:val="20"/>
                <w:szCs w:val="20"/>
                <w:color w:val="auto"/>
              </w:rPr>
            </w:pPr>
            <w:r>
              <w:rPr>
                <w:rFonts w:ascii="Times New Roman" w:cs="Times New Roman" w:eastAsia="Times New Roman" w:hAnsi="Times New Roman"/>
                <w:sz w:val="18"/>
                <w:szCs w:val="18"/>
                <w:b w:val="1"/>
                <w:bCs w:val="1"/>
                <w:color w:val="auto"/>
              </w:rPr>
              <w:t>1,674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2"/>
              <w:spacing w:after="0" w:line="192" w:lineRule="exact"/>
              <w:rPr>
                <w:sz w:val="20"/>
                <w:szCs w:val="20"/>
                <w:color w:val="auto"/>
              </w:rPr>
            </w:pPr>
            <w:r>
              <w:rPr>
                <w:rFonts w:ascii="Times New Roman" w:cs="Times New Roman" w:eastAsia="Times New Roman" w:hAnsi="Times New Roman"/>
                <w:sz w:val="18"/>
                <w:szCs w:val="18"/>
                <w:b w:val="1"/>
                <w:bCs w:val="1"/>
                <w:color w:val="auto"/>
              </w:rPr>
              <w:t>1,694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bottom w:val="single" w:sz="8" w:color="CCEEFF"/>
            </w:tcBorders>
            <w:gridSpan w:val="3"/>
            <w:vMerge w:val="restart"/>
          </w:tcPr>
          <w:p>
            <w:pPr>
              <w:spacing w:after="0" w:line="239" w:lineRule="exact"/>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2"/>
                <w:szCs w:val="22"/>
                <w:b w:val="1"/>
                <w:bCs w:val="1"/>
                <w:color w:val="auto"/>
                <w:vertAlign w:val="superscript"/>
              </w:rPr>
              <w:t>(b)</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20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00" w:type="dxa"/>
            <w:vAlign w:val="bottom"/>
            <w:gridSpan w:val="3"/>
            <w:shd w:val="clear" w:color="auto" w:fill="CCEEFF"/>
          </w:tcPr>
          <w:p>
            <w:pPr>
              <w:ind w:left="200"/>
              <w:spacing w:after="0" w:line="225"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2"/>
                <w:szCs w:val="22"/>
                <w:color w:val="auto"/>
                <w:vertAlign w:val="superscript"/>
              </w:rPr>
              <w:t>(c)</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00" w:type="dxa"/>
            <w:vAlign w:val="bottom"/>
            <w:gridSpan w:val="3"/>
          </w:tcPr>
          <w:p>
            <w:pPr>
              <w:ind w:left="200"/>
              <w:spacing w:after="0" w:line="214"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2"/>
                <w:szCs w:val="22"/>
                <w:color w:val="auto"/>
                <w:vertAlign w:val="superscript"/>
              </w:rPr>
              <w:t>(d)</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46.4 %</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200" w:type="dxa"/>
            <w:vAlign w:val="bottom"/>
            <w:gridSpan w:val="3"/>
          </w:tcPr>
          <w:p>
            <w:pPr>
              <w:spacing w:after="0" w:line="236"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2"/>
                <w:szCs w:val="22"/>
                <w:b w:val="1"/>
                <w:bCs w:val="1"/>
                <w:color w:val="auto"/>
                <w:vertAlign w:val="superscript"/>
              </w:rPr>
              <w:t>(b)</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00" w:type="dxa"/>
            <w:vAlign w:val="bottom"/>
            <w:gridSpan w:val="3"/>
            <w:shd w:val="clear" w:color="auto" w:fill="CCEEFF"/>
          </w:tcPr>
          <w:p>
            <w:pPr>
              <w:ind w:left="200"/>
              <w:spacing w:after="0" w:line="225"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2"/>
                <w:szCs w:val="22"/>
                <w:color w:val="auto"/>
                <w:vertAlign w:val="superscript"/>
              </w:rPr>
              <w:t>(c)</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0" w:type="dxa"/>
            <w:vAlign w:val="bottom"/>
            <w:gridSpan w:val="3"/>
          </w:tcPr>
          <w:p>
            <w:pPr>
              <w:ind w:left="200"/>
              <w:spacing w:after="0" w:line="225"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2"/>
                <w:szCs w:val="22"/>
                <w:color w:val="auto"/>
                <w:vertAlign w:val="superscript"/>
              </w:rPr>
              <w:t>(d)</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Average weekly domestic unit sales (in thousands)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IHOP Restaurant Data</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5200" w:type="dxa"/>
            <w:vAlign w:val="bottom"/>
            <w:gridSpan w:val="3"/>
          </w:tcPr>
          <w:p>
            <w:pPr>
              <w:spacing w:after="0" w:line="245" w:lineRule="exact"/>
              <w:rPr>
                <w:sz w:val="20"/>
                <w:szCs w:val="20"/>
                <w:color w:val="auto"/>
              </w:rPr>
            </w:pPr>
            <w:r>
              <w:rPr>
                <w:rFonts w:ascii="Times New Roman" w:cs="Times New Roman" w:eastAsia="Times New Roman" w:hAnsi="Times New Roman"/>
                <w:sz w:val="18"/>
                <w:szCs w:val="18"/>
                <w:b w:val="1"/>
                <w:bCs w:val="1"/>
                <w:color w:val="auto"/>
              </w:rPr>
              <w:t>Effective Restaurants</w:t>
            </w:r>
            <w:r>
              <w:rPr>
                <w:rFonts w:ascii="Times New Roman" w:cs="Times New Roman" w:eastAsia="Times New Roman" w:hAnsi="Times New Roman"/>
                <w:sz w:val="22"/>
                <w:szCs w:val="22"/>
                <w:b w:val="1"/>
                <w:bCs w:val="1"/>
                <w:color w:val="auto"/>
                <w:vertAlign w:val="superscript"/>
              </w:rPr>
              <w:t>(a)</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Franchise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Area license</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520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1,749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1,723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1,746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1,722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2"/>
                <w:szCs w:val="22"/>
                <w:b w:val="1"/>
                <w:bCs w:val="1"/>
                <w:color w:val="auto"/>
                <w:vertAlign w:val="superscript"/>
              </w:rPr>
              <w:t>(b)</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520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00" w:type="dxa"/>
            <w:vAlign w:val="bottom"/>
            <w:gridSpan w:val="3"/>
            <w:shd w:val="clear" w:color="auto" w:fill="CCEEFF"/>
          </w:tcPr>
          <w:p>
            <w:pPr>
              <w:ind w:left="200"/>
              <w:spacing w:after="0" w:line="225"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2"/>
                <w:szCs w:val="22"/>
                <w:color w:val="auto"/>
                <w:vertAlign w:val="superscript"/>
              </w:rPr>
              <w:t>(c)</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0" w:type="dxa"/>
            <w:vAlign w:val="bottom"/>
            <w:gridSpan w:val="3"/>
          </w:tcPr>
          <w:p>
            <w:pPr>
              <w:ind w:left="200"/>
              <w:spacing w:after="0" w:line="172" w:lineRule="exact"/>
              <w:rPr>
                <w:sz w:val="20"/>
                <w:szCs w:val="20"/>
                <w:color w:val="auto"/>
              </w:rPr>
            </w:pPr>
            <w:r>
              <w:rPr>
                <w:rFonts w:ascii="Times New Roman" w:cs="Times New Roman" w:eastAsia="Times New Roman" w:hAnsi="Times New Roman"/>
                <w:sz w:val="18"/>
                <w:szCs w:val="18"/>
                <w:color w:val="auto"/>
              </w:rPr>
              <w:t>Domestic same-restaurant sales percentage change, including area</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3"/>
          </w:tcPr>
          <w:p>
            <w:pPr>
              <w:ind w:left="200"/>
              <w:spacing w:after="0" w:line="228" w:lineRule="exact"/>
              <w:rPr>
                <w:sz w:val="20"/>
                <w:szCs w:val="20"/>
                <w:color w:val="auto"/>
              </w:rPr>
            </w:pPr>
            <w:r>
              <w:rPr>
                <w:rFonts w:ascii="Times New Roman" w:cs="Times New Roman" w:eastAsia="Times New Roman" w:hAnsi="Times New Roman"/>
                <w:sz w:val="18"/>
                <w:szCs w:val="18"/>
                <w:color w:val="auto"/>
              </w:rPr>
              <w:t>license restaurants</w:t>
            </w:r>
            <w:r>
              <w:rPr>
                <w:rFonts w:ascii="Times New Roman" w:cs="Times New Roman" w:eastAsia="Times New Roman" w:hAnsi="Times New Roman"/>
                <w:sz w:val="22"/>
                <w:szCs w:val="22"/>
                <w:color w:val="auto"/>
                <w:vertAlign w:val="superscript"/>
              </w:rPr>
              <w:t>(d)</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200" w:type="dxa"/>
            <w:vAlign w:val="bottom"/>
            <w:gridSpan w:val="3"/>
          </w:tcPr>
          <w:p>
            <w:pPr>
              <w:spacing w:after="0" w:line="236"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2"/>
                <w:szCs w:val="22"/>
                <w:b w:val="1"/>
                <w:bCs w:val="1"/>
                <w:color w:val="auto"/>
                <w:vertAlign w:val="superscript"/>
              </w:rPr>
              <w:t>(b)</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00" w:type="dxa"/>
            <w:vAlign w:val="bottom"/>
            <w:gridSpan w:val="3"/>
            <w:shd w:val="clear" w:color="auto" w:fill="CCEEFF"/>
          </w:tcPr>
          <w:p>
            <w:pPr>
              <w:ind w:left="200"/>
              <w:spacing w:after="0" w:line="225"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2"/>
                <w:szCs w:val="22"/>
                <w:color w:val="auto"/>
                <w:vertAlign w:val="superscript"/>
              </w:rPr>
              <w:t>(c)</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0" w:type="dxa"/>
            <w:vAlign w:val="bottom"/>
            <w:gridSpan w:val="3"/>
          </w:tcPr>
          <w:p>
            <w:pPr>
              <w:ind w:left="200"/>
              <w:spacing w:after="0" w:line="225"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2"/>
                <w:szCs w:val="22"/>
                <w:color w:val="auto"/>
                <w:vertAlign w:val="superscript"/>
              </w:rPr>
              <w:t>(d)</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Average weekly unit sales (in thousands)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0" w:type="dxa"/>
            <w:vAlign w:val="bottom"/>
            <w:gridSpan w:val="3"/>
          </w:tcPr>
          <w:p>
            <w:pPr>
              <w:spacing w:after="0" w:line="225" w:lineRule="exact"/>
              <w:rPr>
                <w:sz w:val="20"/>
                <w:szCs w:val="20"/>
                <w:color w:val="auto"/>
              </w:rPr>
            </w:pPr>
            <w:r>
              <w:rPr>
                <w:rFonts w:ascii="Times New Roman" w:cs="Times New Roman" w:eastAsia="Times New Roman" w:hAnsi="Times New Roman"/>
                <w:sz w:val="18"/>
                <w:szCs w:val="18"/>
                <w:b w:val="1"/>
                <w:bCs w:val="1"/>
                <w:color w:val="auto"/>
              </w:rPr>
              <w:t>Area License</w:t>
            </w:r>
            <w:r>
              <w:rPr>
                <w:rFonts w:ascii="Times New Roman" w:cs="Times New Roman" w:eastAsia="Times New Roman" w:hAnsi="Times New Roman"/>
                <w:sz w:val="22"/>
                <w:szCs w:val="22"/>
                <w:b w:val="1"/>
                <w:bCs w:val="1"/>
                <w:color w:val="auto"/>
                <w:vertAlign w:val="superscript"/>
              </w:rPr>
              <w:t>(b)</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00" w:type="dxa"/>
            <w:vAlign w:val="bottom"/>
            <w:gridSpan w:val="3"/>
            <w:shd w:val="clear" w:color="auto" w:fill="CCEEFF"/>
          </w:tcPr>
          <w:p>
            <w:pPr>
              <w:ind w:left="200"/>
              <w:spacing w:after="0" w:line="225"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2"/>
                <w:szCs w:val="22"/>
                <w:color w:val="auto"/>
                <w:vertAlign w:val="superscript"/>
              </w:rPr>
              <w:t>(c)</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46.7 %</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320" w:hanging="270"/>
        <w:spacing w:after="0" w:line="256" w:lineRule="auto"/>
        <w:tabs>
          <w:tab w:leader="none" w:pos="342"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Restaurants” are the weighted average number of restaurants open in each fiscal period, adjusted to account for restaurants open for only a portion of the period. Information is presented for all Effective Restaurants in the Applebee’s and IHOP systems, which consist of restaurants owned by franchisees and area licensees as well as those owned by the Company. Effective Restaurants do not include units operated as ghost kitchens (small kitchens with no store-front presence, used to fill off-premise orders).</w:t>
      </w:r>
    </w:p>
    <w:p>
      <w:pPr>
        <w:spacing w:after="0" w:line="1" w:lineRule="exact"/>
        <w:rPr>
          <w:rFonts w:ascii="Times New Roman" w:cs="Times New Roman" w:eastAsia="Times New Roman" w:hAnsi="Times New Roman"/>
          <w:sz w:val="16"/>
          <w:szCs w:val="16"/>
          <w:color w:val="auto"/>
        </w:rPr>
      </w:pPr>
    </w:p>
    <w:p>
      <w:pPr>
        <w:ind w:left="320" w:right="160" w:hanging="314"/>
        <w:spacing w:after="0" w:line="252" w:lineRule="auto"/>
        <w:tabs>
          <w:tab w:leader="none" w:pos="30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“System-wide sales” are retail sales at Applebee’s restaurants operated by franchisees and IHOP restaurants operated by franchisees and area licensees, as reported to the Company, in addition to retail sales at company-operated Applebee's restaurants. System-wide sales do not include retail sales of ghost kitchens. Sales at restaurants that are owned by franchisees and area licensees are not attributable to the Company. An increase in franchisees' reported sales will result in a corresponding increase in our royalty revenue, while a decrease in franchisees' reported sales will result in a corresponding decrease in our royalty revenue. Unaudited reported sales for Applebee's domestic franchise restaurants, Applebee's company-operated restaurants, IHOP franchise restaurants and IHOP area license restaurants were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080" w:type="dxa"/>
            <w:vAlign w:val="bottom"/>
            <w:gridSpan w:val="4"/>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55"/>
        </w:trPr>
        <w:tc>
          <w:tcPr>
            <w:tcW w:w="20" w:type="dxa"/>
            <w:vAlign w:val="bottom"/>
          </w:tcPr>
          <w:p>
            <w:pPr>
              <w:spacing w:after="0"/>
              <w:rPr>
                <w:sz w:val="13"/>
                <w:szCs w:val="13"/>
                <w:color w:val="auto"/>
              </w:rPr>
            </w:pPr>
          </w:p>
        </w:tc>
        <w:tc>
          <w:tcPr>
            <w:tcW w:w="586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Reported sales (in millions)</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2"/>
        </w:trPr>
        <w:tc>
          <w:tcPr>
            <w:tcW w:w="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Applebee's domestic franchise restaurant sales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1,062.8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1,987.5</w:t>
            </w:r>
          </w:p>
        </w:tc>
      </w:tr>
      <w:tr>
        <w:trPr>
          <w:trHeight w:val="225"/>
        </w:trPr>
        <w:tc>
          <w:tcPr>
            <w:tcW w:w="20" w:type="dxa"/>
            <w:vAlign w:val="bottom"/>
          </w:tcPr>
          <w:p>
            <w:pPr>
              <w:spacing w:after="0"/>
              <w:rPr>
                <w:sz w:val="19"/>
                <w:szCs w:val="19"/>
                <w:color w:val="auto"/>
              </w:rPr>
            </w:pPr>
          </w:p>
        </w:tc>
        <w:tc>
          <w:tcPr>
            <w:tcW w:w="58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Applebee's company-operated restaurants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r>
      <w:tr>
        <w:trPr>
          <w:trHeight w:val="225"/>
        </w:trPr>
        <w:tc>
          <w:tcPr>
            <w:tcW w:w="2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IHOP franchise restaurant sales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1,338.8</w:t>
            </w:r>
          </w:p>
        </w:tc>
      </w:tr>
      <w:tr>
        <w:trPr>
          <w:trHeight w:val="210"/>
        </w:trPr>
        <w:tc>
          <w:tcPr>
            <w:tcW w:w="20" w:type="dxa"/>
            <w:vAlign w:val="bottom"/>
            <w:tcBorders>
              <w:bottom w:val="single" w:sz="8" w:color="CCEEFF"/>
            </w:tcBorders>
          </w:tcPr>
          <w:p>
            <w:pPr>
              <w:spacing w:after="0"/>
              <w:rPr>
                <w:sz w:val="18"/>
                <w:szCs w:val="18"/>
                <w:color w:val="auto"/>
              </w:rPr>
            </w:pPr>
          </w:p>
        </w:tc>
        <w:tc>
          <w:tcPr>
            <w:tcW w:w="586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6"/>
                <w:szCs w:val="16"/>
                <w:color w:val="auto"/>
              </w:rPr>
              <w:t>IHOP area license restaurant sales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132.6</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58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1,913.9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3,859.9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20" w:right="320" w:hanging="314"/>
        <w:spacing w:after="0" w:line="262" w:lineRule="auto"/>
        <w:tabs>
          <w:tab w:leader="none" w:pos="29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percentage change” reflects, for each category of restaurants, the percentage change in sales in any given fiscal period compared to the prior fiscal period for all restaurants in that category.</w:t>
      </w:r>
    </w:p>
    <w:p>
      <w:pPr>
        <w:ind w:left="320" w:right="320" w:hanging="314"/>
        <w:spacing w:after="0" w:line="279" w:lineRule="auto"/>
        <w:tabs>
          <w:tab w:leader="none" w:pos="307"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“Domestic same-restaurant sales percentage change” reflects the percentage change in sales in any given fiscal period, compared to the same weeks in the prior fiscal period, for domestic restaurants that have been operated during both fiscal periods that are being compared and have been open for at least 18 months. Because of new restaurant openings and restaurant closures, the domestic restaurants open throughout both fiscal periods being compared may be different from period to period.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5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Restaurant Development Activity</w:t>
            </w:r>
          </w:p>
        </w:tc>
        <w:tc>
          <w:tcPr>
            <w:tcW w:w="40" w:type="dxa"/>
            <w:vAlign w:val="bottom"/>
          </w:tcPr>
          <w:p>
            <w:pPr>
              <w:spacing w:after="0"/>
              <w:rPr>
                <w:sz w:val="20"/>
                <w:szCs w:val="20"/>
                <w:color w:val="auto"/>
              </w:rPr>
            </w:pPr>
          </w:p>
        </w:tc>
        <w:tc>
          <w:tcPr>
            <w:tcW w:w="3220" w:type="dxa"/>
            <w:vAlign w:val="bottom"/>
            <w:gridSpan w:val="9"/>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400" w:type="dxa"/>
            <w:vAlign w:val="bottom"/>
            <w:gridSpan w:val="5"/>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Applebee's</w:t>
            </w:r>
          </w:p>
        </w:tc>
        <w:tc>
          <w:tcPr>
            <w:tcW w:w="1340" w:type="dxa"/>
            <w:vAlign w:val="bottom"/>
            <w:tcBorders>
              <w:top w:val="single" w:sz="8" w:color="auto"/>
              <w:bottom w:val="single" w:sz="8" w:color="auto"/>
            </w:tcBorders>
            <w:gridSpan w:val="2"/>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gridSpan w:val="2"/>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gridSpan w:val="2"/>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Summary - beginning of period:</w:t>
            </w:r>
          </w:p>
        </w:tc>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Franchise</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5240" w:type="dxa"/>
            <w:vAlign w:val="bottom"/>
            <w:tcBorders>
              <w:bottom w:val="single" w:sz="8" w:color="CCEEFF"/>
            </w:tcBorders>
            <w:gridSpan w:val="3"/>
          </w:tcPr>
          <w:p>
            <w:pPr>
              <w:ind w:left="240"/>
              <w:spacing w:after="0"/>
              <w:rPr>
                <w:sz w:val="20"/>
                <w:szCs w:val="20"/>
                <w:color w:val="auto"/>
              </w:rPr>
            </w:pPr>
            <w:r>
              <w:rPr>
                <w:rFonts w:ascii="Times New Roman" w:cs="Times New Roman" w:eastAsia="Times New Roman" w:hAnsi="Times New Roman"/>
                <w:sz w:val="18"/>
                <w:szCs w:val="18"/>
                <w:color w:val="auto"/>
              </w:rPr>
              <w:t>Company</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52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1,675</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Franchise restaurants opened:</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524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Domestic</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80" w:type="dxa"/>
            <w:vAlign w:val="bottom"/>
            <w:gridSpan w:val="5"/>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40" w:type="dxa"/>
            <w:vAlign w:val="bottom"/>
          </w:tcPr>
          <w:p>
            <w:pPr>
              <w:spacing w:after="0"/>
              <w:rPr>
                <w:sz w:val="19"/>
                <w:szCs w:val="19"/>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8"/>
        </w:trPr>
        <w:tc>
          <w:tcPr>
            <w:tcW w:w="20" w:type="dxa"/>
            <w:vAlign w:val="bottom"/>
            <w:tcBorders>
              <w:top w:val="single" w:sz="8" w:color="CCEEFF"/>
            </w:tcBorders>
            <w:shd w:val="clear" w:color="auto" w:fill="CCEEFF"/>
          </w:tcPr>
          <w:p>
            <w:pPr>
              <w:spacing w:after="0"/>
              <w:rPr>
                <w:sz w:val="19"/>
                <w:szCs w:val="19"/>
                <w:color w:val="auto"/>
              </w:rPr>
            </w:pPr>
          </w:p>
        </w:tc>
        <w:tc>
          <w:tcPr>
            <w:tcW w:w="52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franchise restaurants opened</w:t>
            </w: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Franchise restaurants permanently closed:</w:t>
            </w: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Domestic</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524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9"/>
                <w:szCs w:val="19"/>
                <w:color w:val="auto"/>
              </w:rPr>
            </w:pPr>
          </w:p>
        </w:tc>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franchise restaurants permanently closed</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4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Net franchise restaurant reduction</w:t>
            </w:r>
          </w:p>
        </w:tc>
        <w:tc>
          <w:tcPr>
            <w:tcW w:w="1340" w:type="dxa"/>
            <w:vAlign w:val="bottom"/>
            <w:tcBorders>
              <w:bottom w:val="single" w:sz="8" w:color="auto"/>
            </w:tcBorders>
            <w:gridSpan w:val="2"/>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Borders>
              <w:bottom w:val="single" w:sz="8" w:color="auto"/>
            </w:tcBorders>
            <w:gridSpan w:val="2"/>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Borders>
              <w:bottom w:val="single" w:sz="8" w:color="auto"/>
            </w:tcBorders>
            <w:gridSpan w:val="2"/>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84"/>
        </w:trPr>
        <w:tc>
          <w:tcPr>
            <w:tcW w:w="20" w:type="dxa"/>
            <w:vAlign w:val="bottom"/>
            <w:tcBorders>
              <w:bottom w:val="single" w:sz="8" w:color="CCEEFF"/>
            </w:tcBorders>
          </w:tcPr>
          <w:p>
            <w:pPr>
              <w:spacing w:after="0"/>
              <w:rPr>
                <w:sz w:val="6"/>
                <w:szCs w:val="6"/>
                <w:color w:val="auto"/>
              </w:rPr>
            </w:pPr>
          </w:p>
        </w:tc>
        <w:tc>
          <w:tcPr>
            <w:tcW w:w="460" w:type="dxa"/>
            <w:vAlign w:val="bottom"/>
            <w:tcBorders>
              <w:bottom w:val="single" w:sz="8" w:color="CCEEFF"/>
            </w:tcBorders>
          </w:tcPr>
          <w:p>
            <w:pPr>
              <w:spacing w:after="0"/>
              <w:rPr>
                <w:sz w:val="6"/>
                <w:szCs w:val="6"/>
                <w:color w:val="auto"/>
              </w:rPr>
            </w:pPr>
          </w:p>
        </w:tc>
        <w:tc>
          <w:tcPr>
            <w:tcW w:w="360" w:type="dxa"/>
            <w:vAlign w:val="bottom"/>
            <w:tcBorders>
              <w:bottom w:val="single" w:sz="8" w:color="CCEEFF"/>
            </w:tcBorders>
          </w:tcPr>
          <w:p>
            <w:pPr>
              <w:spacing w:after="0"/>
              <w:rPr>
                <w:sz w:val="6"/>
                <w:szCs w:val="6"/>
                <w:color w:val="auto"/>
              </w:rPr>
            </w:pPr>
          </w:p>
        </w:tc>
        <w:tc>
          <w:tcPr>
            <w:tcW w:w="442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24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Summary - end of period:</w:t>
            </w:r>
          </w:p>
        </w:tc>
        <w:tc>
          <w:tcPr>
            <w:tcW w:w="4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Franchise</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5240" w:type="dxa"/>
            <w:vAlign w:val="bottom"/>
            <w:tcBorders>
              <w:bottom w:val="single" w:sz="8" w:color="CCEEFF"/>
            </w:tcBorders>
            <w:gridSpan w:val="3"/>
          </w:tcPr>
          <w:p>
            <w:pPr>
              <w:ind w:left="240"/>
              <w:spacing w:after="0"/>
              <w:rPr>
                <w:sz w:val="20"/>
                <w:szCs w:val="20"/>
                <w:color w:val="auto"/>
              </w:rPr>
            </w:pPr>
            <w:r>
              <w:rPr>
                <w:rFonts w:ascii="Times New Roman" w:cs="Times New Roman" w:eastAsia="Times New Roman" w:hAnsi="Times New Roman"/>
                <w:sz w:val="18"/>
                <w:szCs w:val="18"/>
                <w:color w:val="auto"/>
              </w:rPr>
              <w:t>Company</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52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Applebee's restaurants, end of period</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1,673</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bottom w:val="single" w:sz="8" w:color="CCEEFF"/>
            </w:tcBorders>
            <w:gridSpan w:val="3"/>
            <w:vMerge w:val="restart"/>
          </w:tcPr>
          <w:p>
            <w:pPr>
              <w:ind w:left="320"/>
              <w:spacing w:after="0"/>
              <w:rPr>
                <w:sz w:val="20"/>
                <w:szCs w:val="20"/>
                <w:color w:val="auto"/>
              </w:rPr>
            </w:pPr>
            <w:r>
              <w:rPr>
                <w:rFonts w:ascii="Times New Roman" w:cs="Times New Roman" w:eastAsia="Times New Roman" w:hAnsi="Times New Roman"/>
                <w:sz w:val="16"/>
                <w:szCs w:val="16"/>
                <w:color w:val="auto"/>
              </w:rPr>
              <w:t>Domestic</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gridSpan w:val="3"/>
            <w:vMerge w:val="continue"/>
          </w:tcPr>
          <w:p>
            <w:pPr>
              <w:spacing w:after="0"/>
              <w:rPr>
                <w:sz w:val="15"/>
                <w:szCs w:val="15"/>
                <w:color w:val="auto"/>
              </w:rPr>
            </w:pPr>
          </w:p>
        </w:tc>
        <w:tc>
          <w:tcPr>
            <w:tcW w:w="13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1,574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1,590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1,574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1,590</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52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International</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5"/>
              </w:rPr>
              <w:t>IHOP</w:t>
            </w:r>
          </w:p>
        </w:tc>
        <w:tc>
          <w:tcPr>
            <w:tcW w:w="47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Summary - beginning of period:</w:t>
            </w:r>
          </w:p>
        </w:tc>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Franchise</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Area license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Company</w:t>
            </w:r>
          </w:p>
        </w:tc>
        <w:tc>
          <w:tcPr>
            <w:tcW w:w="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IHOP restaurants, beginning of period</w:t>
            </w:r>
          </w:p>
        </w:tc>
        <w:tc>
          <w:tcPr>
            <w:tcW w:w="4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1,756</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1,753</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Franchise/area license restaurants opened:</w:t>
            </w:r>
          </w:p>
        </w:tc>
        <w:tc>
          <w:tcPr>
            <w:tcW w:w="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5240" w:type="dxa"/>
            <w:vAlign w:val="bottom"/>
            <w:gridSpan w:val="3"/>
            <w:vMerge w:val="continue"/>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Domestic franchise</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Domestic area license</w:t>
            </w:r>
          </w:p>
        </w:tc>
        <w:tc>
          <w:tcPr>
            <w:tcW w:w="40" w:type="dxa"/>
            <w:vAlign w:val="bottom"/>
          </w:tcPr>
          <w:p>
            <w:pPr>
              <w:spacing w:after="0"/>
              <w:rPr>
                <w:sz w:val="19"/>
                <w:szCs w:val="19"/>
                <w:color w:val="auto"/>
              </w:rPr>
            </w:pP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International franchise</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franchise/area license restaurants opened</w:t>
            </w:r>
          </w:p>
        </w:tc>
        <w:tc>
          <w:tcPr>
            <w:tcW w:w="4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Franchise/area license restaurants permanently closed:</w:t>
            </w:r>
          </w:p>
        </w:tc>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Domestic franchise</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Domestic area license</w:t>
            </w:r>
          </w:p>
        </w:tc>
        <w:tc>
          <w:tcPr>
            <w:tcW w:w="40" w:type="dxa"/>
            <w:vAlign w:val="bottom"/>
          </w:tcPr>
          <w:p>
            <w:pPr>
              <w:spacing w:after="0"/>
              <w:rPr>
                <w:sz w:val="19"/>
                <w:szCs w:val="19"/>
                <w:color w:val="auto"/>
              </w:rPr>
            </w:pP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78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International franchise</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80" w:type="dxa"/>
            <w:vAlign w:val="bottom"/>
            <w:gridSpan w:val="5"/>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International area license</w:t>
            </w:r>
          </w:p>
        </w:tc>
        <w:tc>
          <w:tcPr>
            <w:tcW w:w="40" w:type="dxa"/>
            <w:vAlign w:val="bottom"/>
          </w:tcPr>
          <w:p>
            <w:pPr>
              <w:spacing w:after="0"/>
              <w:rPr>
                <w:sz w:val="19"/>
                <w:szCs w:val="19"/>
                <w:color w:val="auto"/>
              </w:rPr>
            </w:pP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8"/>
        </w:trPr>
        <w:tc>
          <w:tcPr>
            <w:tcW w:w="20" w:type="dxa"/>
            <w:vAlign w:val="bottom"/>
            <w:tcBorders>
              <w:top w:val="single" w:sz="8" w:color="CCEEFF"/>
            </w:tcBorders>
            <w:shd w:val="clear" w:color="auto" w:fill="CCEEFF"/>
          </w:tcPr>
          <w:p>
            <w:pPr>
              <w:spacing w:after="0"/>
              <w:rPr>
                <w:sz w:val="19"/>
                <w:szCs w:val="19"/>
                <w:color w:val="auto"/>
              </w:rPr>
            </w:pPr>
          </w:p>
        </w:tc>
        <w:tc>
          <w:tcPr>
            <w:tcW w:w="52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franchise/area license restaurants permanently closed</w:t>
            </w:r>
          </w:p>
        </w:tc>
        <w:tc>
          <w:tcPr>
            <w:tcW w:w="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franchise/area license restaurant additions (reductions)</w:t>
            </w:r>
          </w:p>
        </w:tc>
        <w:tc>
          <w:tcPr>
            <w:tcW w:w="4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Refranchised by the Company</w:t>
            </w: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Franchise restaurants reacquired by the Company</w:t>
            </w:r>
          </w:p>
        </w:tc>
        <w:tc>
          <w:tcPr>
            <w:tcW w:w="40" w:type="dxa"/>
            <w:vAlign w:val="bottom"/>
          </w:tcPr>
          <w:p>
            <w:pPr>
              <w:spacing w:after="0"/>
              <w:rPr>
                <w:sz w:val="19"/>
                <w:szCs w:val="19"/>
                <w:color w:val="auto"/>
              </w:rPr>
            </w:pP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78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2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franchise/area license restaurants</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Summary - end of period:</w:t>
            </w:r>
          </w:p>
        </w:tc>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524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Franchise</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Area license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Company</w:t>
            </w:r>
          </w:p>
        </w:tc>
        <w:tc>
          <w:tcPr>
            <w:tcW w:w="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IHOP restaurants, end of period</w:t>
            </w:r>
          </w:p>
        </w:tc>
        <w:tc>
          <w:tcPr>
            <w:tcW w:w="4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1,764</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1,764</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2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Domestic</w:t>
            </w:r>
          </w:p>
        </w:tc>
        <w:tc>
          <w:tcPr>
            <w:tcW w:w="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International</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20"/>
          </w:cols>
          <w:pgMar w:left="320" w:top="11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320" w:top="118" w:right="6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8"/>
          <w:szCs w:val="18"/>
          <w:color w:val="auto"/>
        </w:rPr>
        <w:t>The restaurant counts and activity presented above do not include two domestic Applebee's ghost kitchens (small kitchens with no store-front presence, used to fill off-premise orders), 12 international Applebee's ghost kitchens and 28 international IHOP ghost kitchens.</w:t>
      </w:r>
    </w:p>
    <w:p>
      <w:pPr>
        <w:spacing w:after="0" w:line="190" w:lineRule="exact"/>
        <w:rPr>
          <w:sz w:val="20"/>
          <w:szCs w:val="20"/>
          <w:color w:val="auto"/>
        </w:rPr>
      </w:pPr>
    </w:p>
    <w:p>
      <w:pPr>
        <w:ind w:right="120" w:firstLine="318"/>
        <w:spacing w:after="0" w:line="259" w:lineRule="auto"/>
        <w:rPr>
          <w:sz w:val="20"/>
          <w:szCs w:val="20"/>
          <w:color w:val="auto"/>
        </w:rPr>
      </w:pPr>
      <w:r>
        <w:rPr>
          <w:rFonts w:ascii="Times New Roman" w:cs="Times New Roman" w:eastAsia="Times New Roman" w:hAnsi="Times New Roman"/>
          <w:sz w:val="18"/>
          <w:szCs w:val="18"/>
          <w:color w:val="auto"/>
        </w:rPr>
        <w:t>The closures presented in the tables above represent permanent closures of restaurants. Temporary closures, which can occur for a variety of reasons, are not reflected as reductions in this table and are included in the summary counts at the beginning and end of each period shown. Temporary closures are reflected in the weighted calculation of Effective Restaurants presented in the preceding Restaurant Data table.</w:t>
      </w:r>
    </w:p>
    <w:p>
      <w:pPr>
        <w:spacing w:after="0" w:line="204" w:lineRule="exact"/>
        <w:rPr>
          <w:sz w:val="20"/>
          <w:szCs w:val="20"/>
          <w:color w:val="auto"/>
        </w:rPr>
      </w:pPr>
    </w:p>
    <w:p>
      <w:pPr>
        <w:ind w:right="260" w:firstLine="318"/>
        <w:spacing w:after="0" w:line="255" w:lineRule="auto"/>
        <w:rPr>
          <w:sz w:val="20"/>
          <w:szCs w:val="20"/>
          <w:color w:val="auto"/>
        </w:rPr>
      </w:pPr>
      <w:r>
        <w:rPr>
          <w:rFonts w:ascii="Times New Roman" w:cs="Times New Roman" w:eastAsia="Times New Roman" w:hAnsi="Times New Roman"/>
          <w:sz w:val="18"/>
          <w:szCs w:val="18"/>
          <w:color w:val="auto"/>
        </w:rPr>
        <w:t>Closures of Applebee's and IHOP restaurants adversely impact our system-wide retail sales that drive our franchise royalty revenues as well as, in the case of IHOP restaurants, sales of proprietary pancake and waffle dry mix. Further, with certain restaurants, we own or lease the underlying property and sublease it to the applicable franchisee. Thus, our rental income also could be adversely affected due to the loss of such income, as well as our obligation to make rental or other payments for such properties.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the Three and Six Months Ended June 30, 2022 and 2021</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Pr>
          <w:p>
            <w:pPr>
              <w:spacing w:after="0"/>
              <w:rPr>
                <w:sz w:val="18"/>
                <w:szCs w:val="18"/>
                <w:color w:val="auto"/>
              </w:rPr>
            </w:pPr>
          </w:p>
        </w:tc>
        <w:tc>
          <w:tcPr>
            <w:tcW w:w="26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Favorable</w:t>
            </w:r>
          </w:p>
        </w:tc>
        <w:tc>
          <w:tcPr>
            <w:tcW w:w="400" w:type="dxa"/>
            <w:vAlign w:val="bottom"/>
          </w:tcPr>
          <w:p>
            <w:pPr>
              <w:spacing w:after="0"/>
              <w:rPr>
                <w:sz w:val="18"/>
                <w:szCs w:val="18"/>
                <w:color w:val="auto"/>
              </w:rPr>
            </w:pPr>
          </w:p>
        </w:tc>
        <w:tc>
          <w:tcPr>
            <w:tcW w:w="24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40" w:type="dxa"/>
            <w:vAlign w:val="bottom"/>
          </w:tcPr>
          <w:p>
            <w:pPr>
              <w:spacing w:after="0"/>
              <w:rPr>
                <w:sz w:val="18"/>
                <w:szCs w:val="18"/>
                <w:color w:val="auto"/>
              </w:rPr>
            </w:pPr>
          </w:p>
        </w:tc>
        <w:tc>
          <w:tcPr>
            <w:tcW w:w="10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restart"/>
          </w:tcPr>
          <w:p>
            <w:pPr>
              <w:jc w:val="center"/>
              <w:ind w:right="220"/>
              <w:spacing w:after="0" w:line="82" w:lineRule="exact"/>
              <w:rPr>
                <w:sz w:val="20"/>
                <w:szCs w:val="20"/>
                <w:color w:val="auto"/>
              </w:rPr>
            </w:pPr>
            <w:r>
              <w:rPr>
                <w:rFonts w:ascii="Times New Roman" w:cs="Times New Roman" w:eastAsia="Times New Roman" w:hAnsi="Times New Roman"/>
                <w:sz w:val="9"/>
                <w:szCs w:val="9"/>
                <w:b w:val="1"/>
                <w:bCs w:val="1"/>
                <w:color w:val="auto"/>
              </w:rPr>
              <w:t>(Unfavorable)</w:t>
            </w: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restart"/>
          </w:tcPr>
          <w:p>
            <w:pPr>
              <w:jc w:val="center"/>
              <w:ind w:right="61"/>
              <w:spacing w:after="0" w:line="82" w:lineRule="exact"/>
              <w:rPr>
                <w:sz w:val="20"/>
                <w:szCs w:val="20"/>
                <w:color w:val="auto"/>
              </w:rPr>
            </w:pPr>
            <w:r>
              <w:rPr>
                <w:rFonts w:ascii="Times New Roman" w:cs="Times New Roman" w:eastAsia="Times New Roman" w:hAnsi="Times New Roman"/>
                <w:sz w:val="9"/>
                <w:szCs w:val="9"/>
                <w:b w:val="1"/>
                <w:bCs w:val="1"/>
                <w:color w:val="auto"/>
              </w:rPr>
              <w:t>(Unfavorable)</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vMerge w:val="restart"/>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vMerge w:val="restart"/>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operations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168.3</w:t>
            </w:r>
          </w:p>
        </w:tc>
        <w:tc>
          <w:tcPr>
            <w:tcW w:w="40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329.5</w:t>
            </w:r>
          </w:p>
        </w:tc>
        <w:tc>
          <w:tcPr>
            <w:tcW w:w="38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Rental operations</w:t>
            </w:r>
          </w:p>
        </w:tc>
        <w:tc>
          <w:tcPr>
            <w:tcW w:w="24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Financing operations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237.8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468.2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Change vs. prior period</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6.9 %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Total revenue for the three and six months ended June 30, 2022 increased compared with the same period of the prior year. As discussed under “</w:t>
      </w:r>
      <w:r>
        <w:rPr>
          <w:rFonts w:ascii="Times New Roman" w:cs="Times New Roman" w:eastAsia="Times New Roman" w:hAnsi="Times New Roman"/>
          <w:sz w:val="18"/>
          <w:szCs w:val="18"/>
          <w:i w:val="1"/>
          <w:iCs w:val="1"/>
          <w:color w:val="auto"/>
        </w:rPr>
        <w:t>Events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Impacting the Comparability of Financial Information</w:t>
      </w:r>
      <w:r>
        <w:rPr>
          <w:rFonts w:ascii="Times New Roman" w:cs="Times New Roman" w:eastAsia="Times New Roman" w:hAnsi="Times New Roman"/>
          <w:sz w:val="18"/>
          <w:szCs w:val="18"/>
          <w:color w:val="auto"/>
        </w:rPr>
        <w:t>,” during the 2022 period, many governmental authorities relaxed or eliminated restrictions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restaurant operations that had been in place during the 2021 period in response to declines in the number of COVID-19 infections, the availability of vaccines and an increase of the number of vaccinated individuals within their respective jurisdictions. This had a favorable impact on same-restaurant sales and customer traffic in our franchise and company restaurant operations as well as a favorable impact on rental revenue based on a percentage of franchisees' retail sales.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Pr>
          <w:p>
            <w:pPr>
              <w:spacing w:after="0"/>
              <w:rPr>
                <w:sz w:val="18"/>
                <w:szCs w:val="18"/>
                <w:color w:val="auto"/>
              </w:rPr>
            </w:pPr>
          </w:p>
        </w:tc>
        <w:tc>
          <w:tcPr>
            <w:tcW w:w="260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Favorable</w:t>
            </w:r>
          </w:p>
        </w:tc>
        <w:tc>
          <w:tcPr>
            <w:tcW w:w="300" w:type="dxa"/>
            <w:vAlign w:val="bottom"/>
          </w:tcPr>
          <w:p>
            <w:pPr>
              <w:spacing w:after="0"/>
              <w:rPr>
                <w:sz w:val="18"/>
                <w:szCs w:val="18"/>
                <w:color w:val="auto"/>
              </w:rPr>
            </w:pPr>
          </w:p>
        </w:tc>
        <w:tc>
          <w:tcPr>
            <w:tcW w:w="23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40" w:type="dxa"/>
            <w:vAlign w:val="bottom"/>
          </w:tcPr>
          <w:p>
            <w:pPr>
              <w:spacing w:after="0"/>
              <w:rPr>
                <w:sz w:val="18"/>
                <w:szCs w:val="18"/>
                <w:color w:val="auto"/>
              </w:rPr>
            </w:pPr>
          </w:p>
        </w:tc>
        <w:tc>
          <w:tcPr>
            <w:tcW w:w="10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vMerge w:val="restart"/>
          </w:tcPr>
          <w:p>
            <w:pPr>
              <w:jc w:val="center"/>
              <w:ind w:right="300"/>
              <w:spacing w:after="0" w:line="80" w:lineRule="exact"/>
              <w:rPr>
                <w:sz w:val="20"/>
                <w:szCs w:val="20"/>
                <w:color w:val="auto"/>
              </w:rPr>
            </w:pPr>
            <w:r>
              <w:rPr>
                <w:rFonts w:ascii="Times New Roman" w:cs="Times New Roman" w:eastAsia="Times New Roman" w:hAnsi="Times New Roman"/>
                <w:sz w:val="9"/>
                <w:szCs w:val="9"/>
                <w:b w:val="1"/>
                <w:bCs w:val="1"/>
                <w:color w:val="auto"/>
              </w:rPr>
              <w:t>(Unfavorable)</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vMerge w:val="restart"/>
          </w:tcPr>
          <w:p>
            <w:pPr>
              <w:jc w:val="center"/>
              <w:ind w:right="61"/>
              <w:spacing w:after="0" w:line="80" w:lineRule="exact"/>
              <w:rPr>
                <w:sz w:val="20"/>
                <w:szCs w:val="20"/>
                <w:color w:val="auto"/>
              </w:rPr>
            </w:pPr>
            <w:r>
              <w:rPr>
                <w:rFonts w:ascii="Times New Roman" w:cs="Times New Roman" w:eastAsia="Times New Roman" w:hAnsi="Times New Roman"/>
                <w:sz w:val="9"/>
                <w:szCs w:val="9"/>
                <w:b w:val="1"/>
                <w:bCs w:val="1"/>
                <w:color w:val="auto"/>
              </w:rPr>
              <w:t>(Unfavorable)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vMerge w:val="restart"/>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vMerge w:val="restart"/>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operations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86.0</w:t>
            </w:r>
          </w:p>
        </w:tc>
        <w:tc>
          <w:tcPr>
            <w:tcW w:w="38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8"/>
              </w:rPr>
              <w:t>(1.7)</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169.2</w:t>
            </w:r>
          </w:p>
        </w:tc>
        <w:tc>
          <w:tcPr>
            <w:tcW w:w="38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661"/>
              <w:spacing w:after="0"/>
              <w:rPr>
                <w:sz w:val="20"/>
                <w:szCs w:val="20"/>
                <w:color w:val="auto"/>
              </w:rPr>
            </w:pPr>
            <w:r>
              <w:rPr>
                <w:rFonts w:ascii="Times New Roman" w:cs="Times New Roman" w:eastAsia="Times New Roman" w:hAnsi="Times New Roman"/>
                <w:sz w:val="18"/>
                <w:szCs w:val="18"/>
                <w:color w:val="auto"/>
                <w:w w:val="97"/>
              </w:rPr>
              <w:t>5.5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Rental operations</w:t>
            </w:r>
          </w:p>
        </w:tc>
        <w:tc>
          <w:tcPr>
            <w:tcW w:w="22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left="661"/>
              <w:spacing w:after="0"/>
              <w:rPr>
                <w:sz w:val="20"/>
                <w:szCs w:val="20"/>
                <w:color w:val="auto"/>
              </w:rPr>
            </w:pPr>
            <w:r>
              <w:rPr>
                <w:rFonts w:ascii="Times New Roman" w:cs="Times New Roman" w:eastAsia="Times New Roman" w:hAnsi="Times New Roman"/>
                <w:sz w:val="18"/>
                <w:szCs w:val="18"/>
                <w:color w:val="auto"/>
                <w:w w:val="97"/>
              </w:rPr>
              <w:t>2.0</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8"/>
              </w:rPr>
              <w:t>(1.8)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621"/>
              <w:spacing w:after="0"/>
              <w:rPr>
                <w:sz w:val="20"/>
                <w:szCs w:val="20"/>
                <w:color w:val="auto"/>
              </w:rPr>
            </w:pPr>
            <w:r>
              <w:rPr>
                <w:rFonts w:ascii="Times New Roman" w:cs="Times New Roman" w:eastAsia="Times New Roman" w:hAnsi="Times New Roman"/>
                <w:sz w:val="18"/>
                <w:szCs w:val="18"/>
                <w:color w:val="auto"/>
                <w:w w:val="98"/>
              </w:rPr>
              <w:t>(2.9)</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3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Financing operations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8"/>
              </w:rPr>
              <w:t>(0.1)</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621"/>
              <w:spacing w:after="0"/>
              <w:rPr>
                <w:sz w:val="20"/>
                <w:szCs w:val="20"/>
                <w:color w:val="auto"/>
              </w:rPr>
            </w:pPr>
            <w:r>
              <w:rPr>
                <w:rFonts w:ascii="Times New Roman" w:cs="Times New Roman" w:eastAsia="Times New Roman" w:hAnsi="Times New Roman"/>
                <w:sz w:val="18"/>
                <w:szCs w:val="18"/>
                <w:color w:val="auto"/>
                <w:w w:val="98"/>
              </w:rPr>
              <w:t>(0.3)</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8"/>
              </w:rPr>
              <w:t>(3.2)</w:t>
            </w: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center"/>
              <w:ind w:left="661"/>
              <w:spacing w:after="0"/>
              <w:rPr>
                <w:sz w:val="20"/>
                <w:szCs w:val="20"/>
                <w:color w:val="auto"/>
              </w:rPr>
            </w:pPr>
            <w:r>
              <w:rPr>
                <w:rFonts w:ascii="Times New Roman" w:cs="Times New Roman" w:eastAsia="Times New Roman" w:hAnsi="Times New Roman"/>
                <w:sz w:val="18"/>
                <w:szCs w:val="18"/>
                <w:color w:val="auto"/>
                <w:w w:val="97"/>
              </w:rPr>
              <w:t>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3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Change vs. prior period</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20" w:firstLine="318"/>
        <w:spacing w:after="0" w:line="243" w:lineRule="auto"/>
        <w:rPr>
          <w:sz w:val="20"/>
          <w:szCs w:val="20"/>
          <w:color w:val="auto"/>
        </w:rPr>
      </w:pPr>
      <w:r>
        <w:rPr>
          <w:rFonts w:ascii="Times New Roman" w:cs="Times New Roman" w:eastAsia="Times New Roman" w:hAnsi="Times New Roman"/>
          <w:sz w:val="18"/>
          <w:szCs w:val="18"/>
          <w:color w:val="auto"/>
        </w:rPr>
        <w:t>Total gross profit for the three months ended June 30, 2022 decreased compared with the same period of the prior year, primarily due to increased costs of food, beverage and labor in company restaurant operations, along with an increase in the cost of proprietary products for franchise operations, partially offset by rental operations.</w:t>
      </w:r>
    </w:p>
    <w:p>
      <w:pPr>
        <w:ind w:right="640" w:firstLine="318"/>
        <w:spacing w:after="0" w:line="280" w:lineRule="auto"/>
        <w:rPr>
          <w:sz w:val="20"/>
          <w:szCs w:val="20"/>
          <w:color w:val="auto"/>
        </w:rPr>
      </w:pPr>
      <w:r>
        <w:rPr>
          <w:rFonts w:ascii="Times New Roman" w:cs="Times New Roman" w:eastAsia="Times New Roman" w:hAnsi="Times New Roman"/>
          <w:sz w:val="17"/>
          <w:szCs w:val="17"/>
          <w:color w:val="auto"/>
        </w:rPr>
        <w:t>Total gross profit for the six months ended June 30, 2022 increased compared with the same period of the prior year, primarily due to the increased revenue from franchise and rental operations, partially offset by higher costs of food, beverage and labor in company restaurant operations.</w:t>
      </w:r>
    </w:p>
    <w:p>
      <w:pPr>
        <w:spacing w:after="0" w:line="200" w:lineRule="exact"/>
        <w:rPr>
          <w:sz w:val="20"/>
          <w:szCs w:val="20"/>
          <w:color w:val="auto"/>
        </w:rPr>
      </w:pPr>
    </w:p>
    <w:p>
      <w:pPr>
        <w:spacing w:after="0" w:line="219"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40" w:type="dxa"/>
            <w:vAlign w:val="bottom"/>
            <w:gridSpan w:val="5"/>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60" w:type="dxa"/>
            <w:vAlign w:val="bottom"/>
          </w:tcPr>
          <w:p>
            <w:pPr>
              <w:spacing w:after="0"/>
              <w:rPr>
                <w:sz w:val="16"/>
                <w:szCs w:val="16"/>
                <w:color w:val="auto"/>
              </w:rPr>
            </w:pPr>
          </w:p>
        </w:tc>
        <w:tc>
          <w:tcPr>
            <w:tcW w:w="2120" w:type="dxa"/>
            <w:vAlign w:val="bottom"/>
            <w:gridSpan w:val="4"/>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Franchise Operations</w:t>
            </w: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restart"/>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(Unfavorable)</w:t>
            </w: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vMerge w:val="restart"/>
          </w:tcPr>
          <w:p>
            <w:pPr>
              <w:jc w:val="right"/>
              <w:spacing w:after="0" w:line="108" w:lineRule="exact"/>
              <w:rPr>
                <w:sz w:val="20"/>
                <w:szCs w:val="20"/>
                <w:color w:val="auto"/>
              </w:rPr>
            </w:pPr>
            <w:r>
              <w:rPr>
                <w:rFonts w:ascii="Times New Roman" w:cs="Times New Roman" w:eastAsia="Times New Roman" w:hAnsi="Times New Roman"/>
                <w:sz w:val="12"/>
                <w:szCs w:val="12"/>
                <w:b w:val="1"/>
                <w:bCs w:val="1"/>
                <w:color w:val="auto"/>
              </w:rPr>
              <w:t>(Unfavorable</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412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1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780" w:type="dxa"/>
            <w:vAlign w:val="bottom"/>
            <w:gridSpan w:val="8"/>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(In millions, except number of restaurants)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Franchise Restaurants:</w:t>
            </w:r>
            <w:r>
              <w:rPr>
                <w:rFonts w:ascii="Times New Roman" w:cs="Times New Roman" w:eastAsia="Times New Roman" w:hAnsi="Times New Roman"/>
                <w:sz w:val="10"/>
                <w:szCs w:val="10"/>
                <w:color w:val="auto"/>
              </w:rPr>
              <w:t>(1)</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Applebee’s</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12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IHOP</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4120" w:type="dxa"/>
            <w:vAlign w:val="bottom"/>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2"/>
              <w:spacing w:after="0" w:line="198" w:lineRule="exact"/>
              <w:rPr>
                <w:sz w:val="20"/>
                <w:szCs w:val="20"/>
                <w:color w:val="auto"/>
              </w:rPr>
            </w:pPr>
            <w:r>
              <w:rPr>
                <w:rFonts w:ascii="Times New Roman" w:cs="Times New Roman" w:eastAsia="Times New Roman" w:hAnsi="Times New Roman"/>
                <w:sz w:val="18"/>
                <w:szCs w:val="18"/>
                <w:color w:val="auto"/>
              </w:rPr>
              <w:t>1,749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2"/>
              <w:spacing w:after="0" w:line="198" w:lineRule="exact"/>
              <w:rPr>
                <w:sz w:val="20"/>
                <w:szCs w:val="20"/>
                <w:color w:val="auto"/>
              </w:rPr>
            </w:pPr>
            <w:r>
              <w:rPr>
                <w:rFonts w:ascii="Times New Roman" w:cs="Times New Roman" w:eastAsia="Times New Roman" w:hAnsi="Times New Roman"/>
                <w:sz w:val="18"/>
                <w:szCs w:val="18"/>
                <w:color w:val="auto"/>
              </w:rPr>
              <w:t>1,723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3"/>
              <w:spacing w:after="0" w:line="198" w:lineRule="exact"/>
              <w:rPr>
                <w:sz w:val="20"/>
                <w:szCs w:val="20"/>
                <w:color w:val="auto"/>
              </w:rPr>
            </w:pPr>
            <w:r>
              <w:rPr>
                <w:rFonts w:ascii="Times New Roman" w:cs="Times New Roman" w:eastAsia="Times New Roman" w:hAnsi="Times New Roman"/>
                <w:sz w:val="18"/>
                <w:szCs w:val="18"/>
                <w:color w:val="auto"/>
              </w:rPr>
              <w:t>1,746</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2"/>
              <w:spacing w:after="0" w:line="198" w:lineRule="exact"/>
              <w:rPr>
                <w:sz w:val="20"/>
                <w:szCs w:val="20"/>
                <w:color w:val="auto"/>
              </w:rPr>
            </w:pPr>
            <w:r>
              <w:rPr>
                <w:rFonts w:ascii="Times New Roman" w:cs="Times New Roman" w:eastAsia="Times New Roman" w:hAnsi="Times New Roman"/>
                <w:sz w:val="18"/>
                <w:szCs w:val="18"/>
                <w:color w:val="auto"/>
              </w:rPr>
              <w:t>1,722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Franchise Revenues: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41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Applebee’s franchise fees</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82.5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IHOP franchise fees</w:t>
            </w:r>
          </w:p>
        </w:tc>
        <w:tc>
          <w:tcPr>
            <w:tcW w:w="240" w:type="dxa"/>
            <w:vAlign w:val="bottom"/>
          </w:tcPr>
          <w:p>
            <w:pPr>
              <w:spacing w:after="0"/>
              <w:rPr>
                <w:sz w:val="19"/>
                <w:szCs w:val="19"/>
                <w:color w:val="auto"/>
              </w:rPr>
            </w:pP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Advertising fees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franchise revenues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329.5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Franchise Expenses: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Applebee’s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IHOP</w:t>
            </w:r>
          </w:p>
        </w:tc>
        <w:tc>
          <w:tcPr>
            <w:tcW w:w="240" w:type="dxa"/>
            <w:vAlign w:val="bottom"/>
          </w:tcPr>
          <w:p>
            <w:pPr>
              <w:spacing w:after="0"/>
              <w:rPr>
                <w:sz w:val="19"/>
                <w:szCs w:val="19"/>
                <w:color w:val="auto"/>
              </w:rPr>
            </w:pP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Advertising expenses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franchise expenses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Franchise Gross Profit:</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Applebee’s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41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IHOP</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franchise gross profit</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12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color w:val="auto"/>
              </w:rPr>
              <w:t xml:space="preserve">Gross profit as % of franchise revenue </w:t>
            </w:r>
            <w:r>
              <w:rPr>
                <w:rFonts w:ascii="Times New Roman" w:cs="Times New Roman" w:eastAsia="Times New Roman" w:hAnsi="Times New Roman"/>
                <w:sz w:val="22"/>
                <w:szCs w:val="22"/>
                <w:color w:val="auto"/>
                <w:vertAlign w:val="superscript"/>
              </w:rPr>
              <w:t>(2)</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51.1 %</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52.5 %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51.3 %</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53.2 %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120" w:type="dxa"/>
            <w:vAlign w:val="bottom"/>
            <w:gridSpan w:val="2"/>
          </w:tcPr>
          <w:p>
            <w:pPr>
              <w:spacing w:after="0" w:line="219" w:lineRule="exact"/>
              <w:rPr>
                <w:sz w:val="20"/>
                <w:szCs w:val="20"/>
                <w:color w:val="auto"/>
              </w:rPr>
            </w:pPr>
            <w:r>
              <w:rPr>
                <w:rFonts w:ascii="Times New Roman" w:cs="Times New Roman" w:eastAsia="Times New Roman" w:hAnsi="Times New Roman"/>
                <w:sz w:val="18"/>
                <w:szCs w:val="18"/>
                <w:color w:val="auto"/>
              </w:rPr>
              <w:t xml:space="preserve">Gross profit as % of franchise fees </w:t>
            </w:r>
            <w:r>
              <w:rPr>
                <w:rFonts w:ascii="Times New Roman" w:cs="Times New Roman" w:eastAsia="Times New Roman" w:hAnsi="Times New Roman"/>
                <w:sz w:val="22"/>
                <w:szCs w:val="22"/>
                <w:color w:val="auto"/>
                <w:vertAlign w:val="superscript"/>
              </w:rPr>
              <w:t>(2)(3)</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91.3 %</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91.7 %</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17" w:lineRule="exact"/>
        <w:rPr>
          <w:sz w:val="20"/>
          <w:szCs w:val="20"/>
          <w:color w:val="auto"/>
        </w:rPr>
      </w:pPr>
    </w:p>
    <w:p>
      <w:pPr>
        <w:ind w:left="160" w:right="220" w:hanging="154"/>
        <w:spacing w:after="0" w:line="253" w:lineRule="auto"/>
        <w:tabs>
          <w:tab w:leader="none" w:pos="131"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Effective Franchise Restaurants are the weighted average number of franchise and area license restaurants open in each fiscal period, adjusted to account for restaurants open for only a portion of the period.</w:t>
      </w:r>
    </w:p>
    <w:p>
      <w:pPr>
        <w:ind w:left="140" w:hanging="134"/>
        <w:spacing w:after="0" w:line="211" w:lineRule="auto"/>
        <w:tabs>
          <w:tab w:leader="none" w:pos="14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Percentages calculated on actual amounts, not rounded amounts presented above.</w:t>
      </w:r>
    </w:p>
    <w:p>
      <w:pPr>
        <w:spacing w:after="0" w:line="4" w:lineRule="exact"/>
        <w:rPr>
          <w:rFonts w:ascii="Times New Roman" w:cs="Times New Roman" w:eastAsia="Times New Roman" w:hAnsi="Times New Roman"/>
          <w:sz w:val="17"/>
          <w:szCs w:val="17"/>
          <w:color w:val="auto"/>
          <w:vertAlign w:val="superscript"/>
        </w:rPr>
      </w:pPr>
    </w:p>
    <w:p>
      <w:pPr>
        <w:ind w:left="160" w:right="360" w:hanging="154"/>
        <w:spacing w:after="0"/>
        <w:tabs>
          <w:tab w:leader="none" w:pos="143"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From time to time, advertising fee revenue may be different from advertising expenses in a given accounting period. Over the long-term, advertising activity should not generate gross profit or loss.</w:t>
      </w:r>
    </w:p>
    <w:p>
      <w:pPr>
        <w:spacing w:after="0" w:line="349" w:lineRule="exact"/>
        <w:rPr>
          <w:sz w:val="20"/>
          <w:szCs w:val="20"/>
          <w:color w:val="auto"/>
        </w:rPr>
      </w:pPr>
    </w:p>
    <w:p>
      <w:pPr>
        <w:ind w:right="180" w:firstLine="318"/>
        <w:spacing w:after="0" w:line="258" w:lineRule="auto"/>
        <w:rPr>
          <w:sz w:val="20"/>
          <w:szCs w:val="20"/>
          <w:color w:val="auto"/>
        </w:rPr>
      </w:pPr>
      <w:r>
        <w:rPr>
          <w:rFonts w:ascii="Times New Roman" w:cs="Times New Roman" w:eastAsia="Times New Roman" w:hAnsi="Times New Roman"/>
          <w:sz w:val="18"/>
          <w:szCs w:val="18"/>
          <w:color w:val="auto"/>
        </w:rPr>
        <w:t>Applebee’s franchise fee revenue for the three months ended June 30, 2022 was flat compared with the same period of the prior year, primarily due to the favorable impact on royalties of an 1.8% increase in domestic same-restaurant sales offset by a decrease in the effective restaurant count.</w:t>
      </w:r>
    </w:p>
    <w:p>
      <w:pPr>
        <w:spacing w:after="0" w:line="191" w:lineRule="exact"/>
        <w:rPr>
          <w:sz w:val="20"/>
          <w:szCs w:val="20"/>
          <w:color w:val="auto"/>
        </w:rPr>
      </w:pPr>
    </w:p>
    <w:p>
      <w:pPr>
        <w:ind w:right="200" w:firstLine="318"/>
        <w:spacing w:after="0" w:line="244" w:lineRule="auto"/>
        <w:rPr>
          <w:sz w:val="20"/>
          <w:szCs w:val="20"/>
          <w:color w:val="auto"/>
        </w:rPr>
      </w:pPr>
      <w:r>
        <w:rPr>
          <w:rFonts w:ascii="Times New Roman" w:cs="Times New Roman" w:eastAsia="Times New Roman" w:hAnsi="Times New Roman"/>
          <w:sz w:val="18"/>
          <w:szCs w:val="18"/>
          <w:color w:val="auto"/>
        </w:rPr>
        <w:t>Applebee's franchise fee revenue for the six months ended June 30, 2022 increased 6.6% as compared with the same period of the prior year, primarily due to the favorable impact on royalties of a 7.6% increase in domestic same-restaurant sales. Applebee's international revenues increased $0.9 million due to an improvement in sales.</w:t>
      </w:r>
    </w:p>
    <w:p>
      <w:pPr>
        <w:spacing w:after="0" w:line="203" w:lineRule="exact"/>
        <w:rPr>
          <w:sz w:val="20"/>
          <w:szCs w:val="20"/>
          <w:color w:val="auto"/>
        </w:rPr>
      </w:pPr>
    </w:p>
    <w:p>
      <w:pPr>
        <w:ind w:right="520" w:firstLine="318"/>
        <w:spacing w:after="0" w:line="258" w:lineRule="auto"/>
        <w:rPr>
          <w:sz w:val="20"/>
          <w:szCs w:val="20"/>
          <w:color w:val="auto"/>
        </w:rPr>
      </w:pPr>
      <w:r>
        <w:rPr>
          <w:rFonts w:ascii="Times New Roman" w:cs="Times New Roman" w:eastAsia="Times New Roman" w:hAnsi="Times New Roman"/>
          <w:sz w:val="18"/>
          <w:szCs w:val="18"/>
          <w:color w:val="auto"/>
        </w:rPr>
        <w:t>Applebee's franchise expenses for the three months ended June 30, 2022 was flat compared with the same period of the prior year, primarily due to a slightly lower recovery of bad debt.</w:t>
      </w:r>
    </w:p>
    <w:p>
      <w:pPr>
        <w:spacing w:after="0" w:line="204"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8"/>
          <w:szCs w:val="18"/>
          <w:color w:val="auto"/>
        </w:rPr>
        <w:t>Applebee's franchise expenses for the six months ended June 30, 2022 decreased $0.1 million compared with the same period of the prior year, primarily due to a higher recovery of bad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40" w:firstLine="318"/>
        <w:spacing w:after="0" w:line="259" w:lineRule="auto"/>
        <w:rPr>
          <w:sz w:val="20"/>
          <w:szCs w:val="20"/>
          <w:color w:val="auto"/>
        </w:rPr>
      </w:pPr>
      <w:r>
        <w:rPr>
          <w:rFonts w:ascii="Times New Roman" w:cs="Times New Roman" w:eastAsia="Times New Roman" w:hAnsi="Times New Roman"/>
          <w:sz w:val="18"/>
          <w:szCs w:val="18"/>
          <w:color w:val="auto"/>
        </w:rPr>
        <w:t>IHOP franchise fee revenue for the three months ended June 30, 2022 decreased $0.5 million compared with the same period of the prior year, primarily due to a $1.6 million decrease in international termination fees, a $1.3 million decrease in domestic termination and other franchise fees partially offset by higher royalty revenues from a 3.6% increase in domestic franchise same-restaurant sales.</w:t>
      </w:r>
    </w:p>
    <w:p>
      <w:pPr>
        <w:spacing w:after="0" w:line="191" w:lineRule="exact"/>
        <w:rPr>
          <w:sz w:val="20"/>
          <w:szCs w:val="20"/>
          <w:color w:val="auto"/>
        </w:rPr>
      </w:pPr>
    </w:p>
    <w:p>
      <w:pPr>
        <w:ind w:right="240" w:firstLine="318"/>
        <w:spacing w:after="0" w:line="244" w:lineRule="auto"/>
        <w:rPr>
          <w:sz w:val="20"/>
          <w:szCs w:val="20"/>
          <w:color w:val="auto"/>
        </w:rPr>
      </w:pPr>
      <w:r>
        <w:rPr>
          <w:rFonts w:ascii="Times New Roman" w:cs="Times New Roman" w:eastAsia="Times New Roman" w:hAnsi="Times New Roman"/>
          <w:sz w:val="18"/>
          <w:szCs w:val="18"/>
          <w:color w:val="auto"/>
        </w:rPr>
        <w:t>IHOP franchise fee revenue for the six months ended June 30, 2022 increased 4.7% as compared with the same period of the prior year, primarily due to the favorable impact on royalties and pancake and waffle dry mix revenue of a 10.1% increase in domestic same-restaurant sales, partially offset by a $3.0 million decrease in domestic termination and other franchise fees and a $1.6 million decrease in international termination fees.</w:t>
      </w:r>
    </w:p>
    <w:p>
      <w:pPr>
        <w:spacing w:after="0" w:line="203" w:lineRule="exact"/>
        <w:rPr>
          <w:sz w:val="20"/>
          <w:szCs w:val="20"/>
          <w:color w:val="auto"/>
        </w:rPr>
      </w:pPr>
    </w:p>
    <w:p>
      <w:pPr>
        <w:ind w:right="220" w:firstLine="318"/>
        <w:spacing w:after="0" w:line="258" w:lineRule="auto"/>
        <w:rPr>
          <w:sz w:val="20"/>
          <w:szCs w:val="20"/>
          <w:color w:val="auto"/>
        </w:rPr>
      </w:pPr>
      <w:r>
        <w:rPr>
          <w:rFonts w:ascii="Times New Roman" w:cs="Times New Roman" w:eastAsia="Times New Roman" w:hAnsi="Times New Roman"/>
          <w:sz w:val="18"/>
          <w:szCs w:val="18"/>
          <w:color w:val="auto"/>
        </w:rPr>
        <w:t>IHOP franchise expenses for the three months ended June 30, 2022 increased $1.2 million as compared with same period of the prior year, primarily due to an increase in the cost of proprietary products and an increase in franchisor contributions to the advertising fund.</w:t>
      </w:r>
    </w:p>
    <w:p>
      <w:pPr>
        <w:spacing w:after="0" w:line="191" w:lineRule="exact"/>
        <w:rPr>
          <w:sz w:val="20"/>
          <w:szCs w:val="20"/>
          <w:color w:val="auto"/>
        </w:rPr>
      </w:pPr>
    </w:p>
    <w:p>
      <w:pPr>
        <w:jc w:val="both"/>
        <w:ind w:right="140" w:firstLine="318"/>
        <w:spacing w:after="0" w:line="237" w:lineRule="auto"/>
        <w:rPr>
          <w:sz w:val="20"/>
          <w:szCs w:val="20"/>
          <w:color w:val="auto"/>
        </w:rPr>
      </w:pPr>
      <w:r>
        <w:rPr>
          <w:rFonts w:ascii="Times New Roman" w:cs="Times New Roman" w:eastAsia="Times New Roman" w:hAnsi="Times New Roman"/>
          <w:sz w:val="18"/>
          <w:szCs w:val="18"/>
          <w:color w:val="auto"/>
        </w:rPr>
        <w:t>IHOP franchise expenses for the six months ended June 30, 2022 increased $4.4 million as compared with same period of the prior year, primarily due to a lower recovery of bad debt expense of $2.0 million, an increase in the cost of proprietary products (primarily pancake and waffle dry mix) and an increase in franchisor contributions to the advertising fund.</w:t>
      </w:r>
    </w:p>
    <w:p>
      <w:pPr>
        <w:spacing w:after="0" w:line="200" w:lineRule="exact"/>
        <w:rPr>
          <w:sz w:val="20"/>
          <w:szCs w:val="20"/>
          <w:color w:val="auto"/>
        </w:rPr>
      </w:pPr>
    </w:p>
    <w:p>
      <w:pPr>
        <w:spacing w:after="0" w:line="2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Advertising revenue and expense by brand for the three and six months ended June 30, 2022 and 2021 were as follows:</w:t>
      </w:r>
    </w:p>
    <w:p>
      <w:pPr>
        <w:spacing w:after="0" w:line="118"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4340" w:type="dxa"/>
            <w:vAlign w:val="bottom"/>
          </w:tcPr>
          <w:p>
            <w:pPr>
              <w:spacing w:after="0"/>
              <w:rPr>
                <w:sz w:val="16"/>
                <w:szCs w:val="16"/>
                <w:color w:val="auto"/>
              </w:rPr>
            </w:pPr>
          </w:p>
        </w:tc>
        <w:tc>
          <w:tcPr>
            <w:tcW w:w="2120" w:type="dxa"/>
            <w:vAlign w:val="bottom"/>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120" w:type="dxa"/>
            <w:vAlign w:val="bottom"/>
          </w:tcPr>
          <w:p>
            <w:pPr>
              <w:spacing w:after="0"/>
              <w:rPr>
                <w:sz w:val="16"/>
                <w:szCs w:val="16"/>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Favorable</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restart"/>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8"/>
              </w:rPr>
              <w:t>Favorable</w:t>
            </w:r>
          </w:p>
        </w:tc>
        <w:tc>
          <w:tcPr>
            <w:tcW w:w="0" w:type="dxa"/>
            <w:vAlign w:val="bottom"/>
          </w:tcPr>
          <w:p>
            <w:pPr>
              <w:spacing w:after="0"/>
              <w:rPr>
                <w:sz w:val="1"/>
                <w:szCs w:val="1"/>
                <w:color w:val="auto"/>
              </w:rPr>
            </w:pPr>
          </w:p>
        </w:tc>
      </w:tr>
      <w:tr>
        <w:trPr>
          <w:trHeight w:val="95"/>
        </w:trPr>
        <w:tc>
          <w:tcPr>
            <w:tcW w:w="4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gridSpan w:val="3"/>
            <w:vMerge w:val="restart"/>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160" w:type="dxa"/>
            <w:vAlign w:val="bottom"/>
            <w:gridSpan w:val="6"/>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4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gridSpan w:val="3"/>
            <w:vMerge w:val="continue"/>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216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21"/>
              <w:spacing w:after="0" w:line="116"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205"/>
        </w:trPr>
        <w:tc>
          <w:tcPr>
            <w:tcW w:w="43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0" w:type="dxa"/>
            <w:vAlign w:val="bottom"/>
          </w:tcPr>
          <w:p>
            <w:pPr>
              <w:spacing w:after="0"/>
              <w:rPr>
                <w:sz w:val="1"/>
                <w:szCs w:val="1"/>
                <w:color w:val="auto"/>
              </w:rPr>
            </w:pPr>
          </w:p>
        </w:tc>
      </w:tr>
      <w:tr>
        <w:trPr>
          <w:trHeight w:val="180"/>
        </w:trPr>
        <w:tc>
          <w:tcPr>
            <w:tcW w:w="4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Revenues and Expenses: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Applebee’s</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36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5"/>
        </w:trPr>
        <w:tc>
          <w:tcPr>
            <w:tcW w:w="4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IHOP</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3"/>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advertising revenues and expenses</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right="380" w:firstLine="318"/>
        <w:spacing w:after="0" w:line="239" w:lineRule="auto"/>
        <w:rPr>
          <w:sz w:val="20"/>
          <w:szCs w:val="20"/>
          <w:color w:val="auto"/>
        </w:rPr>
      </w:pPr>
      <w:r>
        <w:rPr>
          <w:rFonts w:ascii="Times New Roman" w:cs="Times New Roman" w:eastAsia="Times New Roman" w:hAnsi="Times New Roman"/>
          <w:sz w:val="18"/>
          <w:szCs w:val="18"/>
          <w:color w:val="auto"/>
        </w:rPr>
        <w:t>Applebee’s advertising revenue and expense for the three months ended June 30, 2022 increased 1.0% compared to the same period of the prior year, primarily due to the 1.8% increase in domestic franchise same-restaurant sales. IHOP advertising revenue and expense for the three months ended June 30, 2022 increased 5.1% compared to the same period of the prior year primarily, due to the 3.6% increase in domestic franchise same-restaurant sales and the reopening of restaurants temporarily closed during the prior year period.</w:t>
      </w:r>
    </w:p>
    <w:p>
      <w:pPr>
        <w:spacing w:after="0" w:line="209" w:lineRule="exact"/>
        <w:rPr>
          <w:sz w:val="20"/>
          <w:szCs w:val="20"/>
          <w:color w:val="auto"/>
        </w:rPr>
      </w:pPr>
    </w:p>
    <w:p>
      <w:pPr>
        <w:ind w:right="140" w:firstLine="318"/>
        <w:spacing w:after="0" w:line="244" w:lineRule="auto"/>
        <w:rPr>
          <w:sz w:val="20"/>
          <w:szCs w:val="20"/>
          <w:color w:val="auto"/>
        </w:rPr>
      </w:pPr>
      <w:r>
        <w:rPr>
          <w:rFonts w:ascii="Times New Roman" w:cs="Times New Roman" w:eastAsia="Times New Roman" w:hAnsi="Times New Roman"/>
          <w:sz w:val="18"/>
          <w:szCs w:val="18"/>
          <w:color w:val="auto"/>
        </w:rPr>
        <w:t>Applebee’s advertising revenue and expense for the six months ended June 30, 2022 increased 7.5% compared to the same period of the prior year, primarily due to the 7.6% increase in domestic franchise same-restaurant sales. IHOP advertising revenue and expense for the six months ended June 30, 2022 increased 11.1% compared to the same period of the prior year, primarily due to the 10.4% increase in domestic franchise same-restaurant sales.</w:t>
      </w:r>
    </w:p>
    <w:p>
      <w:pPr>
        <w:spacing w:after="0" w:line="203" w:lineRule="exact"/>
        <w:rPr>
          <w:sz w:val="20"/>
          <w:szCs w:val="20"/>
          <w:color w:val="auto"/>
        </w:rPr>
      </w:pPr>
    </w:p>
    <w:p>
      <w:pPr>
        <w:ind w:right="420" w:firstLine="318"/>
        <w:spacing w:after="0" w:line="258" w:lineRule="auto"/>
        <w:rPr>
          <w:sz w:val="20"/>
          <w:szCs w:val="20"/>
          <w:color w:val="auto"/>
        </w:rPr>
      </w:pPr>
      <w:r>
        <w:rPr>
          <w:rFonts w:ascii="Times New Roman" w:cs="Times New Roman" w:eastAsia="Times New Roman" w:hAnsi="Times New Roman"/>
          <w:sz w:val="18"/>
          <w:szCs w:val="18"/>
          <w:color w:val="auto"/>
        </w:rPr>
        <w:t>It is our accounting policy to recognize any deficiency in advertising fee revenue compared to advertising expenditure or any recovery of a previously recognized deficiency in advertising fee revenue compared to advertising expenditure in the fourth quarter of our fiscal year.</w:t>
      </w:r>
    </w:p>
    <w:p>
      <w:pPr>
        <w:spacing w:after="0" w:line="200" w:lineRule="exact"/>
        <w:rPr>
          <w:sz w:val="20"/>
          <w:szCs w:val="20"/>
          <w:color w:val="auto"/>
        </w:rPr>
      </w:pPr>
    </w:p>
    <w:p>
      <w:pPr>
        <w:spacing w:after="0" w:line="28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6"/>
              </w:rPr>
              <w:t>Rental Operations</w:t>
            </w:r>
          </w:p>
        </w:tc>
        <w:tc>
          <w:tcPr>
            <w:tcW w:w="2460" w:type="dxa"/>
            <w:vAlign w:val="bottom"/>
          </w:tcPr>
          <w:p>
            <w:pPr>
              <w:spacing w:after="0"/>
              <w:rPr>
                <w:sz w:val="13"/>
                <w:szCs w:val="13"/>
                <w:color w:val="auto"/>
              </w:rPr>
            </w:pPr>
          </w:p>
        </w:tc>
        <w:tc>
          <w:tcPr>
            <w:tcW w:w="22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Favorable</w:t>
            </w:r>
          </w:p>
        </w:tc>
        <w:tc>
          <w:tcPr>
            <w:tcW w:w="160" w:type="dxa"/>
            <w:vAlign w:val="bottom"/>
          </w:tcPr>
          <w:p>
            <w:pPr>
              <w:spacing w:after="0"/>
              <w:rPr>
                <w:sz w:val="13"/>
                <w:szCs w:val="13"/>
                <w:color w:val="auto"/>
              </w:rPr>
            </w:pPr>
          </w:p>
        </w:tc>
        <w:tc>
          <w:tcPr>
            <w:tcW w:w="2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2460" w:type="dxa"/>
            <w:vAlign w:val="bottom"/>
            <w:vMerge w:val="restart"/>
          </w:tcPr>
          <w:p>
            <w:pPr>
              <w:spacing w:after="0"/>
              <w:rPr>
                <w:sz w:val="6"/>
                <w:szCs w:val="6"/>
                <w:color w:val="auto"/>
              </w:rPr>
            </w:pPr>
          </w:p>
        </w:tc>
        <w:tc>
          <w:tcPr>
            <w:tcW w:w="222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vMerge w:val="restart"/>
          </w:tcPr>
          <w:p>
            <w:pPr>
              <w:jc w:val="center"/>
              <w:ind w:right="300"/>
              <w:spacing w:after="0" w:line="113"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160" w:type="dxa"/>
            <w:vAlign w:val="bottom"/>
          </w:tcPr>
          <w:p>
            <w:pPr>
              <w:spacing w:after="0"/>
              <w:rPr>
                <w:sz w:val="6"/>
                <w:szCs w:val="6"/>
                <w:color w:val="auto"/>
              </w:rPr>
            </w:pPr>
          </w:p>
        </w:tc>
        <w:tc>
          <w:tcPr>
            <w:tcW w:w="208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vMerge w:val="restart"/>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60" w:type="dxa"/>
            <w:vAlign w:val="bottom"/>
            <w:vMerge w:val="continue"/>
          </w:tcPr>
          <w:p>
            <w:pPr>
              <w:spacing w:after="0" w:line="20" w:lineRule="exact"/>
              <w:rPr>
                <w:sz w:val="1"/>
                <w:szCs w:val="1"/>
                <w:color w:val="auto"/>
              </w:rPr>
            </w:pPr>
          </w:p>
        </w:tc>
        <w:tc>
          <w:tcPr>
            <w:tcW w:w="2220" w:type="dxa"/>
            <w:vAlign w:val="bottom"/>
            <w:tcBorders>
              <w:bottom w:val="single" w:sz="8" w:color="auto"/>
            </w:tcBorders>
            <w:gridSpan w:val="5"/>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gridSpan w:val="4"/>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revenues</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53.5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Rental expenses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operations gross profit</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384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color w:val="auto"/>
              </w:rPr>
              <w:t xml:space="preserve">Gross profit as % of revenue </w:t>
            </w:r>
            <w:r>
              <w:rPr>
                <w:rFonts w:ascii="Times New Roman" w:cs="Times New Roman" w:eastAsia="Times New Roman" w:hAnsi="Times New Roman"/>
                <w:sz w:val="22"/>
                <w:szCs w:val="22"/>
                <w:color w:val="auto"/>
                <w:vertAlign w:val="superscript"/>
              </w:rPr>
              <w:t>(1)</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24.9 %</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24.7 %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380"/>
              <w:spacing w:after="0" w:line="198" w:lineRule="exact"/>
              <w:rPr>
                <w:sz w:val="20"/>
                <w:szCs w:val="20"/>
                <w:color w:val="auto"/>
              </w:rPr>
            </w:pPr>
            <w:r>
              <w:rPr>
                <w:rFonts w:ascii="Times New Roman" w:cs="Times New Roman" w:eastAsia="Times New Roman" w:hAnsi="Times New Roman"/>
                <w:sz w:val="18"/>
                <w:szCs w:val="18"/>
                <w:color w:val="auto"/>
                <w:w w:val="97"/>
              </w:rPr>
              <w:t>24.0 %</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300"/>
              <w:spacing w:after="0" w:line="198" w:lineRule="exact"/>
              <w:rPr>
                <w:sz w:val="20"/>
                <w:szCs w:val="20"/>
                <w:color w:val="auto"/>
              </w:rPr>
            </w:pPr>
            <w:r>
              <w:rPr>
                <w:rFonts w:ascii="Times New Roman" w:cs="Times New Roman" w:eastAsia="Times New Roman" w:hAnsi="Times New Roman"/>
                <w:sz w:val="18"/>
                <w:szCs w:val="18"/>
                <w:color w:val="auto"/>
                <w:w w:val="97"/>
              </w:rPr>
              <w:t>22.3 %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w:t>
      </w:r>
    </w:p>
    <w:p>
      <w:pPr>
        <w:spacing w:after="0" w:line="54" w:lineRule="exact"/>
        <w:rPr>
          <w:sz w:val="20"/>
          <w:szCs w:val="20"/>
          <w:color w:val="auto"/>
        </w:rPr>
      </w:pPr>
    </w:p>
    <w:p>
      <w:pPr>
        <w:ind w:left="140" w:hanging="134"/>
        <w:spacing w:after="0"/>
        <w:tabs>
          <w:tab w:leader="none" w:pos="14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Percentages calculated on actual amounts, not rounded amounts presented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Rental operations relate primarily to IHOP franchise restaurants. Rental income includes sublease revenue from operating leases and interest income from real estate leases. Rental expenses are costs of prime operating leases and interest expense on prime finance leases.</w:t>
      </w:r>
    </w:p>
    <w:p>
      <w:pPr>
        <w:spacing w:after="0" w:line="190" w:lineRule="exact"/>
        <w:rPr>
          <w:sz w:val="20"/>
          <w:szCs w:val="20"/>
          <w:color w:val="auto"/>
        </w:rPr>
      </w:pPr>
    </w:p>
    <w:p>
      <w:pPr>
        <w:ind w:right="200" w:firstLine="318"/>
        <w:spacing w:after="0" w:line="255" w:lineRule="auto"/>
        <w:rPr>
          <w:sz w:val="20"/>
          <w:szCs w:val="20"/>
          <w:color w:val="auto"/>
        </w:rPr>
      </w:pPr>
      <w:r>
        <w:rPr>
          <w:rFonts w:ascii="Times New Roman" w:cs="Times New Roman" w:eastAsia="Times New Roman" w:hAnsi="Times New Roman"/>
          <w:sz w:val="18"/>
          <w:szCs w:val="18"/>
          <w:color w:val="auto"/>
        </w:rPr>
        <w:t>Rental segment revenue for the three months ended June 30, 2022 increased as compared to the same period of the prior year, as rental revenue increased $1.4 million due to the gross presentation of certain elements of variable sublease income, such as common area maintenance payments received from franchisees and remitted to landlords, which previously were reported on a net basis. Rental segment expenses for the three months ended June 30, 2022 increased compared to the same period of the prior year, primarily due to a $1.4 million gross-up of lease-related expenses.</w:t>
      </w:r>
    </w:p>
    <w:p>
      <w:pPr>
        <w:spacing w:after="0" w:line="207" w:lineRule="exact"/>
        <w:rPr>
          <w:sz w:val="20"/>
          <w:szCs w:val="20"/>
          <w:color w:val="auto"/>
        </w:rPr>
      </w:pPr>
    </w:p>
    <w:p>
      <w:pPr>
        <w:ind w:right="340" w:firstLine="318"/>
        <w:spacing w:after="0" w:line="252" w:lineRule="auto"/>
        <w:rPr>
          <w:sz w:val="20"/>
          <w:szCs w:val="20"/>
          <w:color w:val="auto"/>
        </w:rPr>
      </w:pPr>
      <w:r>
        <w:rPr>
          <w:rFonts w:ascii="Times New Roman" w:cs="Times New Roman" w:eastAsia="Times New Roman" w:hAnsi="Times New Roman"/>
          <w:sz w:val="18"/>
          <w:szCs w:val="18"/>
          <w:color w:val="auto"/>
        </w:rPr>
        <w:t>Rental segment revenue for the six months ended June 30, 2022 increased as compared to the same period of the prior year, as rental revenue increased $2.7 million due to the gross presentation of certain elements of variable sublease income, such as common area maintenance payments received from franchisees and remitted to landlords, which previously were reported on a net basis. Also adding to the higher rental segment revenue was a $1.7 million increase in rental income based on a percentage of franchisees' retail sales. Rental segment expenses for the six months ended June 30, 2022 increased compared to the same period of the prior year, primarily due to a $2.7 million gross-up of lease-related expenses.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Company Restaurant Operations</w:t>
      </w:r>
    </w:p>
    <w:p>
      <w:pPr>
        <w:spacing w:after="0" w:line="226"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3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Favorable</w:t>
            </w:r>
          </w:p>
        </w:tc>
        <w:tc>
          <w:tcPr>
            <w:tcW w:w="180" w:type="dxa"/>
            <w:vAlign w:val="bottom"/>
          </w:tcPr>
          <w:p>
            <w:pPr>
              <w:spacing w:after="0"/>
              <w:rPr>
                <w:sz w:val="16"/>
                <w:szCs w:val="16"/>
                <w:color w:val="auto"/>
              </w:rPr>
            </w:pPr>
          </w:p>
        </w:tc>
        <w:tc>
          <w:tcPr>
            <w:tcW w:w="22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Favorable</w:t>
            </w:r>
          </w:p>
        </w:tc>
        <w:tc>
          <w:tcPr>
            <w:tcW w:w="0" w:type="dxa"/>
            <w:vAlign w:val="bottom"/>
          </w:tcPr>
          <w:p>
            <w:pPr>
              <w:spacing w:after="0"/>
              <w:rPr>
                <w:sz w:val="1"/>
                <w:szCs w:val="1"/>
                <w:color w:val="auto"/>
              </w:rPr>
            </w:pPr>
          </w:p>
        </w:tc>
      </w:tr>
      <w:tr>
        <w:trPr>
          <w:trHeight w:val="53"/>
        </w:trPr>
        <w:tc>
          <w:tcPr>
            <w:tcW w:w="36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280"/>
              <w:spacing w:after="0" w:line="106" w:lineRule="exact"/>
              <w:rPr>
                <w:sz w:val="20"/>
                <w:szCs w:val="20"/>
                <w:color w:val="auto"/>
              </w:rPr>
            </w:pPr>
            <w:r>
              <w:rPr>
                <w:rFonts w:ascii="Times New Roman" w:cs="Times New Roman" w:eastAsia="Times New Roman" w:hAnsi="Times New Roman"/>
                <w:sz w:val="12"/>
                <w:szCs w:val="12"/>
                <w:b w:val="1"/>
                <w:bCs w:val="1"/>
                <w:color w:val="auto"/>
              </w:rPr>
              <w:t>(Unfavorable)</w:t>
            </w: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restart"/>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(Unfavorable)</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vMerge w:val="restart"/>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vMerge w:val="restart"/>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vMerge w:val="restart"/>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1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248"/>
        </w:trPr>
        <w:tc>
          <w:tcPr>
            <w:tcW w:w="36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Restaurants</w:t>
            </w: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gridSpan w:val="5"/>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680" w:type="dxa"/>
            <w:vAlign w:val="bottom"/>
            <w:shd w:val="clear" w:color="auto" w:fill="CCEEFF"/>
          </w:tcPr>
          <w:p>
            <w:pPr>
              <w:ind w:left="20"/>
              <w:spacing w:after="0" w:line="231" w:lineRule="exact"/>
              <w:rPr>
                <w:sz w:val="20"/>
                <w:szCs w:val="20"/>
                <w:color w:val="auto"/>
              </w:rPr>
            </w:pPr>
            <w:r>
              <w:rPr>
                <w:rFonts w:ascii="Times New Roman" w:cs="Times New Roman" w:eastAsia="Times New Roman" w:hAnsi="Times New Roman"/>
                <w:sz w:val="18"/>
                <w:szCs w:val="18"/>
                <w:color w:val="auto"/>
              </w:rPr>
              <w:t xml:space="preserve">Applebee's Company restaurant sales </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5"/>
        </w:trPr>
        <w:tc>
          <w:tcPr>
            <w:tcW w:w="36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Applebee's Company restaurant expenses </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19"/>
                <w:szCs w:val="19"/>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IHOP restaurant expenses </w:t>
            </w:r>
            <w:r>
              <w:rPr>
                <w:rFonts w:ascii="Times New Roman" w:cs="Times New Roman" w:eastAsia="Times New Roman" w:hAnsi="Times New Roman"/>
                <w:sz w:val="22"/>
                <w:szCs w:val="22"/>
                <w:color w:val="auto"/>
                <w:vertAlign w:val="superscript"/>
              </w:rPr>
              <w:t>(2)</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192"/>
        </w:trPr>
        <w:tc>
          <w:tcPr>
            <w:tcW w:w="368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Company restaurant gross profit</w:t>
            </w:r>
          </w:p>
        </w:tc>
        <w:tc>
          <w:tcPr>
            <w:tcW w:w="16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34"/>
              <w:spacing w:after="0" w:line="192" w:lineRule="exact"/>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7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ind w:right="133"/>
              <w:spacing w:after="0" w:line="192"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34"/>
              <w:spacing w:after="0" w:line="192" w:lineRule="exact"/>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7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133"/>
              <w:spacing w:after="0" w:line="192" w:lineRule="exact"/>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680" w:type="dxa"/>
            <w:vAlign w:val="bottom"/>
            <w:tcBorders>
              <w:bottom w:val="single" w:sz="8" w:color="CCEEFF"/>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 xml:space="preserve">Gross profit as % of revenue </w:t>
            </w:r>
            <w:r>
              <w:rPr>
                <w:rFonts w:ascii="Times New Roman" w:cs="Times New Roman" w:eastAsia="Times New Roman" w:hAnsi="Times New Roman"/>
                <w:sz w:val="22"/>
                <w:szCs w:val="22"/>
                <w:color w:val="auto"/>
                <w:vertAlign w:val="superscript"/>
              </w:rPr>
              <w:t>(3)</w:t>
            </w: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42" w:lineRule="exact"/>
        <w:rPr>
          <w:sz w:val="20"/>
          <w:szCs w:val="20"/>
          <w:color w:val="auto"/>
        </w:rPr>
      </w:pPr>
    </w:p>
    <w:p>
      <w:pPr>
        <w:ind w:left="140" w:hanging="134"/>
        <w:spacing w:after="0"/>
        <w:tabs>
          <w:tab w:leader="none" w:pos="140"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Related to 69 Applebee's company-operated restaurants.</w:t>
      </w:r>
    </w:p>
    <w:p>
      <w:pPr>
        <w:spacing w:after="0" w:line="44" w:lineRule="exact"/>
        <w:rPr>
          <w:rFonts w:ascii="Times New Roman" w:cs="Times New Roman" w:eastAsia="Times New Roman" w:hAnsi="Times New Roman"/>
          <w:sz w:val="17"/>
          <w:szCs w:val="17"/>
          <w:color w:val="auto"/>
          <w:vertAlign w:val="superscript"/>
        </w:rPr>
      </w:pPr>
    </w:p>
    <w:p>
      <w:pPr>
        <w:ind w:left="140" w:hanging="134"/>
        <w:spacing w:after="0"/>
        <w:tabs>
          <w:tab w:leader="none" w:pos="14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Costs associated with IHOP restaurants in the process of being refranchised.</w:t>
      </w:r>
    </w:p>
    <w:p>
      <w:pPr>
        <w:spacing w:after="0" w:line="48" w:lineRule="exact"/>
        <w:rPr>
          <w:rFonts w:ascii="Times New Roman" w:cs="Times New Roman" w:eastAsia="Times New Roman" w:hAnsi="Times New Roman"/>
          <w:sz w:val="9"/>
          <w:szCs w:val="9"/>
          <w:color w:val="auto"/>
        </w:rPr>
      </w:pPr>
    </w:p>
    <w:p>
      <w:pPr>
        <w:ind w:left="140" w:hanging="134"/>
        <w:spacing w:after="0"/>
        <w:tabs>
          <w:tab w:leader="none" w:pos="14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Calculated for Applebee's company-operated restaurants only. Percentages calculated on actual amounts, not rounded amounts presented above.</w:t>
      </w:r>
    </w:p>
    <w:p>
      <w:pPr>
        <w:spacing w:after="0" w:line="254" w:lineRule="exact"/>
        <w:rPr>
          <w:sz w:val="20"/>
          <w:szCs w:val="20"/>
          <w:color w:val="auto"/>
        </w:rPr>
      </w:pPr>
    </w:p>
    <w:p>
      <w:pPr>
        <w:jc w:val="both"/>
        <w:ind w:right="160" w:firstLine="238"/>
        <w:spacing w:after="0" w:line="259" w:lineRule="auto"/>
        <w:rPr>
          <w:sz w:val="20"/>
          <w:szCs w:val="20"/>
          <w:color w:val="auto"/>
        </w:rPr>
      </w:pPr>
      <w:r>
        <w:rPr>
          <w:rFonts w:ascii="Times New Roman" w:cs="Times New Roman" w:eastAsia="Times New Roman" w:hAnsi="Times New Roman"/>
          <w:sz w:val="18"/>
          <w:szCs w:val="18"/>
          <w:color w:val="auto"/>
        </w:rPr>
        <w:t>Applebee's company same-restaurant sales for the three months ended June 30, 2022 increased 3.4% compared to the same period of 2021, the significant majority of which was due to an increase in average check. Applebee's company same-restaurant sales for the six months ended June 30, 2022 increased 6.5% compared to the same period of 2021, the significant majority of which was due to an increase in customer traffic and average check.</w:t>
      </w:r>
    </w:p>
    <w:p>
      <w:pPr>
        <w:spacing w:after="0" w:line="204" w:lineRule="exact"/>
        <w:rPr>
          <w:sz w:val="20"/>
          <w:szCs w:val="20"/>
          <w:color w:val="auto"/>
        </w:rPr>
      </w:pPr>
    </w:p>
    <w:p>
      <w:pPr>
        <w:ind w:right="180" w:firstLine="238"/>
        <w:spacing w:after="0" w:line="255" w:lineRule="auto"/>
        <w:rPr>
          <w:sz w:val="20"/>
          <w:szCs w:val="20"/>
          <w:color w:val="auto"/>
        </w:rPr>
      </w:pPr>
      <w:r>
        <w:rPr>
          <w:rFonts w:ascii="Times New Roman" w:cs="Times New Roman" w:eastAsia="Times New Roman" w:hAnsi="Times New Roman"/>
          <w:sz w:val="18"/>
          <w:szCs w:val="18"/>
          <w:color w:val="auto"/>
        </w:rPr>
        <w:t>The increase in customer traffic primarily was due to the favorable change in operating capacity of the restaurants during the six months ended June 30, 2022 compared to the same period of 2021. All 69 of the Applebee's company-operated restaurants are located in South Carolina or North Carolina. Since the second week of January 2021, the 27 restaurants in South Carolina have operated without capacity limitations, while the 42 restaurants in North Carolina operated at 50% capacity until June 1, 2021, from which point those 42 restaurants also were able to operate without capacity limitations.</w:t>
      </w:r>
    </w:p>
    <w:p>
      <w:pPr>
        <w:spacing w:after="0" w:line="207" w:lineRule="exact"/>
        <w:rPr>
          <w:sz w:val="20"/>
          <w:szCs w:val="20"/>
          <w:color w:val="auto"/>
        </w:rPr>
      </w:pPr>
    </w:p>
    <w:p>
      <w:pPr>
        <w:ind w:right="240" w:firstLine="238"/>
        <w:spacing w:after="0" w:line="274" w:lineRule="auto"/>
        <w:rPr>
          <w:sz w:val="20"/>
          <w:szCs w:val="20"/>
          <w:color w:val="auto"/>
        </w:rPr>
      </w:pPr>
      <w:r>
        <w:rPr>
          <w:rFonts w:ascii="Times New Roman" w:cs="Times New Roman" w:eastAsia="Times New Roman" w:hAnsi="Times New Roman"/>
          <w:sz w:val="18"/>
          <w:szCs w:val="18"/>
          <w:color w:val="auto"/>
        </w:rPr>
        <w:t>Gross profit and gross profit as a percentage of revenue for the three and six months ended June 30, 2022 were unfavorable compared to the same periods of the prior year, due to higher food, labor and delivery costs.</w:t>
      </w:r>
    </w:p>
    <w:p>
      <w:pPr>
        <w:spacing w:after="0" w:line="190" w:lineRule="exact"/>
        <w:rPr>
          <w:sz w:val="20"/>
          <w:szCs w:val="20"/>
          <w:color w:val="auto"/>
        </w:rPr>
      </w:pPr>
    </w:p>
    <w:p>
      <w:pPr>
        <w:jc w:val="both"/>
        <w:ind w:right="520" w:firstLine="238"/>
        <w:spacing w:after="0" w:line="259" w:lineRule="auto"/>
        <w:rPr>
          <w:sz w:val="20"/>
          <w:szCs w:val="20"/>
          <w:color w:val="auto"/>
        </w:rPr>
      </w:pPr>
      <w:r>
        <w:rPr>
          <w:rFonts w:ascii="Times New Roman" w:cs="Times New Roman" w:eastAsia="Times New Roman" w:hAnsi="Times New Roman"/>
          <w:sz w:val="18"/>
          <w:szCs w:val="18"/>
          <w:color w:val="auto"/>
        </w:rPr>
        <w:t>Company segment restaurant expenses include costs associated with reacquired IHOP restaurants in the process of being refranchised. There were no reacquired IHOP restaurants expenses during the three and six months ended June 30, 2022 and approximately $0.2 million and $0.4 million of expenses during the three and six months ended June 30, 2021, respectively.</w:t>
      </w:r>
    </w:p>
    <w:p>
      <w:pPr>
        <w:spacing w:after="0" w:line="204" w:lineRule="exact"/>
        <w:rPr>
          <w:sz w:val="20"/>
          <w:szCs w:val="20"/>
          <w:color w:val="auto"/>
        </w:rPr>
      </w:pPr>
    </w:p>
    <w:p>
      <w:pPr>
        <w:ind w:right="640" w:firstLine="238"/>
        <w:spacing w:after="0" w:line="304" w:lineRule="auto"/>
        <w:rPr>
          <w:sz w:val="20"/>
          <w:szCs w:val="20"/>
          <w:color w:val="auto"/>
        </w:rPr>
      </w:pPr>
      <w:r>
        <w:rPr>
          <w:rFonts w:ascii="Times New Roman" w:cs="Times New Roman" w:eastAsia="Times New Roman" w:hAnsi="Times New Roman"/>
          <w:sz w:val="17"/>
          <w:szCs w:val="17"/>
          <w:color w:val="auto"/>
        </w:rPr>
        <w:t>On July 26, 2022, the Company entered into an asset purchase agreement for the refranchising and sale of related restaurant assets of 69 Applebee’s company-operated restaurants located in North Carolina and South Carolina. This sale is expected to close in the fiscal third quarter of 2022.</w:t>
      </w: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Operations</w:t>
      </w:r>
    </w:p>
    <w:p>
      <w:pPr>
        <w:spacing w:after="0" w:line="246" w:lineRule="exact"/>
        <w:rPr>
          <w:sz w:val="20"/>
          <w:szCs w:val="20"/>
          <w:color w:val="auto"/>
        </w:rPr>
      </w:pPr>
    </w:p>
    <w:p>
      <w:pPr>
        <w:ind w:right="420" w:firstLine="318"/>
        <w:spacing w:after="0" w:line="274" w:lineRule="auto"/>
        <w:rPr>
          <w:sz w:val="20"/>
          <w:szCs w:val="20"/>
          <w:color w:val="auto"/>
        </w:rPr>
      </w:pPr>
      <w:r>
        <w:rPr>
          <w:rFonts w:ascii="Times New Roman" w:cs="Times New Roman" w:eastAsia="Times New Roman" w:hAnsi="Times New Roman"/>
          <w:sz w:val="18"/>
          <w:szCs w:val="18"/>
          <w:color w:val="auto"/>
        </w:rPr>
        <w:t>Financing revenues primarily consist of interest income from the financing of IHOP equipment leases and franchise fees as well as interest income on Applebee's notes receivable from franchisees. Financing expenses are the cost of taxes related to IHOP equipment leases.</w:t>
      </w:r>
    </w:p>
    <w:p>
      <w:pPr>
        <w:spacing w:after="0" w:line="190" w:lineRule="exact"/>
        <w:rPr>
          <w:sz w:val="20"/>
          <w:szCs w:val="20"/>
          <w:color w:val="auto"/>
        </w:rPr>
      </w:pPr>
    </w:p>
    <w:p>
      <w:pPr>
        <w:ind w:right="280" w:firstLine="318"/>
        <w:spacing w:after="0" w:line="274" w:lineRule="auto"/>
        <w:rPr>
          <w:sz w:val="20"/>
          <w:szCs w:val="20"/>
          <w:color w:val="auto"/>
        </w:rPr>
      </w:pPr>
      <w:r>
        <w:rPr>
          <w:rFonts w:ascii="Times New Roman" w:cs="Times New Roman" w:eastAsia="Times New Roman" w:hAnsi="Times New Roman"/>
          <w:sz w:val="18"/>
          <w:szCs w:val="18"/>
          <w:color w:val="auto"/>
        </w:rPr>
        <w:t>Financing revenue and gross profit for the six months ended June 30, 2022 declined compared to the same period of the prior year, primarily because of progressive declines in interest income as note balances are repaid.</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G&amp;A Expenses</w:t>
            </w:r>
          </w:p>
        </w:tc>
        <w:tc>
          <w:tcPr>
            <w:tcW w:w="220" w:type="dxa"/>
            <w:vAlign w:val="bottom"/>
          </w:tcPr>
          <w:p>
            <w:pPr>
              <w:spacing w:after="0"/>
              <w:rPr>
                <w:sz w:val="17"/>
                <w:szCs w:val="17"/>
                <w:color w:val="auto"/>
              </w:rPr>
            </w:pPr>
          </w:p>
        </w:tc>
        <w:tc>
          <w:tcPr>
            <w:tcW w:w="25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160" w:type="dxa"/>
            <w:vAlign w:val="bottom"/>
            <w:tcBorders>
              <w:top w:val="single" w:sz="8" w:color="auto"/>
            </w:tcBorders>
          </w:tcPr>
          <w:p>
            <w:pPr>
              <w:spacing w:after="0"/>
              <w:rPr>
                <w:sz w:val="13"/>
                <w:szCs w:val="13"/>
                <w:color w:val="auto"/>
              </w:rPr>
            </w:pPr>
          </w:p>
        </w:tc>
        <w:tc>
          <w:tcPr>
            <w:tcW w:w="2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80" w:type="dxa"/>
            <w:vAlign w:val="bottom"/>
            <w:gridSpan w:val="5"/>
            <w:vMerge w:val="continue"/>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gridSpan w:val="5"/>
            <w:vMerge w:val="continue"/>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11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G&amp;A expenses</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right="280" w:firstLine="318"/>
        <w:spacing w:after="0" w:line="259" w:lineRule="auto"/>
        <w:rPr>
          <w:sz w:val="20"/>
          <w:szCs w:val="20"/>
          <w:color w:val="auto"/>
        </w:rPr>
      </w:pPr>
      <w:r>
        <w:rPr>
          <w:rFonts w:ascii="Times New Roman" w:cs="Times New Roman" w:eastAsia="Times New Roman" w:hAnsi="Times New Roman"/>
          <w:sz w:val="18"/>
          <w:szCs w:val="18"/>
          <w:color w:val="auto"/>
        </w:rPr>
        <w:t>G&amp;A expenses for the three months ended June 30, 2022 increased 12.2% compared to the same period of the prior year, primarily due to increases in personnel-related costs, travel and conference expenses and professional services. Included in total G&amp;A expenses for the three months ended June 30, 2022 was $1.8 million of expense related to company-operated restaurants, a slight increase from the same period of the prior year.</w:t>
      </w:r>
    </w:p>
    <w:p>
      <w:pPr>
        <w:spacing w:after="0" w:line="204" w:lineRule="exact"/>
        <w:rPr>
          <w:sz w:val="20"/>
          <w:szCs w:val="20"/>
          <w:color w:val="auto"/>
        </w:rPr>
      </w:pPr>
    </w:p>
    <w:p>
      <w:pPr>
        <w:jc w:val="both"/>
        <w:ind w:right="180" w:firstLine="318"/>
        <w:spacing w:after="0" w:line="259" w:lineRule="auto"/>
        <w:rPr>
          <w:sz w:val="20"/>
          <w:szCs w:val="20"/>
          <w:color w:val="auto"/>
        </w:rPr>
      </w:pPr>
      <w:r>
        <w:rPr>
          <w:rFonts w:ascii="Times New Roman" w:cs="Times New Roman" w:eastAsia="Times New Roman" w:hAnsi="Times New Roman"/>
          <w:sz w:val="18"/>
          <w:szCs w:val="18"/>
          <w:color w:val="auto"/>
        </w:rPr>
        <w:t>G&amp;A expenses for the six months ended June 30, 2022 increased 8.1% compared to the same period of the prior year, primarily due to increases in travel and conference expenses, personnel-related costs and professional services. Included in total G&amp;A expenses for the six months ended June 30, 2022 was $3.6 million of expense related to company-operated restaurants, an increase of $0.2 million from the same period of the prior year.</w:t>
      </w:r>
    </w:p>
    <w:p>
      <w:pPr>
        <w:spacing w:after="0" w:line="200" w:lineRule="exact"/>
        <w:rPr>
          <w:sz w:val="20"/>
          <w:szCs w:val="20"/>
          <w:color w:val="auto"/>
        </w:rPr>
      </w:pP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Closure and Impairment Charges</w:t>
      </w:r>
    </w:p>
    <w:tbl>
      <w:tblPr>
        <w:tblLayout w:type="fixed"/>
        <w:tblInd w:w="320" w:type="dxa"/>
        <w:tblCellMar>
          <w:top w:w="0" w:type="dxa"/>
          <w:left w:w="0" w:type="dxa"/>
          <w:bottom w:w="0" w:type="dxa"/>
          <w:right w:w="0" w:type="dxa"/>
        </w:tblCellMar>
      </w:tblPr>
      <w:tr>
        <w:trPr>
          <w:trHeight w:val="152"/>
        </w:trPr>
        <w:tc>
          <w:tcPr>
            <w:tcW w:w="100" w:type="dxa"/>
            <w:vAlign w:val="bottom"/>
          </w:tcPr>
          <w:p>
            <w:pPr>
              <w:spacing w:after="0"/>
              <w:rPr>
                <w:sz w:val="13"/>
                <w:szCs w:val="13"/>
                <w:color w:val="auto"/>
              </w:rPr>
            </w:pPr>
          </w:p>
        </w:tc>
        <w:tc>
          <w:tcPr>
            <w:tcW w:w="2540" w:type="dxa"/>
            <w:vAlign w:val="bottom"/>
            <w:tcBorders>
              <w:top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2380" w:type="dxa"/>
            <w:vAlign w:val="bottom"/>
            <w:gridSpan w:val="6"/>
          </w:tcPr>
          <w:p>
            <w:pPr>
              <w:ind w:left="120"/>
              <w:spacing w:after="0" w:line="152" w:lineRule="exact"/>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2" w:lineRule="exact"/>
              <w:rPr>
                <w:sz w:val="20"/>
                <w:szCs w:val="20"/>
                <w:color w:val="auto"/>
              </w:rPr>
            </w:pPr>
            <w:r>
              <w:rPr>
                <w:rFonts w:ascii="Times New Roman" w:cs="Times New Roman" w:eastAsia="Times New Roman" w:hAnsi="Times New Roman"/>
                <w:sz w:val="14"/>
                <w:szCs w:val="14"/>
                <w:b w:val="1"/>
                <w:bCs w:val="1"/>
                <w:color w:val="auto"/>
                <w:w w:val="98"/>
              </w:rPr>
              <w:t>Favorable</w:t>
            </w:r>
          </w:p>
        </w:tc>
        <w:tc>
          <w:tcPr>
            <w:tcW w:w="120" w:type="dxa"/>
            <w:vAlign w:val="bottom"/>
          </w:tcPr>
          <w:p>
            <w:pPr>
              <w:spacing w:after="0"/>
              <w:rPr>
                <w:sz w:val="13"/>
                <w:szCs w:val="13"/>
                <w:color w:val="auto"/>
              </w:rPr>
            </w:pPr>
          </w:p>
        </w:tc>
        <w:tc>
          <w:tcPr>
            <w:tcW w:w="2100" w:type="dxa"/>
            <w:vAlign w:val="bottom"/>
            <w:gridSpan w:val="5"/>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80" w:type="dxa"/>
            <w:vAlign w:val="bottom"/>
          </w:tcPr>
          <w:p>
            <w:pPr>
              <w:spacing w:after="0"/>
              <w:rPr>
                <w:sz w:val="13"/>
                <w:szCs w:val="13"/>
                <w:color w:val="auto"/>
              </w:rPr>
            </w:pPr>
          </w:p>
        </w:tc>
        <w:tc>
          <w:tcPr>
            <w:tcW w:w="1080" w:type="dxa"/>
            <w:vAlign w:val="bottom"/>
          </w:tcPr>
          <w:p>
            <w:pPr>
              <w:jc w:val="center"/>
              <w:ind w:right="22"/>
              <w:spacing w:after="0" w:line="152"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53"/>
        </w:trPr>
        <w:tc>
          <w:tcPr>
            <w:tcW w:w="100" w:type="dxa"/>
            <w:vAlign w:val="bottom"/>
          </w:tcPr>
          <w:p>
            <w:pPr>
              <w:spacing w:after="0"/>
              <w:rPr>
                <w:sz w:val="4"/>
                <w:szCs w:val="4"/>
                <w:color w:val="auto"/>
              </w:rPr>
            </w:pPr>
          </w:p>
        </w:tc>
        <w:tc>
          <w:tcPr>
            <w:tcW w:w="25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restart"/>
          </w:tcPr>
          <w:p>
            <w:pPr>
              <w:jc w:val="center"/>
              <w:ind w:right="280"/>
              <w:spacing w:after="0" w:line="108" w:lineRule="exact"/>
              <w:rPr>
                <w:sz w:val="20"/>
                <w:szCs w:val="20"/>
                <w:color w:val="auto"/>
              </w:rPr>
            </w:pPr>
            <w:r>
              <w:rPr>
                <w:rFonts w:ascii="Times New Roman" w:cs="Times New Roman" w:eastAsia="Times New Roman" w:hAnsi="Times New Roman"/>
                <w:sz w:val="12"/>
                <w:szCs w:val="12"/>
                <w:b w:val="1"/>
                <w:bCs w:val="1"/>
                <w:color w:val="auto"/>
              </w:rPr>
              <w:t>(Unfavorable)</w:t>
            </w: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restart"/>
          </w:tcPr>
          <w:p>
            <w:pPr>
              <w:jc w:val="center"/>
              <w:ind w:right="42"/>
              <w:spacing w:after="0" w:line="108" w:lineRule="exact"/>
              <w:rPr>
                <w:sz w:val="20"/>
                <w:szCs w:val="20"/>
                <w:color w:val="auto"/>
              </w:rPr>
            </w:pPr>
            <w:r>
              <w:rPr>
                <w:rFonts w:ascii="Times New Roman" w:cs="Times New Roman" w:eastAsia="Times New Roman" w:hAnsi="Times New Roman"/>
                <w:sz w:val="12"/>
                <w:szCs w:val="12"/>
                <w:b w:val="1"/>
                <w:bCs w:val="1"/>
                <w:color w:val="auto"/>
              </w:rPr>
              <w:t>(Unfavorable)</w:t>
            </w: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vMerge w:val="restart"/>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vMerge w:val="restart"/>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7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Closure charges</w:t>
            </w: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5"/>
        </w:trPr>
        <w:tc>
          <w:tcPr>
            <w:tcW w:w="374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Long-lived tangible asset impairment</w:t>
            </w: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374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closure and impairment charges</w:t>
            </w: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right="260" w:firstLine="318"/>
        <w:spacing w:after="0" w:line="244" w:lineRule="auto"/>
        <w:rPr>
          <w:sz w:val="20"/>
          <w:szCs w:val="20"/>
          <w:color w:val="auto"/>
        </w:rPr>
      </w:pPr>
      <w:r>
        <w:rPr>
          <w:rFonts w:ascii="Times New Roman" w:cs="Times New Roman" w:eastAsia="Times New Roman" w:hAnsi="Times New Roman"/>
          <w:sz w:val="18"/>
          <w:szCs w:val="18"/>
          <w:color w:val="auto"/>
        </w:rPr>
        <w:t>The closure charges for the three and six months ended June 30, 2022 were primarily related to the revisions to existing closure reserves, including accretion, primarily for approximately 35 IHOP restaurants. The closure charges for the three months ended June 30, 2021 related to the establishment of, or revisions to existing closure reserves, including accretion, primarily for approximately 30 IHOP restaurants. The closure charges for the six months ended June 30, 2021 related to the establishment of or revisions to existing closure reserves for approximately 50 IHOP restaurants.</w:t>
      </w:r>
    </w:p>
    <w:p>
      <w:pPr>
        <w:spacing w:after="0" w:line="218" w:lineRule="exact"/>
        <w:rPr>
          <w:sz w:val="20"/>
          <w:szCs w:val="20"/>
          <w:color w:val="auto"/>
        </w:rPr>
      </w:pPr>
    </w:p>
    <w:p>
      <w:pPr>
        <w:jc w:val="both"/>
        <w:ind w:right="360" w:firstLine="318"/>
        <w:spacing w:after="0" w:line="267" w:lineRule="auto"/>
        <w:rPr>
          <w:sz w:val="20"/>
          <w:szCs w:val="20"/>
          <w:color w:val="auto"/>
        </w:rPr>
      </w:pPr>
      <w:r>
        <w:rPr>
          <w:rFonts w:ascii="Times New Roman" w:cs="Times New Roman" w:eastAsia="Times New Roman" w:hAnsi="Times New Roman"/>
          <w:sz w:val="18"/>
          <w:szCs w:val="18"/>
          <w:color w:val="auto"/>
        </w:rPr>
        <w:t>Long-lived tangible asset impairment charges for the three and six months ended June 30, 2022 related to the impairment of land and buildings for two IHOP restaurants located on sites owned by us. Long-lived tangible asset impairment charges for the six months ended June 30, 2021 related to four IHOP franchisee-operated restaurants.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40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Other Income and Expense Items</w:t>
            </w:r>
          </w:p>
        </w:tc>
        <w:tc>
          <w:tcPr>
            <w:tcW w:w="120" w:type="dxa"/>
            <w:vAlign w:val="bottom"/>
          </w:tcPr>
          <w:p>
            <w:pPr>
              <w:spacing w:after="0"/>
              <w:rPr>
                <w:sz w:val="18"/>
                <w:szCs w:val="18"/>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Favorable</w:t>
            </w:r>
          </w:p>
        </w:tc>
        <w:tc>
          <w:tcPr>
            <w:tcW w:w="120" w:type="dxa"/>
            <w:vAlign w:val="bottom"/>
          </w:tcPr>
          <w:p>
            <w:pPr>
              <w:spacing w:after="0"/>
              <w:rPr>
                <w:sz w:val="18"/>
                <w:szCs w:val="18"/>
                <w:color w:val="auto"/>
              </w:rPr>
            </w:pPr>
          </w:p>
        </w:tc>
        <w:tc>
          <w:tcPr>
            <w:tcW w:w="2000" w:type="dxa"/>
            <w:vAlign w:val="bottom"/>
            <w:gridSpan w:val="3"/>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w w:val="99"/>
              </w:rPr>
              <w:t>Six Months Ended June 30,</w:t>
            </w:r>
          </w:p>
        </w:tc>
        <w:tc>
          <w:tcPr>
            <w:tcW w:w="260" w:type="dxa"/>
            <w:vAlign w:val="bottom"/>
          </w:tcPr>
          <w:p>
            <w:pPr>
              <w:spacing w:after="0"/>
              <w:rPr>
                <w:sz w:val="18"/>
                <w:szCs w:val="18"/>
                <w:color w:val="auto"/>
              </w:rPr>
            </w:pPr>
          </w:p>
        </w:tc>
        <w:tc>
          <w:tcPr>
            <w:tcW w:w="86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2520" w:type="dxa"/>
            <w:vAlign w:val="bottom"/>
            <w:tcBorders>
              <w:top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restart"/>
          </w:tcPr>
          <w:p>
            <w:pPr>
              <w:jc w:val="center"/>
              <w:ind w:right="260"/>
              <w:spacing w:after="0" w:line="69" w:lineRule="exact"/>
              <w:rPr>
                <w:sz w:val="20"/>
                <w:szCs w:val="20"/>
                <w:color w:val="auto"/>
              </w:rPr>
            </w:pPr>
            <w:r>
              <w:rPr>
                <w:rFonts w:ascii="Times New Roman" w:cs="Times New Roman" w:eastAsia="Times New Roman" w:hAnsi="Times New Roman"/>
                <w:sz w:val="7"/>
                <w:szCs w:val="7"/>
                <w:b w:val="1"/>
                <w:bCs w:val="1"/>
                <w:color w:val="auto"/>
              </w:rPr>
              <w:t>(Unfavorable)</w:t>
            </w: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vMerge w:val="restart"/>
          </w:tcPr>
          <w:p>
            <w:pPr>
              <w:jc w:val="right"/>
              <w:spacing w:after="0" w:line="69" w:lineRule="exact"/>
              <w:rPr>
                <w:sz w:val="20"/>
                <w:szCs w:val="20"/>
                <w:color w:val="auto"/>
              </w:rPr>
            </w:pPr>
            <w:r>
              <w:rPr>
                <w:rFonts w:ascii="Times New Roman" w:cs="Times New Roman" w:eastAsia="Times New Roman" w:hAnsi="Times New Roman"/>
                <w:sz w:val="7"/>
                <w:szCs w:val="7"/>
                <w:b w:val="1"/>
                <w:bCs w:val="1"/>
                <w:color w:val="auto"/>
              </w:rPr>
              <w:t>(Unfavorable</w:t>
            </w:r>
          </w:p>
        </w:tc>
        <w:tc>
          <w:tcPr>
            <w:tcW w:w="0" w:type="dxa"/>
            <w:vAlign w:val="bottom"/>
          </w:tcPr>
          <w:p>
            <w:pPr>
              <w:spacing w:after="0"/>
              <w:rPr>
                <w:sz w:val="1"/>
                <w:szCs w:val="1"/>
                <w:color w:val="auto"/>
              </w:rPr>
            </w:pPr>
          </w:p>
        </w:tc>
      </w:tr>
      <w:tr>
        <w:trPr>
          <w:trHeight w:val="22"/>
        </w:trPr>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line="20" w:lineRule="exact"/>
              <w:rPr>
                <w:sz w:val="1"/>
                <w:szCs w:val="1"/>
                <w:color w:val="auto"/>
              </w:rPr>
            </w:pPr>
          </w:p>
        </w:tc>
        <w:tc>
          <w:tcPr>
            <w:tcW w:w="76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4"/>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625"/>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30.9</w:t>
            </w: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4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left="605"/>
              <w:spacing w:after="0"/>
              <w:rPr>
                <w:sz w:val="20"/>
                <w:szCs w:val="20"/>
                <w:color w:val="auto"/>
              </w:rPr>
            </w:pPr>
            <w:r>
              <w:rPr>
                <w:rFonts w:ascii="Times New Roman" w:cs="Times New Roman" w:eastAsia="Times New Roman" w:hAnsi="Times New Roman"/>
                <w:sz w:val="18"/>
                <w:szCs w:val="18"/>
                <w:color w:val="auto"/>
                <w:w w:val="92"/>
              </w:rPr>
              <w:t>(0.0)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5"/>
        </w:trPr>
        <w:tc>
          <w:tcPr>
            <w:tcW w:w="4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loss on disposition of assets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625"/>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center"/>
              <w:ind w:left="625"/>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34.7</w:t>
            </w: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118" w:right="2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244"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Interest expense, net for the six months ended June 30, 2022 declined compared to the same period of the prior year due to a decrease in interest expense on our Credit Facility (as defined below). We had no borrowings outstanding under our Credit Facility during the six months ended June 30, 2022, whereas we had $220 million outstanding for approximately nine weeks during the six months ended June 30, 2021.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for additional discussion related to our Credit Facility.</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(Gain) loss on disposition of assets</w:t>
      </w:r>
    </w:p>
    <w:p>
      <w:pPr>
        <w:spacing w:after="0" w:line="230" w:lineRule="exact"/>
        <w:rPr>
          <w:sz w:val="20"/>
          <w:szCs w:val="20"/>
          <w:color w:val="auto"/>
        </w:rPr>
      </w:pPr>
    </w:p>
    <w:p>
      <w:pPr>
        <w:ind w:right="80" w:firstLine="318"/>
        <w:spacing w:after="0" w:line="244" w:lineRule="auto"/>
        <w:rPr>
          <w:sz w:val="20"/>
          <w:szCs w:val="20"/>
          <w:color w:val="auto"/>
        </w:rPr>
      </w:pPr>
      <w:r>
        <w:rPr>
          <w:rFonts w:ascii="Times New Roman" w:cs="Times New Roman" w:eastAsia="Times New Roman" w:hAnsi="Times New Roman"/>
          <w:sz w:val="18"/>
          <w:szCs w:val="18"/>
          <w:color w:val="auto"/>
        </w:rPr>
        <w:t>The gain on disposition of assets for the three and six months ended June 30, 2022 primarily related to sale of land and buildings for three IHOP restaurants located on sites owned by us and the termination of an IHOP restaurant lease. There were no individually significant gains or losses on disposition of assets during the three and six months ended June 30, 2021.</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tax provision</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500" w:type="dxa"/>
            <w:vAlign w:val="bottom"/>
            <w:gridSpan w:val="3"/>
            <w:vMerge w:val="restart"/>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3"/>
                <w:szCs w:val="13"/>
                <w:color w:val="auto"/>
              </w:rPr>
            </w:pPr>
          </w:p>
        </w:tc>
        <w:tc>
          <w:tcPr>
            <w:tcW w:w="128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8"/>
              </w:rPr>
              <w:t>Favorable</w:t>
            </w:r>
          </w:p>
        </w:tc>
        <w:tc>
          <w:tcPr>
            <w:tcW w:w="300" w:type="dxa"/>
            <w:vAlign w:val="bottom"/>
          </w:tcPr>
          <w:p>
            <w:pPr>
              <w:spacing w:after="0"/>
              <w:rPr>
                <w:sz w:val="13"/>
                <w:szCs w:val="13"/>
                <w:color w:val="auto"/>
              </w:rPr>
            </w:pPr>
          </w:p>
        </w:tc>
        <w:tc>
          <w:tcPr>
            <w:tcW w:w="2280" w:type="dxa"/>
            <w:vAlign w:val="bottom"/>
            <w:gridSpan w:val="3"/>
            <w:vMerge w:val="restart"/>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80" w:type="dxa"/>
            <w:vAlign w:val="bottom"/>
          </w:tcPr>
          <w:p>
            <w:pPr>
              <w:spacing w:after="0"/>
              <w:rPr>
                <w:sz w:val="13"/>
                <w:szCs w:val="13"/>
                <w:color w:val="auto"/>
              </w:rPr>
            </w:pPr>
          </w:p>
        </w:tc>
        <w:tc>
          <w:tcPr>
            <w:tcW w:w="11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119"/>
        </w:trPr>
        <w:tc>
          <w:tcPr>
            <w:tcW w:w="22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jc w:val="center"/>
              <w:ind w:right="203"/>
              <w:spacing w:after="0" w:line="113"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30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jc w:val="center"/>
              <w:ind w:right="101"/>
              <w:spacing w:after="0" w:line="113"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204"/>
        </w:trPr>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80"/>
        </w:trPr>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32.5</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38.7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66.7</w:t>
            </w:r>
          </w:p>
        </w:tc>
        <w:tc>
          <w:tcPr>
            <w:tcW w:w="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62.7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5"/>
        </w:trPr>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8.6</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43"/>
              <w:spacing w:after="0"/>
              <w:rPr>
                <w:sz w:val="20"/>
                <w:szCs w:val="20"/>
                <w:color w:val="auto"/>
              </w:rPr>
            </w:pPr>
            <w:r>
              <w:rPr>
                <w:rFonts w:ascii="Times New Roman" w:cs="Times New Roman" w:eastAsia="Times New Roman" w:hAnsi="Times New Roman"/>
                <w:sz w:val="18"/>
                <w:szCs w:val="18"/>
                <w:color w:val="auto"/>
              </w:rPr>
              <w:t>0.7</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17.9</w:t>
            </w:r>
          </w:p>
        </w:tc>
        <w:tc>
          <w:tcPr>
            <w:tcW w:w="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1"/>
        </w:trPr>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280" w:type="dxa"/>
            <w:vAlign w:val="bottom"/>
          </w:tcPr>
          <w:p>
            <w:pPr>
              <w:spacing w:after="0"/>
              <w:rPr>
                <w:sz w:val="20"/>
                <w:szCs w:val="20"/>
                <w:color w:val="auto"/>
              </w:rPr>
            </w:pPr>
          </w:p>
        </w:tc>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20"/>
                <w:szCs w:val="20"/>
                <w:color w:val="auto"/>
              </w:rPr>
            </w:pPr>
          </w:p>
        </w:tc>
        <w:tc>
          <w:tcPr>
            <w:tcW w:w="1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26.8 %</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280" w:type="dxa"/>
            <w:vAlign w:val="bottom"/>
          </w:tcPr>
          <w:p>
            <w:pPr>
              <w:spacing w:after="0"/>
              <w:rPr>
                <w:sz w:val="20"/>
                <w:szCs w:val="20"/>
                <w:color w:val="auto"/>
              </w:rPr>
            </w:pPr>
          </w:p>
        </w:tc>
        <w:tc>
          <w:tcPr>
            <w:tcW w:w="11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(14.5)%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-1862455</wp:posOffset>
            </wp:positionH>
            <wp:positionV relativeFrom="paragraph">
              <wp:posOffset>-429260</wp:posOffset>
            </wp:positionV>
            <wp:extent cx="7134860" cy="142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-1862455</wp:posOffset>
            </wp:positionH>
            <wp:positionV relativeFrom="paragraph">
              <wp:posOffset>-142875</wp:posOffset>
            </wp:positionV>
            <wp:extent cx="7134860" cy="142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2220" w:space="720"/>
            <w:col w:w="8300"/>
          </w:cols>
          <w:pgMar w:left="320" w:top="118" w:right="339" w:bottom="1440" w:gutter="0" w:footer="0" w:header="0"/>
          <w:type w:val="continuous"/>
        </w:sectPr>
      </w:pPr>
    </w:p>
    <w:p>
      <w:pPr>
        <w:jc w:val="both"/>
        <w:ind w:firstLine="358"/>
        <w:spacing w:after="0" w:line="259" w:lineRule="auto"/>
        <w:rPr>
          <w:sz w:val="20"/>
          <w:szCs w:val="20"/>
          <w:color w:val="auto"/>
        </w:rPr>
      </w:pPr>
      <w:r>
        <w:rPr>
          <w:rFonts w:ascii="Times New Roman" w:cs="Times New Roman" w:eastAsia="Times New Roman" w:hAnsi="Times New Roman"/>
          <w:sz w:val="18"/>
          <w:szCs w:val="18"/>
          <w:color w:val="auto"/>
        </w:rPr>
        <w:t xml:space="preserve">Our income tax provision will vary from period to period in our normal course of business for two reasons: a change in income before income taxes and a change in the effective tax rate. Changes in our income before income taxes were addressed in the preceding sections of </w:t>
      </w:r>
      <w:r>
        <w:rPr>
          <w:rFonts w:ascii="Times New Roman" w:cs="Times New Roman" w:eastAsia="Times New Roman" w:hAnsi="Times New Roman"/>
          <w:sz w:val="18"/>
          <w:szCs w:val="18"/>
          <w:i w:val="1"/>
          <w:iCs w:val="1"/>
          <w:color w:val="auto"/>
        </w:rPr>
        <w:t>“Consolidated Results of Operations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Comparison of the Three and Six Months Ended June 30, 2022 and 2021.”</w:t>
      </w:r>
    </w:p>
    <w:p>
      <w:pPr>
        <w:spacing w:after="0" w:line="138" w:lineRule="exact"/>
        <w:rPr>
          <w:sz w:val="20"/>
          <w:szCs w:val="20"/>
          <w:color w:val="auto"/>
        </w:rPr>
      </w:pPr>
    </w:p>
    <w:p>
      <w:pPr>
        <w:jc w:val="both"/>
        <w:ind w:right="120" w:firstLine="358"/>
        <w:spacing w:after="0" w:line="236" w:lineRule="auto"/>
        <w:rPr>
          <w:sz w:val="20"/>
          <w:szCs w:val="20"/>
          <w:color w:val="auto"/>
        </w:rPr>
      </w:pPr>
      <w:r>
        <w:rPr>
          <w:rFonts w:ascii="Times New Roman" w:cs="Times New Roman" w:eastAsia="Times New Roman" w:hAnsi="Times New Roman"/>
          <w:sz w:val="18"/>
          <w:szCs w:val="18"/>
          <w:color w:val="auto"/>
        </w:rPr>
        <w:t>Our effective tax rate for the three months ended June 30, 2022 was different than the rate of the prior comparable period, primarily due to the decrease of unrecognized tax benefits resulting from the closing of a state audit in the second quarter of 2021. Our effective tax rate for the six months ended June 30, 2022 was different than the rate of the prior comparable period primarily due to the recognition of excess tax benefits on stock-based compensation related to the departure of our previous chief executive officer in the first quarter of 2021.</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6" w:lineRule="exact"/>
        <w:rPr>
          <w:sz w:val="20"/>
          <w:szCs w:val="20"/>
          <w:color w:val="auto"/>
        </w:rPr>
      </w:pPr>
    </w:p>
    <w:p>
      <w:pPr>
        <w:ind w:right="140" w:firstLine="362"/>
        <w:spacing w:after="0" w:line="252" w:lineRule="auto"/>
        <w:rPr>
          <w:sz w:val="20"/>
          <w:szCs w:val="20"/>
          <w:color w:val="auto"/>
        </w:rPr>
      </w:pPr>
      <w:r>
        <w:rPr>
          <w:rFonts w:ascii="Times New Roman" w:cs="Times New Roman" w:eastAsia="Times New Roman" w:hAnsi="Times New Roman"/>
          <w:sz w:val="18"/>
          <w:szCs w:val="18"/>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(“Class A-2-I Notes”) in an initial aggregate principal amount of $700 million and the Series 2019-1 4.723% Fixed Rate Senior Secured Notes, Class A-2-II (“Class A-2-II Notes”) in an initial aggregate principal amount of $600 million (the “Class A-2-II Notes” and, together with the Class A-2-I Notes, the “2019 Class A-2 Notes”). The 2019 Class A-2 Notes were issued pursuant to an offering exempt from registration under the Securities Act of 1933, as amended.</w:t>
      </w:r>
    </w:p>
    <w:p>
      <w:pPr>
        <w:spacing w:after="0" w:line="212"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The Co-Issuers also established a new revolving financing facility, the 2019-1 Variable Funding Senior Notes, Class A-1 (the “Credit Facility”) that allows for drawings up to $225 million of variable funding notes and the issuance of letters of credit. The 2019 Class A-2 Notes and the Credit Facility are referred to collectively herein as the “New Notes.” The New Notes were issued in a securitization transaction pursuant to which substantially all the domestic revenue-generating assets and domestic intellectual property held by the Co-Issuers and certain other special-purpose, wholly-owned indirect subsidiaries of the Company (the “Guarantors”) were pledged as collateral to secure the New Notes.</w:t>
      </w:r>
    </w:p>
    <w:p>
      <w:pPr>
        <w:spacing w:after="0" w:line="212"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While the 2019 Class A-2 Notes are outstanding, payment of principal and interest is required to be made on the 2019 Class A-2 Notes on a quarterly basis. The quarterly principal payment totaling $3.25 million on the 2019 Class A-2 Notes may be suspended when the leverage ratio for the Company and its subsidiaries is less than or equal to 5.25x. The leverage ratio is not a maintenance covenant and exceeding the leverage ratio of 5.25x does not violate any covenant related to the New Notes. The complete definitions of all calculation elements of the leverage ratio are contained in the Base Indenture, dated as of September 30, 2014, amended and restated as of June 5, 2019 (the “Base Indenture”), as supplemented by the related Series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2019-1 Supplement to the Base Indenture, dated June 5, 2019 (the “Series 2019-1 Supplement”), among the Co-Issuers and Citibank, N.A., as the trustee (in such capacity, the “Trustee”) and securities intermediary (the Base Indenture and the Series 2019-1 Supplement, collectively, the “Indenture”). In general, the leverage ratio is our indebtedness (as defined in the Indenture) divided by adjusted EBITDA (as defined in the Indenture) for the four preceding quarterly periods.</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June 30, 2022, our leverage ratio was 4.27x. As a result, quarterly principal payments on the 2019 Class A-2 Notes are not required.</w:t>
      </w:r>
    </w:p>
    <w:p>
      <w:pPr>
        <w:spacing w:after="0" w:line="244" w:lineRule="exact"/>
        <w:rPr>
          <w:sz w:val="20"/>
          <w:szCs w:val="20"/>
          <w:color w:val="auto"/>
        </w:rPr>
      </w:pPr>
    </w:p>
    <w:p>
      <w:pPr>
        <w:ind w:right="200" w:firstLine="318"/>
        <w:spacing w:after="0" w:line="250" w:lineRule="auto"/>
        <w:rPr>
          <w:sz w:val="20"/>
          <w:szCs w:val="20"/>
          <w:color w:val="auto"/>
        </w:rPr>
      </w:pPr>
      <w:r>
        <w:rPr>
          <w:rFonts w:ascii="Times New Roman" w:cs="Times New Roman" w:eastAsia="Times New Roman" w:hAnsi="Times New Roman"/>
          <w:sz w:val="18"/>
          <w:szCs w:val="18"/>
          <w:color w:val="auto"/>
        </w:rPr>
        <w:t>We may voluntarily repay the 2019 Class A-2 Notes at any time; however, if we repay the 2019 Class A-2 Notes prior to certain dates we would be required to pay make-whole premiums. As of June 30, 2022, the make-whole premium associated with voluntary prepayment of the Class A-2-I Notes was zero and will remain as such. As of June 30, 2022, the make-whole premium associated with voluntary prepayment of the Class A-2-II Notes was approximately $16 million; this amount declines each quarter to zero in June 2024. We would also be subject to a make-whole premium in the event of a mandatory prepayment required following a Rapid Amortization Event or certain asset dispositions. The mandatory make-whole premium requirements are considered derivatives embedded in the New Notes that must be bifurcated for separate valuation. We estimated the fair value of these derivatives to be immaterial as of June 30, 2022, based on the probability-weighted discounted cash flows associated with either event.</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Covenants and Restrictions</w:t>
      </w:r>
    </w:p>
    <w:p>
      <w:pPr>
        <w:spacing w:after="0" w:line="140"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The New Notes are subject to a series of covenants and restrictions customary for transactions of this type, including: (i) that the Co-Issuers maintain specified reserve accounts to be used to make required payments in respect of the New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New Notes are in stated ways defective or ineffective; and (iv) covenants relating to recordkeeping, access to information and similar matters. The New Notes are subject to customary rapid amortization events provided for in the Indenture, including events tied to failure of the Securitization Entities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New Notes are also subject to certain customary events of default, including events relating to non-payment of required interest, principal or other amounts due, failure of the Securitization Entities to maintain the stated DSCR, failure to comply with covenants within certain time frames, certain bankruptcy events, breaches of specified representations and warranties and certain judgments.</w:t>
      </w:r>
    </w:p>
    <w:p>
      <w:pPr>
        <w:spacing w:after="0" w:line="218" w:lineRule="exact"/>
        <w:rPr>
          <w:sz w:val="20"/>
          <w:szCs w:val="20"/>
          <w:color w:val="auto"/>
        </w:rPr>
      </w:pPr>
    </w:p>
    <w:p>
      <w:pPr>
        <w:ind w:firstLine="238"/>
        <w:spacing w:after="0" w:line="250" w:lineRule="auto"/>
        <w:rPr>
          <w:sz w:val="20"/>
          <w:szCs w:val="20"/>
          <w:color w:val="auto"/>
        </w:rPr>
      </w:pPr>
      <w:r>
        <w:rPr>
          <w:rFonts w:ascii="Times New Roman" w:cs="Times New Roman" w:eastAsia="Times New Roman" w:hAnsi="Times New Roman"/>
          <w:sz w:val="18"/>
          <w:szCs w:val="18"/>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as described below. In a Cash Flow Sweeping Event, the Trustee is required to retain 50% of excess Cash Flow (as defined in the Indenture) in a restricted account. In a Rapid Amortization Event, all excess Cash Flow is retained and used to retire principal amounts of debt. In a Manager Termination Event, we may be replaced as manager of the assets securitized under the Indenture. In a Default Event, the outstanding principal amount and any accrued but unpaid interest can be called to become immediately due and payable. Key DSCRs are as follows:</w:t>
      </w:r>
    </w:p>
    <w:p>
      <w:pPr>
        <w:spacing w:after="0" w:line="213" w:lineRule="exact"/>
        <w:rPr>
          <w:sz w:val="20"/>
          <w:szCs w:val="20"/>
          <w:color w:val="auto"/>
        </w:rPr>
      </w:pPr>
    </w:p>
    <w:p>
      <w:pPr>
        <w:ind w:left="1280" w:hanging="320"/>
        <w:spacing w:after="0"/>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1.75x - Cash Flow Sweeping Event</w:t>
      </w:r>
    </w:p>
    <w:p>
      <w:pPr>
        <w:spacing w:after="0" w:line="2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1.20x - Rapid Amortization Event</w:t>
      </w:r>
    </w:p>
    <w:p>
      <w:pPr>
        <w:spacing w:after="0" w:line="5"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1.20x - Manager Termination Event</w:t>
      </w:r>
    </w:p>
    <w:p>
      <w:pPr>
        <w:spacing w:after="0" w:line="5"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1.10x - Default Event</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DSCR for the reporting period ended June 30, 2022 was approximately 4.31x.</w:t>
      </w:r>
    </w:p>
    <w:p>
      <w:pPr>
        <w:spacing w:after="0" w:line="200" w:lineRule="exact"/>
        <w:rPr>
          <w:sz w:val="20"/>
          <w:szCs w:val="20"/>
          <w:color w:val="auto"/>
        </w:rPr>
      </w:pPr>
    </w:p>
    <w:p>
      <w:pPr>
        <w:spacing w:after="0" w:line="2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Use of Credit Facilities</w:t>
      </w:r>
    </w:p>
    <w:p>
      <w:pPr>
        <w:spacing w:after="0" w:line="246"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8"/>
          <w:szCs w:val="18"/>
          <w:color w:val="auto"/>
        </w:rPr>
        <w:t>In March 2020, the Co-Issuers drew down a total of $220.0 million from the Credit Facility. The $220.0 million borrowing was repaid on March 5, 2021, and there have been no borrowings subsequent to that date. The current interest rate for borrowings under the Credit Facility is the three-month LIBOR rate plus 2.15% for 60% of the advances and the commercial paper funding rate of our conduit investor plus 2.15% for 40% of the advances.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right="60" w:firstLine="318"/>
        <w:spacing w:after="0" w:line="259" w:lineRule="auto"/>
        <w:rPr>
          <w:sz w:val="20"/>
          <w:szCs w:val="20"/>
          <w:color w:val="auto"/>
        </w:rPr>
      </w:pPr>
      <w:r>
        <w:rPr>
          <w:rFonts w:ascii="Times New Roman" w:cs="Times New Roman" w:eastAsia="Times New Roman" w:hAnsi="Times New Roman"/>
          <w:sz w:val="18"/>
          <w:szCs w:val="18"/>
          <w:color w:val="auto"/>
        </w:rPr>
        <w:t>At June 30, 2022, there were no outstanding borrowings under the Credit Facility. At June 30, 2022, $3.5 million was pledged against the Credit Facility for outstanding letters of credit, leaving $221.5 million available for borrowing. The letters of credit are used primarily to satisfy insurance-related collateral requirements.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w:t>
      </w:r>
    </w:p>
    <w:p>
      <w:pPr>
        <w:spacing w:after="0" w:line="248"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7"/>
          <w:szCs w:val="17"/>
          <w:color w:val="auto"/>
        </w:rPr>
        <w:t>To maintain financial flexibility in light of the COVID-19 pandemic, we suspended our repurchasing of common stock and the declaration of dividends on our common stock after the first quarter of 2020. After evaluating repurchases of common stock and dividend payments on common stock within the context of our overall capital allocation strategy, giving consideration to our current and forecast earnings, financial condition, cash requirements and other factors, we resumed repurchasing our common stock and the declaration of dividends on our common stock in the fourth quarter of 2021.</w:t>
      </w:r>
    </w:p>
    <w:p>
      <w:pPr>
        <w:spacing w:after="0" w:line="19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Additionally, on February 17, 2022, the Company's Board of Directors authorized a new share repurchase program, effective April 1, 2022, of up to $250 million (the “2022 Repurchase Program”).</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Stock Repurchases</w:t>
      </w:r>
    </w:p>
    <w:p>
      <w:pPr>
        <w:spacing w:after="0" w:line="230" w:lineRule="exact"/>
        <w:rPr>
          <w:sz w:val="20"/>
          <w:szCs w:val="20"/>
          <w:color w:val="auto"/>
        </w:rPr>
      </w:pPr>
    </w:p>
    <w:p>
      <w:pPr>
        <w:ind w:right="460" w:firstLine="318"/>
        <w:spacing w:after="0" w:line="274"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repurchased 912,992 and 1,501,100 shares of common stock at a cost of $62.6 million and $104.1 million, respectively. The amounts for the three months ended June 30, 2022 relate to the 2022 Repurchase Program.</w:t>
      </w:r>
    </w:p>
    <w:p>
      <w:pPr>
        <w:spacing w:after="0" w:line="177" w:lineRule="exact"/>
        <w:rPr>
          <w:sz w:val="20"/>
          <w:szCs w:val="20"/>
          <w:color w:val="auto"/>
        </w:rPr>
      </w:pPr>
    </w:p>
    <w:p>
      <w:pPr>
        <w:ind w:right="200" w:firstLine="318"/>
        <w:spacing w:after="0" w:line="252" w:lineRule="auto"/>
        <w:rPr>
          <w:sz w:val="20"/>
          <w:szCs w:val="20"/>
          <w:color w:val="auto"/>
        </w:rPr>
      </w:pPr>
      <w:r>
        <w:rPr>
          <w:rFonts w:ascii="Times New Roman" w:cs="Times New Roman" w:eastAsia="Times New Roman" w:hAnsi="Times New Roman"/>
          <w:sz w:val="18"/>
          <w:szCs w:val="18"/>
          <w:color w:val="auto"/>
        </w:rPr>
        <w:t>From time to time, we may also repurchase shares owned and tendered by employees to satisfy tax withholding obligations on the vesting of restricted stock awards. Shares are deemed purchased at the closing price of our common stock on the vesting date. See Part II, Item 2, of this Quarterly Report for detail on this stock repurchase activity during the six months ended June 30, 2022.</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Dividends declared and paid per share for the six months ended June 30, 2022 and 2021 were as follows:</w:t>
      </w:r>
    </w:p>
    <w:p>
      <w:pPr>
        <w:spacing w:after="0" w:line="286"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5220" w:type="dxa"/>
            <w:vAlign w:val="bottom"/>
          </w:tcPr>
          <w:p>
            <w:pPr>
              <w:spacing w:after="0"/>
              <w:rPr>
                <w:sz w:val="18"/>
                <w:szCs w:val="18"/>
                <w:color w:val="auto"/>
              </w:rPr>
            </w:pPr>
          </w:p>
        </w:tc>
        <w:tc>
          <w:tcPr>
            <w:tcW w:w="2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52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31"/>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per common share</w:t>
            </w: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6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bl>
    <w:p>
      <w:pPr>
        <w:spacing w:after="0" w:line="294" w:lineRule="exact"/>
        <w:rPr>
          <w:sz w:val="20"/>
          <w:szCs w:val="20"/>
          <w:color w:val="auto"/>
        </w:rPr>
      </w:pPr>
    </w:p>
    <w:p>
      <w:pPr>
        <w:ind w:right="2300" w:firstLine="318"/>
        <w:spacing w:after="0" w:line="274" w:lineRule="auto"/>
        <w:rPr>
          <w:sz w:val="20"/>
          <w:szCs w:val="20"/>
          <w:color w:val="auto"/>
        </w:rPr>
      </w:pPr>
      <w:r>
        <w:rPr>
          <w:rFonts w:ascii="Times New Roman" w:cs="Times New Roman" w:eastAsia="Times New Roman" w:hAnsi="Times New Roman"/>
          <w:sz w:val="18"/>
          <w:szCs w:val="18"/>
          <w:color w:val="auto"/>
        </w:rPr>
        <w:t>On October 28, 2021, the Board of Directors declared a fourth quarter 2021 cash dividend of $0.40 per share of common stock, paid on January 7, 2022 to the stockholders of record as of the close of business on December 17, 2021.</w:t>
      </w:r>
    </w:p>
    <w:p>
      <w:pPr>
        <w:spacing w:after="0" w:line="190" w:lineRule="exact"/>
        <w:rPr>
          <w:sz w:val="20"/>
          <w:szCs w:val="20"/>
          <w:color w:val="auto"/>
        </w:rPr>
      </w:pPr>
    </w:p>
    <w:p>
      <w:pPr>
        <w:ind w:right="2200" w:firstLine="318"/>
        <w:spacing w:after="0" w:line="274" w:lineRule="auto"/>
        <w:rPr>
          <w:sz w:val="20"/>
          <w:szCs w:val="20"/>
          <w:color w:val="auto"/>
        </w:rPr>
      </w:pPr>
      <w:r>
        <w:rPr>
          <w:rFonts w:ascii="Times New Roman" w:cs="Times New Roman" w:eastAsia="Times New Roman" w:hAnsi="Times New Roman"/>
          <w:sz w:val="18"/>
          <w:szCs w:val="18"/>
          <w:color w:val="auto"/>
        </w:rPr>
        <w:t>On February 17, 2022, the Company's Board of Directors declared a first quarter 2022 cash dividend of $0.46 per share of common stock, paid on April 1, 2022 to the stockholders of record as of the close of business on March 21, 2022.</w:t>
      </w:r>
    </w:p>
    <w:p>
      <w:pPr>
        <w:spacing w:after="0" w:line="190" w:lineRule="exact"/>
        <w:rPr>
          <w:sz w:val="20"/>
          <w:szCs w:val="20"/>
          <w:color w:val="auto"/>
        </w:rPr>
      </w:pPr>
    </w:p>
    <w:p>
      <w:pPr>
        <w:ind w:right="2320" w:firstLine="318"/>
        <w:spacing w:after="0" w:line="274" w:lineRule="auto"/>
        <w:rPr>
          <w:sz w:val="20"/>
          <w:szCs w:val="20"/>
          <w:color w:val="auto"/>
        </w:rPr>
      </w:pPr>
      <w:r>
        <w:rPr>
          <w:rFonts w:ascii="Times New Roman" w:cs="Times New Roman" w:eastAsia="Times New Roman" w:hAnsi="Times New Roman"/>
          <w:sz w:val="18"/>
          <w:szCs w:val="18"/>
          <w:color w:val="auto"/>
        </w:rPr>
        <w:t>On May 12, 2022, the Company's Board of Directors declared a second quarter 2022 cash dividend of $0.51 per share of common stock, paid on July 8, 2022 to the stockholders of record as of the close of business on June 20, 2022.</w:t>
      </w: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summary, our cash flows for the six months ended June 30, 2022 and June 30, 2021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40" w:type="dxa"/>
            <w:vAlign w:val="bottom"/>
          </w:tcPr>
          <w:p>
            <w:pPr>
              <w:spacing w:after="0"/>
              <w:rPr>
                <w:sz w:val="18"/>
                <w:szCs w:val="18"/>
                <w:color w:val="auto"/>
              </w:rPr>
            </w:pPr>
          </w:p>
        </w:tc>
        <w:tc>
          <w:tcPr>
            <w:tcW w:w="3140" w:type="dxa"/>
            <w:vAlign w:val="bottom"/>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9"/>
        </w:trPr>
        <w:tc>
          <w:tcPr>
            <w:tcW w:w="64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187"/>
        </w:trPr>
        <w:tc>
          <w:tcPr>
            <w:tcW w:w="6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25"/>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r>
      <w:tr>
        <w:trPr>
          <w:trHeight w:val="218"/>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
        </w:trPr>
        <w:tc>
          <w:tcPr>
            <w:tcW w:w="6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118"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244" w:lineRule="exact"/>
        <w:rPr>
          <w:sz w:val="20"/>
          <w:szCs w:val="20"/>
          <w:color w:val="auto"/>
        </w:rPr>
      </w:pPr>
    </w:p>
    <w:p>
      <w:pPr>
        <w:ind w:right="40" w:firstLine="318"/>
        <w:spacing w:after="0" w:line="267" w:lineRule="auto"/>
        <w:rPr>
          <w:sz w:val="20"/>
          <w:szCs w:val="20"/>
          <w:color w:val="auto"/>
        </w:rPr>
      </w:pPr>
      <w:r>
        <w:rPr>
          <w:rFonts w:ascii="Times New Roman" w:cs="Times New Roman" w:eastAsia="Times New Roman" w:hAnsi="Times New Roman"/>
          <w:sz w:val="17"/>
          <w:szCs w:val="17"/>
          <w:color w:val="auto"/>
        </w:rPr>
        <w:t>Cash provided by operating activities decreased $76.1 million during the six months ended June 30, 2022 compared to the same period of the prior year. Our net income plus the non-cash reconciling items shown in our statements of cash flows (primarily depreciation, impairment and closure charges, stock-based compensation and deferred taxes) decreased $1.5 million from 2021. This was primarily due to an increase in gross profit, partially offset by an increase in G&amp;A expenses and the recognition of excess tax benefits on stock-based compensation in 2021 that did not recur in 2022, each of which was discussed in preceding sections of the MD&amp;A. Net changes in working capital used cash of $42.7 million during the six months ended June 30, 2022 compared to providing cash of $31.9 million during the same period of the prior year, an unfavorable change of $74.6 million. The unfavorable change in working capital was primarily due to an increase in payments for corporate bonuses and other employee compensation and the timing of marketing and other disbursements.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204" w:lineRule="exact"/>
        <w:rPr>
          <w:sz w:val="20"/>
          <w:szCs w:val="20"/>
          <w:color w:val="auto"/>
        </w:rPr>
      </w:pPr>
    </w:p>
    <w:p>
      <w:pPr>
        <w:ind w:right="440" w:firstLine="318"/>
        <w:spacing w:after="0" w:line="239" w:lineRule="auto"/>
        <w:rPr>
          <w:sz w:val="20"/>
          <w:szCs w:val="20"/>
          <w:color w:val="auto"/>
        </w:rPr>
      </w:pPr>
      <w:r>
        <w:rPr>
          <w:rFonts w:ascii="Times New Roman" w:cs="Times New Roman" w:eastAsia="Times New Roman" w:hAnsi="Times New Roman"/>
          <w:sz w:val="18"/>
          <w:szCs w:val="18"/>
          <w:color w:val="auto"/>
        </w:rPr>
        <w:t>Investing activities used net cash of $0.8 million for the six months ended June 30, 2022 compared to investing activities provided net cash of $6.3 million for the six months ended June 30, 2021, an unfavorable change of $7.1 million. The variance of $7.1 million in investing activities was primarily related to an increase in capital expenditures of $8.7 million, partially offset by an increase in proceeds from the sale of property and equipment of $2.7 million.</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217"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Financing activities used net cash of $124.7 million for the six months ended June 30, 2022. We repurchased common stock in the amount of $102.4 million, paid dividends of $14.6 million and made payments on finance lease obligations of $4.7 million. The decrease in cash used by financing activities was due to a $220 million repayment of the Credit Facility in 2021 that did not recur in 2022, partially offset by the resumption of dividend repurchases and dividend payments in 2022 that had been suspended in 2021.</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total cash balances as of June 30, 2022 and December 31, 2021 were as follows:</w:t>
      </w:r>
    </w:p>
    <w:p>
      <w:pPr>
        <w:spacing w:after="0" w:line="39"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6"/>
                <w:szCs w:val="16"/>
                <w:color w:val="auto"/>
              </w:rPr>
            </w:pPr>
          </w:p>
        </w:tc>
        <w:tc>
          <w:tcPr>
            <w:tcW w:w="15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6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4"/>
          </w:tcPr>
          <w:p>
            <w:pPr>
              <w:spacing w:after="0"/>
              <w:rPr>
                <w:sz w:val="2"/>
                <w:szCs w:val="2"/>
                <w:color w:val="auto"/>
              </w:rPr>
            </w:pPr>
          </w:p>
        </w:tc>
      </w:tr>
      <w:tr>
        <w:trPr>
          <w:trHeight w:val="186"/>
        </w:trPr>
        <w:tc>
          <w:tcPr>
            <w:tcW w:w="6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00" w:type="dxa"/>
            <w:vAlign w:val="bottom"/>
            <w:gridSpan w:val="4"/>
          </w:tcPr>
          <w:p>
            <w:pPr>
              <w:jc w:val="right"/>
              <w:ind w:right="1335"/>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r>
      <w:tr>
        <w:trPr>
          <w:trHeight w:val="225"/>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current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25"/>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w:t>
            </w:r>
          </w:p>
        </w:tc>
      </w:tr>
      <w:tr>
        <w:trPr>
          <w:trHeight w:val="20"/>
        </w:trPr>
        <w:tc>
          <w:tcPr>
            <w:tcW w:w="6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Cash and cash equivalents include $82.1 million and $101.5 million of cash held for gift card programs and advertising funds as of June 30, 2022 and December 31, 2021, respectively. The decrease in cash and cash equivalents between June 30, 2022 and December 31, 2021 was primarily due to payments to repurchase common stock, dividend payments and other payments including employee bonuses and advertising.</w:t>
      </w:r>
    </w:p>
    <w:p>
      <w:pPr>
        <w:spacing w:after="0" w:line="204" w:lineRule="exact"/>
        <w:rPr>
          <w:sz w:val="20"/>
          <w:szCs w:val="20"/>
          <w:color w:val="auto"/>
        </w:rPr>
      </w:pPr>
    </w:p>
    <w:p>
      <w:pPr>
        <w:ind w:right="280" w:firstLine="318"/>
        <w:spacing w:after="0" w:line="274" w:lineRule="auto"/>
        <w:rPr>
          <w:sz w:val="20"/>
          <w:szCs w:val="20"/>
          <w:color w:val="auto"/>
        </w:rPr>
      </w:pPr>
      <w:r>
        <w:rPr>
          <w:rFonts w:ascii="Times New Roman" w:cs="Times New Roman" w:eastAsia="Times New Roman" w:hAnsi="Times New Roman"/>
          <w:sz w:val="18"/>
          <w:szCs w:val="18"/>
          <w:color w:val="auto"/>
        </w:rPr>
        <w:t>We believe that our unrestricted cash and cash equivalents on hand, cash flow from operations, and the $221.5 million of borrowing capacity available under our Credit Facility will provide us with adequate liquidity for at least the next twelve months.</w:t>
      </w: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248"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 of, among other things, payment of cash dividends on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Adjusted free cash flow is a non-U.S. GAAP measure. This non-U.S. GAAP measure is not defined in the same manner by all companies and may not be comparable to other similarly titled measures of other companies. Non-U.S. GAAP measures should be considered in addition to, and not as a substitute for, the U.S. GAAP information contained within our financial statements. Reconciliation of the cash provided by operating activities to adjusted (negative) free cash flow is as follows:</w:t>
      </w:r>
    </w:p>
    <w:p>
      <w:pPr>
        <w:spacing w:after="0" w:line="249" w:lineRule="exact"/>
        <w:rPr>
          <w:sz w:val="20"/>
          <w:szCs w:val="20"/>
          <w:color w:val="auto"/>
        </w:rPr>
      </w:pPr>
    </w:p>
    <w:tbl>
      <w:tblPr>
        <w:tblLayout w:type="fixed"/>
        <w:tblInd w:w="400" w:type="dxa"/>
        <w:tblCellMar>
          <w:top w:w="0" w:type="dxa"/>
          <w:left w:w="0" w:type="dxa"/>
          <w:bottom w:w="0" w:type="dxa"/>
          <w:right w:w="0" w:type="dxa"/>
        </w:tblCellMar>
      </w:tblPr>
      <w:tr>
        <w:trPr>
          <w:trHeight w:val="212"/>
        </w:trPr>
        <w:tc>
          <w:tcPr>
            <w:tcW w:w="618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7"/>
        </w:trPr>
        <w:tc>
          <w:tcPr>
            <w:tcW w:w="61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Variance</w:t>
            </w:r>
          </w:p>
        </w:tc>
      </w:tr>
      <w:tr>
        <w:trPr>
          <w:trHeight w:val="187"/>
        </w:trPr>
        <w:tc>
          <w:tcPr>
            <w:tcW w:w="6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2"/>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106.0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25"/>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Receipts from notes and equipment contracts receivable</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5"/>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8"/>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107.3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0"/>
        </w:trPr>
        <w:tc>
          <w:tcPr>
            <w:tcW w:w="6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Adjusted free cash flow for the six months ended June 30, 2022 declined compared to the same period of the prior year due to the decrease in cash flows provided by operating activities and the increase in capital expenditures, partially offset by an increase in receipts from notes and equipment contracts receivable, each of which was discussed in preceding sections of this MD&amp;A.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material changes to the contractual obligations as disclosed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19"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us to make estimates and assumptions affecting the reported amounts of assets and liabilities at the date of the financial statements and the reported amounts of net revenues and expenses in the reporting period.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 We continually review the estimates and underlying assumptions to ensure they are appropriate for the circumstances. Accounting assumptions and estimates are inherently uncertain and actual results may differ materially from our estimates.</w:t>
      </w:r>
    </w:p>
    <w:p>
      <w:pPr>
        <w:spacing w:after="0" w:line="185" w:lineRule="exact"/>
        <w:rPr>
          <w:sz w:val="20"/>
          <w:szCs w:val="20"/>
          <w:color w:val="auto"/>
        </w:rPr>
      </w:pPr>
    </w:p>
    <w:p>
      <w:pPr>
        <w:jc w:val="both"/>
        <w:ind w:right="180" w:firstLine="318"/>
        <w:spacing w:after="0" w:line="259" w:lineRule="auto"/>
        <w:rPr>
          <w:sz w:val="20"/>
          <w:szCs w:val="20"/>
          <w:color w:val="auto"/>
        </w:rPr>
      </w:pPr>
      <w:r>
        <w:rPr>
          <w:rFonts w:ascii="Times New Roman" w:cs="Times New Roman" w:eastAsia="Times New Roman" w:hAnsi="Times New Roman"/>
          <w:sz w:val="18"/>
          <w:szCs w:val="18"/>
          <w:color w:val="auto"/>
        </w:rPr>
        <w:t>A summary of our critical accounting estimates is included in Management’s Discussion and Analysis of Financial Condition and Results of Operations contained in our Annual Report on Form 10-K for the year ended December 31, 2021. During the six months ended June 30, 2022, there were no significant changes in our critical accounting policies or in our critical accounting estimates.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were no material changes from the information contained in the Company’s Annual Report on Form 10-K for the year ended December 31, 2021.</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19" w:lineRule="exact"/>
        <w:rPr>
          <w:sz w:val="20"/>
          <w:szCs w:val="20"/>
          <w:color w:val="auto"/>
        </w:rPr>
      </w:pPr>
    </w:p>
    <w:p>
      <w:pPr>
        <w:ind w:right="140" w:firstLine="318"/>
        <w:spacing w:after="0" w:line="252"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at the reasonable assurance level.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9"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9" w:lineRule="exact"/>
        <w:rPr>
          <w:sz w:val="20"/>
          <w:szCs w:val="20"/>
          <w:color w:val="auto"/>
        </w:rPr>
      </w:pPr>
    </w:p>
    <w:p>
      <w:pPr>
        <w:ind w:right="120" w:firstLine="318"/>
        <w:spacing w:after="0" w:line="250" w:lineRule="auto"/>
        <w:rPr>
          <w:sz w:val="20"/>
          <w:szCs w:val="20"/>
          <w:color w:val="auto"/>
        </w:rPr>
      </w:pPr>
      <w:r>
        <w:rPr>
          <w:rFonts w:ascii="Times New Roman" w:cs="Times New Roman" w:eastAsia="Times New Roman" w:hAnsi="Times New Roman"/>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6" w:lineRule="exact"/>
        <w:rPr>
          <w:sz w:val="20"/>
          <w:szCs w:val="20"/>
          <w:color w:val="auto"/>
        </w:rPr>
      </w:pPr>
    </w:p>
    <w:p>
      <w:pPr>
        <w:ind w:right="2300" w:firstLine="359"/>
        <w:spacing w:after="0" w:line="274" w:lineRule="auto"/>
        <w:rPr>
          <w:sz w:val="20"/>
          <w:szCs w:val="20"/>
          <w:color w:val="auto"/>
        </w:rPr>
      </w:pPr>
      <w:r>
        <w:rPr>
          <w:rFonts w:ascii="Times New Roman" w:cs="Times New Roman" w:eastAsia="Times New Roman" w:hAnsi="Times New Roman"/>
          <w:sz w:val="18"/>
          <w:szCs w:val="18"/>
          <w:color w:val="auto"/>
        </w:rPr>
        <w:t>There are no material changes from the risk factors set forth under Item 1A of Part I of the Company’s Annual Report on Form 10-K for the fiscal year ended December 31, 2021.</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012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1205" cy="825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80" w:type="dxa"/>
            <w:vAlign w:val="bottom"/>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w w:val="97"/>
              </w:rPr>
              <w:t>Total number of</w:t>
            </w:r>
          </w:p>
        </w:tc>
        <w:tc>
          <w:tcPr>
            <w:tcW w:w="0" w:type="dxa"/>
            <w:vAlign w:val="bottom"/>
          </w:tcPr>
          <w:p>
            <w:pPr>
              <w:spacing w:after="0"/>
              <w:rPr>
                <w:sz w:val="1"/>
                <w:szCs w:val="1"/>
                <w:color w:val="auto"/>
              </w:rPr>
            </w:pPr>
          </w:p>
        </w:tc>
      </w:tr>
      <w:tr>
        <w:trPr>
          <w:trHeight w:val="144"/>
        </w:trPr>
        <w:tc>
          <w:tcPr>
            <w:tcW w:w="2580" w:type="dxa"/>
            <w:vAlign w:val="bottom"/>
          </w:tcPr>
          <w:p>
            <w:pPr>
              <w:spacing w:after="0"/>
              <w:rPr>
                <w:sz w:val="12"/>
                <w:szCs w:val="12"/>
                <w:color w:val="auto"/>
              </w:rPr>
            </w:pPr>
          </w:p>
        </w:tc>
        <w:tc>
          <w:tcPr>
            <w:tcW w:w="3440" w:type="dxa"/>
            <w:vAlign w:val="bottom"/>
            <w:vMerge w:val="restart"/>
          </w:tcPr>
          <w:p>
            <w:pPr>
              <w:jc w:val="center"/>
              <w:ind w:left="1789"/>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480" w:type="dxa"/>
            <w:vAlign w:val="bottom"/>
          </w:tcPr>
          <w:p>
            <w:pPr>
              <w:jc w:val="center"/>
              <w:ind w:left="209"/>
              <w:spacing w:after="0" w:line="144"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0" w:type="dxa"/>
            <w:vAlign w:val="bottom"/>
          </w:tcPr>
          <w:p>
            <w:pPr>
              <w:spacing w:after="0"/>
              <w:rPr>
                <w:sz w:val="1"/>
                <w:szCs w:val="1"/>
                <w:color w:val="auto"/>
              </w:rPr>
            </w:pPr>
          </w:p>
        </w:tc>
      </w:tr>
      <w:tr>
        <w:trPr>
          <w:trHeight w:val="134"/>
        </w:trPr>
        <w:tc>
          <w:tcPr>
            <w:tcW w:w="2580" w:type="dxa"/>
            <w:vAlign w:val="bottom"/>
          </w:tcPr>
          <w:p>
            <w:pPr>
              <w:spacing w:after="0"/>
              <w:rPr>
                <w:sz w:val="11"/>
                <w:szCs w:val="11"/>
                <w:color w:val="auto"/>
              </w:rPr>
            </w:pPr>
          </w:p>
        </w:tc>
        <w:tc>
          <w:tcPr>
            <w:tcW w:w="344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480" w:type="dxa"/>
            <w:vAlign w:val="bottom"/>
          </w:tcPr>
          <w:p>
            <w:pPr>
              <w:jc w:val="center"/>
              <w:ind w:left="209"/>
              <w:spacing w:after="0" w:line="135" w:lineRule="exact"/>
              <w:rPr>
                <w:sz w:val="20"/>
                <w:szCs w:val="20"/>
                <w:color w:val="auto"/>
              </w:rPr>
            </w:pPr>
            <w:r>
              <w:rPr>
                <w:rFonts w:ascii="Times New Roman" w:cs="Times New Roman" w:eastAsia="Times New Roman" w:hAnsi="Times New Roman"/>
                <w:sz w:val="14"/>
                <w:szCs w:val="14"/>
                <w:b w:val="1"/>
                <w:bCs w:val="1"/>
                <w:color w:val="auto"/>
                <w:w w:val="99"/>
              </w:rPr>
              <w:t>part of publicly</w:t>
            </w:r>
          </w:p>
        </w:tc>
        <w:tc>
          <w:tcPr>
            <w:tcW w:w="0" w:type="dxa"/>
            <w:vAlign w:val="bottom"/>
          </w:tcPr>
          <w:p>
            <w:pPr>
              <w:spacing w:after="0"/>
              <w:rPr>
                <w:sz w:val="1"/>
                <w:szCs w:val="1"/>
                <w:color w:val="auto"/>
              </w:rPr>
            </w:pPr>
          </w:p>
        </w:tc>
      </w:tr>
      <w:tr>
        <w:trPr>
          <w:trHeight w:val="144"/>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440" w:type="dxa"/>
            <w:vAlign w:val="bottom"/>
          </w:tcPr>
          <w:p>
            <w:pPr>
              <w:jc w:val="center"/>
              <w:ind w:left="1789"/>
              <w:spacing w:after="0" w:line="144"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14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paid per</w:t>
            </w:r>
          </w:p>
        </w:tc>
        <w:tc>
          <w:tcPr>
            <w:tcW w:w="1480" w:type="dxa"/>
            <w:vAlign w:val="bottom"/>
          </w:tcPr>
          <w:p>
            <w:pPr>
              <w:jc w:val="center"/>
              <w:ind w:left="209"/>
              <w:spacing w:after="0" w:line="144"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0" w:type="dxa"/>
            <w:vAlign w:val="bottom"/>
          </w:tcPr>
          <w:p>
            <w:pPr>
              <w:spacing w:after="0"/>
              <w:rPr>
                <w:sz w:val="1"/>
                <w:szCs w:val="1"/>
                <w:color w:val="auto"/>
              </w:rPr>
            </w:pPr>
          </w:p>
        </w:tc>
      </w:tr>
      <w:tr>
        <w:trPr>
          <w:trHeight w:val="188"/>
        </w:trPr>
        <w:tc>
          <w:tcPr>
            <w:tcW w:w="2580" w:type="dxa"/>
            <w:vAlign w:val="bottom"/>
            <w:vMerge w:val="continue"/>
          </w:tcPr>
          <w:p>
            <w:pPr>
              <w:spacing w:after="0"/>
              <w:rPr>
                <w:sz w:val="16"/>
                <w:szCs w:val="16"/>
                <w:color w:val="auto"/>
              </w:rPr>
            </w:pPr>
          </w:p>
        </w:tc>
        <w:tc>
          <w:tcPr>
            <w:tcW w:w="3440" w:type="dxa"/>
            <w:vAlign w:val="bottom"/>
          </w:tcPr>
          <w:p>
            <w:pPr>
              <w:jc w:val="center"/>
              <w:ind w:left="1789"/>
              <w:spacing w:after="0"/>
              <w:rPr>
                <w:sz w:val="20"/>
                <w:szCs w:val="20"/>
                <w:color w:val="auto"/>
              </w:rPr>
            </w:pPr>
            <w:r>
              <w:rPr>
                <w:rFonts w:ascii="Times New Roman" w:cs="Times New Roman" w:eastAsia="Times New Roman" w:hAnsi="Times New Roman"/>
                <w:sz w:val="14"/>
                <w:szCs w:val="14"/>
                <w:b w:val="1"/>
                <w:bCs w:val="1"/>
                <w:color w:val="auto"/>
                <w:w w:val="99"/>
              </w:rPr>
              <w:t>purchased (a)</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480" w:type="dxa"/>
            <w:vAlign w:val="bottom"/>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rPr>
              <w:t>programs (b)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p>
      <w:pPr>
        <w:jc w:val="center"/>
        <w:ind w:right="120"/>
        <w:spacing w:after="0" w:line="201" w:lineRule="auto"/>
        <w:rPr>
          <w:sz w:val="20"/>
          <w:szCs w:val="20"/>
          <w:color w:val="auto"/>
        </w:rPr>
      </w:pPr>
      <w:r>
        <w:rPr>
          <w:rFonts w:ascii="Times New Roman" w:cs="Times New Roman" w:eastAsia="Times New Roman" w:hAnsi="Times New Roman"/>
          <w:sz w:val="14"/>
          <w:szCs w:val="14"/>
          <w:b w:val="1"/>
          <w:bCs w:val="1"/>
          <w:color w:val="auto"/>
        </w:rPr>
        <w:t>shares that may yet be</w:t>
      </w:r>
    </w:p>
    <w:p>
      <w:pPr>
        <w:jc w:val="center"/>
        <w:ind w:right="120"/>
        <w:spacing w:after="0" w:line="217" w:lineRule="auto"/>
        <w:rPr>
          <w:sz w:val="20"/>
          <w:szCs w:val="20"/>
          <w:color w:val="auto"/>
        </w:rPr>
      </w:pPr>
      <w:r>
        <w:rPr>
          <w:rFonts w:ascii="Times New Roman" w:cs="Times New Roman" w:eastAsia="Times New Roman" w:hAnsi="Times New Roman"/>
          <w:sz w:val="14"/>
          <w:szCs w:val="14"/>
          <w:b w:val="1"/>
          <w:bCs w:val="1"/>
          <w:color w:val="auto"/>
        </w:rPr>
        <w:t>purchased under the</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plans or programs (b)</w:t>
      </w:r>
    </w:p>
    <w:p>
      <w:pPr>
        <w:spacing w:after="0" w:line="21" w:lineRule="exact"/>
        <w:rPr>
          <w:sz w:val="20"/>
          <w:szCs w:val="20"/>
          <w:color w:val="auto"/>
        </w:rPr>
      </w:pPr>
    </w:p>
    <w:p>
      <w:pPr>
        <w:sectPr>
          <w:pgSz w:w="11900" w:h="16838" w:orient="portrait"/>
          <w:cols w:equalWidth="0" w:num="2">
            <w:col w:w="8940" w:space="440"/>
            <w:col w:w="1820"/>
          </w:cols>
          <w:pgMar w:left="320" w:top="118" w:right="379" w:bottom="1440" w:gutter="0" w:footer="0" w:header="0"/>
          <w:type w:val="continuous"/>
        </w:sectPr>
      </w:pPr>
    </w:p>
    <w:tbl>
      <w:tblPr>
        <w:tblLayout w:type="fixed"/>
        <w:tblInd w:w="20" w:type="dxa"/>
        <w:tblCellMar>
          <w:top w:w="0" w:type="dxa"/>
          <w:left w:w="0" w:type="dxa"/>
          <w:bottom w:w="0" w:type="dxa"/>
          <w:right w:w="0" w:type="dxa"/>
        </w:tblCellMar>
      </w:tblPr>
      <w:tr>
        <w:trPr>
          <w:trHeight w:val="22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April 4, 2022 - May 1, 2022</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46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74.42</w:t>
            </w:r>
          </w:p>
        </w:tc>
        <w:tc>
          <w:tcPr>
            <w:tcW w:w="10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250,000,000</w:t>
            </w:r>
          </w:p>
        </w:tc>
      </w:tr>
      <w:tr>
        <w:trPr>
          <w:trHeight w:val="225"/>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May 2, 2022 - May 29, 2022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536,089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535,240</w:t>
            </w:r>
          </w:p>
        </w:tc>
        <w:tc>
          <w:tcPr>
            <w:tcW w:w="640" w:type="dxa"/>
            <w:vAlign w:val="bottom"/>
            <w:gridSpan w:val="2"/>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212,872,000</w:t>
            </w: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May 30, 2022 - July 3, 2022</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385,580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67.47</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377,752</w:t>
            </w:r>
          </w:p>
        </w:tc>
        <w:tc>
          <w:tcPr>
            <w:tcW w:w="640" w:type="dxa"/>
            <w:vAlign w:val="bottom"/>
            <w:gridSpan w:val="2"/>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187,392,000</w:t>
            </w:r>
          </w:p>
        </w:tc>
      </w:tr>
      <w:tr>
        <w:trPr>
          <w:trHeight w:val="219"/>
        </w:trPr>
        <w:tc>
          <w:tcPr>
            <w:tcW w:w="44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921,787</w:t>
            </w:r>
          </w:p>
        </w:tc>
        <w:tc>
          <w:tcPr>
            <w:tcW w:w="58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912,992</w:t>
            </w:r>
          </w:p>
        </w:tc>
        <w:tc>
          <w:tcPr>
            <w:tcW w:w="640" w:type="dxa"/>
            <w:vAlign w:val="bottom"/>
            <w:gridSpan w:val="2"/>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187,392,000</w:t>
            </w:r>
          </w:p>
        </w:tc>
      </w:tr>
      <w:tr>
        <w:trPr>
          <w:trHeight w:val="20"/>
        </w:trPr>
        <w:tc>
          <w:tcPr>
            <w:tcW w:w="44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92" w:lineRule="exact"/>
        <w:rPr>
          <w:sz w:val="20"/>
          <w:szCs w:val="20"/>
          <w:color w:val="auto"/>
        </w:rPr>
      </w:pPr>
    </w:p>
    <w:p>
      <w:pPr>
        <w:ind w:left="240" w:right="100" w:hanging="234"/>
        <w:spacing w:after="0" w:line="263" w:lineRule="auto"/>
        <w:tabs>
          <w:tab w:leader="none" w:pos="157"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Total number of shares purchased include 118 shares owned and tendered by employees at an average price of $74.42 per share during the fiscal month ended May 1, 2022, and 849 shares owned and tendered by employees at an average price of $73.17 per share during the fiscal month ended May 29, 2022, and 7,828 shares owned and tendered by employees at an average price of $68.55 per share during the fiscal month ended July 3, 2022 to satisfy tax withholding obligations arising upon vesting of restricted stock awards. Shares so surrendered by the participants are repurchased by the Company pursuant to the terms of the plan and the applicable individual award agreements under which the shares were issued and not pursuant to publicly announced repurchase authorizations.</w:t>
      </w:r>
    </w:p>
    <w:p>
      <w:pPr>
        <w:spacing w:after="0" w:line="1" w:lineRule="exact"/>
        <w:rPr>
          <w:rFonts w:ascii="Times New Roman" w:cs="Times New Roman" w:eastAsia="Times New Roman" w:hAnsi="Times New Roman"/>
          <w:sz w:val="20"/>
          <w:szCs w:val="20"/>
          <w:color w:val="auto"/>
          <w:vertAlign w:val="superscript"/>
        </w:rPr>
      </w:pPr>
    </w:p>
    <w:p>
      <w:pPr>
        <w:ind w:left="240" w:hanging="234"/>
        <w:spacing w:after="0" w:line="211" w:lineRule="auto"/>
        <w:tabs>
          <w:tab w:leader="none" w:pos="254"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 February 2019, the Company’s Board of Directors approved the 2019 Repurchase Program authorizing the Company to repurchase up to $200 million of the Company's common stock. On February 17, 2022, the Board of Directors authorized a new share repurchase program, effective April 1, 2022, of up to $250 million. In connection with the approval of the 2022 Repurchase Program, the 2019 Repurchase Program terminated effective April 1, 2022. The 2022 Repurchase Program, as approved by the Board of Directors, does not require the repurchase of a specific number of shares and can be terminated at any time.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7"/>
              </w:rPr>
              <w:t>Item 6. Exhibits.</w:t>
            </w:r>
          </w:p>
        </w:tc>
        <w:tc>
          <w:tcPr>
            <w:tcW w:w="106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23"/>
        </w:trPr>
        <w:tc>
          <w:tcPr>
            <w:tcW w:w="13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*31.1</w:t>
            </w:r>
          </w:p>
        </w:tc>
        <w:tc>
          <w:tcPr>
            <w:tcW w:w="8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Certification of Chief Executive Officer pursuant to Rule 13a-14(a) of the Securities Exchange Act of 1934, as amended.</w:t>
            </w:r>
          </w:p>
        </w:tc>
        <w:tc>
          <w:tcPr>
            <w:tcW w:w="1000" w:type="dxa"/>
            <w:vAlign w:val="bottom"/>
            <w:gridSpan w:val="2"/>
          </w:tcPr>
          <w:p>
            <w:pPr>
              <w:spacing w:after="0"/>
              <w:rPr>
                <w:sz w:val="24"/>
                <w:szCs w:val="24"/>
                <w:color w:val="auto"/>
              </w:rPr>
            </w:pPr>
          </w:p>
        </w:tc>
      </w:tr>
      <w:tr>
        <w:trPr>
          <w:trHeight w:val="205"/>
        </w:trPr>
        <w:tc>
          <w:tcPr>
            <w:tcW w:w="1380" w:type="dxa"/>
            <w:vAlign w:val="bottom"/>
          </w:tcPr>
          <w:p>
            <w:pPr>
              <w:jc w:val="right"/>
              <w:ind w:right="212"/>
              <w:spacing w:after="0" w:line="205" w:lineRule="exact"/>
              <w:rPr>
                <w:sz w:val="20"/>
                <w:szCs w:val="20"/>
                <w:color w:val="auto"/>
              </w:rPr>
            </w:pPr>
            <w:r>
              <w:rPr>
                <w:rFonts w:ascii="Times New Roman" w:cs="Times New Roman" w:eastAsia="Times New Roman" w:hAnsi="Times New Roman"/>
                <w:sz w:val="18"/>
                <w:szCs w:val="18"/>
                <w:color w:val="auto"/>
              </w:rPr>
              <w:t>*31.2</w:t>
            </w:r>
          </w:p>
        </w:tc>
        <w:tc>
          <w:tcPr>
            <w:tcW w:w="850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7"/>
              </w:rPr>
              <w:t>Certification of Chief Financial Officer pursuant to Rule 13a-14(a) of the Securities Exchange Act of 1934, as amended.</w:t>
            </w:r>
          </w:p>
        </w:tc>
        <w:tc>
          <w:tcPr>
            <w:tcW w:w="1040" w:type="dxa"/>
            <w:vAlign w:val="bottom"/>
            <w:gridSpan w:val="3"/>
          </w:tcPr>
          <w:p>
            <w:pPr>
              <w:spacing w:after="0"/>
              <w:rPr>
                <w:sz w:val="17"/>
                <w:szCs w:val="17"/>
                <w:color w:val="auto"/>
              </w:rPr>
            </w:pPr>
          </w:p>
        </w:tc>
      </w:tr>
      <w:tr>
        <w:trPr>
          <w:trHeight w:val="205"/>
        </w:trPr>
        <w:tc>
          <w:tcPr>
            <w:tcW w:w="1380" w:type="dxa"/>
            <w:vAlign w:val="bottom"/>
          </w:tcPr>
          <w:p>
            <w:pPr>
              <w:jc w:val="right"/>
              <w:ind w:right="212"/>
              <w:spacing w:after="0" w:line="205" w:lineRule="exact"/>
              <w:rPr>
                <w:sz w:val="20"/>
                <w:szCs w:val="20"/>
                <w:color w:val="auto"/>
              </w:rPr>
            </w:pPr>
            <w:r>
              <w:rPr>
                <w:rFonts w:ascii="Times New Roman" w:cs="Times New Roman" w:eastAsia="Times New Roman" w:hAnsi="Times New Roman"/>
                <w:sz w:val="18"/>
                <w:szCs w:val="18"/>
                <w:color w:val="auto"/>
              </w:rPr>
              <w:t>*32.1</w:t>
            </w:r>
          </w:p>
        </w:tc>
        <w:tc>
          <w:tcPr>
            <w:tcW w:w="9540" w:type="dxa"/>
            <w:vAlign w:val="bottom"/>
            <w:tcBorders>
              <w:bottom w:val="single" w:sz="8" w:color="0E32E1"/>
            </w:tcBorders>
            <w:gridSpan w:val="5"/>
          </w:tcPr>
          <w:p>
            <w:pPr>
              <w:spacing w:after="0" w:line="205" w:lineRule="exact"/>
              <w:rPr>
                <w:sz w:val="20"/>
                <w:szCs w:val="20"/>
                <w:color w:val="auto"/>
              </w:rPr>
            </w:pPr>
            <w:r>
              <w:rPr>
                <w:rFonts w:ascii="Times New Roman" w:cs="Times New Roman" w:eastAsia="Times New Roman" w:hAnsi="Times New Roman"/>
                <w:sz w:val="18"/>
                <w:szCs w:val="18"/>
                <w:color w:val="0E32E1"/>
                <w:w w:val="97"/>
              </w:rPr>
              <w:t>Certification of Chief Executive Officer pursuant to 18 U.S.C. Section 1350, as adopted pursuant to Section 906 of the Sarbanes-Oxley</w:t>
            </w:r>
          </w:p>
        </w:tc>
      </w:tr>
      <w:tr>
        <w:trPr>
          <w:trHeight w:val="152"/>
        </w:trPr>
        <w:tc>
          <w:tcPr>
            <w:tcW w:w="1380" w:type="dxa"/>
            <w:vAlign w:val="bottom"/>
          </w:tcPr>
          <w:p>
            <w:pPr>
              <w:spacing w:after="0"/>
              <w:rPr>
                <w:sz w:val="13"/>
                <w:szCs w:val="13"/>
                <w:color w:val="auto"/>
              </w:rPr>
            </w:pPr>
          </w:p>
        </w:tc>
        <w:tc>
          <w:tcPr>
            <w:tcW w:w="1060" w:type="dxa"/>
            <w:vAlign w:val="bottom"/>
            <w:tcBorders>
              <w:bottom w:val="single" w:sz="8" w:color="0E32E1"/>
            </w:tcBorders>
          </w:tcPr>
          <w:p>
            <w:pPr>
              <w:spacing w:after="0" w:line="152" w:lineRule="exact"/>
              <w:rPr>
                <w:sz w:val="20"/>
                <w:szCs w:val="20"/>
                <w:color w:val="auto"/>
              </w:rPr>
            </w:pPr>
            <w:r>
              <w:rPr>
                <w:rFonts w:ascii="Times New Roman" w:cs="Times New Roman" w:eastAsia="Times New Roman" w:hAnsi="Times New Roman"/>
                <w:sz w:val="17"/>
                <w:szCs w:val="17"/>
                <w:color w:val="0E32E1"/>
              </w:rPr>
              <w:t>Act of 2002.**</w:t>
            </w:r>
          </w:p>
        </w:tc>
        <w:tc>
          <w:tcPr>
            <w:tcW w:w="8480" w:type="dxa"/>
            <w:vAlign w:val="bottom"/>
            <w:gridSpan w:val="4"/>
          </w:tcPr>
          <w:p>
            <w:pPr>
              <w:spacing w:after="0"/>
              <w:rPr>
                <w:sz w:val="13"/>
                <w:szCs w:val="13"/>
                <w:color w:val="auto"/>
              </w:rPr>
            </w:pPr>
          </w:p>
        </w:tc>
      </w:tr>
      <w:tr>
        <w:trPr>
          <w:trHeight w:val="219"/>
        </w:trPr>
        <w:tc>
          <w:tcPr>
            <w:tcW w:w="13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*32.2</w:t>
            </w:r>
          </w:p>
        </w:tc>
        <w:tc>
          <w:tcPr>
            <w:tcW w:w="9540" w:type="dxa"/>
            <w:vAlign w:val="bottom"/>
            <w:gridSpan w:val="5"/>
          </w:tcPr>
          <w:p>
            <w:pPr>
              <w:spacing w:after="0"/>
              <w:rPr>
                <w:sz w:val="20"/>
                <w:szCs w:val="20"/>
                <w:color w:val="auto"/>
              </w:rPr>
            </w:pPr>
            <w:r>
              <w:rPr>
                <w:rFonts w:ascii="Times New Roman" w:cs="Times New Roman" w:eastAsia="Times New Roman" w:hAnsi="Times New Roman"/>
                <w:sz w:val="18"/>
                <w:szCs w:val="18"/>
                <w:color w:val="0E32E1"/>
                <w:w w:val="98"/>
              </w:rPr>
              <w:t>Certification of Chief Financial Officer pursuant to 18 U.S.C. Section 1350, as adopted pursuant to Section 906 of the Sarbanes-Oxley</w:t>
            </w:r>
          </w:p>
        </w:tc>
      </w:tr>
      <w:tr>
        <w:trPr>
          <w:trHeight w:val="152"/>
        </w:trPr>
        <w:tc>
          <w:tcPr>
            <w:tcW w:w="1380" w:type="dxa"/>
            <w:vAlign w:val="bottom"/>
          </w:tcPr>
          <w:p>
            <w:pPr>
              <w:spacing w:after="0"/>
              <w:rPr>
                <w:sz w:val="13"/>
                <w:szCs w:val="13"/>
                <w:color w:val="auto"/>
              </w:rPr>
            </w:pPr>
          </w:p>
        </w:tc>
        <w:tc>
          <w:tcPr>
            <w:tcW w:w="1060" w:type="dxa"/>
            <w:vAlign w:val="bottom"/>
            <w:tcBorders>
              <w:top w:val="single" w:sz="8" w:color="0E32E1"/>
              <w:bottom w:val="single" w:sz="8" w:color="0E32E1"/>
            </w:tcBorders>
          </w:tcPr>
          <w:p>
            <w:pPr>
              <w:spacing w:after="0" w:line="152" w:lineRule="exact"/>
              <w:rPr>
                <w:sz w:val="20"/>
                <w:szCs w:val="20"/>
                <w:color w:val="auto"/>
              </w:rPr>
            </w:pPr>
            <w:r>
              <w:rPr>
                <w:rFonts w:ascii="Times New Roman" w:cs="Times New Roman" w:eastAsia="Times New Roman" w:hAnsi="Times New Roman"/>
                <w:sz w:val="17"/>
                <w:szCs w:val="17"/>
                <w:color w:val="0E32E1"/>
              </w:rPr>
              <w:t>Act of 2002.**</w:t>
            </w:r>
          </w:p>
        </w:tc>
        <w:tc>
          <w:tcPr>
            <w:tcW w:w="8440" w:type="dxa"/>
            <w:vAlign w:val="bottom"/>
            <w:tcBorders>
              <w:top w:val="single" w:sz="8" w:color="0E32E1"/>
            </w:tcBorders>
            <w:gridSpan w:val="3"/>
          </w:tcPr>
          <w:p>
            <w:pPr>
              <w:spacing w:after="0"/>
              <w:rPr>
                <w:sz w:val="13"/>
                <w:szCs w:val="13"/>
                <w:color w:val="auto"/>
              </w:rPr>
            </w:pPr>
          </w:p>
        </w:tc>
        <w:tc>
          <w:tcPr>
            <w:tcW w:w="40" w:type="dxa"/>
            <w:vAlign w:val="bottom"/>
          </w:tcPr>
          <w:p>
            <w:pPr>
              <w:spacing w:after="0"/>
              <w:rPr>
                <w:sz w:val="13"/>
                <w:szCs w:val="13"/>
                <w:color w:val="auto"/>
              </w:rPr>
            </w:pPr>
          </w:p>
        </w:tc>
      </w:tr>
      <w:tr>
        <w:trPr>
          <w:trHeight w:val="205"/>
        </w:trPr>
        <w:tc>
          <w:tcPr>
            <w:tcW w:w="1380" w:type="dxa"/>
            <w:vAlign w:val="bottom"/>
          </w:tcPr>
          <w:p>
            <w:pPr>
              <w:jc w:val="right"/>
              <w:ind w:right="212"/>
              <w:spacing w:after="0" w:line="205" w:lineRule="exact"/>
              <w:rPr>
                <w:sz w:val="20"/>
                <w:szCs w:val="20"/>
                <w:color w:val="auto"/>
              </w:rPr>
            </w:pPr>
            <w:r>
              <w:rPr>
                <w:rFonts w:ascii="Times New Roman" w:cs="Times New Roman" w:eastAsia="Times New Roman" w:hAnsi="Times New Roman"/>
                <w:sz w:val="18"/>
                <w:szCs w:val="18"/>
                <w:color w:val="auto"/>
              </w:rPr>
              <w:t>101.INS</w:t>
            </w:r>
          </w:p>
        </w:tc>
        <w:tc>
          <w:tcPr>
            <w:tcW w:w="954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w:t>
            </w:r>
          </w:p>
        </w:tc>
      </w:tr>
      <w:tr>
        <w:trPr>
          <w:trHeight w:val="231"/>
        </w:trPr>
        <w:tc>
          <w:tcPr>
            <w:tcW w:w="1380" w:type="dxa"/>
            <w:vAlign w:val="bottom"/>
          </w:tcPr>
          <w:p>
            <w:pPr>
              <w:spacing w:after="0"/>
              <w:rPr>
                <w:sz w:val="20"/>
                <w:szCs w:val="20"/>
                <w:color w:val="auto"/>
              </w:rPr>
            </w:pPr>
          </w:p>
        </w:tc>
        <w:tc>
          <w:tcPr>
            <w:tcW w:w="95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27"/>
        </w:trPr>
        <w:tc>
          <w:tcPr>
            <w:tcW w:w="13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101.SCH</w:t>
            </w:r>
          </w:p>
        </w:tc>
        <w:tc>
          <w:tcPr>
            <w:tcW w:w="9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25"/>
        </w:trPr>
        <w:tc>
          <w:tcPr>
            <w:tcW w:w="13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101.CAL</w:t>
            </w:r>
          </w:p>
        </w:tc>
        <w:tc>
          <w:tcPr>
            <w:tcW w:w="9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25"/>
        </w:trPr>
        <w:tc>
          <w:tcPr>
            <w:tcW w:w="13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101.DEF</w:t>
            </w:r>
          </w:p>
        </w:tc>
        <w:tc>
          <w:tcPr>
            <w:tcW w:w="9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225"/>
        </w:trPr>
        <w:tc>
          <w:tcPr>
            <w:tcW w:w="13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101.LAB</w:t>
            </w:r>
          </w:p>
        </w:tc>
        <w:tc>
          <w:tcPr>
            <w:tcW w:w="9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r>
      <w:tr>
        <w:trPr>
          <w:trHeight w:val="231"/>
        </w:trPr>
        <w:tc>
          <w:tcPr>
            <w:tcW w:w="13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101.PRE</w:t>
            </w:r>
          </w:p>
        </w:tc>
        <w:tc>
          <w:tcPr>
            <w:tcW w:w="9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bl>
    <w:p>
      <w:pPr>
        <w:ind w:left="1380" w:hanging="623"/>
        <w:spacing w:after="0"/>
        <w:tabs>
          <w:tab w:leader="none" w:pos="13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0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4" w:lineRule="exact"/>
        <w:rPr>
          <w:rFonts w:ascii="Times New Roman" w:cs="Times New Roman" w:eastAsia="Times New Roman" w:hAnsi="Times New Roman"/>
          <w:sz w:val="18"/>
          <w:szCs w:val="18"/>
          <w:color w:val="auto"/>
        </w:rPr>
      </w:pPr>
    </w:p>
    <w:p>
      <w:pPr>
        <w:ind w:left="480" w:right="140" w:hanging="474"/>
        <w:spacing w:after="0" w:line="245" w:lineRule="auto"/>
        <w:tabs>
          <w:tab w:leader="none" w:pos="35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accompany this Quarterly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 w:lineRule="exact"/>
        <w:rPr>
          <w:rFonts w:ascii="Times New Roman" w:cs="Times New Roman" w:eastAsia="Times New Roman" w:hAnsi="Times New Roman"/>
          <w:sz w:val="18"/>
          <w:szCs w:val="18"/>
          <w:color w:val="auto"/>
        </w:rPr>
      </w:pPr>
    </w:p>
    <w:p>
      <w:pPr>
        <w:ind w:left="480" w:hanging="474"/>
        <w:spacing w:after="0" w:line="248" w:lineRule="auto"/>
        <w:tabs>
          <w:tab w:leader="none" w:pos="36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Regulation S-T, the interactive data files on Exhibit 101 and 104 hereto are deemed not filed or part of a registration 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Dine Brands Global, Inc.</w:t>
      </w:r>
    </w:p>
    <w:p>
      <w:pP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62" w:lineRule="exact"/>
        <w:rPr>
          <w:sz w:val="20"/>
          <w:szCs w:val="20"/>
          <w:color w:val="auto"/>
        </w:rPr>
      </w:pPr>
    </w:p>
    <w:p>
      <w:pPr>
        <w:ind w:left="820"/>
        <w:spacing w:after="0"/>
        <w:tabs>
          <w:tab w:leader="none" w:pos="5800" w:val="left"/>
          <w:tab w:leader="none" w:pos="7440" w:val="left"/>
        </w:tabs>
        <w:rPr>
          <w:sz w:val="20"/>
          <w:szCs w:val="20"/>
          <w:color w:val="auto"/>
        </w:rPr>
      </w:pPr>
      <w:r>
        <w:rPr>
          <w:rFonts w:ascii="Times New Roman" w:cs="Times New Roman" w:eastAsia="Times New Roman" w:hAnsi="Times New Roman"/>
          <w:sz w:val="18"/>
          <w:szCs w:val="18"/>
          <w:color w:val="auto"/>
        </w:rPr>
        <w:t>Dated: 9th day of August,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14605</wp:posOffset>
            </wp:positionV>
            <wp:extent cx="25749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jc w:val="center"/>
        <w:ind w:left="500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5000"/>
        <w:spacing w:after="0" w:line="215"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50" w:lineRule="exact"/>
        <w:rPr>
          <w:sz w:val="20"/>
          <w:szCs w:val="20"/>
          <w:color w:val="auto"/>
        </w:rPr>
      </w:pPr>
    </w:p>
    <w:p>
      <w:pPr>
        <w:ind w:left="820"/>
        <w:spacing w:after="0"/>
        <w:tabs>
          <w:tab w:leader="none" w:pos="5800" w:val="left"/>
          <w:tab w:leader="none" w:pos="7440" w:val="left"/>
        </w:tabs>
        <w:rPr>
          <w:sz w:val="20"/>
          <w:szCs w:val="20"/>
          <w:color w:val="auto"/>
        </w:rPr>
      </w:pPr>
      <w:r>
        <w:rPr>
          <w:rFonts w:ascii="Times New Roman" w:cs="Times New Roman" w:eastAsia="Times New Roman" w:hAnsi="Times New Roman"/>
          <w:sz w:val="18"/>
          <w:szCs w:val="18"/>
          <w:color w:val="auto"/>
        </w:rPr>
        <w:t>Dated: 9th day of August,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14605</wp:posOffset>
            </wp:positionV>
            <wp:extent cx="25749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jc w:val="center"/>
        <w:ind w:left="5000"/>
        <w:spacing w:after="0"/>
        <w:rPr>
          <w:sz w:val="20"/>
          <w:szCs w:val="20"/>
          <w:color w:val="auto"/>
        </w:rPr>
      </w:pPr>
      <w:r>
        <w:rPr>
          <w:rFonts w:ascii="Times New Roman" w:cs="Times New Roman" w:eastAsia="Times New Roman" w:hAnsi="Times New Roman"/>
          <w:sz w:val="18"/>
          <w:szCs w:val="18"/>
          <w:color w:val="auto"/>
        </w:rPr>
        <w:t>Vance Y. Chang</w:t>
      </w:r>
    </w:p>
    <w:p>
      <w:pPr>
        <w:jc w:val="center"/>
        <w:ind w:left="5000"/>
        <w:spacing w:after="0" w:line="215"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24" w:lineRule="exact"/>
        <w:rPr>
          <w:sz w:val="20"/>
          <w:szCs w:val="20"/>
          <w:color w:val="auto"/>
        </w:rPr>
      </w:pPr>
    </w:p>
    <w:p>
      <w:pPr>
        <w:ind w:left="820"/>
        <w:spacing w:after="0"/>
        <w:tabs>
          <w:tab w:leader="none" w:pos="5800" w:val="left"/>
          <w:tab w:leader="none" w:pos="7560" w:val="left"/>
        </w:tabs>
        <w:rPr>
          <w:sz w:val="20"/>
          <w:szCs w:val="20"/>
          <w:color w:val="auto"/>
        </w:rPr>
      </w:pPr>
      <w:r>
        <w:rPr>
          <w:rFonts w:ascii="Times New Roman" w:cs="Times New Roman" w:eastAsia="Times New Roman" w:hAnsi="Times New Roman"/>
          <w:sz w:val="18"/>
          <w:szCs w:val="18"/>
          <w:color w:val="auto"/>
        </w:rPr>
        <w:t>Dated: 9th day of August,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Allison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14605</wp:posOffset>
            </wp:positionV>
            <wp:extent cx="25749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jc w:val="center"/>
        <w:ind w:left="5000"/>
        <w:spacing w:after="0"/>
        <w:rPr>
          <w:sz w:val="20"/>
          <w:szCs w:val="20"/>
          <w:color w:val="auto"/>
        </w:rPr>
      </w:pPr>
      <w:r>
        <w:rPr>
          <w:rFonts w:ascii="Times New Roman" w:cs="Times New Roman" w:eastAsia="Times New Roman" w:hAnsi="Times New Roman"/>
          <w:sz w:val="18"/>
          <w:szCs w:val="18"/>
          <w:color w:val="auto"/>
        </w:rPr>
        <w:t>Allison Hall</w:t>
      </w:r>
    </w:p>
    <w:p>
      <w:pPr>
        <w:jc w:val="center"/>
        <w:ind w:left="5000"/>
        <w:spacing w:after="0" w:line="215" w:lineRule="auto"/>
        <w:rPr>
          <w:sz w:val="20"/>
          <w:szCs w:val="20"/>
          <w:color w:val="auto"/>
        </w:rPr>
      </w:pPr>
      <w:r>
        <w:rPr>
          <w:rFonts w:ascii="Times New Roman" w:cs="Times New Roman" w:eastAsia="Times New Roman" w:hAnsi="Times New Roman"/>
          <w:sz w:val="18"/>
          <w:szCs w:val="18"/>
          <w:i w:val="1"/>
          <w:iCs w:val="1"/>
          <w:color w:val="auto"/>
        </w:rPr>
        <w:t>Chief Accounting Officer</w:t>
      </w:r>
    </w:p>
    <w:p>
      <w:pPr>
        <w:ind w:left="70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720"/>
          </w:cols>
          <w:pgMar w:left="320" w:top="118" w:right="8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Peyton, certify that:</w:t>
      </w:r>
    </w:p>
    <w:p>
      <w:pPr>
        <w:spacing w:after="0" w:line="270" w:lineRule="exact"/>
        <w:rPr>
          <w:sz w:val="20"/>
          <w:szCs w:val="20"/>
          <w:color w:val="auto"/>
        </w:rPr>
      </w:pPr>
    </w:p>
    <w:p>
      <w:pPr>
        <w:ind w:left="660" w:hanging="654"/>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Dine Brands Global, Inc.;</w:t>
      </w:r>
    </w:p>
    <w:p>
      <w:pPr>
        <w:spacing w:after="0" w:line="150" w:lineRule="exact"/>
        <w:rPr>
          <w:rFonts w:ascii="Times New Roman" w:cs="Times New Roman" w:eastAsia="Times New Roman" w:hAnsi="Times New Roman"/>
          <w:sz w:val="18"/>
          <w:szCs w:val="18"/>
          <w:color w:val="auto"/>
        </w:rPr>
      </w:pPr>
    </w:p>
    <w:p>
      <w:pPr>
        <w:ind w:right="300" w:firstLine="6"/>
        <w:spacing w:after="0" w:line="336" w:lineRule="auto"/>
        <w:tabs>
          <w:tab w:leader="none" w:pos="653"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right="280" w:firstLine="6"/>
        <w:spacing w:after="0" w:line="304" w:lineRule="auto"/>
        <w:tabs>
          <w:tab w:leader="none" w:pos="65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Times New Roman" w:cs="Times New Roman" w:eastAsia="Times New Roman" w:hAnsi="Times New Roman"/>
          <w:sz w:val="18"/>
          <w:szCs w:val="18"/>
          <w:color w:val="auto"/>
        </w:rPr>
      </w:pPr>
    </w:p>
    <w:p>
      <w:pPr>
        <w:ind w:left="660" w:hanging="654"/>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w:t>
      </w:r>
    </w:p>
    <w:p>
      <w:pPr>
        <w:spacing w:after="0" w:line="44" w:lineRule="exact"/>
        <w:rPr>
          <w:rFonts w:ascii="Times New Roman" w:cs="Times New Roman" w:eastAsia="Times New Roman" w:hAnsi="Times New Roman"/>
          <w:sz w:val="18"/>
          <w:szCs w:val="18"/>
          <w:color w:val="auto"/>
        </w:rPr>
      </w:pPr>
    </w:p>
    <w:p>
      <w:pPr>
        <w:ind w:right="40"/>
        <w:spacing w:after="0" w:line="3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right="100" w:firstLine="642"/>
        <w:spacing w:after="0" w:line="298" w:lineRule="auto"/>
        <w:tabs>
          <w:tab w:leader="none" w:pos="128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8"/>
          <w:szCs w:val="18"/>
          <w:color w:val="auto"/>
        </w:rPr>
      </w:pPr>
    </w:p>
    <w:p>
      <w:pPr>
        <w:ind w:left="1300" w:hanging="658"/>
        <w:spacing w:after="0"/>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44" w:lineRule="exact"/>
        <w:rPr>
          <w:rFonts w:ascii="Times New Roman" w:cs="Times New Roman" w:eastAsia="Times New Roman" w:hAnsi="Times New Roman"/>
          <w:sz w:val="18"/>
          <w:szCs w:val="18"/>
          <w:color w:val="auto"/>
        </w:rPr>
      </w:pPr>
    </w:p>
    <w:p>
      <w:pPr>
        <w:ind w:right="60"/>
        <w:spacing w:after="0" w:line="3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right="420" w:firstLine="642"/>
        <w:spacing w:after="0" w:line="304"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8"/>
          <w:szCs w:val="18"/>
          <w:color w:val="auto"/>
        </w:rPr>
      </w:pPr>
    </w:p>
    <w:p>
      <w:pPr>
        <w:ind w:right="380" w:firstLine="642"/>
        <w:spacing w:after="0" w:line="298" w:lineRule="auto"/>
        <w:tabs>
          <w:tab w:leader="none" w:pos="129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8"/>
          <w:szCs w:val="18"/>
          <w:color w:val="auto"/>
        </w:rPr>
      </w:pPr>
    </w:p>
    <w:p>
      <w:pPr>
        <w:ind w:right="200" w:firstLine="6"/>
        <w:spacing w:after="0" w:line="320" w:lineRule="auto"/>
        <w:tabs>
          <w:tab w:leader="none" w:pos="65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right="640" w:firstLine="642"/>
        <w:spacing w:after="0" w:line="304" w:lineRule="auto"/>
        <w:tabs>
          <w:tab w:leader="none" w:pos="128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Times New Roman" w:cs="Times New Roman" w:eastAsia="Times New Roman" w:hAnsi="Times New Roman"/>
          <w:sz w:val="18"/>
          <w:szCs w:val="18"/>
          <w:color w:val="auto"/>
        </w:rPr>
      </w:pPr>
    </w:p>
    <w:p>
      <w:pPr>
        <w:ind w:right="320" w:firstLine="642"/>
        <w:spacing w:after="0" w:line="304" w:lineRule="auto"/>
        <w:tabs>
          <w:tab w:leader="none" w:pos="129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Dated: 9th day of August, 2022</w:t>
            </w:r>
          </w:p>
        </w:tc>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John W. Peyton</w:t>
            </w:r>
          </w:p>
        </w:tc>
      </w:tr>
      <w:tr>
        <w:trPr>
          <w:trHeight w:val="211"/>
        </w:trPr>
        <w:tc>
          <w:tcPr>
            <w:tcW w:w="65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John W. Peyton</w:t>
            </w:r>
          </w:p>
        </w:tc>
      </w:tr>
      <w:tr>
        <w:trPr>
          <w:trHeight w:val="179"/>
        </w:trPr>
        <w:tc>
          <w:tcPr>
            <w:tcW w:w="6540" w:type="dxa"/>
            <w:vAlign w:val="bottom"/>
          </w:tcPr>
          <w:p>
            <w:pPr>
              <w:spacing w:after="0"/>
              <w:rPr>
                <w:sz w:val="15"/>
                <w:szCs w:val="15"/>
                <w:color w:val="auto"/>
              </w:rPr>
            </w:pPr>
          </w:p>
        </w:tc>
        <w:tc>
          <w:tcPr>
            <w:tcW w:w="374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i w:val="1"/>
                <w:iCs w:val="1"/>
                <w:color w:val="auto"/>
                <w:w w:val="98"/>
              </w:rPr>
              <w:t>Chief Executive Officer</w:t>
            </w:r>
          </w:p>
        </w:tc>
      </w:tr>
      <w:tr>
        <w:trPr>
          <w:trHeight w:val="233"/>
        </w:trPr>
        <w:tc>
          <w:tcPr>
            <w:tcW w:w="6540" w:type="dxa"/>
            <w:vAlign w:val="bottom"/>
          </w:tcPr>
          <w:p>
            <w:pPr>
              <w:spacing w:after="0"/>
              <w:rPr>
                <w:sz w:val="20"/>
                <w:szCs w:val="20"/>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(Principal Executive Officer)</w:t>
            </w:r>
          </w:p>
        </w:tc>
      </w:tr>
    </w:tbl>
    <w:p>
      <w:pPr>
        <w:sectPr>
          <w:pgSz w:w="11900" w:h="16838" w:orient="portrait"/>
          <w:cols w:equalWidth="0" w:num="1">
            <w:col w:w="11240"/>
          </w:cols>
          <w:pgMar w:left="320" w:top="888"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Vance Y. Chang, certify that:</w:t>
      </w:r>
    </w:p>
    <w:p>
      <w:pPr>
        <w:spacing w:after="0" w:line="283" w:lineRule="exact"/>
        <w:rPr>
          <w:sz w:val="20"/>
          <w:szCs w:val="20"/>
          <w:color w:val="auto"/>
        </w:rPr>
      </w:pPr>
    </w:p>
    <w:p>
      <w:pPr>
        <w:ind w:left="660" w:hanging="654"/>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Dine Brands Global, Inc.;</w:t>
      </w:r>
    </w:p>
    <w:p>
      <w:pPr>
        <w:spacing w:after="0" w:line="137" w:lineRule="exact"/>
        <w:rPr>
          <w:rFonts w:ascii="Times New Roman" w:cs="Times New Roman" w:eastAsia="Times New Roman" w:hAnsi="Times New Roman"/>
          <w:sz w:val="18"/>
          <w:szCs w:val="18"/>
          <w:color w:val="auto"/>
        </w:rPr>
      </w:pPr>
    </w:p>
    <w:p>
      <w:pPr>
        <w:ind w:right="300" w:firstLine="6"/>
        <w:spacing w:after="0" w:line="353" w:lineRule="auto"/>
        <w:tabs>
          <w:tab w:leader="none" w:pos="653"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Times New Roman" w:cs="Times New Roman" w:eastAsia="Times New Roman" w:hAnsi="Times New Roman"/>
          <w:sz w:val="17"/>
          <w:szCs w:val="17"/>
          <w:color w:val="auto"/>
        </w:rPr>
      </w:pPr>
    </w:p>
    <w:p>
      <w:pPr>
        <w:ind w:right="280" w:firstLine="6"/>
        <w:spacing w:after="0" w:line="320" w:lineRule="auto"/>
        <w:tabs>
          <w:tab w:leader="none" w:pos="65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ind w:right="40" w:firstLine="6"/>
        <w:spacing w:after="0" w:line="298" w:lineRule="auto"/>
        <w:tabs>
          <w:tab w:leader="none" w:pos="65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Times New Roman" w:cs="Times New Roman" w:eastAsia="Times New Roman" w:hAnsi="Times New Roman"/>
          <w:sz w:val="18"/>
          <w:szCs w:val="18"/>
          <w:color w:val="auto"/>
        </w:rPr>
      </w:pPr>
    </w:p>
    <w:p>
      <w:pPr>
        <w:ind w:left="1300" w:hanging="658"/>
        <w:spacing w:after="0"/>
        <w:tabs>
          <w:tab w:leader="none" w:pos="130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w:t>
      </w:r>
    </w:p>
    <w:p>
      <w:pPr>
        <w:spacing w:after="0" w:line="56" w:lineRule="exact"/>
        <w:rPr>
          <w:rFonts w:ascii="Times New Roman" w:cs="Times New Roman" w:eastAsia="Times New Roman" w:hAnsi="Times New Roman"/>
          <w:sz w:val="17"/>
          <w:szCs w:val="17"/>
          <w:color w:val="auto"/>
        </w:rPr>
      </w:pPr>
    </w:p>
    <w:p>
      <w:pPr>
        <w:ind w:right="520"/>
        <w:spacing w:after="0" w:line="30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7"/>
          <w:szCs w:val="17"/>
          <w:color w:val="auto"/>
        </w:rPr>
      </w:pPr>
    </w:p>
    <w:p>
      <w:pPr>
        <w:ind w:right="60" w:firstLine="642"/>
        <w:spacing w:after="0" w:line="298" w:lineRule="auto"/>
        <w:tabs>
          <w:tab w:leader="none" w:pos="129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Times New Roman" w:cs="Times New Roman" w:eastAsia="Times New Roman" w:hAnsi="Times New Roman"/>
          <w:sz w:val="18"/>
          <w:szCs w:val="18"/>
          <w:color w:val="auto"/>
        </w:rPr>
      </w:pPr>
    </w:p>
    <w:p>
      <w:pPr>
        <w:ind w:right="420" w:firstLine="642"/>
        <w:spacing w:after="0" w:line="320"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Times New Roman" w:cs="Times New Roman" w:eastAsia="Times New Roman" w:hAnsi="Times New Roman"/>
          <w:sz w:val="18"/>
          <w:szCs w:val="18"/>
          <w:color w:val="auto"/>
        </w:rPr>
      </w:pPr>
    </w:p>
    <w:p>
      <w:pPr>
        <w:ind w:left="1300" w:hanging="658"/>
        <w:spacing w:after="0"/>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w:t>
      </w:r>
    </w:p>
    <w:p>
      <w:pPr>
        <w:spacing w:after="0" w:line="44" w:lineRule="exact"/>
        <w:rPr>
          <w:rFonts w:ascii="Times New Roman" w:cs="Times New Roman" w:eastAsia="Times New Roman" w:hAnsi="Times New Roman"/>
          <w:sz w:val="18"/>
          <w:szCs w:val="18"/>
          <w:color w:val="auto"/>
        </w:rPr>
      </w:pPr>
    </w:p>
    <w:p>
      <w:pPr>
        <w:ind w:right="460"/>
        <w:spacing w:after="0" w:line="3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right="200" w:firstLine="6"/>
        <w:spacing w:after="0" w:line="320" w:lineRule="auto"/>
        <w:tabs>
          <w:tab w:leader="none" w:pos="65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Times New Roman" w:cs="Times New Roman" w:eastAsia="Times New Roman" w:hAnsi="Times New Roman"/>
          <w:sz w:val="18"/>
          <w:szCs w:val="18"/>
          <w:color w:val="auto"/>
        </w:rPr>
      </w:pPr>
    </w:p>
    <w:p>
      <w:pPr>
        <w:ind w:right="640" w:firstLine="642"/>
        <w:spacing w:after="0" w:line="320" w:lineRule="auto"/>
        <w:tabs>
          <w:tab w:leader="none" w:pos="128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Times New Roman" w:cs="Times New Roman" w:eastAsia="Times New Roman" w:hAnsi="Times New Roman"/>
          <w:sz w:val="18"/>
          <w:szCs w:val="18"/>
          <w:color w:val="auto"/>
        </w:rPr>
      </w:pPr>
    </w:p>
    <w:p>
      <w:pPr>
        <w:ind w:right="320" w:firstLine="642"/>
        <w:spacing w:after="0" w:line="320" w:lineRule="auto"/>
        <w:tabs>
          <w:tab w:leader="none" w:pos="129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ind w:left="860"/>
        <w:spacing w:after="0"/>
        <w:tabs>
          <w:tab w:leader="none" w:pos="8560" w:val="left"/>
        </w:tabs>
        <w:rPr>
          <w:sz w:val="20"/>
          <w:szCs w:val="20"/>
          <w:color w:val="auto"/>
        </w:rPr>
      </w:pPr>
      <w:r>
        <w:rPr>
          <w:rFonts w:ascii="Times New Roman" w:cs="Times New Roman" w:eastAsia="Times New Roman" w:hAnsi="Times New Roman"/>
          <w:sz w:val="18"/>
          <w:szCs w:val="18"/>
          <w:color w:val="auto"/>
        </w:rPr>
        <w:t>Dated: 9th day of August, 2022</w:t>
      </w:r>
      <w:r>
        <w:rPr>
          <w:sz w:val="20"/>
          <w:szCs w:val="20"/>
          <w:color w:val="auto"/>
        </w:rPr>
        <w:tab/>
      </w:r>
      <w:r>
        <w:rPr>
          <w:rFonts w:ascii="Times New Roman" w:cs="Times New Roman" w:eastAsia="Times New Roman" w:hAnsi="Times New Roman"/>
          <w:sz w:val="17"/>
          <w:szCs w:val="17"/>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4698365</wp:posOffset>
            </wp:positionH>
            <wp:positionV relativeFrom="paragraph">
              <wp:posOffset>14605</wp:posOffset>
            </wp:positionV>
            <wp:extent cx="23475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47595" cy="8255"/>
                    </a:xfrm>
                    <a:prstGeom prst="rect">
                      <a:avLst/>
                    </a:prstGeom>
                    <a:noFill/>
                  </pic:spPr>
                </pic:pic>
              </a:graphicData>
            </a:graphic>
          </wp:anchor>
        </w:drawing>
      </w:r>
    </w:p>
    <w:p>
      <w:pPr>
        <w:spacing w:after="0" w:line="50"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8"/>
          <w:szCs w:val="18"/>
          <w:color w:val="auto"/>
        </w:rPr>
        <w:t>Vance Y. Chang</w:t>
      </w:r>
    </w:p>
    <w:p>
      <w:pPr>
        <w:jc w:val="center"/>
        <w:ind w:left="7240"/>
        <w:spacing w:after="0" w:line="199"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88"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85" w:lineRule="exact"/>
        <w:rPr>
          <w:sz w:val="20"/>
          <w:szCs w:val="20"/>
          <w:color w:val="auto"/>
        </w:rPr>
      </w:pPr>
    </w:p>
    <w:p>
      <w:pPr>
        <w:ind w:firstLine="636"/>
        <w:spacing w:after="0" w:line="322" w:lineRule="auto"/>
        <w:rPr>
          <w:sz w:val="20"/>
          <w:szCs w:val="20"/>
          <w:color w:val="auto"/>
        </w:rPr>
      </w:pPr>
      <w:r>
        <w:rPr>
          <w:rFonts w:ascii="Times New Roman" w:cs="Times New Roman" w:eastAsia="Times New Roman" w:hAnsi="Times New Roman"/>
          <w:sz w:val="17"/>
          <w:szCs w:val="17"/>
          <w:color w:val="auto"/>
        </w:rPr>
        <w:t>In connection with the Quarterly Report on Form 10-Q of Dine Brands Global, Inc. (the “Company”) for the quarter ended June 30, 2022, as filed with the Securities and Exchange Commission on the 9th day of August, 2022 (the “Report”), John W. Peyton, as Chief Executive Officer of the Company, hereby certifies, pursuant to 18 U.S.C. Section 1350, as adopted pursuant to Section 906 of the Sarbanes-Oxley Act of 2002, to the best of his knowledge, that:</w:t>
      </w:r>
    </w:p>
    <w:p>
      <w:pPr>
        <w:spacing w:after="0" w:line="194" w:lineRule="exact"/>
        <w:rPr>
          <w:sz w:val="20"/>
          <w:szCs w:val="20"/>
          <w:color w:val="auto"/>
        </w:rPr>
      </w:pPr>
    </w:p>
    <w:p>
      <w:pPr>
        <w:ind w:left="1640" w:hanging="521"/>
        <w:spacing w:after="0"/>
        <w:tabs>
          <w:tab w:leader="none" w:pos="1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6" w:lineRule="exact"/>
        <w:rPr>
          <w:rFonts w:ascii="Times New Roman" w:cs="Times New Roman" w:eastAsia="Times New Roman" w:hAnsi="Times New Roman"/>
          <w:sz w:val="18"/>
          <w:szCs w:val="18"/>
          <w:color w:val="auto"/>
        </w:rPr>
      </w:pPr>
    </w:p>
    <w:p>
      <w:pPr>
        <w:ind w:left="1640" w:hanging="521"/>
        <w:spacing w:after="0"/>
        <w:tabs>
          <w:tab w:leader="none" w:pos="16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10" w:lineRule="exact"/>
        <w:rPr>
          <w:sz w:val="20"/>
          <w:szCs w:val="20"/>
          <w:color w:val="auto"/>
        </w:rPr>
      </w:pPr>
    </w:p>
    <w:p>
      <w:pPr>
        <w:ind w:left="20"/>
        <w:spacing w:after="0"/>
        <w:tabs>
          <w:tab w:leader="none" w:pos="860" w:val="left"/>
          <w:tab w:leader="none" w:pos="87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9th day of August, 2022</w:t>
      </w:r>
      <w:r>
        <w:rPr>
          <w:sz w:val="20"/>
          <w:szCs w:val="20"/>
          <w:color w:val="auto"/>
        </w:rPr>
        <w:tab/>
      </w:r>
      <w:r>
        <w:rPr>
          <w:rFonts w:ascii="Times New Roman" w:cs="Times New Roman" w:eastAsia="Times New Roman" w:hAnsi="Times New Roman"/>
          <w:sz w:val="17"/>
          <w:szCs w:val="17"/>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14605</wp:posOffset>
            </wp:positionV>
            <wp:extent cx="228028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50"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7580"/>
        <w:spacing w:after="0" w:line="199"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96" w:lineRule="exact"/>
        <w:rPr>
          <w:sz w:val="20"/>
          <w:szCs w:val="20"/>
          <w:color w:val="auto"/>
        </w:rPr>
      </w:pPr>
    </w:p>
    <w:p>
      <w:pPr>
        <w:ind w:right="120" w:firstLine="636"/>
        <w:spacing w:after="0" w:line="291"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240"/>
          </w:cols>
          <w:pgMar w:left="320" w:top="888"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85" w:lineRule="exact"/>
        <w:rPr>
          <w:sz w:val="20"/>
          <w:szCs w:val="20"/>
          <w:color w:val="auto"/>
        </w:rPr>
      </w:pPr>
    </w:p>
    <w:p>
      <w:pPr>
        <w:ind w:firstLine="636"/>
        <w:spacing w:after="0" w:line="322" w:lineRule="auto"/>
        <w:rPr>
          <w:sz w:val="20"/>
          <w:szCs w:val="20"/>
          <w:color w:val="auto"/>
        </w:rPr>
      </w:pPr>
      <w:r>
        <w:rPr>
          <w:rFonts w:ascii="Times New Roman" w:cs="Times New Roman" w:eastAsia="Times New Roman" w:hAnsi="Times New Roman"/>
          <w:sz w:val="17"/>
          <w:szCs w:val="17"/>
          <w:color w:val="auto"/>
        </w:rPr>
        <w:t>In connection with the Quarterly Report on Form 10-Q of Dine Brands Global, Inc. (the “Company”) for the quarter ended June 30, 2022, as filed with the Securities and Exchange Commission on the 9th day of August, 2022 (the “Report”), Vance Y. Chang, as Chief Financial Officer of the Company, hereby certifies, pursuant to 18 U.S.C. Section 1350, as adopted pursuant to Section 906 of the Sarbanes-Oxley Act of 2002, to the best of his knowledge, that:</w:t>
      </w:r>
    </w:p>
    <w:p>
      <w:pPr>
        <w:spacing w:after="0" w:line="194" w:lineRule="exact"/>
        <w:rPr>
          <w:sz w:val="20"/>
          <w:szCs w:val="20"/>
          <w:color w:val="auto"/>
        </w:rPr>
      </w:pPr>
    </w:p>
    <w:p>
      <w:pPr>
        <w:ind w:left="1640" w:hanging="521"/>
        <w:spacing w:after="0"/>
        <w:tabs>
          <w:tab w:leader="none" w:pos="1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6" w:lineRule="exact"/>
        <w:rPr>
          <w:rFonts w:ascii="Times New Roman" w:cs="Times New Roman" w:eastAsia="Times New Roman" w:hAnsi="Times New Roman"/>
          <w:sz w:val="18"/>
          <w:szCs w:val="18"/>
          <w:color w:val="auto"/>
        </w:rPr>
      </w:pPr>
    </w:p>
    <w:p>
      <w:pPr>
        <w:ind w:left="1640" w:hanging="521"/>
        <w:spacing w:after="0"/>
        <w:tabs>
          <w:tab w:leader="none" w:pos="16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10" w:lineRule="exact"/>
        <w:rPr>
          <w:sz w:val="20"/>
          <w:szCs w:val="20"/>
          <w:color w:val="auto"/>
        </w:rPr>
      </w:pPr>
    </w:p>
    <w:p>
      <w:pPr>
        <w:ind w:left="20"/>
        <w:spacing w:after="0"/>
        <w:tabs>
          <w:tab w:leader="none" w:pos="860" w:val="left"/>
          <w:tab w:leader="none" w:pos="87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9th day of August, 2022</w:t>
      </w:r>
      <w:r>
        <w:rPr>
          <w:sz w:val="20"/>
          <w:szCs w:val="20"/>
          <w:color w:val="auto"/>
        </w:rPr>
        <w:tab/>
      </w:r>
      <w:r>
        <w:rPr>
          <w:rFonts w:ascii="Times New Roman" w:cs="Times New Roman" w:eastAsia="Times New Roman" w:hAnsi="Times New Roman"/>
          <w:sz w:val="17"/>
          <w:szCs w:val="17"/>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4875530</wp:posOffset>
            </wp:positionH>
            <wp:positionV relativeFrom="paragraph">
              <wp:posOffset>14605</wp:posOffset>
            </wp:positionV>
            <wp:extent cx="22548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54885" cy="8255"/>
                    </a:xfrm>
                    <a:prstGeom prst="rect">
                      <a:avLst/>
                    </a:prstGeom>
                    <a:noFill/>
                  </pic:spPr>
                </pic:pic>
              </a:graphicData>
            </a:graphic>
          </wp:anchor>
        </w:drawing>
      </w:r>
    </w:p>
    <w:p>
      <w:pPr>
        <w:spacing w:after="0" w:line="50"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8"/>
          <w:szCs w:val="18"/>
          <w:color w:val="auto"/>
        </w:rPr>
        <w:t>Vance Y. Chang</w:t>
      </w:r>
    </w:p>
    <w:p>
      <w:pPr>
        <w:jc w:val="center"/>
        <w:ind w:left="7640"/>
        <w:spacing w:after="0" w:line="199"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96" w:lineRule="exact"/>
        <w:rPr>
          <w:sz w:val="20"/>
          <w:szCs w:val="20"/>
          <w:color w:val="auto"/>
        </w:rPr>
      </w:pPr>
    </w:p>
    <w:p>
      <w:pPr>
        <w:ind w:right="120" w:firstLine="636"/>
        <w:spacing w:after="0" w:line="291"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240"/>
      </w:cols>
      <w:pgMar w:left="320" w:top="8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upperLetter"/>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7"/>
    </w:lvl>
    <w:lvl w:ilvl="1">
      <w:lvlJc w:val="left"/>
      <w:lvlText w:val="•"/>
      <w:numFmt w:val="bullet"/>
      <w:start w:val="1"/>
    </w:lvl>
  </w:abstractNum>
  <w:abstractNum w:abstractNumId="8">
    <w:nsid w:val="431BD7B7"/>
    <w:multiLevelType w:val="hybridMultilevel"/>
    <w:lvl w:ilvl="0">
      <w:lvlJc w:val="left"/>
      <w:lvlText w:val="%1."/>
      <w:numFmt w:val="decimal"/>
      <w:start w:val="16"/>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lowerLetter"/>
      <w:start w:val="1"/>
    </w:lvl>
    <w:lvl w:ilvl="1">
      <w:lvlJc w:val="left"/>
      <w:lvlText w:val="(%2)"/>
      <w:numFmt w:val="lowerLetter"/>
      <w:start w:val="1"/>
    </w:lvl>
  </w:abstractNum>
  <w:abstractNum w:abstractNumId="13">
    <w:nsid w:val="436C6125"/>
    <w:multiLevelType w:val="hybridMultilevel"/>
    <w:lvl w:ilvl="0">
      <w:lvlJc w:val="left"/>
      <w:lvlText w:val="(%1)"/>
      <w:numFmt w:val="lowerLetter"/>
      <w:start w:val="2"/>
    </w:lvl>
    <w:lvl w:ilvl="1">
      <w:lvlJc w:val="left"/>
      <w:lvlText w:val="%2"/>
      <w:numFmt w:val="lowerLetter"/>
      <w:start w:val="1"/>
    </w:lvl>
  </w:abstractNum>
  <w:abstractNum w:abstractNumId="14">
    <w:nsid w:val="628C895D"/>
    <w:multiLevelType w:val="hybridMultilevel"/>
    <w:lvl w:ilvl="0">
      <w:lvlJc w:val="left"/>
      <w:lvlText w:val="(%1)"/>
      <w:numFmt w:val="lowerLetter"/>
      <w:start w:val="3"/>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
      <w:numFmt w:val="bullet"/>
      <w:start w:val="1"/>
    </w:lvl>
    <w:lvl w:ilvl="1">
      <w:lvlJc w:val="left"/>
      <w:lvlText w:val="%2"/>
      <w:numFmt w:val="decimal"/>
      <w:start w:val="104"/>
    </w:lvl>
  </w:abstractNum>
  <w:abstractNum w:abstractNumId="21">
    <w:nsid w:val="8EDBDAB"/>
    <w:multiLevelType w:val="hybridMultilevel"/>
    <w:lvl w:ilvl="0">
      <w:lvlJc w:val="left"/>
      <w:lvlText w:val="**"/>
      <w:numFmt w:val="bullet"/>
      <w:start w:val="1"/>
    </w:lvl>
    <w:lvl w:ilvl="1">
      <w:lvlJc w:val="left"/>
      <w:lvlText w:val="%2"/>
      <w:numFmt w:val="decimal"/>
      <w:start w:val="1"/>
    </w:lvl>
  </w:abstractNum>
  <w:abstractNum w:abstractNumId="22">
    <w:nsid w:val="79838CB2"/>
    <w:multiLevelType w:val="hybridMultilevel"/>
    <w:lvl w:ilvl="0">
      <w:lvlJc w:val="left"/>
      <w:lvlText w:val="***"/>
      <w:numFmt w:val="bullet"/>
      <w:start w:val="1"/>
    </w:lvl>
    <w:lvl w:ilvl="1">
      <w:lvlJc w:val="left"/>
      <w:lvlText w:val="%2"/>
      <w:numFmt w:val="decimal"/>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2022-08-09T06:33:01Z</dcterms:created>
  <dcterms:modified xsi:type="dcterms:W3CDTF">2022-08-09T06:33:01Z</dcterms:modified>
</cp:coreProperties>
</file>