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Clark Amanda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WALNUT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Dine Brands Global, Inc.</w:t>
              </w:r>
            </w:hyperlink>
            <w:r>
              <w:rPr/>
              <w:t xml:space="preserve"> [ </w:t>
            </w:r>
            <w:r>
              <w:rPr>
                <w:rFonts w:ascii="Times;serif" w:hAnsi="Times;serif"/>
                <w:color w:val="0000FF"/>
                <w:sz w:val="24"/>
                <w:shd w:fill="FFFFFF" w:val="clear"/>
              </w:rPr>
              <w:t>DIN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21.346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3,318.747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dividend equivalent right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 Son as attorney-in-fact for Amanda Clark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3297" TargetMode="External"/><Relationship Id="rId5" Type="http://schemas.openxmlformats.org/officeDocument/2006/relationships/hyperlink" Target="http://www.sec.gov/cgi-bin/browse-edgar?action=getcompany&amp;CIK=00000497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3539</Characters>
  <CharactersWithSpaces>4117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