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jc w:val="center"/>
        <w:ind w:right="-19"/>
        <w:spacing w:after="0" w:line="228" w:lineRule="auto"/>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line="216" w:lineRule="auto"/>
        <w:rPr>
          <w:sz w:val="20"/>
          <w:szCs w:val="20"/>
          <w:color w:val="auto"/>
        </w:rPr>
      </w:pPr>
      <w:r>
        <w:rPr>
          <w:rFonts w:ascii="Arial" w:cs="Arial" w:eastAsia="Arial" w:hAnsi="Arial"/>
          <w:sz w:val="18"/>
          <w:szCs w:val="18"/>
          <w:b w:val="1"/>
          <w:bCs w:val="1"/>
          <w:color w:val="auto"/>
        </w:rPr>
        <w:t>Washington, D.C. 20549</w:t>
      </w:r>
    </w:p>
    <w:p>
      <w:pPr>
        <w:ind w:left="3400"/>
        <w:spacing w:after="0" w:line="222" w:lineRule="auto"/>
        <w:rPr>
          <w:sz w:val="20"/>
          <w:szCs w:val="20"/>
          <w:color w:val="auto"/>
        </w:rPr>
      </w:pPr>
      <w:r>
        <w:rPr>
          <w:rFonts w:ascii="Arial" w:cs="Arial" w:eastAsia="Arial" w:hAnsi="Arial"/>
          <w:sz w:val="18"/>
          <w:szCs w:val="18"/>
          <w:color w:val="auto"/>
        </w:rPr>
        <w:t>__________________________________________________</w:t>
      </w:r>
    </w:p>
    <w:p>
      <w:pPr>
        <w:jc w:val="center"/>
        <w:ind w:right="-19"/>
        <w:spacing w:after="0" w:line="220" w:lineRule="auto"/>
        <w:rPr>
          <w:sz w:val="20"/>
          <w:szCs w:val="20"/>
          <w:color w:val="auto"/>
        </w:rPr>
      </w:pPr>
      <w:r>
        <w:rPr>
          <w:rFonts w:ascii="Arial" w:cs="Arial" w:eastAsia="Arial" w:hAnsi="Arial"/>
          <w:sz w:val="32"/>
          <w:szCs w:val="32"/>
          <w:b w:val="1"/>
          <w:bCs w:val="1"/>
          <w:color w:val="auto"/>
        </w:rPr>
        <w:t>FORM 10-Q</w:t>
      </w:r>
    </w:p>
    <w:p>
      <w:pPr>
        <w:ind w:left="60"/>
        <w:spacing w:after="0" w:line="217" w:lineRule="auto"/>
        <w:rPr>
          <w:sz w:val="20"/>
          <w:szCs w:val="20"/>
          <w:color w:val="auto"/>
        </w:rPr>
      </w:pPr>
      <w:r>
        <w:rPr>
          <w:rFonts w:ascii="Arial" w:cs="Arial" w:eastAsia="Arial" w:hAnsi="Arial"/>
          <w:sz w:val="18"/>
          <w:szCs w:val="18"/>
          <w:b w:val="1"/>
          <w:bCs w:val="1"/>
          <w:color w:val="auto"/>
        </w:rPr>
        <w:t>(Mark One)</w:t>
      </w:r>
    </w:p>
    <w:p>
      <w:pPr>
        <w:ind w:right="520" w:firstLine="324"/>
        <w:spacing w:after="0" w:line="223" w:lineRule="auto"/>
        <w:tabs>
          <w:tab w:leader="none" w:pos="742"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 1934</w:t>
      </w:r>
    </w:p>
    <w:p>
      <w:pPr>
        <w:jc w:val="center"/>
        <w:ind w:right="-79"/>
        <w:spacing w:after="0" w:line="216" w:lineRule="auto"/>
        <w:rPr>
          <w:sz w:val="20"/>
          <w:szCs w:val="20"/>
          <w:color w:val="auto"/>
        </w:rPr>
      </w:pPr>
      <w:r>
        <w:rPr>
          <w:rFonts w:ascii="Arial" w:cs="Arial" w:eastAsia="Arial" w:hAnsi="Arial"/>
          <w:sz w:val="18"/>
          <w:szCs w:val="18"/>
          <w:b w:val="1"/>
          <w:bCs w:val="1"/>
          <w:color w:val="auto"/>
        </w:rPr>
        <w:t>For the quarterly period ended September 30, 2021</w:t>
      </w:r>
    </w:p>
    <w:p>
      <w:pPr>
        <w:jc w:val="center"/>
        <w:ind w:right="-79"/>
        <w:spacing w:after="0" w:line="200" w:lineRule="auto"/>
        <w:rPr>
          <w:sz w:val="20"/>
          <w:szCs w:val="20"/>
          <w:color w:val="auto"/>
        </w:rPr>
      </w:pPr>
      <w:r>
        <w:rPr>
          <w:rFonts w:ascii="Arial" w:cs="Arial" w:eastAsia="Arial" w:hAnsi="Arial"/>
          <w:sz w:val="18"/>
          <w:szCs w:val="18"/>
          <w:b w:val="1"/>
          <w:bCs w:val="1"/>
          <w:color w:val="auto"/>
        </w:rPr>
        <w:t>OR</w:t>
      </w:r>
    </w:p>
    <w:p>
      <w:pPr>
        <w:ind w:left="700" w:hanging="376"/>
        <w:spacing w:after="0" w:line="219" w:lineRule="auto"/>
        <w:tabs>
          <w:tab w:leader="none" w:pos="70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w:t>
      </w:r>
    </w:p>
    <w:p>
      <w:pPr>
        <w:spacing w:after="0" w:line="215" w:lineRule="auto"/>
        <w:rPr>
          <w:rFonts w:ascii="MS PGothic" w:cs="MS PGothic" w:eastAsia="MS PGothic" w:hAnsi="MS PGothic"/>
          <w:sz w:val="21"/>
          <w:szCs w:val="21"/>
          <w:color w:val="auto"/>
        </w:rPr>
      </w:pPr>
      <w:r>
        <w:rPr>
          <w:rFonts w:ascii="Arial" w:cs="Arial" w:eastAsia="Arial" w:hAnsi="Arial"/>
          <w:sz w:val="21"/>
          <w:szCs w:val="21"/>
          <w:b w:val="1"/>
          <w:bCs w:val="1"/>
          <w:color w:val="auto"/>
        </w:rPr>
        <w:t>1934</w:t>
      </w:r>
    </w:p>
    <w:p>
      <w:pPr>
        <w:spacing w:after="0" w:line="1" w:lineRule="exact"/>
        <w:rPr>
          <w:sz w:val="24"/>
          <w:szCs w:val="24"/>
          <w:color w:val="auto"/>
        </w:rPr>
      </w:pPr>
    </w:p>
    <w:p>
      <w:pPr>
        <w:ind w:left="3680"/>
        <w:spacing w:after="0"/>
        <w:tabs>
          <w:tab w:leader="none" w:pos="6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001-15283</w:t>
      </w:r>
    </w:p>
    <w:p>
      <w:pPr>
        <w:jc w:val="center"/>
        <w:ind w:right="-19"/>
        <w:spacing w:after="0"/>
        <w:rPr>
          <w:sz w:val="20"/>
          <w:szCs w:val="20"/>
          <w:color w:val="auto"/>
        </w:rPr>
      </w:pPr>
      <w:r>
        <w:rPr>
          <w:sz w:val="1"/>
          <w:szCs w:val="1"/>
          <w:color w:val="auto"/>
        </w:rPr>
        <w:drawing>
          <wp:inline distT="0" distB="0" distL="0" distR="0">
            <wp:extent cx="1127125" cy="5556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27125" cy="555625"/>
                    </a:xfrm>
                    <a:prstGeom prst="rect">
                      <a:avLst/>
                    </a:prstGeom>
                    <a:noFill/>
                    <a:ln>
                      <a:noFill/>
                    </a:ln>
                  </pic:spPr>
                </pic:pic>
              </a:graphicData>
            </a:graphic>
          </wp:inline>
        </w:drawing>
      </w:r>
      <w:r>
        <w:rPr>
          <w:rFonts w:ascii="Arial" w:cs="Arial" w:eastAsia="Arial" w:hAnsi="Arial"/>
          <w:sz w:val="32"/>
          <w:szCs w:val="32"/>
          <w:b w:val="1"/>
          <w:bCs w:val="1"/>
          <w:color w:val="auto"/>
        </w:rPr>
        <w:t xml:space="preserve"> Dine Brands Global, Inc. </w:t>
      </w:r>
      <w:r>
        <w:rPr>
          <w:sz w:val="1"/>
          <w:szCs w:val="1"/>
          <w:color w:val="auto"/>
        </w:rPr>
        <w:drawing>
          <wp:inline distT="0" distB="0" distL="0" distR="0">
            <wp:extent cx="908685" cy="5384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08685" cy="538480"/>
                    </a:xfrm>
                    <a:prstGeom prst="rect">
                      <a:avLst/>
                    </a:prstGeom>
                    <a:noFill/>
                    <a:ln>
                      <a:noFill/>
                    </a:ln>
                  </pic:spPr>
                </pic:pic>
              </a:graphicData>
            </a:graphic>
          </wp:inline>
        </w:drawing>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 w:lineRule="exact"/>
        <w:rPr>
          <w:sz w:val="24"/>
          <w:szCs w:val="24"/>
          <w:color w:val="auto"/>
        </w:rPr>
      </w:pPr>
    </w:p>
    <w:tbl>
      <w:tblPr>
        <w:tblLayout w:type="fixed"/>
        <w:tblInd w:w="1880" w:type="dxa"/>
        <w:tblCellMar>
          <w:top w:w="0" w:type="dxa"/>
          <w:left w:w="0" w:type="dxa"/>
          <w:bottom w:w="0" w:type="dxa"/>
          <w:right w:w="0" w:type="dxa"/>
        </w:tblCellMar>
      </w:tblPr>
      <w:tr>
        <w:trPr>
          <w:trHeight w:val="208"/>
        </w:trPr>
        <w:tc>
          <w:tcPr>
            <w:tcW w:w="4840" w:type="dxa"/>
            <w:vAlign w:val="bottom"/>
          </w:tcPr>
          <w:p>
            <w:pPr>
              <w:jc w:val="center"/>
              <w:ind w:right="961"/>
              <w:spacing w:after="0"/>
              <w:rPr>
                <w:sz w:val="20"/>
                <w:szCs w:val="20"/>
                <w:color w:val="auto"/>
              </w:rPr>
            </w:pPr>
            <w:r>
              <w:rPr>
                <w:rFonts w:ascii="Arial" w:cs="Arial" w:eastAsia="Arial" w:hAnsi="Arial"/>
                <w:sz w:val="16"/>
                <w:szCs w:val="16"/>
                <w:b w:val="1"/>
                <w:bCs w:val="1"/>
                <w:color w:val="auto"/>
                <w:w w:val="91"/>
              </w:rPr>
              <w:t>Delaware</w:t>
            </w:r>
          </w:p>
        </w:tc>
        <w:tc>
          <w:tcPr>
            <w:tcW w:w="2560" w:type="dxa"/>
            <w:vAlign w:val="bottom"/>
          </w:tcPr>
          <w:p>
            <w:pPr>
              <w:jc w:val="center"/>
              <w:ind w:left="161"/>
              <w:spacing w:after="0"/>
              <w:rPr>
                <w:sz w:val="20"/>
                <w:szCs w:val="20"/>
                <w:color w:val="auto"/>
              </w:rPr>
            </w:pPr>
            <w:r>
              <w:rPr>
                <w:rFonts w:ascii="Arial" w:cs="Arial" w:eastAsia="Arial" w:hAnsi="Arial"/>
                <w:sz w:val="16"/>
                <w:szCs w:val="16"/>
                <w:b w:val="1"/>
                <w:bCs w:val="1"/>
                <w:color w:val="auto"/>
                <w:w w:val="88"/>
              </w:rPr>
              <w:t>95-3038279</w:t>
            </w:r>
          </w:p>
        </w:tc>
      </w:tr>
      <w:tr>
        <w:trPr>
          <w:trHeight w:val="212"/>
        </w:trPr>
        <w:tc>
          <w:tcPr>
            <w:tcW w:w="4840" w:type="dxa"/>
            <w:vAlign w:val="bottom"/>
          </w:tcPr>
          <w:p>
            <w:pPr>
              <w:jc w:val="center"/>
              <w:ind w:right="961"/>
              <w:spacing w:after="0"/>
              <w:rPr>
                <w:sz w:val="20"/>
                <w:szCs w:val="20"/>
                <w:color w:val="auto"/>
              </w:rPr>
            </w:pPr>
            <w:r>
              <w:rPr>
                <w:rFonts w:ascii="Arial" w:cs="Arial" w:eastAsia="Arial" w:hAnsi="Arial"/>
                <w:sz w:val="16"/>
                <w:szCs w:val="16"/>
                <w:color w:val="auto"/>
                <w:w w:val="92"/>
              </w:rPr>
              <w:t>(State or other jurisdiction of incorporation or organization)</w:t>
            </w:r>
          </w:p>
        </w:tc>
        <w:tc>
          <w:tcPr>
            <w:tcW w:w="2560" w:type="dxa"/>
            <w:vAlign w:val="bottom"/>
          </w:tcPr>
          <w:p>
            <w:pPr>
              <w:jc w:val="center"/>
              <w:ind w:left="161"/>
              <w:spacing w:after="0"/>
              <w:rPr>
                <w:sz w:val="20"/>
                <w:szCs w:val="20"/>
                <w:color w:val="auto"/>
              </w:rPr>
            </w:pPr>
            <w:r>
              <w:rPr>
                <w:rFonts w:ascii="Arial" w:cs="Arial" w:eastAsia="Arial" w:hAnsi="Arial"/>
                <w:sz w:val="16"/>
                <w:szCs w:val="16"/>
                <w:color w:val="auto"/>
                <w:w w:val="94"/>
              </w:rPr>
              <w:t>(I.R.S. Employer Identification No.)</w:t>
            </w:r>
          </w:p>
        </w:tc>
      </w:tr>
      <w:tr>
        <w:trPr>
          <w:trHeight w:val="212"/>
        </w:trPr>
        <w:tc>
          <w:tcPr>
            <w:tcW w:w="4840" w:type="dxa"/>
            <w:vAlign w:val="bottom"/>
          </w:tcPr>
          <w:p>
            <w:pPr>
              <w:jc w:val="center"/>
              <w:ind w:right="981"/>
              <w:spacing w:after="0"/>
              <w:rPr>
                <w:sz w:val="20"/>
                <w:szCs w:val="20"/>
                <w:color w:val="auto"/>
              </w:rPr>
            </w:pPr>
            <w:r>
              <w:rPr>
                <w:rFonts w:ascii="Arial" w:cs="Arial" w:eastAsia="Arial" w:hAnsi="Arial"/>
                <w:sz w:val="16"/>
                <w:szCs w:val="16"/>
                <w:b w:val="1"/>
                <w:bCs w:val="1"/>
                <w:color w:val="auto"/>
                <w:w w:val="91"/>
              </w:rPr>
              <w:t>450 North Brand Boulevard,</w:t>
            </w:r>
          </w:p>
        </w:tc>
        <w:tc>
          <w:tcPr>
            <w:tcW w:w="2560" w:type="dxa"/>
            <w:vAlign w:val="bottom"/>
          </w:tcPr>
          <w:p>
            <w:pPr>
              <w:jc w:val="center"/>
              <w:ind w:left="161"/>
              <w:spacing w:after="0"/>
              <w:rPr>
                <w:sz w:val="20"/>
                <w:szCs w:val="20"/>
                <w:color w:val="auto"/>
              </w:rPr>
            </w:pPr>
            <w:r>
              <w:rPr>
                <w:rFonts w:ascii="Arial" w:cs="Arial" w:eastAsia="Arial" w:hAnsi="Arial"/>
                <w:sz w:val="16"/>
                <w:szCs w:val="16"/>
                <w:b w:val="1"/>
                <w:bCs w:val="1"/>
                <w:color w:val="auto"/>
                <w:w w:val="88"/>
              </w:rPr>
              <w:t>91203-2346</w:t>
            </w:r>
          </w:p>
        </w:tc>
      </w:tr>
      <w:tr>
        <w:trPr>
          <w:trHeight w:val="212"/>
        </w:trPr>
        <w:tc>
          <w:tcPr>
            <w:tcW w:w="4840" w:type="dxa"/>
            <w:vAlign w:val="bottom"/>
          </w:tcPr>
          <w:p>
            <w:pPr>
              <w:jc w:val="right"/>
              <w:ind w:right="2481"/>
              <w:spacing w:after="0"/>
              <w:rPr>
                <w:sz w:val="20"/>
                <w:szCs w:val="20"/>
                <w:color w:val="auto"/>
              </w:rPr>
            </w:pPr>
            <w:r>
              <w:rPr>
                <w:rFonts w:ascii="Arial" w:cs="Arial" w:eastAsia="Arial" w:hAnsi="Arial"/>
                <w:sz w:val="16"/>
                <w:szCs w:val="16"/>
                <w:b w:val="1"/>
                <w:bCs w:val="1"/>
                <w:color w:val="auto"/>
              </w:rPr>
              <w:t>Glendale, CA</w:t>
            </w:r>
          </w:p>
        </w:tc>
        <w:tc>
          <w:tcPr>
            <w:tcW w:w="2560" w:type="dxa"/>
            <w:vAlign w:val="bottom"/>
          </w:tcPr>
          <w:p>
            <w:pPr>
              <w:spacing w:after="0"/>
              <w:rPr>
                <w:sz w:val="18"/>
                <w:szCs w:val="18"/>
                <w:color w:val="auto"/>
              </w:rPr>
            </w:pPr>
          </w:p>
        </w:tc>
      </w:tr>
      <w:tr>
        <w:trPr>
          <w:trHeight w:val="212"/>
        </w:trPr>
        <w:tc>
          <w:tcPr>
            <w:tcW w:w="4840" w:type="dxa"/>
            <w:vAlign w:val="bottom"/>
          </w:tcPr>
          <w:p>
            <w:pPr>
              <w:jc w:val="center"/>
              <w:ind w:right="961"/>
              <w:spacing w:after="0"/>
              <w:rPr>
                <w:sz w:val="20"/>
                <w:szCs w:val="20"/>
                <w:color w:val="auto"/>
              </w:rPr>
            </w:pPr>
            <w:r>
              <w:rPr>
                <w:rFonts w:ascii="Arial" w:cs="Arial" w:eastAsia="Arial" w:hAnsi="Arial"/>
                <w:sz w:val="16"/>
                <w:szCs w:val="16"/>
                <w:color w:val="auto"/>
                <w:w w:val="91"/>
              </w:rPr>
              <w:t>(Address of principal executive offices)</w:t>
            </w:r>
          </w:p>
        </w:tc>
        <w:tc>
          <w:tcPr>
            <w:tcW w:w="2560" w:type="dxa"/>
            <w:vAlign w:val="bottom"/>
          </w:tcPr>
          <w:p>
            <w:pPr>
              <w:jc w:val="center"/>
              <w:ind w:left="141"/>
              <w:spacing w:after="0"/>
              <w:rPr>
                <w:sz w:val="20"/>
                <w:szCs w:val="20"/>
                <w:color w:val="auto"/>
              </w:rPr>
            </w:pPr>
            <w:r>
              <w:rPr>
                <w:rFonts w:ascii="Arial" w:cs="Arial" w:eastAsia="Arial" w:hAnsi="Arial"/>
                <w:sz w:val="16"/>
                <w:szCs w:val="16"/>
                <w:color w:val="auto"/>
                <w:w w:val="92"/>
              </w:rPr>
              <w:t>(Zip Code)</w:t>
            </w:r>
          </w:p>
        </w:tc>
      </w:tr>
      <w:tr>
        <w:trPr>
          <w:trHeight w:val="517"/>
        </w:trPr>
        <w:tc>
          <w:tcPr>
            <w:tcW w:w="4840" w:type="dxa"/>
            <w:vAlign w:val="bottom"/>
          </w:tcPr>
          <w:p>
            <w:pPr>
              <w:jc w:val="right"/>
              <w:ind w:right="181"/>
              <w:spacing w:after="0"/>
              <w:rPr>
                <w:sz w:val="20"/>
                <w:szCs w:val="20"/>
                <w:color w:val="auto"/>
              </w:rPr>
            </w:pPr>
            <w:r>
              <w:rPr>
                <w:rFonts w:ascii="Arial" w:cs="Arial" w:eastAsia="Arial" w:hAnsi="Arial"/>
                <w:sz w:val="16"/>
                <w:szCs w:val="16"/>
                <w:b w:val="1"/>
                <w:bCs w:val="1"/>
                <w:color w:val="auto"/>
              </w:rPr>
              <w:t>(818) 240-6055</w:t>
            </w:r>
          </w:p>
        </w:tc>
        <w:tc>
          <w:tcPr>
            <w:tcW w:w="2560" w:type="dxa"/>
            <w:vAlign w:val="bottom"/>
          </w:tcPr>
          <w:p>
            <w:pPr>
              <w:spacing w:after="0"/>
              <w:rPr>
                <w:sz w:val="24"/>
                <w:szCs w:val="24"/>
                <w:color w:val="auto"/>
              </w:rPr>
            </w:pPr>
          </w:p>
        </w:tc>
      </w:tr>
    </w:tbl>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98" w:lineRule="exact"/>
        <w:rPr>
          <w:sz w:val="24"/>
          <w:szCs w:val="24"/>
          <w:color w:val="auto"/>
        </w:rPr>
      </w:pPr>
    </w:p>
    <w:p>
      <w:pPr>
        <w:ind w:left="2900"/>
        <w:spacing w:after="0"/>
        <w:rPr>
          <w:sz w:val="20"/>
          <w:szCs w:val="20"/>
          <w:color w:val="auto"/>
        </w:rPr>
      </w:pPr>
      <w:r>
        <w:rPr>
          <w:rFonts w:ascii="Arial" w:cs="Arial" w:eastAsia="Arial" w:hAnsi="Arial"/>
          <w:sz w:val="18"/>
          <w:szCs w:val="18"/>
          <w:color w:val="auto"/>
        </w:rPr>
        <w:t>______________________________________________________________</w:t>
      </w:r>
    </w:p>
    <w:p>
      <w:pPr>
        <w:spacing w:after="0" w:line="204" w:lineRule="exact"/>
        <w:rPr>
          <w:sz w:val="24"/>
          <w:szCs w:val="24"/>
          <w:color w:val="auto"/>
        </w:rPr>
      </w:pPr>
    </w:p>
    <w:p>
      <w:pPr>
        <w:ind w:left="3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6" w:lineRule="exact"/>
        <w:rPr>
          <w:sz w:val="24"/>
          <w:szCs w:val="24"/>
          <w:color w:val="auto"/>
        </w:rPr>
      </w:pPr>
    </w:p>
    <w:tbl>
      <w:tblPr>
        <w:tblLayout w:type="fixed"/>
        <w:tblInd w:w="20" w:type="dxa"/>
        <w:tblCellMar>
          <w:top w:w="0" w:type="dxa"/>
          <w:left w:w="0" w:type="dxa"/>
          <w:bottom w:w="0" w:type="dxa"/>
          <w:right w:w="0" w:type="dxa"/>
        </w:tblCellMar>
      </w:tblPr>
      <w:tr>
        <w:trPr>
          <w:trHeight w:val="185"/>
        </w:trPr>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Title of each class</w:t>
            </w:r>
          </w:p>
        </w:tc>
        <w:tc>
          <w:tcPr>
            <w:tcW w:w="180" w:type="dxa"/>
            <w:vAlign w:val="bottom"/>
          </w:tcPr>
          <w:p>
            <w:pPr>
              <w:spacing w:after="0"/>
              <w:rPr>
                <w:sz w:val="16"/>
                <w:szCs w:val="16"/>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Trading symbol(s)</w:t>
            </w:r>
          </w:p>
        </w:tc>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Name of each exchange on which registered</w:t>
            </w:r>
          </w:p>
        </w:tc>
      </w:tr>
      <w:tr>
        <w:trPr>
          <w:trHeight w:val="202"/>
        </w:trPr>
        <w:tc>
          <w:tcPr>
            <w:tcW w:w="4200" w:type="dxa"/>
            <w:vAlign w:val="bottom"/>
            <w:gridSpan w:val="2"/>
          </w:tcPr>
          <w:p>
            <w:pPr>
              <w:jc w:val="center"/>
              <w:ind w:right="180"/>
              <w:spacing w:after="0"/>
              <w:rPr>
                <w:sz w:val="20"/>
                <w:szCs w:val="20"/>
                <w:color w:val="auto"/>
              </w:rPr>
            </w:pPr>
            <w:r>
              <w:rPr>
                <w:rFonts w:ascii="Arial" w:cs="Arial" w:eastAsia="Arial" w:hAnsi="Arial"/>
                <w:sz w:val="16"/>
                <w:szCs w:val="16"/>
                <w:color w:val="auto"/>
                <w:w w:val="90"/>
              </w:rPr>
              <w:t>Common Stock, $0.01 par value</w:t>
            </w:r>
          </w:p>
        </w:tc>
        <w:tc>
          <w:tcPr>
            <w:tcW w:w="2800" w:type="dxa"/>
            <w:vAlign w:val="bottom"/>
          </w:tcPr>
          <w:p>
            <w:pPr>
              <w:jc w:val="center"/>
              <w:spacing w:after="0"/>
              <w:rPr>
                <w:sz w:val="20"/>
                <w:szCs w:val="20"/>
                <w:color w:val="auto"/>
              </w:rPr>
            </w:pPr>
            <w:r>
              <w:rPr>
                <w:rFonts w:ascii="Arial" w:cs="Arial" w:eastAsia="Arial" w:hAnsi="Arial"/>
                <w:sz w:val="16"/>
                <w:szCs w:val="16"/>
                <w:color w:val="auto"/>
              </w:rPr>
              <w:t>DIN</w:t>
            </w:r>
          </w:p>
        </w:tc>
        <w:tc>
          <w:tcPr>
            <w:tcW w:w="4200" w:type="dxa"/>
            <w:vAlign w:val="bottom"/>
          </w:tcPr>
          <w:p>
            <w:pPr>
              <w:jc w:val="center"/>
              <w:spacing w:after="0"/>
              <w:rPr>
                <w:sz w:val="20"/>
                <w:szCs w:val="20"/>
                <w:color w:val="auto"/>
              </w:rPr>
            </w:pPr>
            <w:r>
              <w:rPr>
                <w:rFonts w:ascii="Arial" w:cs="Arial" w:eastAsia="Arial" w:hAnsi="Arial"/>
                <w:sz w:val="16"/>
                <w:szCs w:val="16"/>
                <w:color w:val="auto"/>
                <w:w w:val="90"/>
              </w:rPr>
              <w:t>New York Stock Exchange</w:t>
            </w:r>
          </w:p>
        </w:tc>
      </w:tr>
    </w:tbl>
    <w:p>
      <w:pPr>
        <w:spacing w:after="0" w:line="258" w:lineRule="exact"/>
        <w:rPr>
          <w:sz w:val="24"/>
          <w:szCs w:val="24"/>
          <w:color w:val="auto"/>
        </w:rPr>
      </w:pPr>
    </w:p>
    <w:p>
      <w:pPr>
        <w:ind w:right="160" w:firstLine="318"/>
        <w:spacing w:after="0" w:line="196"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180" w:firstLine="362"/>
        <w:spacing w:after="0" w:line="222"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7" w:lineRule="exact"/>
        <w:rPr>
          <w:sz w:val="24"/>
          <w:szCs w:val="24"/>
          <w:color w:val="auto"/>
        </w:rPr>
      </w:pPr>
    </w:p>
    <w:p>
      <w:pPr>
        <w:ind w:right="140" w:firstLine="362"/>
        <w:spacing w:after="0" w:line="250"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220" w:type="dxa"/>
        <w:tblCellMar>
          <w:top w:w="0" w:type="dxa"/>
          <w:left w:w="0" w:type="dxa"/>
          <w:bottom w:w="0" w:type="dxa"/>
          <w:right w:w="0" w:type="dxa"/>
        </w:tblCellMar>
      </w:tblPr>
      <w:tr>
        <w:trPr>
          <w:trHeight w:val="219"/>
        </w:trPr>
        <w:tc>
          <w:tcPr>
            <w:tcW w:w="22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98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2180"/>
              <w:spacing w:after="0"/>
              <w:rPr>
                <w:sz w:val="20"/>
                <w:szCs w:val="20"/>
                <w:color w:val="auto"/>
              </w:rPr>
            </w:pPr>
            <w:r>
              <w:rPr>
                <w:rFonts w:ascii="Arial" w:cs="Arial" w:eastAsia="Arial" w:hAnsi="Arial"/>
                <w:sz w:val="18"/>
                <w:szCs w:val="18"/>
                <w:color w:val="auto"/>
              </w:rPr>
              <w:t>Accelerated filer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78"/>
        </w:trPr>
        <w:tc>
          <w:tcPr>
            <w:tcW w:w="2240" w:type="dxa"/>
            <w:vAlign w:val="bottom"/>
          </w:tcPr>
          <w:p>
            <w:pPr>
              <w:spacing w:after="0"/>
              <w:rPr>
                <w:sz w:val="20"/>
                <w:szCs w:val="20"/>
                <w:color w:val="auto"/>
              </w:rPr>
            </w:pPr>
            <w:r>
              <w:rPr>
                <w:rFonts w:ascii="Arial" w:cs="Arial" w:eastAsia="Arial" w:hAnsi="Arial"/>
                <w:sz w:val="18"/>
                <w:szCs w:val="18"/>
                <w:color w:val="auto"/>
              </w:rPr>
              <w:t>Non-accelerated filer</w:t>
            </w:r>
          </w:p>
        </w:tc>
        <w:tc>
          <w:tcPr>
            <w:tcW w:w="198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vMerge w:val="restart"/>
          </w:tcPr>
          <w:p>
            <w:pPr>
              <w:ind w:left="2180"/>
              <w:spacing w:after="0"/>
              <w:rPr>
                <w:sz w:val="20"/>
                <w:szCs w:val="20"/>
                <w:color w:val="auto"/>
              </w:rPr>
            </w:pPr>
            <w:r>
              <w:rPr>
                <w:rFonts w:ascii="Arial" w:cs="Arial" w:eastAsia="Arial" w:hAnsi="Arial"/>
                <w:sz w:val="18"/>
                <w:szCs w:val="18"/>
                <w:color w:val="auto"/>
              </w:rPr>
              <w:t>Smaller reporting</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22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4000" w:type="dxa"/>
            <w:vAlign w:val="bottom"/>
            <w:vMerge w:val="continue"/>
          </w:tcPr>
          <w:p>
            <w:pPr>
              <w:spacing w:after="0"/>
              <w:rPr>
                <w:sz w:val="13"/>
                <w:szCs w:val="13"/>
                <w:color w:val="auto"/>
              </w:rPr>
            </w:pPr>
          </w:p>
        </w:tc>
        <w:tc>
          <w:tcPr>
            <w:tcW w:w="740" w:type="dxa"/>
            <w:vAlign w:val="bottom"/>
            <w:vMerge w:val="restart"/>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25"/>
        </w:trPr>
        <w:tc>
          <w:tcPr>
            <w:tcW w:w="22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4000" w:type="dxa"/>
            <w:vAlign w:val="bottom"/>
          </w:tcPr>
          <w:p>
            <w:pPr>
              <w:ind w:left="1160"/>
              <w:spacing w:after="0"/>
              <w:rPr>
                <w:sz w:val="20"/>
                <w:szCs w:val="20"/>
                <w:color w:val="auto"/>
              </w:rPr>
            </w:pPr>
            <w:r>
              <w:rPr>
                <w:rFonts w:ascii="Arial" w:cs="Arial" w:eastAsia="Arial" w:hAnsi="Arial"/>
                <w:sz w:val="18"/>
                <w:szCs w:val="18"/>
                <w:color w:val="auto"/>
              </w:rPr>
              <w:t>company</w:t>
            </w: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2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000" w:type="dxa"/>
            <w:vAlign w:val="bottom"/>
          </w:tcPr>
          <w:p>
            <w:pPr>
              <w:ind w:left="2180"/>
              <w:spacing w:after="0" w:line="172" w:lineRule="exact"/>
              <w:rPr>
                <w:sz w:val="20"/>
                <w:szCs w:val="20"/>
                <w:color w:val="auto"/>
              </w:rPr>
            </w:pPr>
            <w:r>
              <w:rPr>
                <w:rFonts w:ascii="Arial" w:cs="Arial" w:eastAsia="Arial" w:hAnsi="Arial"/>
                <w:sz w:val="18"/>
                <w:szCs w:val="18"/>
                <w:color w:val="auto"/>
              </w:rPr>
              <w:t>Emerging growth</w:t>
            </w:r>
          </w:p>
        </w:tc>
        <w:tc>
          <w:tcPr>
            <w:tcW w:w="740" w:type="dxa"/>
            <w:vAlign w:val="bottom"/>
            <w:vMerge w:val="restart"/>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43"/>
        </w:trPr>
        <w:tc>
          <w:tcPr>
            <w:tcW w:w="224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4000" w:type="dxa"/>
            <w:vAlign w:val="bottom"/>
          </w:tcPr>
          <w:p>
            <w:pPr>
              <w:ind w:left="1160"/>
              <w:spacing w:after="0"/>
              <w:rPr>
                <w:sz w:val="20"/>
                <w:szCs w:val="20"/>
                <w:color w:val="auto"/>
              </w:rPr>
            </w:pPr>
            <w:r>
              <w:rPr>
                <w:rFonts w:ascii="Arial" w:cs="Arial" w:eastAsia="Arial" w:hAnsi="Arial"/>
                <w:sz w:val="18"/>
                <w:szCs w:val="18"/>
                <w:color w:val="auto"/>
              </w:rPr>
              <w:t>company</w:t>
            </w:r>
          </w:p>
        </w:tc>
        <w:tc>
          <w:tcPr>
            <w:tcW w:w="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ind w:right="40" w:firstLine="318"/>
        <w:spacing w:after="0" w:line="20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8" w:lineRule="exact"/>
        <w:rPr>
          <w:sz w:val="24"/>
          <w:szCs w:val="24"/>
          <w:color w:val="auto"/>
        </w:rPr>
      </w:pPr>
    </w:p>
    <w:p>
      <w:pPr>
        <w:ind w:left="420" w:right="2380" w:hanging="87"/>
        <w:spacing w:after="0" w:line="225"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ind w:left="320"/>
        <w:spacing w:after="0"/>
        <w:rPr>
          <w:sz w:val="20"/>
          <w:szCs w:val="20"/>
          <w:color w:val="auto"/>
        </w:rPr>
      </w:pPr>
      <w:r>
        <w:rPr>
          <w:rFonts w:ascii="Arial" w:cs="Arial" w:eastAsia="Arial" w:hAnsi="Arial"/>
          <w:sz w:val="18"/>
          <w:szCs w:val="18"/>
          <w:color w:val="auto"/>
        </w:rPr>
        <w:t>As of October 28, 2021, the Registrant had 17,217,023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502920</wp:posOffset>
            </wp:positionV>
            <wp:extent cx="716026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227" w:right="359" w:bottom="1440" w:gutter="0" w:footer="0" w:header="0"/>
        </w:sectPr>
      </w:pPr>
    </w:p>
    <w:bookmarkStart w:id="1" w:name="page2"/>
    <w:bookmarkEnd w:id="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6"/>
        </w:trPr>
        <w:tc>
          <w:tcPr>
            <w:tcW w:w="620" w:type="dxa"/>
            <w:vAlign w:val="bottom"/>
          </w:tcPr>
          <w:p>
            <w:pPr>
              <w:spacing w:after="0" w:line="186" w:lineRule="exact"/>
              <w:rPr>
                <w:rFonts w:ascii="Arial" w:cs="Arial" w:eastAsia="Arial" w:hAnsi="Arial"/>
                <w:sz w:val="18"/>
                <w:szCs w:val="18"/>
                <w:b w:val="1"/>
                <w:bCs w:val="1"/>
                <w:color w:val="0000FF"/>
                <w:w w:val="90"/>
              </w:rPr>
            </w:pPr>
            <w:hyperlink w:anchor="page3">
              <w:r>
                <w:rPr>
                  <w:rFonts w:ascii="Arial" w:cs="Arial" w:eastAsia="Arial" w:hAnsi="Arial"/>
                  <w:sz w:val="18"/>
                  <w:szCs w:val="18"/>
                  <w:b w:val="1"/>
                  <w:bCs w:val="1"/>
                  <w:color w:val="0000FF"/>
                  <w:w w:val="90"/>
                </w:rPr>
                <w:t>PART I.</w:t>
              </w:r>
            </w:hyperlink>
          </w:p>
        </w:tc>
        <w:tc>
          <w:tcPr>
            <w:tcW w:w="380" w:type="dxa"/>
            <w:vAlign w:val="bottom"/>
          </w:tcPr>
          <w:p>
            <w:pPr>
              <w:spacing w:after="0"/>
              <w:rPr>
                <w:sz w:val="16"/>
                <w:szCs w:val="16"/>
                <w:color w:val="auto"/>
              </w:rPr>
            </w:pPr>
          </w:p>
        </w:tc>
        <w:tc>
          <w:tcPr>
            <w:tcW w:w="9640" w:type="dxa"/>
            <w:vAlign w:val="bottom"/>
            <w:gridSpan w:val="20"/>
          </w:tcPr>
          <w:p>
            <w:pPr>
              <w:spacing w:after="0" w:line="186" w:lineRule="exact"/>
              <w:rPr>
                <w:rFonts w:ascii="Arial" w:cs="Arial" w:eastAsia="Arial" w:hAnsi="Arial"/>
                <w:sz w:val="18"/>
                <w:szCs w:val="18"/>
                <w:color w:val="0000FF"/>
              </w:rPr>
            </w:pPr>
            <w:hyperlink w:anchor="page3">
              <w:r>
                <w:rPr>
                  <w:rFonts w:ascii="Arial" w:cs="Arial" w:eastAsia="Arial" w:hAnsi="Arial"/>
                  <w:sz w:val="18"/>
                  <w:szCs w:val="18"/>
                  <w:color w:val="0000FF"/>
                </w:rPr>
                <w:t>FINANCIAL INFORMATION</w:t>
              </w:r>
            </w:hyperlink>
          </w:p>
        </w:tc>
        <w:tc>
          <w:tcPr>
            <w:tcW w:w="540" w:type="dxa"/>
            <w:vAlign w:val="bottom"/>
            <w:gridSpan w:val="4"/>
          </w:tcPr>
          <w:p>
            <w:pPr>
              <w:jc w:val="right"/>
              <w:ind w:right="20"/>
              <w:spacing w:after="0" w:line="186" w:lineRule="exact"/>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0" w:type="dxa"/>
            <w:vAlign w:val="bottom"/>
            <w:gridSpan w:val="9"/>
          </w:tcPr>
          <w:p>
            <w:pPr>
              <w:spacing w:after="0" w:line="205" w:lineRule="exact"/>
              <w:rPr>
                <w:rFonts w:ascii="Arial" w:cs="Arial" w:eastAsia="Arial" w:hAnsi="Arial"/>
                <w:sz w:val="18"/>
                <w:szCs w:val="18"/>
                <w:color w:val="0000FF"/>
                <w:w w:val="92"/>
              </w:rPr>
            </w:pPr>
            <w:hyperlink w:anchor="page4">
              <w:r>
                <w:rPr>
                  <w:rFonts w:ascii="Arial" w:cs="Arial" w:eastAsia="Arial" w:hAnsi="Arial"/>
                  <w:sz w:val="18"/>
                  <w:szCs w:val="18"/>
                  <w:color w:val="0000FF"/>
                  <w:w w:val="92"/>
                </w:rPr>
                <w:t>Item 1—Financial Statements</w:t>
              </w:r>
            </w:hyperlink>
          </w:p>
        </w:tc>
        <w:tc>
          <w:tcPr>
            <w:tcW w:w="7440" w:type="dxa"/>
            <w:vAlign w:val="bottom"/>
            <w:gridSpan w:val="11"/>
          </w:tcPr>
          <w:p>
            <w:pPr>
              <w:spacing w:after="0"/>
              <w:rPr>
                <w:sz w:val="17"/>
                <w:szCs w:val="17"/>
                <w:color w:val="auto"/>
              </w:rPr>
            </w:pPr>
          </w:p>
        </w:tc>
        <w:tc>
          <w:tcPr>
            <w:tcW w:w="540" w:type="dxa"/>
            <w:vAlign w:val="bottom"/>
            <w:gridSpan w:val="4"/>
          </w:tcPr>
          <w:p>
            <w:pPr>
              <w:jc w:val="right"/>
              <w:ind w:right="20"/>
              <w:spacing w:after="0" w:line="205" w:lineRule="exact"/>
              <w:rPr>
                <w:rFonts w:ascii="Arial" w:cs="Arial" w:eastAsia="Arial" w:hAnsi="Arial"/>
                <w:sz w:val="18"/>
                <w:szCs w:val="18"/>
                <w:color w:val="0000FF"/>
              </w:rPr>
            </w:pPr>
            <w:hyperlink w:anchor="page4">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80" w:type="dxa"/>
            <w:vAlign w:val="bottom"/>
            <w:gridSpan w:val="19"/>
          </w:tcPr>
          <w:p>
            <w:pPr>
              <w:spacing w:after="0" w:line="205" w:lineRule="exact"/>
              <w:rPr>
                <w:rFonts w:ascii="Arial" w:cs="Arial" w:eastAsia="Arial" w:hAnsi="Arial"/>
                <w:sz w:val="18"/>
                <w:szCs w:val="18"/>
                <w:color w:val="0000FF"/>
              </w:rPr>
            </w:pPr>
            <w:hyperlink w:anchor="page4">
              <w:r>
                <w:rPr>
                  <w:rFonts w:ascii="Arial" w:cs="Arial" w:eastAsia="Arial" w:hAnsi="Arial"/>
                  <w:sz w:val="18"/>
                  <w:szCs w:val="18"/>
                  <w:color w:val="0000FF"/>
                </w:rPr>
                <w:t>Consolidated Balance Sheets - September 30, 2021 (unaudited) and December 31, 2020</w:t>
              </w:r>
            </w:hyperlink>
          </w:p>
        </w:tc>
        <w:tc>
          <w:tcPr>
            <w:tcW w:w="540" w:type="dxa"/>
            <w:vAlign w:val="bottom"/>
            <w:gridSpan w:val="4"/>
          </w:tcPr>
          <w:p>
            <w:pPr>
              <w:jc w:val="right"/>
              <w:ind w:right="20"/>
              <w:spacing w:after="0" w:line="205" w:lineRule="exact"/>
              <w:rPr>
                <w:rFonts w:ascii="Arial" w:cs="Arial" w:eastAsia="Arial" w:hAnsi="Arial"/>
                <w:sz w:val="18"/>
                <w:szCs w:val="18"/>
                <w:color w:val="0000FF"/>
              </w:rPr>
            </w:pPr>
            <w:hyperlink w:anchor="page4">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80" w:type="dxa"/>
            <w:vAlign w:val="bottom"/>
            <w:gridSpan w:val="19"/>
          </w:tcPr>
          <w:p>
            <w:pPr>
              <w:spacing w:after="0" w:line="205" w:lineRule="exact"/>
              <w:rPr>
                <w:rFonts w:ascii="Arial" w:cs="Arial" w:eastAsia="Arial" w:hAnsi="Arial"/>
                <w:sz w:val="18"/>
                <w:szCs w:val="18"/>
                <w:color w:val="0000FF"/>
                <w:w w:val="92"/>
              </w:rPr>
            </w:pPr>
            <w:hyperlink w:anchor="page4">
              <w:r>
                <w:rPr>
                  <w:rFonts w:ascii="Arial" w:cs="Arial" w:eastAsia="Arial" w:hAnsi="Arial"/>
                  <w:sz w:val="18"/>
                  <w:szCs w:val="18"/>
                  <w:color w:val="0000FF"/>
                  <w:w w:val="92"/>
                </w:rPr>
                <w:t>Consolidated Statements of Comprehensive Income (unaudited) - Three and Nine Months Ended September 30, 2021 and 2020</w:t>
              </w:r>
            </w:hyperlink>
          </w:p>
        </w:tc>
        <w:tc>
          <w:tcPr>
            <w:tcW w:w="540" w:type="dxa"/>
            <w:vAlign w:val="bottom"/>
            <w:gridSpan w:val="4"/>
          </w:tcPr>
          <w:p>
            <w:pPr>
              <w:jc w:val="right"/>
              <w:ind w:right="20"/>
              <w:spacing w:after="0" w:line="205" w:lineRule="exact"/>
              <w:rPr>
                <w:rFonts w:ascii="Arial" w:cs="Arial" w:eastAsia="Arial" w:hAnsi="Arial"/>
                <w:sz w:val="18"/>
                <w:szCs w:val="18"/>
                <w:color w:val="0000FF"/>
              </w:rPr>
            </w:pPr>
            <w:hyperlink w:anchor="page4">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20" w:type="dxa"/>
            <w:vAlign w:val="bottom"/>
            <w:gridSpan w:val="17"/>
          </w:tcPr>
          <w:p>
            <w:pPr>
              <w:spacing w:after="0" w:line="205" w:lineRule="exact"/>
              <w:rPr>
                <w:rFonts w:ascii="Arial" w:cs="Arial" w:eastAsia="Arial" w:hAnsi="Arial"/>
                <w:sz w:val="18"/>
                <w:szCs w:val="18"/>
                <w:color w:val="0000FF"/>
                <w:w w:val="88"/>
              </w:rPr>
            </w:pPr>
            <w:hyperlink w:anchor="page5">
              <w:r>
                <w:rPr>
                  <w:rFonts w:ascii="Arial" w:cs="Arial" w:eastAsia="Arial" w:hAnsi="Arial"/>
                  <w:sz w:val="18"/>
                  <w:szCs w:val="18"/>
                  <w:color w:val="0000FF"/>
                  <w:w w:val="88"/>
                </w:rPr>
                <w:t>Consolidated Statements of Stockholders' Deficit (unaudited) - Three and Nine Months Ended September 30, 2021 and 2020</w:t>
              </w:r>
            </w:hyperlink>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gridSpan w:val="4"/>
          </w:tcPr>
          <w:p>
            <w:pPr>
              <w:jc w:val="right"/>
              <w:ind w:right="20"/>
              <w:spacing w:after="0" w:line="205" w:lineRule="exact"/>
              <w:rPr>
                <w:rFonts w:ascii="Arial" w:cs="Arial" w:eastAsia="Arial" w:hAnsi="Arial"/>
                <w:sz w:val="18"/>
                <w:szCs w:val="18"/>
                <w:color w:val="0000FF"/>
              </w:rPr>
            </w:pPr>
            <w:hyperlink w:anchor="page5">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0" w:type="dxa"/>
            <w:vAlign w:val="bottom"/>
            <w:gridSpan w:val="16"/>
          </w:tcPr>
          <w:p>
            <w:pPr>
              <w:spacing w:after="0" w:line="205" w:lineRule="exact"/>
              <w:rPr>
                <w:rFonts w:ascii="Arial" w:cs="Arial" w:eastAsia="Arial" w:hAnsi="Arial"/>
                <w:sz w:val="18"/>
                <w:szCs w:val="18"/>
                <w:color w:val="0000FF"/>
                <w:w w:val="88"/>
              </w:rPr>
            </w:pPr>
            <w:hyperlink w:anchor="page7">
              <w:r>
                <w:rPr>
                  <w:rFonts w:ascii="Arial" w:cs="Arial" w:eastAsia="Arial" w:hAnsi="Arial"/>
                  <w:sz w:val="18"/>
                  <w:szCs w:val="18"/>
                  <w:color w:val="0000FF"/>
                  <w:w w:val="88"/>
                </w:rPr>
                <w:t>Consolidated Statements of Cash Flows (unaudited) - Nine Months Ended September 30, 2021 and 2020</w:t>
              </w:r>
            </w:hyperlink>
          </w:p>
        </w:tc>
        <w:tc>
          <w:tcPr>
            <w:tcW w:w="1420" w:type="dxa"/>
            <w:vAlign w:val="bottom"/>
          </w:tcPr>
          <w:p>
            <w:pPr>
              <w:spacing w:after="0"/>
              <w:rPr>
                <w:sz w:val="17"/>
                <w:szCs w:val="17"/>
                <w:color w:val="auto"/>
              </w:rPr>
            </w:pPr>
          </w:p>
        </w:tc>
        <w:tc>
          <w:tcPr>
            <w:tcW w:w="660" w:type="dxa"/>
            <w:vAlign w:val="bottom"/>
            <w:gridSpan w:val="2"/>
          </w:tcPr>
          <w:p>
            <w:pPr>
              <w:spacing w:after="0"/>
              <w:rPr>
                <w:sz w:val="17"/>
                <w:szCs w:val="17"/>
                <w:color w:val="auto"/>
              </w:rPr>
            </w:pPr>
          </w:p>
        </w:tc>
        <w:tc>
          <w:tcPr>
            <w:tcW w:w="540" w:type="dxa"/>
            <w:vAlign w:val="bottom"/>
            <w:gridSpan w:val="4"/>
          </w:tcPr>
          <w:p>
            <w:pPr>
              <w:jc w:val="right"/>
              <w:ind w:right="20"/>
              <w:spacing w:after="0" w:line="205" w:lineRule="exact"/>
              <w:rPr>
                <w:rFonts w:ascii="Arial" w:cs="Arial" w:eastAsia="Arial" w:hAnsi="Arial"/>
                <w:sz w:val="18"/>
                <w:szCs w:val="18"/>
                <w:color w:val="0000FF"/>
              </w:rPr>
            </w:pPr>
            <w:hyperlink w:anchor="page7">
              <w:r>
                <w:rPr>
                  <w:rFonts w:ascii="Arial" w:cs="Arial" w:eastAsia="Arial" w:hAnsi="Arial"/>
                  <w:sz w:val="18"/>
                  <w:szCs w:val="18"/>
                  <w:color w:val="0000FF"/>
                </w:rPr>
                <w:t>7</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0" w:type="dxa"/>
            <w:vAlign w:val="bottom"/>
            <w:gridSpan w:val="16"/>
          </w:tcPr>
          <w:p>
            <w:pPr>
              <w:spacing w:after="0" w:line="205" w:lineRule="exact"/>
              <w:rPr>
                <w:rFonts w:ascii="Arial" w:cs="Arial" w:eastAsia="Arial" w:hAnsi="Arial"/>
                <w:sz w:val="18"/>
                <w:szCs w:val="18"/>
                <w:color w:val="0000FF"/>
              </w:rPr>
            </w:pPr>
            <w:hyperlink w:anchor="page8">
              <w:r>
                <w:rPr>
                  <w:rFonts w:ascii="Arial" w:cs="Arial" w:eastAsia="Arial" w:hAnsi="Arial"/>
                  <w:sz w:val="18"/>
                  <w:szCs w:val="18"/>
                  <w:color w:val="0000FF"/>
                </w:rPr>
                <w:t>Notes to Consolidated Financial Statements (unaudited)</w:t>
              </w:r>
            </w:hyperlink>
          </w:p>
        </w:tc>
        <w:tc>
          <w:tcPr>
            <w:tcW w:w="2080" w:type="dxa"/>
            <w:vAlign w:val="bottom"/>
            <w:gridSpan w:val="3"/>
          </w:tcPr>
          <w:p>
            <w:pPr>
              <w:spacing w:after="0"/>
              <w:rPr>
                <w:sz w:val="17"/>
                <w:szCs w:val="17"/>
                <w:color w:val="auto"/>
              </w:rPr>
            </w:pPr>
          </w:p>
        </w:tc>
        <w:tc>
          <w:tcPr>
            <w:tcW w:w="540" w:type="dxa"/>
            <w:vAlign w:val="bottom"/>
            <w:gridSpan w:val="4"/>
          </w:tcPr>
          <w:p>
            <w:pPr>
              <w:jc w:val="right"/>
              <w:ind w:right="20"/>
              <w:spacing w:after="0" w:line="205" w:lineRule="exact"/>
              <w:rPr>
                <w:rFonts w:ascii="Arial" w:cs="Arial" w:eastAsia="Arial" w:hAnsi="Arial"/>
                <w:sz w:val="18"/>
                <w:szCs w:val="18"/>
                <w:color w:val="0000FF"/>
              </w:rPr>
            </w:pPr>
            <w:hyperlink w:anchor="page8">
              <w:r>
                <w:rPr>
                  <w:rFonts w:ascii="Arial" w:cs="Arial" w:eastAsia="Arial" w:hAnsi="Arial"/>
                  <w:sz w:val="18"/>
                  <w:szCs w:val="18"/>
                  <w:color w:val="0000FF"/>
                </w:rPr>
                <w:t>8</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40" w:type="dxa"/>
            <w:vAlign w:val="bottom"/>
            <w:gridSpan w:val="20"/>
          </w:tcPr>
          <w:p>
            <w:pPr>
              <w:spacing w:after="0" w:line="205" w:lineRule="exact"/>
              <w:rPr>
                <w:rFonts w:ascii="Arial" w:cs="Arial" w:eastAsia="Arial" w:hAnsi="Arial"/>
                <w:sz w:val="18"/>
                <w:szCs w:val="18"/>
                <w:color w:val="0000FF"/>
              </w:rPr>
            </w:pPr>
            <w:hyperlink w:anchor="page28">
              <w:r>
                <w:rPr>
                  <w:rFonts w:ascii="Arial" w:cs="Arial" w:eastAsia="Arial" w:hAnsi="Arial"/>
                  <w:sz w:val="18"/>
                  <w:szCs w:val="18"/>
                  <w:color w:val="0000FF"/>
                </w:rPr>
                <w:t>Item 2—Management’s Discussion and Analysis of Financial Condition and Results of Operations</w:t>
              </w:r>
            </w:hyperlink>
          </w:p>
        </w:tc>
        <w:tc>
          <w:tcPr>
            <w:tcW w:w="520" w:type="dxa"/>
            <w:vAlign w:val="bottom"/>
            <w:gridSpan w:val="3"/>
          </w:tcPr>
          <w:p>
            <w:pPr>
              <w:jc w:val="right"/>
              <w:spacing w:after="0" w:line="205" w:lineRule="exact"/>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60" w:type="dxa"/>
            <w:vAlign w:val="bottom"/>
            <w:tcBorders>
              <w:top w:val="single" w:sz="8" w:color="0000FF"/>
              <w:bottom w:val="single" w:sz="8" w:color="0000FF"/>
            </w:tcBorders>
            <w:gridSpan w:val="13"/>
          </w:tcPr>
          <w:p>
            <w:pPr>
              <w:spacing w:after="0" w:line="205" w:lineRule="exact"/>
              <w:rPr>
                <w:rFonts w:ascii="Arial" w:cs="Arial" w:eastAsia="Arial" w:hAnsi="Arial"/>
                <w:sz w:val="18"/>
                <w:szCs w:val="18"/>
                <w:color w:val="0000FF"/>
                <w:w w:val="90"/>
              </w:rPr>
            </w:pPr>
            <w:hyperlink w:anchor="page49">
              <w:r>
                <w:rPr>
                  <w:rFonts w:ascii="Arial" w:cs="Arial" w:eastAsia="Arial" w:hAnsi="Arial"/>
                  <w:sz w:val="18"/>
                  <w:szCs w:val="18"/>
                  <w:color w:val="0000FF"/>
                  <w:w w:val="90"/>
                </w:rPr>
                <w:t>Item 3—Quantitative and Qualitative Disclosures about Market Risk</w:t>
              </w:r>
            </w:hyperlink>
          </w:p>
        </w:tc>
        <w:tc>
          <w:tcPr>
            <w:tcW w:w="2100" w:type="dxa"/>
            <w:vAlign w:val="bottom"/>
            <w:tcBorders>
              <w:top w:val="single" w:sz="8" w:color="0000FF"/>
            </w:tcBorders>
            <w:gridSpan w:val="3"/>
          </w:tcPr>
          <w:p>
            <w:pPr>
              <w:spacing w:after="0"/>
              <w:rPr>
                <w:sz w:val="17"/>
                <w:szCs w:val="17"/>
                <w:color w:val="auto"/>
              </w:rPr>
            </w:pPr>
          </w:p>
        </w:tc>
        <w:tc>
          <w:tcPr>
            <w:tcW w:w="2680" w:type="dxa"/>
            <w:vAlign w:val="bottom"/>
            <w:gridSpan w:val="4"/>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line="205" w:lineRule="exact"/>
              <w:rPr>
                <w:rFonts w:ascii="Arial" w:cs="Arial" w:eastAsia="Arial" w:hAnsi="Arial"/>
                <w:sz w:val="18"/>
                <w:szCs w:val="18"/>
                <w:color w:val="0000FF"/>
                <w:w w:val="79"/>
              </w:rPr>
            </w:pPr>
            <w:hyperlink w:anchor="page49">
              <w:r>
                <w:rPr>
                  <w:rFonts w:ascii="Arial" w:cs="Arial" w:eastAsia="Arial" w:hAnsi="Arial"/>
                  <w:sz w:val="18"/>
                  <w:szCs w:val="18"/>
                  <w:color w:val="0000FF"/>
                  <w:w w:val="79"/>
                </w:rPr>
                <w:t>48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00" w:type="dxa"/>
            <w:vAlign w:val="bottom"/>
            <w:gridSpan w:val="2"/>
            <w:vMerge w:val="restart"/>
          </w:tcPr>
          <w:p>
            <w:pPr>
              <w:spacing w:after="0"/>
              <w:rPr>
                <w:rFonts w:ascii="Arial" w:cs="Arial" w:eastAsia="Arial" w:hAnsi="Arial"/>
                <w:sz w:val="18"/>
                <w:szCs w:val="18"/>
                <w:b w:val="1"/>
                <w:bCs w:val="1"/>
                <w:color w:val="0000FF"/>
              </w:rPr>
            </w:pPr>
            <w:hyperlink w:anchor="page50">
              <w:r>
                <w:rPr>
                  <w:rFonts w:ascii="Arial" w:cs="Arial" w:eastAsia="Arial" w:hAnsi="Arial"/>
                  <w:sz w:val="18"/>
                  <w:szCs w:val="18"/>
                  <w:b w:val="1"/>
                  <w:bCs w:val="1"/>
                  <w:color w:val="0000FF"/>
                </w:rPr>
                <w:t>PART II.</w:t>
              </w:r>
            </w:hyperlink>
          </w:p>
        </w:tc>
        <w:tc>
          <w:tcPr>
            <w:tcW w:w="9640" w:type="dxa"/>
            <w:vAlign w:val="bottom"/>
            <w:gridSpan w:val="20"/>
          </w:tcPr>
          <w:p>
            <w:pPr>
              <w:spacing w:after="0" w:line="205" w:lineRule="exact"/>
              <w:rPr>
                <w:rFonts w:ascii="Arial" w:cs="Arial" w:eastAsia="Arial" w:hAnsi="Arial"/>
                <w:sz w:val="18"/>
                <w:szCs w:val="18"/>
                <w:color w:val="0000FF"/>
              </w:rPr>
            </w:pPr>
            <w:hyperlink w:anchor="page49">
              <w:r>
                <w:rPr>
                  <w:rFonts w:ascii="Arial" w:cs="Arial" w:eastAsia="Arial" w:hAnsi="Arial"/>
                  <w:sz w:val="18"/>
                  <w:szCs w:val="18"/>
                  <w:color w:val="0000FF"/>
                </w:rPr>
                <w:t>Item 4—Controls and Procedures</w:t>
              </w:r>
            </w:hyperlink>
          </w:p>
        </w:tc>
        <w:tc>
          <w:tcPr>
            <w:tcW w:w="520" w:type="dxa"/>
            <w:vAlign w:val="bottom"/>
            <w:gridSpan w:val="3"/>
          </w:tcPr>
          <w:p>
            <w:pPr>
              <w:jc w:val="right"/>
              <w:spacing w:after="0" w:line="205" w:lineRule="exact"/>
              <w:rPr>
                <w:rFonts w:ascii="Arial" w:cs="Arial" w:eastAsia="Arial" w:hAnsi="Arial"/>
                <w:sz w:val="18"/>
                <w:szCs w:val="18"/>
                <w:color w:val="0000FF"/>
              </w:rPr>
            </w:pPr>
            <w:hyperlink w:anchor="page49">
              <w:r>
                <w:rPr>
                  <w:rFonts w:ascii="Arial" w:cs="Arial" w:eastAsia="Arial" w:hAnsi="Arial"/>
                  <w:sz w:val="18"/>
                  <w:szCs w:val="18"/>
                  <w:color w:val="0000FF"/>
                </w:rPr>
                <w:t>49</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00" w:type="dxa"/>
            <w:vAlign w:val="bottom"/>
            <w:gridSpan w:val="2"/>
            <w:vMerge w:val="continue"/>
          </w:tcPr>
          <w:p>
            <w:pPr>
              <w:spacing w:after="0"/>
              <w:rPr>
                <w:sz w:val="17"/>
                <w:szCs w:val="17"/>
                <w:color w:val="auto"/>
              </w:rPr>
            </w:pPr>
          </w:p>
        </w:tc>
        <w:tc>
          <w:tcPr>
            <w:tcW w:w="2360" w:type="dxa"/>
            <w:vAlign w:val="bottom"/>
            <w:tcBorders>
              <w:top w:val="single" w:sz="8" w:color="0000FF"/>
            </w:tcBorders>
            <w:gridSpan w:val="10"/>
          </w:tcPr>
          <w:p>
            <w:pPr>
              <w:spacing w:after="0" w:line="205" w:lineRule="exact"/>
              <w:rPr>
                <w:rFonts w:ascii="Arial" w:cs="Arial" w:eastAsia="Arial" w:hAnsi="Arial"/>
                <w:sz w:val="18"/>
                <w:szCs w:val="18"/>
                <w:color w:val="0000FF"/>
              </w:rPr>
            </w:pPr>
            <w:hyperlink w:anchor="page50">
              <w:r>
                <w:rPr>
                  <w:rFonts w:ascii="Arial" w:cs="Arial" w:eastAsia="Arial" w:hAnsi="Arial"/>
                  <w:sz w:val="18"/>
                  <w:szCs w:val="18"/>
                  <w:color w:val="0000FF"/>
                </w:rPr>
                <w:t>OTHER INFORMATION</w:t>
              </w:r>
            </w:hyperlink>
          </w:p>
        </w:tc>
        <w:tc>
          <w:tcPr>
            <w:tcW w:w="7280" w:type="dxa"/>
            <w:vAlign w:val="bottom"/>
            <w:gridSpan w:val="10"/>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line="205" w:lineRule="exact"/>
              <w:rPr>
                <w:rFonts w:ascii="Arial" w:cs="Arial" w:eastAsia="Arial" w:hAnsi="Arial"/>
                <w:sz w:val="18"/>
                <w:szCs w:val="18"/>
                <w:color w:val="0000FF"/>
                <w:w w:val="79"/>
              </w:rPr>
            </w:pPr>
            <w:hyperlink w:anchor="page50">
              <w:r>
                <w:rPr>
                  <w:rFonts w:ascii="Arial" w:cs="Arial" w:eastAsia="Arial" w:hAnsi="Arial"/>
                  <w:sz w:val="18"/>
                  <w:szCs w:val="18"/>
                  <w:color w:val="0000FF"/>
                  <w:w w:val="79"/>
                </w:rPr>
                <w:t>50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474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40" w:type="dxa"/>
            <w:vAlign w:val="bottom"/>
            <w:tcBorders>
              <w:bottom w:val="single" w:sz="8" w:color="0000FF"/>
            </w:tcBorders>
            <w:gridSpan w:val="7"/>
          </w:tcPr>
          <w:p>
            <w:pPr>
              <w:spacing w:after="0" w:line="205" w:lineRule="exact"/>
              <w:rPr>
                <w:rFonts w:ascii="Arial" w:cs="Arial" w:eastAsia="Arial" w:hAnsi="Arial"/>
                <w:sz w:val="18"/>
                <w:szCs w:val="18"/>
                <w:color w:val="0000FF"/>
                <w:w w:val="88"/>
              </w:rPr>
            </w:pPr>
            <w:hyperlink w:anchor="page51">
              <w:r>
                <w:rPr>
                  <w:rFonts w:ascii="Arial" w:cs="Arial" w:eastAsia="Arial" w:hAnsi="Arial"/>
                  <w:sz w:val="18"/>
                  <w:szCs w:val="18"/>
                  <w:color w:val="0000FF"/>
                  <w:w w:val="88"/>
                </w:rPr>
                <w:t>Item 1—Legal Proceedings</w:t>
              </w:r>
            </w:hyperlink>
          </w:p>
        </w:tc>
        <w:tc>
          <w:tcPr>
            <w:tcW w:w="7700" w:type="dxa"/>
            <w:vAlign w:val="bottom"/>
            <w:gridSpan w:val="13"/>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rFonts w:ascii="Arial" w:cs="Arial" w:eastAsia="Arial" w:hAnsi="Arial"/>
                <w:sz w:val="18"/>
                <w:szCs w:val="18"/>
                <w:color w:val="0000FF"/>
                <w:w w:val="79"/>
              </w:rPr>
            </w:pPr>
            <w:hyperlink w:anchor="page51">
              <w:r>
                <w:rPr>
                  <w:rFonts w:ascii="Arial" w:cs="Arial" w:eastAsia="Arial" w:hAnsi="Arial"/>
                  <w:sz w:val="18"/>
                  <w:szCs w:val="18"/>
                  <w:color w:val="0000FF"/>
                  <w:w w:val="79"/>
                </w:rPr>
                <w:t>50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40" w:type="dxa"/>
            <w:vAlign w:val="bottom"/>
            <w:gridSpan w:val="20"/>
          </w:tcPr>
          <w:p>
            <w:pPr>
              <w:spacing w:after="0" w:line="205" w:lineRule="exact"/>
              <w:rPr>
                <w:rFonts w:ascii="Arial" w:cs="Arial" w:eastAsia="Arial" w:hAnsi="Arial"/>
                <w:sz w:val="18"/>
                <w:szCs w:val="18"/>
                <w:color w:val="0000FF"/>
              </w:rPr>
            </w:pPr>
            <w:hyperlink w:anchor="page51">
              <w:r>
                <w:rPr>
                  <w:rFonts w:ascii="Arial" w:cs="Arial" w:eastAsia="Arial" w:hAnsi="Arial"/>
                  <w:sz w:val="18"/>
                  <w:szCs w:val="18"/>
                  <w:color w:val="0000FF"/>
                </w:rPr>
                <w:t>Item 1A—Risk Factors</w:t>
              </w:r>
            </w:hyperlink>
          </w:p>
        </w:tc>
        <w:tc>
          <w:tcPr>
            <w:tcW w:w="520" w:type="dxa"/>
            <w:vAlign w:val="bottom"/>
            <w:gridSpan w:val="3"/>
          </w:tcPr>
          <w:p>
            <w:pPr>
              <w:jc w:val="right"/>
              <w:spacing w:after="0" w:line="205" w:lineRule="exact"/>
              <w:rPr>
                <w:rFonts w:ascii="Arial" w:cs="Arial" w:eastAsia="Arial" w:hAnsi="Arial"/>
                <w:sz w:val="18"/>
                <w:szCs w:val="18"/>
                <w:color w:val="0000FF"/>
              </w:rPr>
            </w:pPr>
            <w:hyperlink w:anchor="page51">
              <w:r>
                <w:rPr>
                  <w:rFonts w:ascii="Arial" w:cs="Arial" w:eastAsia="Arial" w:hAnsi="Arial"/>
                  <w:sz w:val="18"/>
                  <w:szCs w:val="18"/>
                  <w:color w:val="0000FF"/>
                </w:rPr>
                <w:t>50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474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900" w:type="dxa"/>
            <w:vAlign w:val="bottom"/>
            <w:tcBorders>
              <w:bottom w:val="single" w:sz="8" w:color="0000FF"/>
            </w:tcBorders>
            <w:gridSpan w:val="14"/>
          </w:tcPr>
          <w:p>
            <w:pPr>
              <w:spacing w:after="0" w:line="205" w:lineRule="exact"/>
              <w:rPr>
                <w:rFonts w:ascii="Arial" w:cs="Arial" w:eastAsia="Arial" w:hAnsi="Arial"/>
                <w:sz w:val="18"/>
                <w:szCs w:val="18"/>
                <w:color w:val="0000FF"/>
                <w:w w:val="88"/>
              </w:rPr>
            </w:pPr>
            <w:hyperlink w:anchor="page51">
              <w:r>
                <w:rPr>
                  <w:rFonts w:ascii="Arial" w:cs="Arial" w:eastAsia="Arial" w:hAnsi="Arial"/>
                  <w:sz w:val="18"/>
                  <w:szCs w:val="18"/>
                  <w:color w:val="0000FF"/>
                  <w:w w:val="88"/>
                </w:rPr>
                <w:t>Item 2—Unregistered Sales of Equity Securities and Use of Proceeds</w:t>
              </w:r>
            </w:hyperlink>
          </w:p>
        </w:tc>
        <w:tc>
          <w:tcPr>
            <w:tcW w:w="4740" w:type="dxa"/>
            <w:vAlign w:val="bottom"/>
            <w:gridSpan w:val="6"/>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rFonts w:ascii="Arial" w:cs="Arial" w:eastAsia="Arial" w:hAnsi="Arial"/>
                <w:sz w:val="18"/>
                <w:szCs w:val="18"/>
                <w:color w:val="0000FF"/>
                <w:w w:val="79"/>
              </w:rPr>
            </w:pPr>
            <w:hyperlink w:anchor="page51">
              <w:r>
                <w:rPr>
                  <w:rFonts w:ascii="Arial" w:cs="Arial" w:eastAsia="Arial" w:hAnsi="Arial"/>
                  <w:sz w:val="18"/>
                  <w:szCs w:val="18"/>
                  <w:color w:val="0000FF"/>
                  <w:w w:val="79"/>
                </w:rPr>
                <w:t>50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20" w:type="dxa"/>
            <w:vAlign w:val="bottom"/>
            <w:tcBorders>
              <w:bottom w:val="single" w:sz="8" w:color="0000FF"/>
            </w:tcBorders>
            <w:gridSpan w:val="11"/>
          </w:tcPr>
          <w:p>
            <w:pPr>
              <w:spacing w:after="0" w:line="205" w:lineRule="exact"/>
              <w:rPr>
                <w:rFonts w:ascii="Arial" w:cs="Arial" w:eastAsia="Arial" w:hAnsi="Arial"/>
                <w:sz w:val="18"/>
                <w:szCs w:val="18"/>
                <w:color w:val="0000FF"/>
                <w:w w:val="89"/>
              </w:rPr>
            </w:pPr>
            <w:hyperlink w:anchor="page51">
              <w:r>
                <w:rPr>
                  <w:rFonts w:ascii="Arial" w:cs="Arial" w:eastAsia="Arial" w:hAnsi="Arial"/>
                  <w:sz w:val="18"/>
                  <w:szCs w:val="18"/>
                  <w:color w:val="0000FF"/>
                  <w:w w:val="89"/>
                </w:rPr>
                <w:t>Item 3—Defaults Upon Senior Securities</w:t>
              </w:r>
            </w:hyperlink>
          </w:p>
        </w:tc>
        <w:tc>
          <w:tcPr>
            <w:tcW w:w="6720" w:type="dxa"/>
            <w:vAlign w:val="bottom"/>
            <w:gridSpan w:val="9"/>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rFonts w:ascii="Arial" w:cs="Arial" w:eastAsia="Arial" w:hAnsi="Arial"/>
                <w:sz w:val="18"/>
                <w:szCs w:val="18"/>
                <w:color w:val="0000FF"/>
                <w:w w:val="79"/>
              </w:rPr>
            </w:pPr>
            <w:hyperlink w:anchor="page51">
              <w:r>
                <w:rPr>
                  <w:rFonts w:ascii="Arial" w:cs="Arial" w:eastAsia="Arial" w:hAnsi="Arial"/>
                  <w:sz w:val="18"/>
                  <w:szCs w:val="18"/>
                  <w:color w:val="0000FF"/>
                  <w:w w:val="79"/>
                </w:rPr>
                <w:t>50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40" w:type="dxa"/>
            <w:vAlign w:val="bottom"/>
            <w:gridSpan w:val="20"/>
          </w:tcPr>
          <w:p>
            <w:pPr>
              <w:spacing w:after="0" w:line="205" w:lineRule="exact"/>
              <w:rPr>
                <w:rFonts w:ascii="Arial" w:cs="Arial" w:eastAsia="Arial" w:hAnsi="Arial"/>
                <w:sz w:val="18"/>
                <w:szCs w:val="18"/>
                <w:color w:val="0000FF"/>
              </w:rPr>
            </w:pPr>
            <w:hyperlink w:anchor="page51">
              <w:r>
                <w:rPr>
                  <w:rFonts w:ascii="Arial" w:cs="Arial" w:eastAsia="Arial" w:hAnsi="Arial"/>
                  <w:sz w:val="18"/>
                  <w:szCs w:val="18"/>
                  <w:color w:val="0000FF"/>
                </w:rPr>
                <w:t>Item 4—Mine Safety Disclosures</w:t>
              </w:r>
            </w:hyperlink>
          </w:p>
        </w:tc>
        <w:tc>
          <w:tcPr>
            <w:tcW w:w="520" w:type="dxa"/>
            <w:vAlign w:val="bottom"/>
            <w:gridSpan w:val="3"/>
          </w:tcPr>
          <w:p>
            <w:pPr>
              <w:jc w:val="right"/>
              <w:spacing w:after="0" w:line="205" w:lineRule="exact"/>
              <w:rPr>
                <w:rFonts w:ascii="Arial" w:cs="Arial" w:eastAsia="Arial" w:hAnsi="Arial"/>
                <w:sz w:val="18"/>
                <w:szCs w:val="18"/>
                <w:color w:val="0000FF"/>
              </w:rPr>
            </w:pPr>
            <w:hyperlink w:anchor="page51">
              <w:r>
                <w:rPr>
                  <w:rFonts w:ascii="Arial" w:cs="Arial" w:eastAsia="Arial" w:hAnsi="Arial"/>
                  <w:sz w:val="18"/>
                  <w:szCs w:val="18"/>
                  <w:color w:val="0000FF"/>
                </w:rPr>
                <w:t>50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20" w:type="dxa"/>
            <w:vAlign w:val="bottom"/>
            <w:tcBorders>
              <w:top w:val="single" w:sz="8" w:color="0000FF"/>
              <w:bottom w:val="single" w:sz="8" w:color="0000FF"/>
            </w:tcBorders>
            <w:gridSpan w:val="6"/>
          </w:tcPr>
          <w:p>
            <w:pPr>
              <w:spacing w:after="0" w:line="205" w:lineRule="exact"/>
              <w:rPr>
                <w:rFonts w:ascii="Arial" w:cs="Arial" w:eastAsia="Arial" w:hAnsi="Arial"/>
                <w:sz w:val="18"/>
                <w:szCs w:val="18"/>
                <w:color w:val="0000FF"/>
                <w:w w:val="91"/>
              </w:rPr>
            </w:pPr>
            <w:hyperlink w:anchor="page51">
              <w:r>
                <w:rPr>
                  <w:rFonts w:ascii="Arial" w:cs="Arial" w:eastAsia="Arial" w:hAnsi="Arial"/>
                  <w:sz w:val="18"/>
                  <w:szCs w:val="18"/>
                  <w:color w:val="0000FF"/>
                  <w:w w:val="91"/>
                </w:rPr>
                <w:t>Item 5—Other Information</w:t>
              </w:r>
            </w:hyperlink>
          </w:p>
        </w:tc>
        <w:tc>
          <w:tcPr>
            <w:tcW w:w="440" w:type="dxa"/>
            <w:vAlign w:val="bottom"/>
            <w:tcBorders>
              <w:top w:val="single" w:sz="8" w:color="0000FF"/>
            </w:tcBorders>
            <w:gridSpan w:val="4"/>
          </w:tcPr>
          <w:p>
            <w:pPr>
              <w:spacing w:after="0"/>
              <w:rPr>
                <w:sz w:val="17"/>
                <w:szCs w:val="17"/>
                <w:color w:val="auto"/>
              </w:rPr>
            </w:pPr>
          </w:p>
        </w:tc>
        <w:tc>
          <w:tcPr>
            <w:tcW w:w="7280" w:type="dxa"/>
            <w:vAlign w:val="bottom"/>
            <w:gridSpan w:val="10"/>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line="205" w:lineRule="exact"/>
              <w:rPr>
                <w:rFonts w:ascii="Arial" w:cs="Arial" w:eastAsia="Arial" w:hAnsi="Arial"/>
                <w:sz w:val="18"/>
                <w:szCs w:val="18"/>
                <w:color w:val="0000FF"/>
                <w:w w:val="79"/>
              </w:rPr>
            </w:pPr>
            <w:hyperlink w:anchor="page51">
              <w:r>
                <w:rPr>
                  <w:rFonts w:ascii="Arial" w:cs="Arial" w:eastAsia="Arial" w:hAnsi="Arial"/>
                  <w:sz w:val="18"/>
                  <w:szCs w:val="18"/>
                  <w:color w:val="0000FF"/>
                  <w:w w:val="79"/>
                </w:rPr>
                <w:t>50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Borders>
              <w:bottom w:val="single" w:sz="8" w:color="0000FF"/>
            </w:tcBorders>
            <w:gridSpan w:val="3"/>
          </w:tcPr>
          <w:p>
            <w:pPr>
              <w:spacing w:after="0" w:line="205" w:lineRule="exact"/>
              <w:rPr>
                <w:rFonts w:ascii="Arial" w:cs="Arial" w:eastAsia="Arial" w:hAnsi="Arial"/>
                <w:sz w:val="18"/>
                <w:szCs w:val="18"/>
                <w:color w:val="0000FF"/>
                <w:w w:val="91"/>
              </w:rPr>
            </w:pPr>
            <w:hyperlink w:anchor="page51">
              <w:r>
                <w:rPr>
                  <w:rFonts w:ascii="Arial" w:cs="Arial" w:eastAsia="Arial" w:hAnsi="Arial"/>
                  <w:sz w:val="18"/>
                  <w:szCs w:val="18"/>
                  <w:color w:val="0000FF"/>
                  <w:w w:val="91"/>
                </w:rPr>
                <w:t>Item 6—Exhibits</w:t>
              </w:r>
            </w:hyperlink>
          </w:p>
        </w:tc>
        <w:tc>
          <w:tcPr>
            <w:tcW w:w="8420" w:type="dxa"/>
            <w:vAlign w:val="bottom"/>
            <w:gridSpan w:val="17"/>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rFonts w:ascii="Arial" w:cs="Arial" w:eastAsia="Arial" w:hAnsi="Arial"/>
                <w:sz w:val="18"/>
                <w:szCs w:val="18"/>
                <w:color w:val="0000FF"/>
                <w:w w:val="79"/>
              </w:rPr>
            </w:pPr>
            <w:hyperlink w:anchor="page51">
              <w:r>
                <w:rPr>
                  <w:rFonts w:ascii="Arial" w:cs="Arial" w:eastAsia="Arial" w:hAnsi="Arial"/>
                  <w:sz w:val="18"/>
                  <w:szCs w:val="18"/>
                  <w:color w:val="0000FF"/>
                  <w:w w:val="79"/>
                </w:rPr>
                <w:t>51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40" w:type="dxa"/>
            <w:vAlign w:val="bottom"/>
            <w:gridSpan w:val="20"/>
          </w:tcPr>
          <w:p>
            <w:pPr>
              <w:spacing w:after="0" w:line="205" w:lineRule="exact"/>
              <w:rPr>
                <w:rFonts w:ascii="Arial" w:cs="Arial" w:eastAsia="Arial" w:hAnsi="Arial"/>
                <w:sz w:val="18"/>
                <w:szCs w:val="18"/>
                <w:color w:val="0000FF"/>
              </w:rPr>
            </w:pPr>
            <w:hyperlink w:anchor="page52">
              <w:r>
                <w:rPr>
                  <w:rFonts w:ascii="Arial" w:cs="Arial" w:eastAsia="Arial" w:hAnsi="Arial"/>
                  <w:sz w:val="18"/>
                  <w:szCs w:val="18"/>
                  <w:color w:val="0000FF"/>
                </w:rPr>
                <w:t>Signatures</w:t>
              </w:r>
            </w:hyperlink>
          </w:p>
        </w:tc>
        <w:tc>
          <w:tcPr>
            <w:tcW w:w="520" w:type="dxa"/>
            <w:vAlign w:val="bottom"/>
            <w:gridSpan w:val="3"/>
          </w:tcPr>
          <w:p>
            <w:pPr>
              <w:jc w:val="right"/>
              <w:spacing w:after="0" w:line="205" w:lineRule="exact"/>
              <w:rPr>
                <w:rFonts w:ascii="Arial" w:cs="Arial" w:eastAsia="Arial" w:hAnsi="Arial"/>
                <w:sz w:val="18"/>
                <w:szCs w:val="18"/>
                <w:color w:val="0000FF"/>
              </w:rPr>
            </w:pPr>
            <w:hyperlink w:anchor="page52">
              <w:r>
                <w:rPr>
                  <w:rFonts w:ascii="Arial" w:cs="Arial" w:eastAsia="Arial" w:hAnsi="Arial"/>
                  <w:sz w:val="18"/>
                  <w:szCs w:val="18"/>
                  <w:color w:val="0000FF"/>
                </w:rPr>
                <w:t>52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3"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Statements contained in this Quarterly Report on Form 10-Q may constitute “forward-looking statements” within the meaning of Section 27A of the Securities Act of 1933, as amended, and Section 21E of the Securities Exchange Act of 1934, as amended. These statements involve known and unknown risks, uncertainties and other factors, which may cause actual results to be materially different from those expressed or implied in such statements. You can identify these forward-looking statements by words such as “may,” “will,” “would,” “should,” “could,” “expect,” “anticipate,” “believe,” “estimate,” “intend,” “plan,” “goal” and other similar expressions. You should consider our forward-looking statements in light of the risks discussed under the heading “Risk Factors,” as well as our consolidated financial statements, related notes, and the other financial information appearing elsewhere in this report and our other filings with the United States Securities and Exchange Commission. The forward-looking statements contained in this report are made as of the date hereof and Dine Brands Global, Inc. does not intend to, nor does it assume any obligation to, update or supplement any forward-looking statements after the date of this report to reflect actual results or future events or circumstances.</w:t>
      </w:r>
    </w:p>
    <w:p>
      <w:pPr>
        <w:spacing w:after="0" w:line="211" w:lineRule="exact"/>
        <w:rPr>
          <w:sz w:val="20"/>
          <w:szCs w:val="20"/>
          <w:color w:val="auto"/>
        </w:rPr>
      </w:pPr>
    </w:p>
    <w:p>
      <w:pPr>
        <w:ind w:firstLine="318"/>
        <w:spacing w:after="0" w:line="301" w:lineRule="auto"/>
        <w:rPr>
          <w:sz w:val="20"/>
          <w:szCs w:val="20"/>
          <w:color w:val="auto"/>
        </w:rPr>
      </w:pPr>
      <w:r>
        <w:rPr>
          <w:rFonts w:ascii="Arial" w:cs="Arial" w:eastAsia="Arial" w:hAnsi="Arial"/>
          <w:sz w:val="15"/>
          <w:szCs w:val="15"/>
          <w:color w:val="auto"/>
        </w:rPr>
        <w:t>Factors that could cause actual results to differ materially from the projections, forecasts, estimates and expectations discussed in this Quarterly Report on Form 10-Q include, among other things: uncertainty regarding the duration and severity of the ongoing COVID-19 pandemic (including the emergence of variant strains) and its ultimate impact on our business; general economic conditions; our level of indebtedness; compliance with the terms of our securitized debt; our ability to refinance our current indebtedness or obtain additional financing; our dependence on information technology; potential cyber incidents; the implementation of restaurant development plans; our dependence on our franchisees; the concentration of our Applebee’s franchised restaurants in a limited number of franchisees; the financial health of our franchisees, including any insolvency or bankruptcy; credit risks from our IHOP franchisees operating under our previous IHOP business model in which we built and equipped IHOP restaurants and then franchised them to franchisees; insufficient insurance coverage to cover potential risks associated with the ownership and operation of restaurants; our franchisees’ and other licensees’ compliance with our quality standards and trademark usage; general risks associated with the restaurant industry; potential harm to our brands’ reputation; risks of food-borne illness or food tampering; possible future impairment charges; trading volatility and fluctuations in the price of our stock; our ability to achieve the financial guidance we provide to investors; successful implementation of our business strategy; the availability of suitable locations for new restaurants; shortages or interruptions in the supply or delivery of products from third parties or availability of utilities; the management and forecasting of appropriate inventory levels;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40"/>
        <w:spacing w:after="0" w:line="306" w:lineRule="auto"/>
        <w:rPr>
          <w:sz w:val="20"/>
          <w:szCs w:val="20"/>
          <w:color w:val="auto"/>
        </w:rPr>
      </w:pPr>
      <w:r>
        <w:rPr>
          <w:rFonts w:ascii="Arial" w:cs="Arial" w:eastAsia="Arial" w:hAnsi="Arial"/>
          <w:sz w:val="15"/>
          <w:szCs w:val="15"/>
          <w:color w:val="auto"/>
        </w:rPr>
        <w:t>development and implementation of innovative marketing and use of social media; changing health or dietary preference of consumers; risks associated with doing business in international markets; the results of litigation and other legal proceedings; third-party claims with respect to intellectual property assets; delivery initiatives and use of third-party delivery vendors; our allocation of human capital and our ability to attract and retain management and other key employees; compliance with federal, state and local governmental regulations; risks associated with our self-insurance; natural disasters or other serious incidents; our success with development initiatives outside of our core business; the adequacy of our internal controls over financial reporting and future changes in accounting standards; and other matters in the “Risk Factors” section of this report and our Annual Report on Form 10-K for the fiscal year ended December 31, 2020 and in our other filings with the Securities and Exchange Commission, many of which are beyond our control.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Quarter End</w:t>
      </w:r>
    </w:p>
    <w:p>
      <w:pPr>
        <w:spacing w:after="0" w:line="250" w:lineRule="exact"/>
        <w:rPr>
          <w:sz w:val="20"/>
          <w:szCs w:val="20"/>
          <w:color w:val="auto"/>
        </w:rPr>
      </w:pPr>
    </w:p>
    <w:p>
      <w:pPr>
        <w:ind w:firstLine="318"/>
        <w:spacing w:after="0" w:line="318" w:lineRule="auto"/>
        <w:rPr>
          <w:sz w:val="20"/>
          <w:szCs w:val="20"/>
          <w:color w:val="auto"/>
        </w:rPr>
      </w:pPr>
      <w:r>
        <w:rPr>
          <w:rFonts w:ascii="Arial" w:cs="Arial" w:eastAsia="Arial" w:hAnsi="Arial"/>
          <w:sz w:val="15"/>
          <w:szCs w:val="15"/>
          <w:color w:val="auto"/>
        </w:rPr>
        <w:t>The Company’s fiscal quarters end on the Sunday closest to the last day of each calendar quarter. For convenience, the fiscal quarters of each year are referred to as ending on March 31, June 30, September 30 and December 31. The first fiscal quarter of 2021 began on January 4, 2021 and ended on April 4, 2021; the second and third fiscal quarters of 2021 ended on July 4, 2021 and October 3, 2021, respectively. The first fiscal quarter of 2020 began on December 30, 2019 and ended on March 29, 2020; the second and third fiscal quarters of 2020 ended on June 28, 2020 and September 27,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Dine Brands Global, Inc. and Subsidiaries</w:t>
      </w:r>
    </w:p>
    <w:p>
      <w:pPr>
        <w:jc w:val="center"/>
        <w:ind w:right="-19"/>
        <w:spacing w:after="0" w:line="202" w:lineRule="auto"/>
        <w:rPr>
          <w:sz w:val="20"/>
          <w:szCs w:val="20"/>
          <w:color w:val="auto"/>
        </w:rPr>
      </w:pPr>
      <w:r>
        <w:rPr>
          <w:rFonts w:ascii="Arial" w:cs="Arial" w:eastAsia="Arial" w:hAnsi="Arial"/>
          <w:sz w:val="18"/>
          <w:szCs w:val="18"/>
          <w:b w:val="1"/>
          <w:bCs w:val="1"/>
          <w:color w:val="auto"/>
        </w:rPr>
        <w:t>Consolidated Balance Sheets</w:t>
      </w:r>
    </w:p>
    <w:p>
      <w:pPr>
        <w:jc w:val="center"/>
        <w:ind w:right="-19"/>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49" w:lineRule="exact"/>
        <w:rPr>
          <w:sz w:val="20"/>
          <w:szCs w:val="20"/>
          <w:color w:val="auto"/>
        </w:rPr>
      </w:pPr>
    </w:p>
    <w:tbl>
      <w:tblPr>
        <w:tblLayout w:type="fixed"/>
        <w:tblInd w:w="40" w:type="dxa"/>
        <w:tblCellMar>
          <w:top w:w="0" w:type="dxa"/>
          <w:left w:w="0" w:type="dxa"/>
          <w:bottom w:w="0" w:type="dxa"/>
          <w:right w:w="0" w:type="dxa"/>
        </w:tblCellMar>
      </w:tblPr>
      <w:tr>
        <w:trPr>
          <w:trHeight w:val="208"/>
        </w:trPr>
        <w:tc>
          <w:tcPr>
            <w:tcW w:w="7460" w:type="dxa"/>
            <w:vAlign w:val="bottom"/>
          </w:tcPr>
          <w:p>
            <w:pPr>
              <w:ind w:left="3460"/>
              <w:spacing w:after="0"/>
              <w:rPr>
                <w:sz w:val="20"/>
                <w:szCs w:val="20"/>
                <w:color w:val="auto"/>
              </w:rPr>
            </w:pPr>
            <w:r>
              <w:rPr>
                <w:rFonts w:ascii="Arial" w:cs="Arial" w:eastAsia="Arial" w:hAnsi="Arial"/>
                <w:sz w:val="16"/>
                <w:szCs w:val="16"/>
                <w:b w:val="1"/>
                <w:bCs w:val="1"/>
                <w:color w:val="auto"/>
              </w:rPr>
              <w:t>Assets</w:t>
            </w: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center"/>
              <w:ind w:right="100"/>
              <w:spacing w:after="0"/>
              <w:rPr>
                <w:sz w:val="20"/>
                <w:szCs w:val="20"/>
                <w:color w:val="auto"/>
              </w:rPr>
            </w:pPr>
            <w:r>
              <w:rPr>
                <w:rFonts w:ascii="Arial" w:cs="Arial" w:eastAsia="Arial" w:hAnsi="Arial"/>
                <w:sz w:val="16"/>
                <w:szCs w:val="16"/>
                <w:b w:val="1"/>
                <w:bCs w:val="1"/>
                <w:color w:val="auto"/>
                <w:w w:val="88"/>
              </w:rPr>
              <w:t>September 30, 2021</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w w:val="91"/>
              </w:rPr>
              <w:t>December 31, 2020</w:t>
            </w:r>
          </w:p>
        </w:tc>
        <w:tc>
          <w:tcPr>
            <w:tcW w:w="0" w:type="dxa"/>
            <w:vAlign w:val="bottom"/>
          </w:tcPr>
          <w:p>
            <w:pPr>
              <w:spacing w:after="0"/>
              <w:rPr>
                <w:sz w:val="1"/>
                <w:szCs w:val="1"/>
                <w:color w:val="auto"/>
              </w:rPr>
            </w:pPr>
          </w:p>
        </w:tc>
      </w:tr>
      <w:tr>
        <w:trPr>
          <w:trHeight w:val="203"/>
        </w:trPr>
        <w:tc>
          <w:tcPr>
            <w:tcW w:w="7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6"/>
                <w:szCs w:val="16"/>
                <w:color w:val="auto"/>
                <w:w w:val="90"/>
              </w:rPr>
              <w:t>(Unaudited)</w:t>
            </w: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4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304,159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383,369</w:t>
            </w:r>
          </w:p>
        </w:tc>
        <w:tc>
          <w:tcPr>
            <w:tcW w:w="0" w:type="dxa"/>
            <w:vAlign w:val="bottom"/>
          </w:tcPr>
          <w:p>
            <w:pPr>
              <w:spacing w:after="0"/>
              <w:rPr>
                <w:sz w:val="1"/>
                <w:szCs w:val="1"/>
                <w:color w:val="auto"/>
              </w:rPr>
            </w:pPr>
          </w:p>
        </w:tc>
      </w:tr>
      <w:tr>
        <w:trPr>
          <w:trHeight w:val="209"/>
        </w:trPr>
        <w:tc>
          <w:tcPr>
            <w:tcW w:w="7460" w:type="dxa"/>
            <w:vAlign w:val="bottom"/>
          </w:tcPr>
          <w:p>
            <w:pPr>
              <w:ind w:left="140"/>
              <w:spacing w:after="0"/>
              <w:rPr>
                <w:sz w:val="20"/>
                <w:szCs w:val="20"/>
                <w:color w:val="auto"/>
              </w:rPr>
            </w:pPr>
            <w:r>
              <w:rPr>
                <w:rFonts w:ascii="Arial" w:cs="Arial" w:eastAsia="Arial" w:hAnsi="Arial"/>
                <w:sz w:val="16"/>
                <w:szCs w:val="16"/>
                <w:color w:val="auto"/>
              </w:rPr>
              <w:t>Receivables, net of allowance of $5,852 (2021) and $15,057 (2020)</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92,135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121,897</w:t>
            </w:r>
          </w:p>
        </w:tc>
        <w:tc>
          <w:tcPr>
            <w:tcW w:w="0" w:type="dxa"/>
            <w:vAlign w:val="bottom"/>
          </w:tcPr>
          <w:p>
            <w:pPr>
              <w:spacing w:after="0"/>
              <w:rPr>
                <w:sz w:val="1"/>
                <w:szCs w:val="1"/>
                <w:color w:val="auto"/>
              </w:rPr>
            </w:pPr>
          </w:p>
        </w:tc>
      </w:tr>
      <w:tr>
        <w:trPr>
          <w:trHeight w:val="215"/>
        </w:trPr>
        <w:tc>
          <w:tcPr>
            <w:tcW w:w="7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Restricted cash</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64,685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39,884</w:t>
            </w:r>
          </w:p>
        </w:tc>
        <w:tc>
          <w:tcPr>
            <w:tcW w:w="0" w:type="dxa"/>
            <w:vAlign w:val="bottom"/>
          </w:tcPr>
          <w:p>
            <w:pPr>
              <w:spacing w:after="0"/>
              <w:rPr>
                <w:sz w:val="1"/>
                <w:szCs w:val="1"/>
                <w:color w:val="auto"/>
              </w:rPr>
            </w:pPr>
          </w:p>
        </w:tc>
      </w:tr>
      <w:tr>
        <w:trPr>
          <w:trHeight w:val="209"/>
        </w:trPr>
        <w:tc>
          <w:tcPr>
            <w:tcW w:w="7460" w:type="dxa"/>
            <w:vAlign w:val="bottom"/>
          </w:tcPr>
          <w:p>
            <w:pPr>
              <w:ind w:left="140"/>
              <w:spacing w:after="0"/>
              <w:rPr>
                <w:sz w:val="20"/>
                <w:szCs w:val="20"/>
                <w:color w:val="auto"/>
              </w:rPr>
            </w:pPr>
            <w:r>
              <w:rPr>
                <w:rFonts w:ascii="Arial" w:cs="Arial" w:eastAsia="Arial" w:hAnsi="Arial"/>
                <w:sz w:val="16"/>
                <w:szCs w:val="16"/>
                <w:color w:val="auto"/>
              </w:rPr>
              <w:t>Prepaid gift card costs</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21,890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29,080</w:t>
            </w:r>
          </w:p>
        </w:tc>
        <w:tc>
          <w:tcPr>
            <w:tcW w:w="0" w:type="dxa"/>
            <w:vAlign w:val="bottom"/>
          </w:tcPr>
          <w:p>
            <w:pPr>
              <w:spacing w:after="0"/>
              <w:rPr>
                <w:sz w:val="1"/>
                <w:szCs w:val="1"/>
                <w:color w:val="auto"/>
              </w:rPr>
            </w:pPr>
          </w:p>
        </w:tc>
      </w:tr>
      <w:tr>
        <w:trPr>
          <w:trHeight w:val="214"/>
        </w:trPr>
        <w:tc>
          <w:tcPr>
            <w:tcW w:w="7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Prepaid income taxes</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6,178</w:t>
            </w:r>
          </w:p>
        </w:tc>
        <w:tc>
          <w:tcPr>
            <w:tcW w:w="0" w:type="dxa"/>
            <w:vAlign w:val="bottom"/>
          </w:tcPr>
          <w:p>
            <w:pPr>
              <w:spacing w:after="0"/>
              <w:rPr>
                <w:sz w:val="1"/>
                <w:szCs w:val="1"/>
                <w:color w:val="auto"/>
              </w:rPr>
            </w:pPr>
          </w:p>
        </w:tc>
      </w:tr>
      <w:tr>
        <w:trPr>
          <w:trHeight w:val="210"/>
        </w:trPr>
        <w:tc>
          <w:tcPr>
            <w:tcW w:w="74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8,744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6,098</w:t>
            </w:r>
          </w:p>
        </w:tc>
        <w:tc>
          <w:tcPr>
            <w:tcW w:w="0" w:type="dxa"/>
            <w:vAlign w:val="bottom"/>
          </w:tcPr>
          <w:p>
            <w:pPr>
              <w:spacing w:after="0"/>
              <w:rPr>
                <w:sz w:val="1"/>
                <w:szCs w:val="1"/>
                <w:color w:val="auto"/>
              </w:rPr>
            </w:pPr>
          </w:p>
        </w:tc>
      </w:tr>
      <w:tr>
        <w:trPr>
          <w:trHeight w:val="208"/>
        </w:trPr>
        <w:tc>
          <w:tcPr>
            <w:tcW w:w="74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current assets</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493,638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586,506</w:t>
            </w:r>
          </w:p>
        </w:tc>
        <w:tc>
          <w:tcPr>
            <w:tcW w:w="0" w:type="dxa"/>
            <w:vAlign w:val="bottom"/>
          </w:tcPr>
          <w:p>
            <w:pPr>
              <w:spacing w:after="0"/>
              <w:rPr>
                <w:sz w:val="1"/>
                <w:szCs w:val="1"/>
                <w:color w:val="auto"/>
              </w:rPr>
            </w:pPr>
          </w:p>
        </w:tc>
      </w:tr>
      <w:tr>
        <w:trPr>
          <w:trHeight w:val="210"/>
        </w:trPr>
        <w:tc>
          <w:tcPr>
            <w:tcW w:w="7460" w:type="dxa"/>
            <w:vAlign w:val="bottom"/>
          </w:tcPr>
          <w:p>
            <w:pPr>
              <w:ind w:left="20"/>
              <w:spacing w:after="0"/>
              <w:rPr>
                <w:sz w:val="20"/>
                <w:szCs w:val="20"/>
                <w:color w:val="auto"/>
              </w:rPr>
            </w:pPr>
            <w:r>
              <w:rPr>
                <w:rFonts w:ascii="Arial" w:cs="Arial" w:eastAsia="Arial" w:hAnsi="Arial"/>
                <w:sz w:val="16"/>
                <w:szCs w:val="16"/>
                <w:color w:val="auto"/>
              </w:rPr>
              <w:t>Other intangible assets, net</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541,999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549,671</w:t>
            </w:r>
          </w:p>
        </w:tc>
        <w:tc>
          <w:tcPr>
            <w:tcW w:w="0" w:type="dxa"/>
            <w:vAlign w:val="bottom"/>
          </w:tcPr>
          <w:p>
            <w:pPr>
              <w:spacing w:after="0"/>
              <w:rPr>
                <w:sz w:val="1"/>
                <w:szCs w:val="1"/>
                <w:color w:val="auto"/>
              </w:rPr>
            </w:pPr>
          </w:p>
        </w:tc>
      </w:tr>
      <w:tr>
        <w:trPr>
          <w:trHeight w:val="214"/>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334,624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346,086</w:t>
            </w:r>
          </w:p>
        </w:tc>
        <w:tc>
          <w:tcPr>
            <w:tcW w:w="0" w:type="dxa"/>
            <w:vAlign w:val="bottom"/>
          </w:tcPr>
          <w:p>
            <w:pPr>
              <w:spacing w:after="0"/>
              <w:rPr>
                <w:sz w:val="1"/>
                <w:szCs w:val="1"/>
                <w:color w:val="auto"/>
              </w:rPr>
            </w:pPr>
          </w:p>
        </w:tc>
      </w:tr>
      <w:tr>
        <w:trPr>
          <w:trHeight w:val="210"/>
        </w:trPr>
        <w:tc>
          <w:tcPr>
            <w:tcW w:w="7460" w:type="dxa"/>
            <w:vAlign w:val="bottom"/>
          </w:tcPr>
          <w:p>
            <w:pPr>
              <w:ind w:left="2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251,628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251,628</w:t>
            </w:r>
          </w:p>
        </w:tc>
        <w:tc>
          <w:tcPr>
            <w:tcW w:w="0" w:type="dxa"/>
            <w:vAlign w:val="bottom"/>
          </w:tcPr>
          <w:p>
            <w:pPr>
              <w:spacing w:after="0"/>
              <w:rPr>
                <w:sz w:val="1"/>
                <w:szCs w:val="1"/>
                <w:color w:val="auto"/>
              </w:rPr>
            </w:pPr>
          </w:p>
        </w:tc>
      </w:tr>
      <w:tr>
        <w:trPr>
          <w:trHeight w:val="214"/>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175,318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187,977</w:t>
            </w:r>
          </w:p>
        </w:tc>
        <w:tc>
          <w:tcPr>
            <w:tcW w:w="0" w:type="dxa"/>
            <w:vAlign w:val="bottom"/>
          </w:tcPr>
          <w:p>
            <w:pPr>
              <w:spacing w:after="0"/>
              <w:rPr>
                <w:sz w:val="1"/>
                <w:szCs w:val="1"/>
                <w:color w:val="auto"/>
              </w:rPr>
            </w:pPr>
          </w:p>
        </w:tc>
      </w:tr>
      <w:tr>
        <w:trPr>
          <w:trHeight w:val="209"/>
        </w:trPr>
        <w:tc>
          <w:tcPr>
            <w:tcW w:w="7460" w:type="dxa"/>
            <w:vAlign w:val="bottom"/>
          </w:tcPr>
          <w:p>
            <w:pPr>
              <w:ind w:left="20"/>
              <w:spacing w:after="0"/>
              <w:rPr>
                <w:sz w:val="20"/>
                <w:szCs w:val="20"/>
                <w:color w:val="auto"/>
              </w:rPr>
            </w:pPr>
            <w:r>
              <w:rPr>
                <w:rFonts w:ascii="Arial" w:cs="Arial" w:eastAsia="Arial" w:hAnsi="Arial"/>
                <w:sz w:val="16"/>
                <w:szCs w:val="16"/>
                <w:color w:val="auto"/>
              </w:rPr>
              <w:t>Long-term receivables, net of allowance of $7,344 (2021) and $7,999 (2020)</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46,622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54,512</w:t>
            </w:r>
          </w:p>
        </w:tc>
        <w:tc>
          <w:tcPr>
            <w:tcW w:w="0" w:type="dxa"/>
            <w:vAlign w:val="bottom"/>
          </w:tcPr>
          <w:p>
            <w:pPr>
              <w:spacing w:after="0"/>
              <w:rPr>
                <w:sz w:val="1"/>
                <w:szCs w:val="1"/>
                <w:color w:val="auto"/>
              </w:rPr>
            </w:pPr>
          </w:p>
        </w:tc>
      </w:tr>
      <w:tr>
        <w:trPr>
          <w:trHeight w:val="215"/>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rent receivable</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56,449</w:t>
            </w:r>
          </w:p>
        </w:tc>
        <w:tc>
          <w:tcPr>
            <w:tcW w:w="0" w:type="dxa"/>
            <w:vAlign w:val="bottom"/>
          </w:tcPr>
          <w:p>
            <w:pPr>
              <w:spacing w:after="0"/>
              <w:rPr>
                <w:sz w:val="1"/>
                <w:szCs w:val="1"/>
                <w:color w:val="auto"/>
              </w:rPr>
            </w:pPr>
          </w:p>
        </w:tc>
      </w:tr>
      <w:tr>
        <w:trPr>
          <w:trHeight w:val="210"/>
        </w:trPr>
        <w:tc>
          <w:tcPr>
            <w:tcW w:w="7460" w:type="dxa"/>
            <w:vAlign w:val="bottom"/>
          </w:tcPr>
          <w:p>
            <w:pPr>
              <w:ind w:left="20"/>
              <w:spacing w:after="0"/>
              <w:rPr>
                <w:sz w:val="20"/>
                <w:szCs w:val="20"/>
                <w:color w:val="auto"/>
              </w:rPr>
            </w:pPr>
            <w:r>
              <w:rPr>
                <w:rFonts w:ascii="Arial" w:cs="Arial" w:eastAsia="Arial" w:hAnsi="Arial"/>
                <w:sz w:val="16"/>
                <w:szCs w:val="16"/>
                <w:color w:val="auto"/>
              </w:rPr>
              <w:t>Non-current restricted cash</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16,400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32,800</w:t>
            </w:r>
          </w:p>
        </w:tc>
        <w:tc>
          <w:tcPr>
            <w:tcW w:w="0" w:type="dxa"/>
            <w:vAlign w:val="bottom"/>
          </w:tcPr>
          <w:p>
            <w:pPr>
              <w:spacing w:after="0"/>
              <w:rPr>
                <w:sz w:val="1"/>
                <w:szCs w:val="1"/>
                <w:color w:val="auto"/>
              </w:rPr>
            </w:pPr>
          </w:p>
        </w:tc>
      </w:tr>
      <w:tr>
        <w:trPr>
          <w:trHeight w:val="212"/>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non-current assets, net</w:t>
            </w: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10,450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9,316</w:t>
            </w:r>
          </w:p>
        </w:tc>
        <w:tc>
          <w:tcPr>
            <w:tcW w:w="0" w:type="dxa"/>
            <w:vAlign w:val="bottom"/>
          </w:tcPr>
          <w:p>
            <w:pPr>
              <w:spacing w:after="0"/>
              <w:rPr>
                <w:sz w:val="1"/>
                <w:szCs w:val="1"/>
                <w:color w:val="auto"/>
              </w:rPr>
            </w:pPr>
          </w:p>
        </w:tc>
      </w:tr>
      <w:tr>
        <w:trPr>
          <w:trHeight w:val="208"/>
        </w:trPr>
        <w:tc>
          <w:tcPr>
            <w:tcW w:w="7460" w:type="dxa"/>
            <w:vAlign w:val="bottom"/>
          </w:tcPr>
          <w:p>
            <w:pPr>
              <w:ind w:left="38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1,922,499</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2,074,945</w:t>
            </w:r>
          </w:p>
        </w:tc>
        <w:tc>
          <w:tcPr>
            <w:tcW w:w="0" w:type="dxa"/>
            <w:vAlign w:val="bottom"/>
          </w:tcPr>
          <w:p>
            <w:pPr>
              <w:spacing w:after="0"/>
              <w:rPr>
                <w:sz w:val="1"/>
                <w:szCs w:val="1"/>
                <w:color w:val="auto"/>
              </w:rPr>
            </w:pPr>
          </w:p>
        </w:tc>
      </w:tr>
      <w:tr>
        <w:trPr>
          <w:trHeight w:val="20"/>
        </w:trPr>
        <w:tc>
          <w:tcPr>
            <w:tcW w:w="7460" w:type="dxa"/>
            <w:vAlign w:val="bottom"/>
            <w:vMerge w:val="restart"/>
          </w:tcPr>
          <w:p>
            <w:pPr>
              <w:ind w:left="2460"/>
              <w:spacing w:after="0"/>
              <w:rPr>
                <w:sz w:val="20"/>
                <w:szCs w:val="20"/>
                <w:color w:val="auto"/>
              </w:rPr>
            </w:pPr>
            <w:r>
              <w:rPr>
                <w:rFonts w:ascii="Arial" w:cs="Arial" w:eastAsia="Arial" w:hAnsi="Arial"/>
                <w:sz w:val="16"/>
                <w:szCs w:val="16"/>
                <w:b w:val="1"/>
                <w:bCs w:val="1"/>
                <w:color w:val="auto"/>
              </w:rPr>
              <w:t>Liabilities and Stockholders’ Deficit</w:t>
            </w: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4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46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maturities of long-term debt</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13,000</w:t>
            </w:r>
          </w:p>
        </w:tc>
        <w:tc>
          <w:tcPr>
            <w:tcW w:w="0" w:type="dxa"/>
            <w:vAlign w:val="bottom"/>
          </w:tcPr>
          <w:p>
            <w:pPr>
              <w:spacing w:after="0"/>
              <w:rPr>
                <w:sz w:val="1"/>
                <w:szCs w:val="1"/>
                <w:color w:val="auto"/>
              </w:rPr>
            </w:pPr>
          </w:p>
        </w:tc>
      </w:tr>
      <w:tr>
        <w:trPr>
          <w:trHeight w:val="210"/>
        </w:trPr>
        <w:tc>
          <w:tcPr>
            <w:tcW w:w="746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42,586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37,424</w:t>
            </w:r>
          </w:p>
        </w:tc>
        <w:tc>
          <w:tcPr>
            <w:tcW w:w="0" w:type="dxa"/>
            <w:vAlign w:val="bottom"/>
          </w:tcPr>
          <w:p>
            <w:pPr>
              <w:spacing w:after="0"/>
              <w:rPr>
                <w:sz w:val="1"/>
                <w:szCs w:val="1"/>
                <w:color w:val="auto"/>
              </w:rPr>
            </w:pPr>
          </w:p>
        </w:tc>
      </w:tr>
      <w:tr>
        <w:trPr>
          <w:trHeight w:val="215"/>
        </w:trPr>
        <w:tc>
          <w:tcPr>
            <w:tcW w:w="7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Gift card liability</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115,878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144,159</w:t>
            </w:r>
          </w:p>
        </w:tc>
        <w:tc>
          <w:tcPr>
            <w:tcW w:w="0" w:type="dxa"/>
            <w:vAlign w:val="bottom"/>
          </w:tcPr>
          <w:p>
            <w:pPr>
              <w:spacing w:after="0"/>
              <w:rPr>
                <w:sz w:val="1"/>
                <w:szCs w:val="1"/>
                <w:color w:val="auto"/>
              </w:rPr>
            </w:pPr>
          </w:p>
        </w:tc>
      </w:tr>
      <w:tr>
        <w:trPr>
          <w:trHeight w:val="209"/>
        </w:trPr>
        <w:tc>
          <w:tcPr>
            <w:tcW w:w="7460" w:type="dxa"/>
            <w:vAlign w:val="bottom"/>
          </w:tcPr>
          <w:p>
            <w:pPr>
              <w:ind w:left="140"/>
              <w:spacing w:after="0"/>
              <w:rPr>
                <w:sz w:val="20"/>
                <w:szCs w:val="20"/>
                <w:color w:val="auto"/>
              </w:rPr>
            </w:pPr>
            <w:r>
              <w:rPr>
                <w:rFonts w:ascii="Arial" w:cs="Arial" w:eastAsia="Arial" w:hAnsi="Arial"/>
                <w:sz w:val="16"/>
                <w:szCs w:val="16"/>
                <w:color w:val="auto"/>
              </w:rPr>
              <w:t>Current maturities of operating lease obligations</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71,219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69,672</w:t>
            </w:r>
          </w:p>
        </w:tc>
        <w:tc>
          <w:tcPr>
            <w:tcW w:w="0" w:type="dxa"/>
            <w:vAlign w:val="bottom"/>
          </w:tcPr>
          <w:p>
            <w:pPr>
              <w:spacing w:after="0"/>
              <w:rPr>
                <w:sz w:val="1"/>
                <w:szCs w:val="1"/>
                <w:color w:val="auto"/>
              </w:rPr>
            </w:pPr>
          </w:p>
        </w:tc>
      </w:tr>
      <w:tr>
        <w:trPr>
          <w:trHeight w:val="215"/>
        </w:trPr>
        <w:tc>
          <w:tcPr>
            <w:tcW w:w="7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maturities of finance lease and financing obligations</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10,608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11,293</w:t>
            </w:r>
          </w:p>
        </w:tc>
        <w:tc>
          <w:tcPr>
            <w:tcW w:w="0" w:type="dxa"/>
            <w:vAlign w:val="bottom"/>
          </w:tcPr>
          <w:p>
            <w:pPr>
              <w:spacing w:after="0"/>
              <w:rPr>
                <w:sz w:val="1"/>
                <w:szCs w:val="1"/>
                <w:color w:val="auto"/>
              </w:rPr>
            </w:pPr>
          </w:p>
        </w:tc>
      </w:tr>
      <w:tr>
        <w:trPr>
          <w:trHeight w:val="210"/>
        </w:trPr>
        <w:tc>
          <w:tcPr>
            <w:tcW w:w="7460" w:type="dxa"/>
            <w:vAlign w:val="bottom"/>
          </w:tcPr>
          <w:p>
            <w:pPr>
              <w:ind w:left="140"/>
              <w:spacing w:after="0"/>
              <w:rPr>
                <w:sz w:val="20"/>
                <w:szCs w:val="20"/>
                <w:color w:val="auto"/>
              </w:rPr>
            </w:pPr>
            <w:r>
              <w:rPr>
                <w:rFonts w:ascii="Arial" w:cs="Arial" w:eastAsia="Arial" w:hAnsi="Arial"/>
                <w:sz w:val="16"/>
                <w:szCs w:val="16"/>
                <w:color w:val="auto"/>
              </w:rPr>
              <w:t>Accrued employee compensation and benefits</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30,752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21,237</w:t>
            </w:r>
          </w:p>
        </w:tc>
        <w:tc>
          <w:tcPr>
            <w:tcW w:w="0" w:type="dxa"/>
            <w:vAlign w:val="bottom"/>
          </w:tcPr>
          <w:p>
            <w:pPr>
              <w:spacing w:after="0"/>
              <w:rPr>
                <w:sz w:val="1"/>
                <w:szCs w:val="1"/>
                <w:color w:val="auto"/>
              </w:rPr>
            </w:pPr>
          </w:p>
        </w:tc>
      </w:tr>
      <w:tr>
        <w:trPr>
          <w:trHeight w:val="215"/>
        </w:trPr>
        <w:tc>
          <w:tcPr>
            <w:tcW w:w="7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advertising</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53,873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21,641</w:t>
            </w:r>
          </w:p>
        </w:tc>
        <w:tc>
          <w:tcPr>
            <w:tcW w:w="0" w:type="dxa"/>
            <w:vAlign w:val="bottom"/>
          </w:tcPr>
          <w:p>
            <w:pPr>
              <w:spacing w:after="0"/>
              <w:rPr>
                <w:sz w:val="1"/>
                <w:szCs w:val="1"/>
                <w:color w:val="auto"/>
              </w:rPr>
            </w:pPr>
          </w:p>
        </w:tc>
      </w:tr>
      <w:tr>
        <w:trPr>
          <w:trHeight w:val="209"/>
        </w:trPr>
        <w:tc>
          <w:tcPr>
            <w:tcW w:w="7460" w:type="dxa"/>
            <w:vAlign w:val="bottom"/>
          </w:tcPr>
          <w:p>
            <w:pPr>
              <w:ind w:left="140"/>
              <w:spacing w:after="0"/>
              <w:rPr>
                <w:sz w:val="20"/>
                <w:szCs w:val="20"/>
                <w:color w:val="auto"/>
              </w:rPr>
            </w:pPr>
            <w:r>
              <w:rPr>
                <w:rFonts w:ascii="Arial" w:cs="Arial" w:eastAsia="Arial" w:hAnsi="Arial"/>
                <w:sz w:val="16"/>
                <w:szCs w:val="16"/>
                <w:color w:val="auto"/>
              </w:rPr>
              <w:t>Deferred franchise revenue, short-term</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7,388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7,682</w:t>
            </w:r>
          </w:p>
        </w:tc>
        <w:tc>
          <w:tcPr>
            <w:tcW w:w="0" w:type="dxa"/>
            <w:vAlign w:val="bottom"/>
          </w:tcPr>
          <w:p>
            <w:pPr>
              <w:spacing w:after="0"/>
              <w:rPr>
                <w:sz w:val="1"/>
                <w:szCs w:val="1"/>
                <w:color w:val="auto"/>
              </w:rPr>
            </w:pPr>
          </w:p>
        </w:tc>
      </w:tr>
      <w:tr>
        <w:trPr>
          <w:trHeight w:val="215"/>
        </w:trPr>
        <w:tc>
          <w:tcPr>
            <w:tcW w:w="7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accrued expenses</w:t>
            </w: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12,678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22,460</w:t>
            </w:r>
          </w:p>
        </w:tc>
        <w:tc>
          <w:tcPr>
            <w:tcW w:w="0" w:type="dxa"/>
            <w:vAlign w:val="bottom"/>
          </w:tcPr>
          <w:p>
            <w:pPr>
              <w:spacing w:after="0"/>
              <w:rPr>
                <w:sz w:val="1"/>
                <w:szCs w:val="1"/>
                <w:color w:val="auto"/>
              </w:rPr>
            </w:pPr>
          </w:p>
        </w:tc>
      </w:tr>
      <w:tr>
        <w:trPr>
          <w:trHeight w:val="203"/>
        </w:trPr>
        <w:tc>
          <w:tcPr>
            <w:tcW w:w="7460" w:type="dxa"/>
            <w:vAlign w:val="bottom"/>
          </w:tcPr>
          <w:p>
            <w:pPr>
              <w:ind w:left="380"/>
              <w:spacing w:after="0"/>
              <w:rPr>
                <w:sz w:val="20"/>
                <w:szCs w:val="20"/>
                <w:color w:val="auto"/>
              </w:rPr>
            </w:pPr>
            <w:r>
              <w:rPr>
                <w:rFonts w:ascii="Arial" w:cs="Arial" w:eastAsia="Arial" w:hAnsi="Arial"/>
                <w:sz w:val="16"/>
                <w:szCs w:val="16"/>
                <w:color w:val="auto"/>
              </w:rPr>
              <w:t>Total current liabilities</w:t>
            </w: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344,982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348,568</w:t>
            </w:r>
          </w:p>
        </w:tc>
        <w:tc>
          <w:tcPr>
            <w:tcW w:w="0" w:type="dxa"/>
            <w:vAlign w:val="bottom"/>
          </w:tcPr>
          <w:p>
            <w:pPr>
              <w:spacing w:after="0"/>
              <w:rPr>
                <w:sz w:val="1"/>
                <w:szCs w:val="1"/>
                <w:color w:val="auto"/>
              </w:rPr>
            </w:pPr>
          </w:p>
        </w:tc>
      </w:tr>
      <w:tr>
        <w:trPr>
          <w:trHeight w:val="214"/>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1,279,071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1,491,996</w:t>
            </w:r>
          </w:p>
        </w:tc>
        <w:tc>
          <w:tcPr>
            <w:tcW w:w="0" w:type="dxa"/>
            <w:vAlign w:val="bottom"/>
          </w:tcPr>
          <w:p>
            <w:pPr>
              <w:spacing w:after="0"/>
              <w:rPr>
                <w:sz w:val="1"/>
                <w:szCs w:val="1"/>
                <w:color w:val="auto"/>
              </w:rPr>
            </w:pPr>
          </w:p>
        </w:tc>
      </w:tr>
      <w:tr>
        <w:trPr>
          <w:trHeight w:val="210"/>
        </w:trPr>
        <w:tc>
          <w:tcPr>
            <w:tcW w:w="7460" w:type="dxa"/>
            <w:vAlign w:val="bottom"/>
          </w:tcPr>
          <w:p>
            <w:pPr>
              <w:ind w:left="20"/>
              <w:spacing w:after="0"/>
              <w:rPr>
                <w:sz w:val="20"/>
                <w:szCs w:val="20"/>
                <w:color w:val="auto"/>
              </w:rPr>
            </w:pPr>
            <w:r>
              <w:rPr>
                <w:rFonts w:ascii="Arial" w:cs="Arial" w:eastAsia="Arial" w:hAnsi="Arial"/>
                <w:sz w:val="16"/>
                <w:szCs w:val="16"/>
                <w:color w:val="auto"/>
              </w:rPr>
              <w:t>Operating lease obligations, less current maturities</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323,855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345,163</w:t>
            </w:r>
          </w:p>
        </w:tc>
        <w:tc>
          <w:tcPr>
            <w:tcW w:w="0" w:type="dxa"/>
            <w:vAlign w:val="bottom"/>
          </w:tcPr>
          <w:p>
            <w:pPr>
              <w:spacing w:after="0"/>
              <w:rPr>
                <w:sz w:val="1"/>
                <w:szCs w:val="1"/>
                <w:color w:val="auto"/>
              </w:rPr>
            </w:pPr>
          </w:p>
        </w:tc>
      </w:tr>
      <w:tr>
        <w:trPr>
          <w:trHeight w:val="215"/>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obligations, less current maturities</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61,499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69,012</w:t>
            </w:r>
          </w:p>
        </w:tc>
        <w:tc>
          <w:tcPr>
            <w:tcW w:w="0" w:type="dxa"/>
            <w:vAlign w:val="bottom"/>
          </w:tcPr>
          <w:p>
            <w:pPr>
              <w:spacing w:after="0"/>
              <w:rPr>
                <w:sz w:val="1"/>
                <w:szCs w:val="1"/>
                <w:color w:val="auto"/>
              </w:rPr>
            </w:pPr>
          </w:p>
        </w:tc>
      </w:tr>
      <w:tr>
        <w:trPr>
          <w:trHeight w:val="210"/>
        </w:trPr>
        <w:tc>
          <w:tcPr>
            <w:tcW w:w="7460" w:type="dxa"/>
            <w:vAlign w:val="bottom"/>
          </w:tcPr>
          <w:p>
            <w:pPr>
              <w:ind w:left="20"/>
              <w:spacing w:after="0"/>
              <w:rPr>
                <w:sz w:val="20"/>
                <w:szCs w:val="20"/>
                <w:color w:val="auto"/>
              </w:rPr>
            </w:pPr>
            <w:r>
              <w:rPr>
                <w:rFonts w:ascii="Arial" w:cs="Arial" w:eastAsia="Arial" w:hAnsi="Arial"/>
                <w:sz w:val="16"/>
                <w:szCs w:val="16"/>
                <w:color w:val="auto"/>
              </w:rPr>
              <w:t>Financing obligations, less current maturities</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32,183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32,797</w:t>
            </w:r>
          </w:p>
        </w:tc>
        <w:tc>
          <w:tcPr>
            <w:tcW w:w="0" w:type="dxa"/>
            <w:vAlign w:val="bottom"/>
          </w:tcPr>
          <w:p>
            <w:pPr>
              <w:spacing w:after="0"/>
              <w:rPr>
                <w:sz w:val="1"/>
                <w:szCs w:val="1"/>
                <w:color w:val="auto"/>
              </w:rPr>
            </w:pPr>
          </w:p>
        </w:tc>
      </w:tr>
      <w:tr>
        <w:trPr>
          <w:trHeight w:val="215"/>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taxes, net</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69,008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78,293</w:t>
            </w:r>
          </w:p>
        </w:tc>
        <w:tc>
          <w:tcPr>
            <w:tcW w:w="0" w:type="dxa"/>
            <w:vAlign w:val="bottom"/>
          </w:tcPr>
          <w:p>
            <w:pPr>
              <w:spacing w:after="0"/>
              <w:rPr>
                <w:sz w:val="1"/>
                <w:szCs w:val="1"/>
                <w:color w:val="auto"/>
              </w:rPr>
            </w:pPr>
          </w:p>
        </w:tc>
      </w:tr>
      <w:tr>
        <w:trPr>
          <w:trHeight w:val="209"/>
        </w:trPr>
        <w:tc>
          <w:tcPr>
            <w:tcW w:w="7460" w:type="dxa"/>
            <w:vAlign w:val="bottom"/>
          </w:tcPr>
          <w:p>
            <w:pPr>
              <w:ind w:left="20"/>
              <w:spacing w:after="0"/>
              <w:rPr>
                <w:sz w:val="20"/>
                <w:szCs w:val="20"/>
                <w:color w:val="auto"/>
              </w:rPr>
            </w:pPr>
            <w:r>
              <w:rPr>
                <w:rFonts w:ascii="Arial" w:cs="Arial" w:eastAsia="Arial" w:hAnsi="Arial"/>
                <w:sz w:val="16"/>
                <w:szCs w:val="16"/>
                <w:color w:val="auto"/>
              </w:rPr>
              <w:t>Deferred franchise revenue, long-term</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46,723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52,237</w:t>
            </w:r>
          </w:p>
        </w:tc>
        <w:tc>
          <w:tcPr>
            <w:tcW w:w="0" w:type="dxa"/>
            <w:vAlign w:val="bottom"/>
          </w:tcPr>
          <w:p>
            <w:pPr>
              <w:spacing w:after="0"/>
              <w:rPr>
                <w:sz w:val="1"/>
                <w:szCs w:val="1"/>
                <w:color w:val="auto"/>
              </w:rPr>
            </w:pPr>
          </w:p>
        </w:tc>
      </w:tr>
      <w:tr>
        <w:trPr>
          <w:trHeight w:val="215"/>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19,495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11,530</w:t>
            </w:r>
          </w:p>
        </w:tc>
        <w:tc>
          <w:tcPr>
            <w:tcW w:w="0" w:type="dxa"/>
            <w:vAlign w:val="bottom"/>
          </w:tcPr>
          <w:p>
            <w:pPr>
              <w:spacing w:after="0"/>
              <w:rPr>
                <w:sz w:val="1"/>
                <w:szCs w:val="1"/>
                <w:color w:val="auto"/>
              </w:rPr>
            </w:pPr>
          </w:p>
        </w:tc>
      </w:tr>
      <w:tr>
        <w:trPr>
          <w:trHeight w:val="203"/>
        </w:trPr>
        <w:tc>
          <w:tcPr>
            <w:tcW w:w="746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2,176,816</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2,429,596</w:t>
            </w:r>
          </w:p>
        </w:tc>
        <w:tc>
          <w:tcPr>
            <w:tcW w:w="0" w:type="dxa"/>
            <w:vAlign w:val="bottom"/>
          </w:tcPr>
          <w:p>
            <w:pPr>
              <w:spacing w:after="0"/>
              <w:rPr>
                <w:sz w:val="1"/>
                <w:szCs w:val="1"/>
                <w:color w:val="auto"/>
              </w:rPr>
            </w:pPr>
          </w:p>
        </w:tc>
      </w:tr>
      <w:tr>
        <w:trPr>
          <w:trHeight w:val="195"/>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w:t>
            </w:r>
          </w:p>
        </w:tc>
        <w:tc>
          <w:tcPr>
            <w:tcW w:w="18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460" w:type="dxa"/>
            <w:vAlign w:val="bottom"/>
          </w:tcPr>
          <w:p>
            <w:pPr>
              <w:ind w:left="20"/>
              <w:spacing w:after="0"/>
              <w:rPr>
                <w:sz w:val="20"/>
                <w:szCs w:val="20"/>
                <w:color w:val="auto"/>
              </w:rPr>
            </w:pPr>
            <w:r>
              <w:rPr>
                <w:rFonts w:ascii="Arial" w:cs="Arial" w:eastAsia="Arial" w:hAnsi="Arial"/>
                <w:sz w:val="16"/>
                <w:szCs w:val="16"/>
                <w:color w:val="auto"/>
              </w:rPr>
              <w:t>Stockholders’ deficit:</w:t>
            </w: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Preferred stock, $1 par value, 10,000,000 shares authorized; no shares issued or outstanding</w:t>
            </w:r>
          </w:p>
        </w:tc>
        <w:tc>
          <w:tcPr>
            <w:tcW w:w="1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7460" w:type="dxa"/>
            <w:vAlign w:val="bottom"/>
          </w:tcPr>
          <w:p>
            <w:pPr>
              <w:ind w:left="220"/>
              <w:spacing w:after="0" w:line="162" w:lineRule="exact"/>
              <w:rPr>
                <w:sz w:val="20"/>
                <w:szCs w:val="20"/>
                <w:color w:val="auto"/>
              </w:rPr>
            </w:pPr>
            <w:r>
              <w:rPr>
                <w:rFonts w:ascii="Arial" w:cs="Arial" w:eastAsia="Arial" w:hAnsi="Arial"/>
                <w:sz w:val="16"/>
                <w:szCs w:val="16"/>
                <w:color w:val="auto"/>
                <w:w w:val="95"/>
              </w:rPr>
              <w:t>Common stock, $0.01 par value; shares: 40,000,000 authorized; September 30, 2021 - 25,003,116 issued,</w:t>
            </w:r>
          </w:p>
        </w:tc>
        <w:tc>
          <w:tcPr>
            <w:tcW w:w="180" w:type="dxa"/>
            <w:vAlign w:val="bottom"/>
          </w:tcPr>
          <w:p>
            <w:pPr>
              <w:spacing w:after="0"/>
              <w:rPr>
                <w:sz w:val="14"/>
                <w:szCs w:val="14"/>
                <w:color w:val="auto"/>
              </w:rPr>
            </w:pPr>
          </w:p>
        </w:tc>
        <w:tc>
          <w:tcPr>
            <w:tcW w:w="1660" w:type="dxa"/>
            <w:vAlign w:val="bottom"/>
            <w:vMerge w:val="restart"/>
          </w:tcPr>
          <w:p>
            <w:pPr>
              <w:jc w:val="right"/>
              <w:spacing w:after="0"/>
              <w:rPr>
                <w:sz w:val="20"/>
                <w:szCs w:val="20"/>
                <w:color w:val="auto"/>
              </w:rPr>
            </w:pPr>
            <w:r>
              <w:rPr>
                <w:rFonts w:ascii="Arial" w:cs="Arial" w:eastAsia="Arial" w:hAnsi="Arial"/>
                <w:sz w:val="16"/>
                <w:szCs w:val="16"/>
                <w:color w:val="auto"/>
              </w:rPr>
              <w:t>250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06"/>
        </w:trPr>
        <w:tc>
          <w:tcPr>
            <w:tcW w:w="7460" w:type="dxa"/>
            <w:vAlign w:val="bottom"/>
          </w:tcPr>
          <w:p>
            <w:pPr>
              <w:ind w:left="220"/>
              <w:spacing w:after="0"/>
              <w:rPr>
                <w:sz w:val="20"/>
                <w:szCs w:val="20"/>
                <w:color w:val="auto"/>
              </w:rPr>
            </w:pPr>
            <w:r>
              <w:rPr>
                <w:rFonts w:ascii="Arial" w:cs="Arial" w:eastAsia="Arial" w:hAnsi="Arial"/>
                <w:sz w:val="16"/>
                <w:szCs w:val="16"/>
                <w:color w:val="auto"/>
              </w:rPr>
              <w:t>17,219,847 outstanding; December 31, 2020 - 24,882,122 issued, 16,452,174 outstanding</w:t>
            </w:r>
          </w:p>
        </w:tc>
        <w:tc>
          <w:tcPr>
            <w:tcW w:w="180" w:type="dxa"/>
            <w:vAlign w:val="bottom"/>
          </w:tcPr>
          <w:p>
            <w:pPr>
              <w:spacing w:after="0"/>
              <w:rPr>
                <w:sz w:val="17"/>
                <w:szCs w:val="17"/>
                <w:color w:val="auto"/>
              </w:rPr>
            </w:pPr>
          </w:p>
        </w:tc>
        <w:tc>
          <w:tcPr>
            <w:tcW w:w="16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4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Additional paid-in-capital</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253,751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257,625</w:t>
            </w:r>
          </w:p>
        </w:tc>
        <w:tc>
          <w:tcPr>
            <w:tcW w:w="0" w:type="dxa"/>
            <w:vAlign w:val="bottom"/>
          </w:tcPr>
          <w:p>
            <w:pPr>
              <w:spacing w:after="0"/>
              <w:rPr>
                <w:sz w:val="1"/>
                <w:szCs w:val="1"/>
                <w:color w:val="auto"/>
              </w:rPr>
            </w:pPr>
          </w:p>
        </w:tc>
      </w:tr>
      <w:tr>
        <w:trPr>
          <w:trHeight w:val="210"/>
        </w:trPr>
        <w:tc>
          <w:tcPr>
            <w:tcW w:w="7460" w:type="dxa"/>
            <w:vAlign w:val="bottom"/>
          </w:tcPr>
          <w:p>
            <w:pPr>
              <w:ind w:left="180"/>
              <w:spacing w:after="0"/>
              <w:rPr>
                <w:sz w:val="20"/>
                <w:szCs w:val="20"/>
                <w:color w:val="auto"/>
              </w:rPr>
            </w:pPr>
            <w:r>
              <w:rPr>
                <w:rFonts w:ascii="Arial" w:cs="Arial" w:eastAsia="Arial" w:hAnsi="Arial"/>
                <w:sz w:val="16"/>
                <w:szCs w:val="16"/>
                <w:color w:val="auto"/>
              </w:rPr>
              <w:t>Retained earnings (accumulated deficit)</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22,523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(55,553)</w:t>
            </w:r>
          </w:p>
        </w:tc>
        <w:tc>
          <w:tcPr>
            <w:tcW w:w="0" w:type="dxa"/>
            <w:vAlign w:val="bottom"/>
          </w:tcPr>
          <w:p>
            <w:pPr>
              <w:spacing w:after="0"/>
              <w:rPr>
                <w:sz w:val="1"/>
                <w:szCs w:val="1"/>
                <w:color w:val="auto"/>
              </w:rPr>
            </w:pPr>
          </w:p>
        </w:tc>
      </w:tr>
      <w:tr>
        <w:trPr>
          <w:trHeight w:val="214"/>
        </w:trPr>
        <w:tc>
          <w:tcPr>
            <w:tcW w:w="74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09"/>
        </w:trPr>
        <w:tc>
          <w:tcPr>
            <w:tcW w:w="74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Treasury stock, at cost; shares: September 30, 2021 - 7,783,269; December 31, 2020 - 8,429,948</w:t>
            </w: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(530,782)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(556,917)</w:t>
            </w:r>
          </w:p>
        </w:tc>
        <w:tc>
          <w:tcPr>
            <w:tcW w:w="0" w:type="dxa"/>
            <w:vAlign w:val="bottom"/>
          </w:tcPr>
          <w:p>
            <w:pPr>
              <w:spacing w:after="0"/>
              <w:rPr>
                <w:sz w:val="1"/>
                <w:szCs w:val="1"/>
                <w:color w:val="auto"/>
              </w:rPr>
            </w:pPr>
          </w:p>
        </w:tc>
      </w:tr>
      <w:tr>
        <w:trPr>
          <w:trHeight w:val="205"/>
        </w:trPr>
        <w:tc>
          <w:tcPr>
            <w:tcW w:w="74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stockholders’ deficit</w:t>
            </w:r>
          </w:p>
        </w:tc>
        <w:tc>
          <w:tcPr>
            <w:tcW w:w="18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(254,317)</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(354,651)</w:t>
            </w:r>
          </w:p>
        </w:tc>
        <w:tc>
          <w:tcPr>
            <w:tcW w:w="0" w:type="dxa"/>
            <w:vAlign w:val="bottom"/>
          </w:tcPr>
          <w:p>
            <w:pPr>
              <w:spacing w:after="0"/>
              <w:rPr>
                <w:sz w:val="1"/>
                <w:szCs w:val="1"/>
                <w:color w:val="auto"/>
              </w:rPr>
            </w:pPr>
          </w:p>
        </w:tc>
      </w:tr>
      <w:tr>
        <w:trPr>
          <w:trHeight w:val="208"/>
        </w:trPr>
        <w:tc>
          <w:tcPr>
            <w:tcW w:w="7460" w:type="dxa"/>
            <w:vAlign w:val="bottom"/>
          </w:tcPr>
          <w:p>
            <w:pPr>
              <w:ind w:left="380"/>
              <w:spacing w:after="0"/>
              <w:rPr>
                <w:sz w:val="20"/>
                <w:szCs w:val="20"/>
                <w:color w:val="auto"/>
              </w:rPr>
            </w:pPr>
            <w:r>
              <w:rPr>
                <w:rFonts w:ascii="Arial" w:cs="Arial" w:eastAsia="Arial" w:hAnsi="Arial"/>
                <w:sz w:val="16"/>
                <w:szCs w:val="16"/>
                <w:color w:val="auto"/>
              </w:rPr>
              <w:t>Total liabilities and stockholders’ deficit</w:t>
            </w: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1,922,499</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2,074,945</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See the accompanying Notes to Consolidated Financial Statements.</w:t>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94615</wp:posOffset>
            </wp:positionV>
            <wp:extent cx="716026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4" w:name="page5"/>
    <w:bookmarkEnd w:id="4"/>
    <w:p>
      <w:pPr>
        <w:ind w:left="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00" w:type="dxa"/>
            <w:vAlign w:val="bottom"/>
            <w:gridSpan w:val="4"/>
          </w:tcPr>
          <w:p>
            <w:pPr>
              <w:jc w:val="right"/>
              <w:ind w:right="472"/>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gridSpan w:val="4"/>
          </w:tcPr>
          <w:p>
            <w:pPr>
              <w:jc w:val="center"/>
              <w:ind w:right="152"/>
              <w:spacing w:after="0"/>
              <w:rPr>
                <w:sz w:val="20"/>
                <w:szCs w:val="20"/>
                <w:color w:val="auto"/>
              </w:rPr>
            </w:pPr>
            <w:r>
              <w:rPr>
                <w:rFonts w:ascii="Arial" w:cs="Arial" w:eastAsia="Arial" w:hAnsi="Arial"/>
                <w:sz w:val="16"/>
                <w:szCs w:val="16"/>
                <w:b w:val="1"/>
                <w:bCs w:val="1"/>
                <w:color w:val="auto"/>
                <w:w w:val="91"/>
              </w:rPr>
              <w:t>Nine Months Ended</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4"/>
          </w:tcPr>
          <w:p>
            <w:pPr>
              <w:jc w:val="center"/>
              <w:ind w:right="152"/>
              <w:spacing w:after="0"/>
              <w:rPr>
                <w:sz w:val="20"/>
                <w:szCs w:val="20"/>
                <w:color w:val="auto"/>
              </w:rPr>
            </w:pPr>
            <w:r>
              <w:rPr>
                <w:rFonts w:ascii="Arial" w:cs="Arial" w:eastAsia="Arial" w:hAnsi="Arial"/>
                <w:sz w:val="16"/>
                <w:szCs w:val="16"/>
                <w:b w:val="1"/>
                <w:bCs w:val="1"/>
                <w:color w:val="auto"/>
                <w:w w:val="87"/>
              </w:rPr>
              <w:t>September 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w w:val="84"/>
              </w:rPr>
              <w:t>2020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2"/>
        </w:trPr>
        <w:tc>
          <w:tcPr>
            <w:tcW w:w="6220" w:type="dxa"/>
            <w:vAlign w:val="bottom"/>
            <w:gridSpan w:val="2"/>
          </w:tcPr>
          <w:p>
            <w:pPr>
              <w:spacing w:after="0"/>
              <w:rPr>
                <w:sz w:val="20"/>
                <w:szCs w:val="20"/>
                <w:color w:val="auto"/>
              </w:rPr>
            </w:pPr>
            <w:r>
              <w:rPr>
                <w:rFonts w:ascii="Arial" w:cs="Arial" w:eastAsia="Arial" w:hAnsi="Arial"/>
                <w:sz w:val="18"/>
                <w:szCs w:val="18"/>
                <w:b w:val="1"/>
                <w:bCs w:val="1"/>
                <w:color w:val="auto"/>
              </w:rPr>
              <w:t>Revenues: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Franchise revenues: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200" w:type="dxa"/>
            <w:vAlign w:val="bottom"/>
          </w:tcPr>
          <w:p>
            <w:pPr>
              <w:ind w:left="380"/>
              <w:spacing w:after="0"/>
              <w:rPr>
                <w:sz w:val="20"/>
                <w:szCs w:val="20"/>
                <w:color w:val="auto"/>
              </w:rPr>
            </w:pPr>
            <w:r>
              <w:rPr>
                <w:rFonts w:ascii="Arial" w:cs="Arial" w:eastAsia="Arial" w:hAnsi="Arial"/>
                <w:sz w:val="18"/>
                <w:szCs w:val="18"/>
                <w:color w:val="auto"/>
              </w:rPr>
              <w:t>Royalties, franchise fees and other</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90,417</w:t>
            </w:r>
          </w:p>
        </w:tc>
        <w:tc>
          <w:tcPr>
            <w:tcW w:w="560" w:type="dxa"/>
            <w:vAlign w:val="bottom"/>
            <w:gridSpan w:val="2"/>
          </w:tcPr>
          <w:p>
            <w:pPr>
              <w:jc w:val="right"/>
              <w:ind w:right="25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69,820</w:t>
            </w:r>
          </w:p>
        </w:tc>
        <w:tc>
          <w:tcPr>
            <w:tcW w:w="3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265,138</w:t>
            </w:r>
          </w:p>
        </w:tc>
        <w:tc>
          <w:tcPr>
            <w:tcW w:w="100" w:type="dxa"/>
            <w:vAlign w:val="bottom"/>
          </w:tcPr>
          <w:p>
            <w:pPr>
              <w:spacing w:after="0"/>
              <w:rPr>
                <w:sz w:val="19"/>
                <w:szCs w:val="19"/>
                <w:color w:val="auto"/>
              </w:rPr>
            </w:pPr>
          </w:p>
        </w:tc>
        <w:tc>
          <w:tcPr>
            <w:tcW w:w="300" w:type="dxa"/>
            <w:vAlign w:val="bottom"/>
          </w:tcPr>
          <w:p>
            <w:pPr>
              <w:jc w:val="center"/>
              <w:ind w:right="72"/>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191,915</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2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Advertising revenues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70,709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51,932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203,918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142,750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00" w:type="dxa"/>
            <w:vAlign w:val="bottom"/>
          </w:tcPr>
          <w:p>
            <w:pPr>
              <w:ind w:left="220"/>
              <w:spacing w:after="0"/>
              <w:rPr>
                <w:sz w:val="20"/>
                <w:szCs w:val="20"/>
                <w:color w:val="auto"/>
              </w:rPr>
            </w:pPr>
            <w:r>
              <w:rPr>
                <w:rFonts w:ascii="Arial" w:cs="Arial" w:eastAsia="Arial" w:hAnsi="Arial"/>
                <w:sz w:val="18"/>
                <w:szCs w:val="18"/>
                <w:color w:val="auto"/>
              </w:rPr>
              <w:t>Total franchise revenues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161,126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121,752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469,056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334,665</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Company restaurant sales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35,275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75,427</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200" w:type="dxa"/>
            <w:vAlign w:val="bottom"/>
          </w:tcPr>
          <w:p>
            <w:pPr>
              <w:ind w:left="220"/>
              <w:spacing w:after="0"/>
              <w:rPr>
                <w:sz w:val="20"/>
                <w:szCs w:val="20"/>
                <w:color w:val="auto"/>
              </w:rPr>
            </w:pPr>
            <w:r>
              <w:rPr>
                <w:rFonts w:ascii="Arial" w:cs="Arial" w:eastAsia="Arial" w:hAnsi="Arial"/>
                <w:sz w:val="18"/>
                <w:szCs w:val="18"/>
                <w:color w:val="auto"/>
              </w:rPr>
              <w:t>Rental revenues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31,273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26,194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84,797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78,910</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Financing revenues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228,719</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176,643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666,537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493,239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200" w:type="dxa"/>
            <w:vAlign w:val="bottom"/>
          </w:tcPr>
          <w:p>
            <w:pPr>
              <w:ind w:left="220"/>
              <w:spacing w:after="0"/>
              <w:rPr>
                <w:sz w:val="20"/>
                <w:szCs w:val="20"/>
                <w:color w:val="auto"/>
              </w:rPr>
            </w:pPr>
            <w:r>
              <w:rPr>
                <w:rFonts w:ascii="Arial" w:cs="Arial" w:eastAsia="Arial" w:hAnsi="Arial"/>
                <w:sz w:val="18"/>
                <w:szCs w:val="18"/>
                <w:color w:val="auto"/>
              </w:rPr>
              <w:t>Franchise expenses: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2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Advertising expenses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70,709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142,750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200" w:type="dxa"/>
            <w:vAlign w:val="bottom"/>
          </w:tcPr>
          <w:p>
            <w:pPr>
              <w:ind w:left="380"/>
              <w:spacing w:after="0"/>
              <w:rPr>
                <w:sz w:val="20"/>
                <w:szCs w:val="20"/>
                <w:color w:val="auto"/>
              </w:rPr>
            </w:pPr>
            <w:r>
              <w:rPr>
                <w:rFonts w:ascii="Arial" w:cs="Arial" w:eastAsia="Arial" w:hAnsi="Arial"/>
                <w:sz w:val="18"/>
                <w:szCs w:val="18"/>
                <w:color w:val="auto"/>
              </w:rPr>
              <w:t>Bad debt (credit) expense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(1,962)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8,416</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2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franchise expenses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20,197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00" w:type="dxa"/>
            <w:vAlign w:val="bottom"/>
          </w:tcPr>
          <w:p>
            <w:pPr>
              <w:ind w:left="220"/>
              <w:spacing w:after="0"/>
              <w:rPr>
                <w:sz w:val="20"/>
                <w:szCs w:val="20"/>
                <w:color w:val="auto"/>
              </w:rPr>
            </w:pPr>
            <w:r>
              <w:rPr>
                <w:rFonts w:ascii="Arial" w:cs="Arial" w:eastAsia="Arial" w:hAnsi="Arial"/>
                <w:sz w:val="18"/>
                <w:szCs w:val="18"/>
                <w:color w:val="auto"/>
              </w:rPr>
              <w:t>Total franchise expenses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75,669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60,635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219,869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167,165</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Company restaurant expenses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33,867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79,774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200" w:type="dxa"/>
            <w:vAlign w:val="bottom"/>
          </w:tcPr>
          <w:p>
            <w:pPr>
              <w:ind w:left="220"/>
              <w:spacing w:after="0"/>
              <w:rPr>
                <w:sz w:val="20"/>
                <w:szCs w:val="20"/>
                <w:color w:val="auto"/>
              </w:rPr>
            </w:pPr>
            <w:r>
              <w:rPr>
                <w:rFonts w:ascii="Arial" w:cs="Arial" w:eastAsia="Arial" w:hAnsi="Arial"/>
                <w:sz w:val="18"/>
                <w:szCs w:val="18"/>
                <w:color w:val="auto"/>
              </w:rPr>
              <w:t>Rental expenses: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2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Interest expense from finance leases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2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 rental expenses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23,645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19,692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63,359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61,121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rental expenses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64,574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Financing expenses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2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cost of revenues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134,116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109,859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387,771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311,906</w:t>
            </w:r>
          </w:p>
        </w:tc>
        <w:tc>
          <w:tcPr>
            <w:tcW w:w="0" w:type="dxa"/>
            <w:vAlign w:val="bottom"/>
          </w:tcPr>
          <w:p>
            <w:pPr>
              <w:spacing w:after="0"/>
              <w:rPr>
                <w:sz w:val="1"/>
                <w:szCs w:val="1"/>
                <w:color w:val="auto"/>
              </w:rPr>
            </w:pPr>
          </w:p>
        </w:tc>
      </w:tr>
      <w:tr>
        <w:trPr>
          <w:trHeight w:val="218"/>
        </w:trPr>
        <w:tc>
          <w:tcPr>
            <w:tcW w:w="6220" w:type="dxa"/>
            <w:vAlign w:val="bottom"/>
            <w:gridSpan w:val="2"/>
          </w:tcPr>
          <w:p>
            <w:pPr>
              <w:spacing w:after="0"/>
              <w:rPr>
                <w:sz w:val="20"/>
                <w:szCs w:val="20"/>
                <w:color w:val="auto"/>
              </w:rPr>
            </w:pPr>
            <w:r>
              <w:rPr>
                <w:rFonts w:ascii="Arial" w:cs="Arial" w:eastAsia="Arial" w:hAnsi="Arial"/>
                <w:sz w:val="18"/>
                <w:szCs w:val="18"/>
                <w:b w:val="1"/>
                <w:bCs w:val="1"/>
                <w:color w:val="auto"/>
              </w:rPr>
              <w:t>Gross profit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94,603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66,784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278,766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181,333</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43,704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105,351</w:t>
            </w:r>
          </w:p>
        </w:tc>
        <w:tc>
          <w:tcPr>
            <w:tcW w:w="0" w:type="dxa"/>
            <w:vAlign w:val="bottom"/>
          </w:tcPr>
          <w:p>
            <w:pPr>
              <w:spacing w:after="0"/>
              <w:rPr>
                <w:sz w:val="1"/>
                <w:szCs w:val="1"/>
                <w:color w:val="auto"/>
              </w:rPr>
            </w:pPr>
          </w:p>
        </w:tc>
      </w:tr>
      <w:tr>
        <w:trPr>
          <w:trHeight w:val="225"/>
        </w:trPr>
        <w:tc>
          <w:tcPr>
            <w:tcW w:w="622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15,721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16,844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47,956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49,143</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Closure and impairment charges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124,521</w:t>
            </w:r>
          </w:p>
        </w:tc>
        <w:tc>
          <w:tcPr>
            <w:tcW w:w="0" w:type="dxa"/>
            <w:vAlign w:val="bottom"/>
          </w:tcPr>
          <w:p>
            <w:pPr>
              <w:spacing w:after="0"/>
              <w:rPr>
                <w:sz w:val="1"/>
                <w:szCs w:val="1"/>
                <w:color w:val="auto"/>
              </w:rPr>
            </w:pPr>
          </w:p>
        </w:tc>
      </w:tr>
      <w:tr>
        <w:trPr>
          <w:trHeight w:val="225"/>
        </w:trPr>
        <w:tc>
          <w:tcPr>
            <w:tcW w:w="6220" w:type="dxa"/>
            <w:vAlign w:val="bottom"/>
            <w:gridSpan w:val="2"/>
          </w:tcPr>
          <w:p>
            <w:pPr>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2,664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8,240</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Loss on disposition of assets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2,630</w:t>
            </w:r>
          </w:p>
        </w:tc>
        <w:tc>
          <w:tcPr>
            <w:tcW w:w="0" w:type="dxa"/>
            <w:vAlign w:val="bottom"/>
          </w:tcPr>
          <w:p>
            <w:pPr>
              <w:spacing w:after="0"/>
              <w:rPr>
                <w:sz w:val="1"/>
                <w:szCs w:val="1"/>
                <w:color w:val="auto"/>
              </w:rPr>
            </w:pPr>
          </w:p>
        </w:tc>
      </w:tr>
      <w:tr>
        <w:trPr>
          <w:trHeight w:val="218"/>
        </w:trPr>
        <w:tc>
          <w:tcPr>
            <w:tcW w:w="62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30,772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9,153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93,444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(108,552)</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6,119</w:t>
            </w:r>
          </w:p>
        </w:tc>
        <w:tc>
          <w:tcPr>
            <w:tcW w:w="0" w:type="dxa"/>
            <w:vAlign w:val="bottom"/>
          </w:tcPr>
          <w:p>
            <w:pPr>
              <w:spacing w:after="0"/>
              <w:rPr>
                <w:sz w:val="1"/>
                <w:szCs w:val="1"/>
                <w:color w:val="auto"/>
              </w:rPr>
            </w:pPr>
          </w:p>
        </w:tc>
      </w:tr>
      <w:tr>
        <w:trPr>
          <w:trHeight w:val="218"/>
        </w:trPr>
        <w:tc>
          <w:tcPr>
            <w:tcW w:w="6220" w:type="dxa"/>
            <w:vAlign w:val="bottom"/>
            <w:gridSpan w:val="2"/>
          </w:tcPr>
          <w:p>
            <w:pPr>
              <w:spacing w:after="0"/>
              <w:rPr>
                <w:sz w:val="20"/>
                <w:szCs w:val="20"/>
                <w:color w:val="auto"/>
              </w:rPr>
            </w:pPr>
            <w:r>
              <w:rPr>
                <w:rFonts w:ascii="Arial" w:cs="Arial" w:eastAsia="Arial" w:hAnsi="Arial"/>
                <w:sz w:val="18"/>
                <w:szCs w:val="18"/>
                <w:b w:val="1"/>
                <w:bCs w:val="1"/>
                <w:color w:val="auto"/>
              </w:rPr>
              <w:t>Net income (loss)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23,111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78,076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(102,433)</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net of tax:</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200" w:type="dxa"/>
            <w:vAlign w:val="bottom"/>
          </w:tcPr>
          <w:p>
            <w:pPr>
              <w:ind w:left="460"/>
              <w:spacing w:after="0"/>
              <w:rPr>
                <w:sz w:val="20"/>
                <w:szCs w:val="20"/>
                <w:color w:val="auto"/>
              </w:rPr>
            </w:pPr>
            <w:r>
              <w:rPr>
                <w:rFonts w:ascii="Arial" w:cs="Arial" w:eastAsia="Arial" w:hAnsi="Arial"/>
                <w:sz w:val="18"/>
                <w:szCs w:val="18"/>
                <w:color w:val="auto"/>
              </w:rPr>
              <w:t>Foreign currency translation adjustment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9"/>
        </w:trPr>
        <w:tc>
          <w:tcPr>
            <w:tcW w:w="622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income (loss)</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23,109</w:t>
            </w:r>
          </w:p>
        </w:tc>
        <w:tc>
          <w:tcPr>
            <w:tcW w:w="560" w:type="dxa"/>
            <w:vAlign w:val="bottom"/>
            <w:gridSpan w:val="2"/>
          </w:tcPr>
          <w:p>
            <w:pPr>
              <w:jc w:val="right"/>
              <w:ind w:right="25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10,020</w:t>
            </w:r>
          </w:p>
        </w:tc>
        <w:tc>
          <w:tcPr>
            <w:tcW w:w="3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78,072</w:t>
            </w:r>
          </w:p>
        </w:tc>
        <w:tc>
          <w:tcPr>
            <w:tcW w:w="100" w:type="dxa"/>
            <w:vAlign w:val="bottom"/>
          </w:tcPr>
          <w:p>
            <w:pPr>
              <w:spacing w:after="0"/>
              <w:rPr>
                <w:sz w:val="19"/>
                <w:szCs w:val="19"/>
                <w:color w:val="auto"/>
              </w:rPr>
            </w:pPr>
          </w:p>
        </w:tc>
        <w:tc>
          <w:tcPr>
            <w:tcW w:w="300" w:type="dxa"/>
            <w:vAlign w:val="bottom"/>
          </w:tcPr>
          <w:p>
            <w:pPr>
              <w:jc w:val="center"/>
              <w:ind w:right="72"/>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(102,431)</w:t>
            </w: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(loss) available to common stockholders: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22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23,111</w:t>
            </w:r>
          </w:p>
        </w:tc>
        <w:tc>
          <w:tcPr>
            <w:tcW w:w="56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10,018</w:t>
            </w:r>
          </w:p>
        </w:tc>
        <w:tc>
          <w:tcPr>
            <w:tcW w:w="3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center"/>
              <w:ind w:right="7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(102,433)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Less: Net income allocated to unvested participating restricted stock</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(loss) available to common stockholders</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22,609</w:t>
            </w:r>
          </w:p>
        </w:tc>
        <w:tc>
          <w:tcPr>
            <w:tcW w:w="100" w:type="dxa"/>
            <w:vAlign w:val="bottom"/>
          </w:tcPr>
          <w:p>
            <w:pPr>
              <w:spacing w:after="0"/>
              <w:rPr>
                <w:sz w:val="19"/>
                <w:szCs w:val="19"/>
                <w:color w:val="auto"/>
              </w:rPr>
            </w:pPr>
          </w:p>
        </w:tc>
        <w:tc>
          <w:tcPr>
            <w:tcW w:w="4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9,689</w:t>
            </w:r>
          </w:p>
        </w:tc>
        <w:tc>
          <w:tcPr>
            <w:tcW w:w="100" w:type="dxa"/>
            <w:vAlign w:val="bottom"/>
          </w:tcPr>
          <w:p>
            <w:pPr>
              <w:spacing w:after="0"/>
              <w:rPr>
                <w:sz w:val="19"/>
                <w:szCs w:val="19"/>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76,156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center"/>
              <w:ind w:right="7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(loss) available to common stockholders per share:</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62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200" w:type="dxa"/>
            <w:vAlign w:val="bottom"/>
          </w:tcPr>
          <w:p>
            <w:pPr>
              <w:ind w:left="22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1.34</w:t>
            </w:r>
          </w:p>
        </w:tc>
        <w:tc>
          <w:tcPr>
            <w:tcW w:w="560" w:type="dxa"/>
            <w:vAlign w:val="bottom"/>
            <w:gridSpan w:val="2"/>
          </w:tcPr>
          <w:p>
            <w:pPr>
              <w:jc w:val="right"/>
              <w:ind w:right="25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0.60</w:t>
            </w:r>
          </w:p>
        </w:tc>
        <w:tc>
          <w:tcPr>
            <w:tcW w:w="3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19"/>
                <w:szCs w:val="19"/>
                <w:color w:val="auto"/>
              </w:rPr>
            </w:pPr>
          </w:p>
        </w:tc>
        <w:tc>
          <w:tcPr>
            <w:tcW w:w="300" w:type="dxa"/>
            <w:vAlign w:val="bottom"/>
          </w:tcPr>
          <w:p>
            <w:pPr>
              <w:jc w:val="center"/>
              <w:ind w:right="72"/>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6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center"/>
              <w:ind w:right="7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2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16,911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16,221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16,752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16,229</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200" w:type="dxa"/>
            <w:vAlign w:val="bottom"/>
          </w:tcPr>
          <w:p>
            <w:pPr>
              <w:ind w:left="22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0"/>
                <w:szCs w:val="20"/>
                <w:color w:val="auto"/>
              </w:rPr>
            </w:pPr>
          </w:p>
        </w:tc>
        <w:tc>
          <w:tcPr>
            <w:tcW w:w="6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16,971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16,283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the accompanying Notes to Consolidated Financial Statements.</w:t>
      </w:r>
    </w:p>
    <w:p>
      <w:pPr>
        <w:sectPr>
          <w:pgSz w:w="11900" w:h="16838" w:orient="portrait"/>
          <w:cols w:equalWidth="0" w:num="1">
            <w:col w:w="11260"/>
          </w:cols>
          <w:pgMar w:left="30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94615</wp:posOffset>
            </wp:positionV>
            <wp:extent cx="716026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60"/>
          </w:cols>
          <w:pgMar w:left="300" w:top="122" w:right="339" w:bottom="1440" w:gutter="0" w:footer="0" w:header="0"/>
          <w:type w:val="continuous"/>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Stockholders' Deficit</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9" w:lineRule="exact"/>
        <w:rPr>
          <w:sz w:val="20"/>
          <w:szCs w:val="20"/>
          <w:color w:val="auto"/>
        </w:rPr>
      </w:pPr>
    </w:p>
    <w:tbl>
      <w:tblPr>
        <w:tblLayout w:type="fixed"/>
        <w:tblInd w:w="100" w:type="dxa"/>
        <w:tblCellMar>
          <w:top w:w="0" w:type="dxa"/>
          <w:left w:w="0" w:type="dxa"/>
          <w:bottom w:w="0" w:type="dxa"/>
          <w:right w:w="0" w:type="dxa"/>
        </w:tblCellMar>
      </w:tblPr>
      <w:tr>
        <w:trPr>
          <w:trHeight w:val="210"/>
        </w:trPr>
        <w:tc>
          <w:tcPr>
            <w:tcW w:w="32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9"/>
          </w:tcPr>
          <w:p>
            <w:pPr>
              <w:ind w:left="560"/>
              <w:spacing w:after="0"/>
              <w:rPr>
                <w:sz w:val="20"/>
                <w:szCs w:val="20"/>
                <w:color w:val="auto"/>
              </w:rPr>
            </w:pPr>
            <w:r>
              <w:rPr>
                <w:rFonts w:ascii="Arial" w:cs="Arial" w:eastAsia="Arial" w:hAnsi="Arial"/>
                <w:sz w:val="16"/>
                <w:szCs w:val="16"/>
                <w:b w:val="1"/>
                <w:bCs w:val="1"/>
                <w:color w:val="auto"/>
                <w:w w:val="90"/>
              </w:rPr>
              <w:t>Three Months ended September 30, 2021</w:t>
            </w: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240" w:type="dxa"/>
            <w:vAlign w:val="bottom"/>
          </w:tcPr>
          <w:p>
            <w:pPr>
              <w:spacing w:after="0"/>
              <w:rPr>
                <w:sz w:val="20"/>
                <w:szCs w:val="20"/>
                <w:color w:val="auto"/>
              </w:rPr>
            </w:pPr>
          </w:p>
        </w:tc>
        <w:tc>
          <w:tcPr>
            <w:tcW w:w="172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2"/>
                <w:szCs w:val="12"/>
                <w:b w:val="1"/>
                <w:bCs w:val="1"/>
                <w:color w:val="auto"/>
              </w:rPr>
              <w:t>Common Stock</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ind w:right="10"/>
              <w:spacing w:after="0"/>
              <w:rPr>
                <w:sz w:val="20"/>
                <w:szCs w:val="20"/>
                <w:color w:val="auto"/>
              </w:rPr>
            </w:pPr>
            <w:r>
              <w:rPr>
                <w:rFonts w:ascii="Arial" w:cs="Arial" w:eastAsia="Arial" w:hAnsi="Arial"/>
                <w:sz w:val="12"/>
                <w:szCs w:val="12"/>
                <w:b w:val="1"/>
                <w:bCs w:val="1"/>
                <w:color w:val="auto"/>
                <w:w w:val="92"/>
              </w:rPr>
              <w:t>Treasury Stock</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3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98"/>
              </w:rPr>
              <w:t>Additional</w:t>
            </w:r>
          </w:p>
        </w:tc>
        <w:tc>
          <w:tcPr>
            <w:tcW w:w="120" w:type="dxa"/>
            <w:vAlign w:val="bottom"/>
          </w:tcPr>
          <w:p>
            <w:pPr>
              <w:spacing w:after="0"/>
              <w:rPr>
                <w:sz w:val="13"/>
                <w:szCs w:val="13"/>
                <w:color w:val="auto"/>
              </w:rPr>
            </w:pPr>
          </w:p>
        </w:tc>
        <w:tc>
          <w:tcPr>
            <w:tcW w:w="104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3"/>
              </w:rPr>
              <w:t>(Accumulated</w:t>
            </w:r>
          </w:p>
        </w:tc>
        <w:tc>
          <w:tcPr>
            <w:tcW w:w="120" w:type="dxa"/>
            <w:vAlign w:val="bottom"/>
          </w:tcPr>
          <w:p>
            <w:pPr>
              <w:spacing w:after="0"/>
              <w:rPr>
                <w:sz w:val="13"/>
                <w:szCs w:val="13"/>
                <w:color w:val="auto"/>
              </w:rPr>
            </w:pPr>
          </w:p>
        </w:tc>
        <w:tc>
          <w:tcPr>
            <w:tcW w:w="1240" w:type="dxa"/>
            <w:vAlign w:val="bottom"/>
            <w:gridSpan w:val="3"/>
          </w:tcPr>
          <w:p>
            <w:pPr>
              <w:jc w:val="center"/>
              <w:ind w:right="300"/>
              <w:spacing w:after="0"/>
              <w:rPr>
                <w:sz w:val="20"/>
                <w:szCs w:val="20"/>
                <w:color w:val="auto"/>
              </w:rPr>
            </w:pPr>
            <w:r>
              <w:rPr>
                <w:rFonts w:ascii="Arial" w:cs="Arial" w:eastAsia="Arial" w:hAnsi="Arial"/>
                <w:sz w:val="12"/>
                <w:szCs w:val="12"/>
                <w:b w:val="1"/>
                <w:bCs w:val="1"/>
                <w:color w:val="auto"/>
                <w:w w:val="92"/>
              </w:rPr>
              <w:t>Accumulated</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240" w:type="dxa"/>
            <w:vAlign w:val="bottom"/>
          </w:tcPr>
          <w:p>
            <w:pPr>
              <w:spacing w:after="0"/>
              <w:rPr>
                <w:sz w:val="10"/>
                <w:szCs w:val="10"/>
                <w:color w:val="auto"/>
              </w:rPr>
            </w:pPr>
          </w:p>
        </w:tc>
        <w:tc>
          <w:tcPr>
            <w:tcW w:w="106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89"/>
              </w:rPr>
              <w:t>Shares</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3"/>
          </w:tcPr>
          <w:p>
            <w:pPr>
              <w:jc w:val="center"/>
              <w:ind w:right="320"/>
              <w:spacing w:after="0" w:line="120" w:lineRule="exact"/>
              <w:rPr>
                <w:sz w:val="20"/>
                <w:szCs w:val="20"/>
                <w:color w:val="auto"/>
              </w:rPr>
            </w:pPr>
            <w:r>
              <w:rPr>
                <w:rFonts w:ascii="Arial" w:cs="Arial" w:eastAsia="Arial" w:hAnsi="Arial"/>
                <w:sz w:val="12"/>
                <w:szCs w:val="12"/>
                <w:b w:val="1"/>
                <w:bCs w:val="1"/>
                <w:color w:val="auto"/>
                <w:w w:val="99"/>
              </w:rPr>
              <w:t>Other</w:t>
            </w: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324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0"/>
                <w:szCs w:val="10"/>
                <w:color w:val="auto"/>
              </w:rPr>
            </w:pPr>
          </w:p>
        </w:tc>
        <w:tc>
          <w:tcPr>
            <w:tcW w:w="860" w:type="dxa"/>
            <w:vAlign w:val="bottom"/>
            <w:gridSpan w:val="2"/>
          </w:tcPr>
          <w:p>
            <w:pPr>
              <w:jc w:val="center"/>
              <w:ind w:right="240"/>
              <w:spacing w:after="0" w:line="120" w:lineRule="exact"/>
              <w:rPr>
                <w:sz w:val="20"/>
                <w:szCs w:val="20"/>
                <w:color w:val="auto"/>
              </w:rPr>
            </w:pPr>
            <w:r>
              <w:rPr>
                <w:rFonts w:ascii="Arial" w:cs="Arial" w:eastAsia="Arial" w:hAnsi="Arial"/>
                <w:sz w:val="12"/>
                <w:szCs w:val="12"/>
                <w:b w:val="1"/>
                <w:bCs w:val="1"/>
                <w:color w:val="auto"/>
                <w:w w:val="94"/>
              </w:rPr>
              <w:t>Paid-in</w:t>
            </w:r>
          </w:p>
        </w:tc>
        <w:tc>
          <w:tcPr>
            <w:tcW w:w="1160" w:type="dxa"/>
            <w:vAlign w:val="bottom"/>
            <w:gridSpan w:val="3"/>
          </w:tcPr>
          <w:p>
            <w:pPr>
              <w:jc w:val="center"/>
              <w:ind w:right="100"/>
              <w:spacing w:after="0" w:line="120" w:lineRule="exact"/>
              <w:rPr>
                <w:sz w:val="20"/>
                <w:szCs w:val="20"/>
                <w:color w:val="auto"/>
              </w:rPr>
            </w:pPr>
            <w:r>
              <w:rPr>
                <w:rFonts w:ascii="Arial" w:cs="Arial" w:eastAsia="Arial" w:hAnsi="Arial"/>
                <w:sz w:val="12"/>
                <w:szCs w:val="12"/>
                <w:b w:val="1"/>
                <w:bCs w:val="1"/>
                <w:color w:val="auto"/>
                <w:w w:val="95"/>
              </w:rPr>
              <w:t>Deficit) Retained</w:t>
            </w:r>
          </w:p>
        </w:tc>
        <w:tc>
          <w:tcPr>
            <w:tcW w:w="120" w:type="dxa"/>
            <w:vAlign w:val="bottom"/>
          </w:tcPr>
          <w:p>
            <w:pPr>
              <w:spacing w:after="0"/>
              <w:rPr>
                <w:sz w:val="10"/>
                <w:szCs w:val="10"/>
                <w:color w:val="auto"/>
              </w:rPr>
            </w:pPr>
          </w:p>
        </w:tc>
        <w:tc>
          <w:tcPr>
            <w:tcW w:w="1240" w:type="dxa"/>
            <w:vAlign w:val="bottom"/>
            <w:gridSpan w:val="3"/>
          </w:tcPr>
          <w:p>
            <w:pPr>
              <w:jc w:val="center"/>
              <w:ind w:right="300"/>
              <w:spacing w:after="0" w:line="120" w:lineRule="exact"/>
              <w:rPr>
                <w:sz w:val="20"/>
                <w:szCs w:val="20"/>
                <w:color w:val="auto"/>
              </w:rPr>
            </w:pPr>
            <w:r>
              <w:rPr>
                <w:rFonts w:ascii="Arial" w:cs="Arial" w:eastAsia="Arial" w:hAnsi="Arial"/>
                <w:sz w:val="12"/>
                <w:szCs w:val="12"/>
                <w:b w:val="1"/>
                <w:bCs w:val="1"/>
                <w:color w:val="auto"/>
                <w:w w:val="91"/>
              </w:rPr>
              <w:t>Comprehensive</w:t>
            </w:r>
          </w:p>
        </w:tc>
        <w:tc>
          <w:tcPr>
            <w:tcW w:w="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0"/>
                <w:szCs w:val="10"/>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Cost</w:t>
            </w:r>
          </w:p>
        </w:tc>
        <w:tc>
          <w:tcPr>
            <w:tcW w:w="160" w:type="dxa"/>
            <w:vAlign w:val="bottom"/>
          </w:tcPr>
          <w:p>
            <w:pPr>
              <w:spacing w:after="0"/>
              <w:rPr>
                <w:sz w:val="10"/>
                <w:szCs w:val="10"/>
                <w:color w:val="auto"/>
              </w:rPr>
            </w:pPr>
          </w:p>
        </w:tc>
        <w:tc>
          <w:tcPr>
            <w:tcW w:w="680" w:type="dxa"/>
            <w:vAlign w:val="bottom"/>
            <w:vMerge w:val="restart"/>
          </w:tcPr>
          <w:p>
            <w:pPr>
              <w:jc w:val="right"/>
              <w:ind w:right="23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6"/>
        </w:trPr>
        <w:tc>
          <w:tcPr>
            <w:tcW w:w="3240" w:type="dxa"/>
            <w:vAlign w:val="bottom"/>
          </w:tcPr>
          <w:p>
            <w:pPr>
              <w:spacing w:after="0"/>
              <w:rPr>
                <w:sz w:val="14"/>
                <w:szCs w:val="14"/>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3"/>
              </w:rPr>
              <w:t>Outstanding</w:t>
            </w: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4"/>
              </w:rPr>
              <w:t>Capital</w:t>
            </w: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3"/>
              </w:rPr>
              <w:t>Earnings</w:t>
            </w:r>
          </w:p>
        </w:tc>
        <w:tc>
          <w:tcPr>
            <w:tcW w:w="120" w:type="dxa"/>
            <w:vAlign w:val="bottom"/>
          </w:tcPr>
          <w:p>
            <w:pPr>
              <w:spacing w:after="0"/>
              <w:rPr>
                <w:sz w:val="14"/>
                <w:szCs w:val="14"/>
                <w:color w:val="auto"/>
              </w:rPr>
            </w:pPr>
          </w:p>
        </w:tc>
        <w:tc>
          <w:tcPr>
            <w:tcW w:w="1240" w:type="dxa"/>
            <w:vAlign w:val="bottom"/>
            <w:gridSpan w:val="3"/>
          </w:tcPr>
          <w:p>
            <w:pPr>
              <w:jc w:val="center"/>
              <w:ind w:right="320"/>
              <w:spacing w:after="0"/>
              <w:rPr>
                <w:sz w:val="20"/>
                <w:szCs w:val="20"/>
                <w:color w:val="auto"/>
              </w:rPr>
            </w:pPr>
            <w:r>
              <w:rPr>
                <w:rFonts w:ascii="Arial" w:cs="Arial" w:eastAsia="Arial" w:hAnsi="Arial"/>
                <w:sz w:val="12"/>
                <w:szCs w:val="12"/>
                <w:b w:val="1"/>
                <w:bCs w:val="1"/>
                <w:color w:val="auto"/>
                <w:w w:val="85"/>
              </w:rPr>
              <w:t>Loss</w:t>
            </w:r>
          </w:p>
        </w:tc>
        <w:tc>
          <w:tcPr>
            <w:tcW w:w="6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at June 30, 2021</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17,178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250,509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7,833</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center"/>
              <w:ind w:right="9"/>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(532,865)</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(282,751)</w:t>
            </w:r>
          </w:p>
        </w:tc>
        <w:tc>
          <w:tcPr>
            <w:tcW w:w="0" w:type="dxa"/>
            <w:vAlign w:val="bottom"/>
          </w:tcPr>
          <w:p>
            <w:pPr>
              <w:spacing w:after="0"/>
              <w:rPr>
                <w:sz w:val="1"/>
                <w:szCs w:val="1"/>
                <w:color w:val="auto"/>
              </w:rPr>
            </w:pPr>
          </w:p>
        </w:tc>
      </w:tr>
      <w:tr>
        <w:trPr>
          <w:trHeight w:val="209"/>
        </w:trPr>
        <w:tc>
          <w:tcPr>
            <w:tcW w:w="3240" w:type="dxa"/>
            <w:vAlign w:val="bottom"/>
          </w:tcPr>
          <w:p>
            <w:pPr>
              <w:spacing w:after="0"/>
              <w:rPr>
                <w:sz w:val="20"/>
                <w:szCs w:val="20"/>
                <w:color w:val="auto"/>
              </w:rPr>
            </w:pPr>
            <w:r>
              <w:rPr>
                <w:rFonts w:ascii="Arial" w:cs="Arial" w:eastAsia="Arial" w:hAnsi="Arial"/>
                <w:sz w:val="16"/>
                <w:szCs w:val="16"/>
                <w:color w:val="auto"/>
              </w:rPr>
              <w:t>Net income</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Arial" w:cs="Arial" w:eastAsia="Arial" w:hAnsi="Arial"/>
                <w:sz w:val="14"/>
                <w:szCs w:val="14"/>
                <w:color w:val="auto"/>
              </w:rPr>
              <w:t>23,111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ind w:left="8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23,111</w:t>
            </w:r>
          </w:p>
        </w:tc>
        <w:tc>
          <w:tcPr>
            <w:tcW w:w="0" w:type="dxa"/>
            <w:vAlign w:val="bottom"/>
          </w:tcPr>
          <w:p>
            <w:pPr>
              <w:spacing w:after="0"/>
              <w:rPr>
                <w:sz w:val="1"/>
                <w:szCs w:val="1"/>
                <w:color w:val="auto"/>
              </w:rPr>
            </w:pPr>
          </w:p>
        </w:tc>
      </w:tr>
      <w:tr>
        <w:trPr>
          <w:trHeight w:val="214"/>
        </w:trPr>
        <w:tc>
          <w:tcPr>
            <w:tcW w:w="324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loss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10"/>
        </w:trPr>
        <w:tc>
          <w:tcPr>
            <w:tcW w:w="3240" w:type="dxa"/>
            <w:vAlign w:val="bottom"/>
          </w:tcPr>
          <w:p>
            <w:pPr>
              <w:spacing w:after="0"/>
              <w:rPr>
                <w:sz w:val="20"/>
                <w:szCs w:val="20"/>
                <w:color w:val="auto"/>
              </w:rPr>
            </w:pPr>
            <w:r>
              <w:rPr>
                <w:rFonts w:ascii="Arial" w:cs="Arial" w:eastAsia="Arial" w:hAnsi="Arial"/>
                <w:sz w:val="16"/>
                <w:szCs w:val="16"/>
                <w:color w:val="auto"/>
              </w:rPr>
              <w:t>Reissuance of treasury stock</w:t>
            </w:r>
          </w:p>
        </w:tc>
        <w:tc>
          <w:tcPr>
            <w:tcW w:w="96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240" w:type="dxa"/>
            <w:vAlign w:val="bottom"/>
            <w:gridSpan w:val="3"/>
          </w:tcPr>
          <w:p>
            <w:pPr>
              <w:ind w:left="84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2,083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2,505</w:t>
            </w:r>
          </w:p>
        </w:tc>
        <w:tc>
          <w:tcPr>
            <w:tcW w:w="0" w:type="dxa"/>
            <w:vAlign w:val="bottom"/>
          </w:tcPr>
          <w:p>
            <w:pPr>
              <w:spacing w:after="0"/>
              <w:rPr>
                <w:sz w:val="1"/>
                <w:szCs w:val="1"/>
                <w:color w:val="auto"/>
              </w:rPr>
            </w:pPr>
          </w:p>
        </w:tc>
      </w:tr>
      <w:tr>
        <w:trPr>
          <w:trHeight w:val="214"/>
        </w:trPr>
        <w:tc>
          <w:tcPr>
            <w:tcW w:w="3240" w:type="dxa"/>
            <w:vAlign w:val="bottom"/>
            <w:shd w:val="clear" w:color="auto" w:fill="CCEEFF"/>
          </w:tcPr>
          <w:p>
            <w:pPr>
              <w:spacing w:after="0"/>
              <w:rPr>
                <w:sz w:val="20"/>
                <w:szCs w:val="20"/>
                <w:color w:val="auto"/>
              </w:rPr>
            </w:pPr>
            <w:r>
              <w:rPr>
                <w:rFonts w:ascii="Arial" w:cs="Arial" w:eastAsia="Arial" w:hAnsi="Arial"/>
                <w:sz w:val="16"/>
                <w:szCs w:val="16"/>
                <w:color w:val="auto"/>
              </w:rPr>
              <w:t>Net use of shares for stock plans</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3240" w:type="dxa"/>
            <w:vAlign w:val="bottom"/>
          </w:tcPr>
          <w:p>
            <w:pPr>
              <w:spacing w:after="0"/>
              <w:rPr>
                <w:sz w:val="20"/>
                <w:szCs w:val="20"/>
                <w:color w:val="auto"/>
              </w:rPr>
            </w:pPr>
            <w:r>
              <w:rPr>
                <w:rFonts w:ascii="Arial" w:cs="Arial" w:eastAsia="Arial" w:hAnsi="Arial"/>
                <w:sz w:val="16"/>
                <w:szCs w:val="16"/>
                <w:color w:val="auto"/>
              </w:rPr>
              <w:t>Repurchase of restricted shares for taxes</w:t>
            </w:r>
          </w:p>
        </w:tc>
        <w:tc>
          <w:tcPr>
            <w:tcW w:w="9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240" w:type="dxa"/>
            <w:vAlign w:val="bottom"/>
            <w:gridSpan w:val="3"/>
          </w:tcPr>
          <w:p>
            <w:pPr>
              <w:ind w:left="8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214"/>
        </w:trPr>
        <w:tc>
          <w:tcPr>
            <w:tcW w:w="324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2,960</w:t>
            </w:r>
          </w:p>
        </w:tc>
        <w:tc>
          <w:tcPr>
            <w:tcW w:w="0" w:type="dxa"/>
            <w:vAlign w:val="bottom"/>
          </w:tcPr>
          <w:p>
            <w:pPr>
              <w:spacing w:after="0"/>
              <w:rPr>
                <w:sz w:val="1"/>
                <w:szCs w:val="1"/>
                <w:color w:val="auto"/>
              </w:rPr>
            </w:pPr>
          </w:p>
        </w:tc>
      </w:tr>
      <w:tr>
        <w:trPr>
          <w:trHeight w:val="162"/>
        </w:trPr>
        <w:tc>
          <w:tcPr>
            <w:tcW w:w="3240" w:type="dxa"/>
            <w:vAlign w:val="bottom"/>
          </w:tcPr>
          <w:p>
            <w:pPr>
              <w:spacing w:after="0" w:line="162" w:lineRule="exact"/>
              <w:rPr>
                <w:sz w:val="20"/>
                <w:szCs w:val="20"/>
                <w:color w:val="auto"/>
              </w:rPr>
            </w:pPr>
            <w:r>
              <w:rPr>
                <w:rFonts w:ascii="Arial" w:cs="Arial" w:eastAsia="Arial" w:hAnsi="Arial"/>
                <w:sz w:val="16"/>
                <w:szCs w:val="16"/>
                <w:color w:val="auto"/>
                <w:w w:val="96"/>
              </w:rPr>
              <w:t>Tax payments for share settlement of restricted</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240" w:type="dxa"/>
            <w:vAlign w:val="bottom"/>
          </w:tcPr>
          <w:p>
            <w:pPr>
              <w:spacing w:after="0"/>
              <w:rPr>
                <w:sz w:val="20"/>
                <w:szCs w:val="20"/>
                <w:color w:val="auto"/>
              </w:rPr>
            </w:pPr>
            <w:r>
              <w:rPr>
                <w:rFonts w:ascii="Arial" w:cs="Arial" w:eastAsia="Arial" w:hAnsi="Arial"/>
                <w:sz w:val="16"/>
                <w:szCs w:val="16"/>
                <w:color w:val="auto"/>
              </w:rPr>
              <w:t>stock units</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40" w:type="dxa"/>
            <w:vAlign w:val="bottom"/>
            <w:gridSpan w:val="3"/>
          </w:tcPr>
          <w:p>
            <w:pPr>
              <w:ind w:left="8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3240" w:type="dxa"/>
            <w:vAlign w:val="bottom"/>
            <w:tcBorders>
              <w:top w:val="single" w:sz="8" w:color="CCEEFF"/>
              <w:bottom w:val="single" w:sz="8" w:color="CCEEFF"/>
            </w:tcBorders>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Balance at September 30, 2021</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17,220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253,751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22,523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7,783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center"/>
              <w:ind w:right="9"/>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(530,782)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(254,317)</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7"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3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9"/>
          </w:tcPr>
          <w:p>
            <w:pPr>
              <w:ind w:left="620"/>
              <w:spacing w:after="0"/>
              <w:rPr>
                <w:sz w:val="20"/>
                <w:szCs w:val="20"/>
                <w:color w:val="auto"/>
              </w:rPr>
            </w:pPr>
            <w:r>
              <w:rPr>
                <w:rFonts w:ascii="Arial" w:cs="Arial" w:eastAsia="Arial" w:hAnsi="Arial"/>
                <w:sz w:val="16"/>
                <w:szCs w:val="16"/>
                <w:b w:val="1"/>
                <w:bCs w:val="1"/>
                <w:color w:val="auto"/>
                <w:w w:val="89"/>
              </w:rPr>
              <w:t>Nine Months ended September 30, 2021</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320" w:type="dxa"/>
            <w:vAlign w:val="bottom"/>
          </w:tcPr>
          <w:p>
            <w:pPr>
              <w:spacing w:after="0"/>
              <w:rPr>
                <w:sz w:val="16"/>
                <w:szCs w:val="16"/>
                <w:color w:val="auto"/>
              </w:rPr>
            </w:pPr>
          </w:p>
        </w:tc>
        <w:tc>
          <w:tcPr>
            <w:tcW w:w="1740" w:type="dxa"/>
            <w:vAlign w:val="bottom"/>
            <w:tcBorders>
              <w:bottom w:val="single" w:sz="8" w:color="auto"/>
            </w:tcBorders>
            <w:gridSpan w:val="4"/>
          </w:tcPr>
          <w:p>
            <w:pPr>
              <w:jc w:val="right"/>
              <w:ind w:right="388"/>
              <w:spacing w:after="0"/>
              <w:rPr>
                <w:sz w:val="20"/>
                <w:szCs w:val="20"/>
                <w:color w:val="auto"/>
              </w:rPr>
            </w:pPr>
            <w:r>
              <w:rPr>
                <w:rFonts w:ascii="Arial" w:cs="Arial" w:eastAsia="Arial" w:hAnsi="Arial"/>
                <w:sz w:val="12"/>
                <w:szCs w:val="12"/>
                <w:b w:val="1"/>
                <w:bCs w:val="1"/>
                <w:color w:val="auto"/>
              </w:rPr>
              <w:t>Common Stock</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jc w:val="right"/>
              <w:ind w:right="308"/>
              <w:spacing w:after="0"/>
              <w:rPr>
                <w:sz w:val="20"/>
                <w:szCs w:val="20"/>
                <w:color w:val="auto"/>
              </w:rPr>
            </w:pPr>
            <w:r>
              <w:rPr>
                <w:rFonts w:ascii="Arial" w:cs="Arial" w:eastAsia="Arial" w:hAnsi="Arial"/>
                <w:sz w:val="12"/>
                <w:szCs w:val="12"/>
                <w:b w:val="1"/>
                <w:bCs w:val="1"/>
                <w:color w:val="auto"/>
              </w:rPr>
              <w:t>Treasury Stock</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3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8"/>
              </w:rPr>
              <w:t>Additional</w:t>
            </w:r>
          </w:p>
        </w:tc>
        <w:tc>
          <w:tcPr>
            <w:tcW w:w="120" w:type="dxa"/>
            <w:vAlign w:val="bottom"/>
          </w:tcPr>
          <w:p>
            <w:pPr>
              <w:spacing w:after="0"/>
              <w:rPr>
                <w:sz w:val="13"/>
                <w:szCs w:val="13"/>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93"/>
              </w:rPr>
              <w:t>(Accumulated</w:t>
            </w:r>
          </w:p>
        </w:tc>
        <w:tc>
          <w:tcPr>
            <w:tcW w:w="140" w:type="dxa"/>
            <w:vAlign w:val="bottom"/>
          </w:tcPr>
          <w:p>
            <w:pPr>
              <w:spacing w:after="0"/>
              <w:rPr>
                <w:sz w:val="13"/>
                <w:szCs w:val="13"/>
                <w:color w:val="auto"/>
              </w:rPr>
            </w:pPr>
          </w:p>
        </w:tc>
        <w:tc>
          <w:tcPr>
            <w:tcW w:w="1220" w:type="dxa"/>
            <w:vAlign w:val="bottom"/>
            <w:gridSpan w:val="3"/>
          </w:tcPr>
          <w:p>
            <w:pPr>
              <w:jc w:val="center"/>
              <w:ind w:right="320"/>
              <w:spacing w:after="0"/>
              <w:rPr>
                <w:sz w:val="20"/>
                <w:szCs w:val="20"/>
                <w:color w:val="auto"/>
              </w:rPr>
            </w:pPr>
            <w:r>
              <w:rPr>
                <w:rFonts w:ascii="Arial" w:cs="Arial" w:eastAsia="Arial" w:hAnsi="Arial"/>
                <w:sz w:val="12"/>
                <w:szCs w:val="12"/>
                <w:b w:val="1"/>
                <w:bCs w:val="1"/>
                <w:color w:val="auto"/>
                <w:w w:val="92"/>
              </w:rPr>
              <w:t>Accumulated</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320" w:type="dxa"/>
            <w:vAlign w:val="bottom"/>
          </w:tcPr>
          <w:p>
            <w:pPr>
              <w:spacing w:after="0"/>
              <w:rPr>
                <w:sz w:val="10"/>
                <w:szCs w:val="10"/>
                <w:color w:val="auto"/>
              </w:rPr>
            </w:pP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84"/>
              </w:rPr>
              <w:t>Shares</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3"/>
          </w:tcPr>
          <w:p>
            <w:pPr>
              <w:jc w:val="center"/>
              <w:ind w:right="320"/>
              <w:spacing w:after="0" w:line="120" w:lineRule="exact"/>
              <w:rPr>
                <w:sz w:val="20"/>
                <w:szCs w:val="20"/>
                <w:color w:val="auto"/>
              </w:rPr>
            </w:pPr>
            <w:r>
              <w:rPr>
                <w:rFonts w:ascii="Arial" w:cs="Arial" w:eastAsia="Arial" w:hAnsi="Arial"/>
                <w:sz w:val="12"/>
                <w:szCs w:val="12"/>
                <w:b w:val="1"/>
                <w:bCs w:val="1"/>
                <w:color w:val="auto"/>
                <w:w w:val="93"/>
              </w:rPr>
              <w:t>Other</w:t>
            </w: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332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0"/>
                <w:szCs w:val="10"/>
                <w:color w:val="auto"/>
              </w:rPr>
            </w:pPr>
          </w:p>
        </w:tc>
        <w:tc>
          <w:tcPr>
            <w:tcW w:w="840" w:type="dxa"/>
            <w:vAlign w:val="bottom"/>
            <w:gridSpan w:val="2"/>
          </w:tcPr>
          <w:p>
            <w:pPr>
              <w:jc w:val="center"/>
              <w:ind w:right="220"/>
              <w:spacing w:after="0" w:line="120" w:lineRule="exact"/>
              <w:rPr>
                <w:sz w:val="20"/>
                <w:szCs w:val="20"/>
                <w:color w:val="auto"/>
              </w:rPr>
            </w:pPr>
            <w:r>
              <w:rPr>
                <w:rFonts w:ascii="Arial" w:cs="Arial" w:eastAsia="Arial" w:hAnsi="Arial"/>
                <w:sz w:val="12"/>
                <w:szCs w:val="12"/>
                <w:b w:val="1"/>
                <w:bCs w:val="1"/>
                <w:color w:val="auto"/>
                <w:w w:val="94"/>
              </w:rPr>
              <w:t>Paid-in</w:t>
            </w:r>
          </w:p>
        </w:tc>
        <w:tc>
          <w:tcPr>
            <w:tcW w:w="1140" w:type="dxa"/>
            <w:vAlign w:val="bottom"/>
            <w:gridSpan w:val="3"/>
          </w:tcPr>
          <w:p>
            <w:pPr>
              <w:jc w:val="center"/>
              <w:ind w:right="120"/>
              <w:spacing w:after="0" w:line="120" w:lineRule="exact"/>
              <w:rPr>
                <w:sz w:val="20"/>
                <w:szCs w:val="20"/>
                <w:color w:val="auto"/>
              </w:rPr>
            </w:pPr>
            <w:r>
              <w:rPr>
                <w:rFonts w:ascii="Arial" w:cs="Arial" w:eastAsia="Arial" w:hAnsi="Arial"/>
                <w:sz w:val="12"/>
                <w:szCs w:val="12"/>
                <w:b w:val="1"/>
                <w:bCs w:val="1"/>
                <w:color w:val="auto"/>
                <w:w w:val="95"/>
              </w:rPr>
              <w:t>Deficit) Retained</w:t>
            </w:r>
          </w:p>
        </w:tc>
        <w:tc>
          <w:tcPr>
            <w:tcW w:w="140" w:type="dxa"/>
            <w:vAlign w:val="bottom"/>
          </w:tcPr>
          <w:p>
            <w:pPr>
              <w:spacing w:after="0"/>
              <w:rPr>
                <w:sz w:val="10"/>
                <w:szCs w:val="10"/>
                <w:color w:val="auto"/>
              </w:rPr>
            </w:pPr>
          </w:p>
        </w:tc>
        <w:tc>
          <w:tcPr>
            <w:tcW w:w="1220" w:type="dxa"/>
            <w:vAlign w:val="bottom"/>
            <w:gridSpan w:val="3"/>
          </w:tcPr>
          <w:p>
            <w:pPr>
              <w:jc w:val="center"/>
              <w:ind w:right="320"/>
              <w:spacing w:after="0" w:line="120" w:lineRule="exact"/>
              <w:rPr>
                <w:sz w:val="20"/>
                <w:szCs w:val="20"/>
                <w:color w:val="auto"/>
              </w:rPr>
            </w:pPr>
            <w:r>
              <w:rPr>
                <w:rFonts w:ascii="Arial" w:cs="Arial" w:eastAsia="Arial" w:hAnsi="Arial"/>
                <w:sz w:val="12"/>
                <w:szCs w:val="12"/>
                <w:b w:val="1"/>
                <w:bCs w:val="1"/>
                <w:color w:val="auto"/>
                <w:w w:val="91"/>
              </w:rPr>
              <w:t>Comprehensive</w:t>
            </w:r>
          </w:p>
        </w:tc>
        <w:tc>
          <w:tcPr>
            <w:tcW w:w="6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0"/>
                <w:szCs w:val="10"/>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Cost</w:t>
            </w:r>
          </w:p>
        </w:tc>
        <w:tc>
          <w:tcPr>
            <w:tcW w:w="200" w:type="dxa"/>
            <w:vAlign w:val="bottom"/>
          </w:tcPr>
          <w:p>
            <w:pPr>
              <w:spacing w:after="0"/>
              <w:rPr>
                <w:sz w:val="10"/>
                <w:szCs w:val="10"/>
                <w:color w:val="auto"/>
              </w:rPr>
            </w:pPr>
          </w:p>
        </w:tc>
        <w:tc>
          <w:tcPr>
            <w:tcW w:w="740" w:type="dxa"/>
            <w:vAlign w:val="bottom"/>
            <w:vMerge w:val="restart"/>
          </w:tcPr>
          <w:p>
            <w:pPr>
              <w:jc w:val="right"/>
              <w:ind w:right="27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6"/>
        </w:trPr>
        <w:tc>
          <w:tcPr>
            <w:tcW w:w="3320" w:type="dxa"/>
            <w:vAlign w:val="bottom"/>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3"/>
              </w:rPr>
              <w:t>Outstanding</w:t>
            </w: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4"/>
              </w:rPr>
              <w:t>Capital</w:t>
            </w: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3"/>
              </w:rPr>
              <w:t>Earnings</w:t>
            </w:r>
          </w:p>
        </w:tc>
        <w:tc>
          <w:tcPr>
            <w:tcW w:w="140" w:type="dxa"/>
            <w:vAlign w:val="bottom"/>
          </w:tcPr>
          <w:p>
            <w:pPr>
              <w:spacing w:after="0"/>
              <w:rPr>
                <w:sz w:val="14"/>
                <w:szCs w:val="14"/>
                <w:color w:val="auto"/>
              </w:rPr>
            </w:pPr>
          </w:p>
        </w:tc>
        <w:tc>
          <w:tcPr>
            <w:tcW w:w="1220" w:type="dxa"/>
            <w:vAlign w:val="bottom"/>
            <w:gridSpan w:val="3"/>
          </w:tcPr>
          <w:p>
            <w:pPr>
              <w:jc w:val="center"/>
              <w:ind w:right="340"/>
              <w:spacing w:after="0"/>
              <w:rPr>
                <w:sz w:val="20"/>
                <w:szCs w:val="20"/>
                <w:color w:val="auto"/>
              </w:rPr>
            </w:pPr>
            <w:r>
              <w:rPr>
                <w:rFonts w:ascii="Arial" w:cs="Arial" w:eastAsia="Arial" w:hAnsi="Arial"/>
                <w:sz w:val="12"/>
                <w:szCs w:val="12"/>
                <w:b w:val="1"/>
                <w:bCs w:val="1"/>
                <w:color w:val="auto"/>
                <w:w w:val="85"/>
              </w:rPr>
              <w:t>Loss</w:t>
            </w:r>
          </w:p>
        </w:tc>
        <w:tc>
          <w:tcPr>
            <w:tcW w:w="6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16,452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257,625</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(55,553)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8,430</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(556,917)</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(354,651)</w:t>
            </w:r>
          </w:p>
        </w:tc>
        <w:tc>
          <w:tcPr>
            <w:tcW w:w="0" w:type="dxa"/>
            <w:vAlign w:val="bottom"/>
          </w:tcPr>
          <w:p>
            <w:pPr>
              <w:spacing w:after="0"/>
              <w:rPr>
                <w:sz w:val="1"/>
                <w:szCs w:val="1"/>
                <w:color w:val="auto"/>
              </w:rPr>
            </w:pPr>
          </w:p>
        </w:tc>
      </w:tr>
      <w:tr>
        <w:trPr>
          <w:trHeight w:val="210"/>
        </w:trPr>
        <w:tc>
          <w:tcPr>
            <w:tcW w:w="33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78,076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ind w:left="82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78,076</w:t>
            </w:r>
          </w:p>
        </w:tc>
        <w:tc>
          <w:tcPr>
            <w:tcW w:w="0" w:type="dxa"/>
            <w:vAlign w:val="bottom"/>
          </w:tcPr>
          <w:p>
            <w:pPr>
              <w:spacing w:after="0"/>
              <w:rPr>
                <w:sz w:val="1"/>
                <w:szCs w:val="1"/>
                <w:color w:val="auto"/>
              </w:rPr>
            </w:pPr>
          </w:p>
        </w:tc>
      </w:tr>
      <w:tr>
        <w:trPr>
          <w:trHeight w:val="215"/>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9"/>
        </w:trPr>
        <w:tc>
          <w:tcPr>
            <w:tcW w:w="3320" w:type="dxa"/>
            <w:vAlign w:val="bottom"/>
          </w:tcPr>
          <w:p>
            <w:pPr>
              <w:ind w:left="20"/>
              <w:spacing w:after="0"/>
              <w:rPr>
                <w:sz w:val="20"/>
                <w:szCs w:val="20"/>
                <w:color w:val="auto"/>
              </w:rPr>
            </w:pPr>
            <w:r>
              <w:rPr>
                <w:rFonts w:ascii="Arial" w:cs="Arial" w:eastAsia="Arial" w:hAnsi="Arial"/>
                <w:sz w:val="16"/>
                <w:szCs w:val="16"/>
                <w:color w:val="auto"/>
              </w:rPr>
              <w:t>Reissuance of treasury stock</w:t>
            </w:r>
          </w:p>
        </w:tc>
        <w:tc>
          <w:tcPr>
            <w:tcW w:w="980" w:type="dxa"/>
            <w:vAlign w:val="bottom"/>
          </w:tcPr>
          <w:p>
            <w:pPr>
              <w:jc w:val="right"/>
              <w:spacing w:after="0"/>
              <w:rPr>
                <w:sz w:val="20"/>
                <w:szCs w:val="20"/>
                <w:color w:val="auto"/>
              </w:rPr>
            </w:pPr>
            <w:r>
              <w:rPr>
                <w:rFonts w:ascii="Arial" w:cs="Arial" w:eastAsia="Arial" w:hAnsi="Arial"/>
                <w:sz w:val="14"/>
                <w:szCs w:val="14"/>
                <w:color w:val="auto"/>
              </w:rPr>
              <w:t>647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220" w:type="dxa"/>
            <w:vAlign w:val="bottom"/>
            <w:gridSpan w:val="3"/>
          </w:tcPr>
          <w:p>
            <w:pPr>
              <w:ind w:left="82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(647)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26,135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25,016</w:t>
            </w:r>
          </w:p>
        </w:tc>
        <w:tc>
          <w:tcPr>
            <w:tcW w:w="0" w:type="dxa"/>
            <w:vAlign w:val="bottom"/>
          </w:tcPr>
          <w:p>
            <w:pPr>
              <w:spacing w:after="0"/>
              <w:rPr>
                <w:sz w:val="1"/>
                <w:szCs w:val="1"/>
                <w:color w:val="auto"/>
              </w:rPr>
            </w:pPr>
          </w:p>
        </w:tc>
      </w:tr>
      <w:tr>
        <w:trPr>
          <w:trHeight w:val="215"/>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issuance of shares for stock plans</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3320" w:type="dxa"/>
            <w:vAlign w:val="bottom"/>
          </w:tcPr>
          <w:p>
            <w:pPr>
              <w:ind w:left="20"/>
              <w:spacing w:after="0"/>
              <w:rPr>
                <w:sz w:val="20"/>
                <w:szCs w:val="20"/>
                <w:color w:val="auto"/>
              </w:rPr>
            </w:pPr>
            <w:r>
              <w:rPr>
                <w:rFonts w:ascii="Arial" w:cs="Arial" w:eastAsia="Arial" w:hAnsi="Arial"/>
                <w:sz w:val="16"/>
                <w:szCs w:val="16"/>
                <w:color w:val="auto"/>
              </w:rPr>
              <w:t>Repurchase of restricted shares for taxes</w:t>
            </w:r>
          </w:p>
        </w:tc>
        <w:tc>
          <w:tcPr>
            <w:tcW w:w="98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220" w:type="dxa"/>
            <w:vAlign w:val="bottom"/>
            <w:gridSpan w:val="3"/>
          </w:tcPr>
          <w:p>
            <w:pPr>
              <w:ind w:left="82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(1,543)</w:t>
            </w:r>
          </w:p>
        </w:tc>
        <w:tc>
          <w:tcPr>
            <w:tcW w:w="0" w:type="dxa"/>
            <w:vAlign w:val="bottom"/>
          </w:tcPr>
          <w:p>
            <w:pPr>
              <w:spacing w:after="0"/>
              <w:rPr>
                <w:sz w:val="1"/>
                <w:szCs w:val="1"/>
                <w:color w:val="auto"/>
              </w:rPr>
            </w:pPr>
          </w:p>
        </w:tc>
      </w:tr>
      <w:tr>
        <w:trPr>
          <w:trHeight w:val="228"/>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8,572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8,572</w:t>
            </w:r>
          </w:p>
        </w:tc>
        <w:tc>
          <w:tcPr>
            <w:tcW w:w="0" w:type="dxa"/>
            <w:vAlign w:val="bottom"/>
          </w:tcPr>
          <w:p>
            <w:pPr>
              <w:spacing w:after="0"/>
              <w:rPr>
                <w:sz w:val="1"/>
                <w:szCs w:val="1"/>
                <w:color w:val="auto"/>
              </w:rPr>
            </w:pPr>
          </w:p>
        </w:tc>
      </w:tr>
      <w:tr>
        <w:trPr>
          <w:trHeight w:val="162"/>
        </w:trPr>
        <w:tc>
          <w:tcPr>
            <w:tcW w:w="3320" w:type="dxa"/>
            <w:vAlign w:val="bottom"/>
          </w:tcPr>
          <w:p>
            <w:pPr>
              <w:ind w:left="20"/>
              <w:spacing w:after="0" w:line="162" w:lineRule="exact"/>
              <w:rPr>
                <w:sz w:val="20"/>
                <w:szCs w:val="20"/>
                <w:color w:val="auto"/>
              </w:rPr>
            </w:pPr>
            <w:r>
              <w:rPr>
                <w:rFonts w:ascii="Arial" w:cs="Arial" w:eastAsia="Arial" w:hAnsi="Arial"/>
                <w:sz w:val="16"/>
                <w:szCs w:val="16"/>
                <w:color w:val="auto"/>
                <w:w w:val="98"/>
              </w:rPr>
              <w:t>Tax payments for share settlement of restricted</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320" w:type="dxa"/>
            <w:vAlign w:val="bottom"/>
          </w:tcPr>
          <w:p>
            <w:pPr>
              <w:ind w:left="20"/>
              <w:spacing w:after="0"/>
              <w:rPr>
                <w:sz w:val="20"/>
                <w:szCs w:val="20"/>
                <w:color w:val="auto"/>
              </w:rPr>
            </w:pPr>
            <w:r>
              <w:rPr>
                <w:rFonts w:ascii="Arial" w:cs="Arial" w:eastAsia="Arial" w:hAnsi="Arial"/>
                <w:sz w:val="16"/>
                <w:szCs w:val="16"/>
                <w:color w:val="auto"/>
              </w:rPr>
              <w:t>stock units</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(9,783)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20" w:type="dxa"/>
            <w:vAlign w:val="bottom"/>
            <w:gridSpan w:val="3"/>
          </w:tcPr>
          <w:p>
            <w:pPr>
              <w:ind w:left="82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(9,783)</w:t>
            </w:r>
          </w:p>
        </w:tc>
        <w:tc>
          <w:tcPr>
            <w:tcW w:w="0" w:type="dxa"/>
            <w:vAlign w:val="bottom"/>
          </w:tcPr>
          <w:p>
            <w:pPr>
              <w:spacing w:after="0"/>
              <w:rPr>
                <w:sz w:val="1"/>
                <w:szCs w:val="1"/>
                <w:color w:val="auto"/>
              </w:rPr>
            </w:pPr>
          </w:p>
        </w:tc>
      </w:tr>
      <w:tr>
        <w:trPr>
          <w:trHeight w:val="206"/>
        </w:trPr>
        <w:tc>
          <w:tcPr>
            <w:tcW w:w="3320" w:type="dxa"/>
            <w:vAlign w:val="bottom"/>
            <w:tcBorders>
              <w:top w:val="single" w:sz="8" w:color="CCEEFF"/>
              <w:bottom w:val="single" w:sz="8" w:color="CCEEFF"/>
            </w:tcBorders>
            <w:shd w:val="clear" w:color="auto" w:fill="CCEEFF"/>
          </w:tcPr>
          <w:p>
            <w:pPr>
              <w:ind w:left="20"/>
              <w:spacing w:after="0" w:line="181" w:lineRule="exact"/>
              <w:rPr>
                <w:sz w:val="20"/>
                <w:szCs w:val="20"/>
                <w:color w:val="auto"/>
              </w:rPr>
            </w:pPr>
            <w:r>
              <w:rPr>
                <w:rFonts w:ascii="Arial" w:cs="Arial" w:eastAsia="Arial" w:hAnsi="Arial"/>
                <w:sz w:val="16"/>
                <w:szCs w:val="16"/>
                <w:b w:val="1"/>
                <w:bCs w:val="1"/>
                <w:color w:val="auto"/>
              </w:rPr>
              <w:t>Balance at September 30, 2021</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17,220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253,751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22,523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7,783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(530,782)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(254,317)</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the accompanying Notes to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94615</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Stockholders' Deficit</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3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9"/>
          </w:tcPr>
          <w:p>
            <w:pPr>
              <w:ind w:left="580"/>
              <w:spacing w:after="0"/>
              <w:rPr>
                <w:sz w:val="20"/>
                <w:szCs w:val="20"/>
                <w:color w:val="auto"/>
              </w:rPr>
            </w:pPr>
            <w:r>
              <w:rPr>
                <w:rFonts w:ascii="Arial" w:cs="Arial" w:eastAsia="Arial" w:hAnsi="Arial"/>
                <w:sz w:val="16"/>
                <w:szCs w:val="16"/>
                <w:b w:val="1"/>
                <w:bCs w:val="1"/>
                <w:color w:val="auto"/>
                <w:w w:val="89"/>
              </w:rPr>
              <w:t>Three Months ended September 30, 2020</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300" w:type="dxa"/>
            <w:vAlign w:val="bottom"/>
          </w:tcPr>
          <w:p>
            <w:pPr>
              <w:spacing w:after="0"/>
              <w:rPr>
                <w:sz w:val="16"/>
                <w:szCs w:val="16"/>
                <w:color w:val="auto"/>
              </w:rPr>
            </w:pPr>
          </w:p>
        </w:tc>
        <w:tc>
          <w:tcPr>
            <w:tcW w:w="176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2"/>
                <w:szCs w:val="12"/>
                <w:b w:val="1"/>
                <w:bCs w:val="1"/>
                <w:color w:val="auto"/>
              </w:rPr>
              <w:t>Common Stock</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2"/>
                <w:szCs w:val="12"/>
                <w:b w:val="1"/>
                <w:bCs w:val="1"/>
                <w:color w:val="auto"/>
              </w:rPr>
              <w:t>Treasury Stock</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3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5"/>
              </w:rPr>
              <w:t>Additional</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2"/>
                <w:szCs w:val="12"/>
                <w:b w:val="1"/>
                <w:bCs w:val="1"/>
                <w:color w:val="auto"/>
                <w:w w:val="92"/>
              </w:rPr>
              <w:t>Accumulated</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300" w:type="dxa"/>
            <w:vAlign w:val="bottom"/>
          </w:tcPr>
          <w:p>
            <w:pPr>
              <w:spacing w:after="0"/>
              <w:rPr>
                <w:sz w:val="10"/>
                <w:szCs w:val="10"/>
                <w:color w:val="auto"/>
              </w:rPr>
            </w:pP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2"/>
                <w:szCs w:val="12"/>
                <w:b w:val="1"/>
                <w:bCs w:val="1"/>
                <w:color w:val="auto"/>
                <w:w w:val="84"/>
              </w:rPr>
              <w:t>Shares</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3"/>
              </w:rPr>
              <w:t>(Accumulated</w:t>
            </w:r>
          </w:p>
        </w:tc>
        <w:tc>
          <w:tcPr>
            <w:tcW w:w="140" w:type="dxa"/>
            <w:vAlign w:val="bottom"/>
          </w:tcPr>
          <w:p>
            <w:pPr>
              <w:spacing w:after="0"/>
              <w:rPr>
                <w:sz w:val="10"/>
                <w:szCs w:val="10"/>
                <w:color w:val="auto"/>
              </w:rPr>
            </w:pPr>
          </w:p>
        </w:tc>
        <w:tc>
          <w:tcPr>
            <w:tcW w:w="1240" w:type="dxa"/>
            <w:vAlign w:val="bottom"/>
            <w:gridSpan w:val="3"/>
          </w:tcPr>
          <w:p>
            <w:pPr>
              <w:jc w:val="center"/>
              <w:ind w:right="360"/>
              <w:spacing w:after="0" w:line="120" w:lineRule="exact"/>
              <w:rPr>
                <w:sz w:val="20"/>
                <w:szCs w:val="20"/>
                <w:color w:val="auto"/>
              </w:rPr>
            </w:pPr>
            <w:r>
              <w:rPr>
                <w:rFonts w:ascii="Arial" w:cs="Arial" w:eastAsia="Arial" w:hAnsi="Arial"/>
                <w:sz w:val="12"/>
                <w:szCs w:val="12"/>
                <w:b w:val="1"/>
                <w:bCs w:val="1"/>
                <w:color w:val="auto"/>
                <w:w w:val="99"/>
              </w:rPr>
              <w:t>Other</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330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0"/>
                <w:szCs w:val="10"/>
                <w:color w:val="auto"/>
              </w:rPr>
            </w:pPr>
          </w:p>
        </w:tc>
        <w:tc>
          <w:tcPr>
            <w:tcW w:w="860" w:type="dxa"/>
            <w:vAlign w:val="bottom"/>
            <w:gridSpan w:val="2"/>
          </w:tcPr>
          <w:p>
            <w:pPr>
              <w:jc w:val="center"/>
              <w:ind w:right="240"/>
              <w:spacing w:after="0" w:line="120" w:lineRule="exact"/>
              <w:rPr>
                <w:sz w:val="20"/>
                <w:szCs w:val="20"/>
                <w:color w:val="auto"/>
              </w:rPr>
            </w:pPr>
            <w:r>
              <w:rPr>
                <w:rFonts w:ascii="Arial" w:cs="Arial" w:eastAsia="Arial" w:hAnsi="Arial"/>
                <w:sz w:val="12"/>
                <w:szCs w:val="12"/>
                <w:b w:val="1"/>
                <w:bCs w:val="1"/>
                <w:color w:val="auto"/>
                <w:w w:val="94"/>
              </w:rPr>
              <w:t>Paid-in</w:t>
            </w:r>
          </w:p>
        </w:tc>
        <w:tc>
          <w:tcPr>
            <w:tcW w:w="10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3"/>
          </w:tcPr>
          <w:p>
            <w:pPr>
              <w:jc w:val="center"/>
              <w:ind w:right="340"/>
              <w:spacing w:after="0" w:line="120" w:lineRule="exact"/>
              <w:rPr>
                <w:sz w:val="20"/>
                <w:szCs w:val="20"/>
                <w:color w:val="auto"/>
              </w:rPr>
            </w:pPr>
            <w:r>
              <w:rPr>
                <w:rFonts w:ascii="Arial" w:cs="Arial" w:eastAsia="Arial" w:hAnsi="Arial"/>
                <w:sz w:val="12"/>
                <w:szCs w:val="12"/>
                <w:b w:val="1"/>
                <w:bCs w:val="1"/>
                <w:color w:val="auto"/>
                <w:w w:val="91"/>
              </w:rPr>
              <w:t>Comprehensive</w:t>
            </w: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0"/>
                <w:szCs w:val="10"/>
                <w:color w:val="auto"/>
              </w:rPr>
            </w:pPr>
          </w:p>
        </w:tc>
        <w:tc>
          <w:tcPr>
            <w:tcW w:w="8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Cost</w:t>
            </w:r>
          </w:p>
        </w:tc>
        <w:tc>
          <w:tcPr>
            <w:tcW w:w="200" w:type="dxa"/>
            <w:vAlign w:val="bottom"/>
          </w:tcPr>
          <w:p>
            <w:pPr>
              <w:spacing w:after="0"/>
              <w:rPr>
                <w:sz w:val="10"/>
                <w:szCs w:val="10"/>
                <w:color w:val="auto"/>
              </w:rPr>
            </w:pPr>
          </w:p>
        </w:tc>
        <w:tc>
          <w:tcPr>
            <w:tcW w:w="740" w:type="dxa"/>
            <w:vAlign w:val="bottom"/>
            <w:vMerge w:val="restart"/>
          </w:tcPr>
          <w:p>
            <w:pPr>
              <w:jc w:val="right"/>
              <w:ind w:right="27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6"/>
        </w:trPr>
        <w:tc>
          <w:tcPr>
            <w:tcW w:w="3300" w:type="dxa"/>
            <w:vAlign w:val="bottom"/>
          </w:tcPr>
          <w:p>
            <w:pPr>
              <w:spacing w:after="0"/>
              <w:rPr>
                <w:sz w:val="14"/>
                <w:szCs w:val="14"/>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3"/>
              </w:rPr>
              <w:t>Outstanding</w:t>
            </w: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9"/>
              </w:rPr>
              <w:t>Capital</w:t>
            </w: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3"/>
              </w:rPr>
              <w:t>Deficit)</w:t>
            </w:r>
          </w:p>
        </w:tc>
        <w:tc>
          <w:tcPr>
            <w:tcW w:w="140" w:type="dxa"/>
            <w:vAlign w:val="bottom"/>
          </w:tcPr>
          <w:p>
            <w:pPr>
              <w:spacing w:after="0"/>
              <w:rPr>
                <w:sz w:val="14"/>
                <w:szCs w:val="14"/>
                <w:color w:val="auto"/>
              </w:rPr>
            </w:pPr>
          </w:p>
        </w:tc>
        <w:tc>
          <w:tcPr>
            <w:tcW w:w="1240" w:type="dxa"/>
            <w:vAlign w:val="bottom"/>
            <w:gridSpan w:val="3"/>
          </w:tcPr>
          <w:p>
            <w:pPr>
              <w:jc w:val="center"/>
              <w:ind w:right="360"/>
              <w:spacing w:after="0"/>
              <w:rPr>
                <w:sz w:val="20"/>
                <w:szCs w:val="20"/>
                <w:color w:val="auto"/>
              </w:rPr>
            </w:pPr>
            <w:r>
              <w:rPr>
                <w:rFonts w:ascii="Arial" w:cs="Arial" w:eastAsia="Arial" w:hAnsi="Arial"/>
                <w:sz w:val="12"/>
                <w:szCs w:val="12"/>
                <w:b w:val="1"/>
                <w:bCs w:val="1"/>
                <w:color w:val="auto"/>
                <w:w w:val="85"/>
              </w:rPr>
              <w:t>Loss</w:t>
            </w:r>
          </w:p>
        </w:tc>
        <w:tc>
          <w:tcPr>
            <w:tcW w:w="6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2020</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16,418</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249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254,429</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(64,010)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8,483</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(559,181)</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(368,571)</w:t>
            </w:r>
          </w:p>
        </w:tc>
        <w:tc>
          <w:tcPr>
            <w:tcW w:w="0" w:type="dxa"/>
            <w:vAlign w:val="bottom"/>
          </w:tcPr>
          <w:p>
            <w:pPr>
              <w:spacing w:after="0"/>
              <w:rPr>
                <w:sz w:val="1"/>
                <w:szCs w:val="1"/>
                <w:color w:val="auto"/>
              </w:rPr>
            </w:pPr>
          </w:p>
        </w:tc>
      </w:tr>
      <w:tr>
        <w:trPr>
          <w:trHeight w:val="210"/>
        </w:trPr>
        <w:tc>
          <w:tcPr>
            <w:tcW w:w="3300" w:type="dxa"/>
            <w:vAlign w:val="bottom"/>
          </w:tcPr>
          <w:p>
            <w:pPr>
              <w:ind w:left="20"/>
              <w:spacing w:after="0"/>
              <w:rPr>
                <w:sz w:val="20"/>
                <w:szCs w:val="20"/>
                <w:color w:val="auto"/>
              </w:rPr>
            </w:pPr>
            <w:r>
              <w:rPr>
                <w:rFonts w:ascii="Arial" w:cs="Arial" w:eastAsia="Arial" w:hAnsi="Arial"/>
                <w:sz w:val="16"/>
                <w:szCs w:val="16"/>
                <w:color w:val="auto"/>
              </w:rPr>
              <w:t>Net loss</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10,018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10,018</w:t>
            </w:r>
          </w:p>
        </w:tc>
        <w:tc>
          <w:tcPr>
            <w:tcW w:w="0" w:type="dxa"/>
            <w:vAlign w:val="bottom"/>
          </w:tcPr>
          <w:p>
            <w:pPr>
              <w:spacing w:after="0"/>
              <w:rPr>
                <w:sz w:val="1"/>
                <w:szCs w:val="1"/>
                <w:color w:val="auto"/>
              </w:rPr>
            </w:pPr>
          </w:p>
        </w:tc>
      </w:tr>
      <w:tr>
        <w:trPr>
          <w:trHeight w:val="214"/>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10"/>
        </w:trPr>
        <w:tc>
          <w:tcPr>
            <w:tcW w:w="3300" w:type="dxa"/>
            <w:vAlign w:val="bottom"/>
          </w:tcPr>
          <w:p>
            <w:pPr>
              <w:ind w:left="20"/>
              <w:spacing w:after="0"/>
              <w:rPr>
                <w:sz w:val="20"/>
                <w:szCs w:val="20"/>
                <w:color w:val="auto"/>
              </w:rPr>
            </w:pPr>
            <w:r>
              <w:rPr>
                <w:rFonts w:ascii="Arial" w:cs="Arial" w:eastAsia="Arial" w:hAnsi="Arial"/>
                <w:sz w:val="16"/>
                <w:szCs w:val="16"/>
                <w:color w:val="auto"/>
              </w:rPr>
              <w:t>Reissuance of treasury stock</w:t>
            </w:r>
          </w:p>
        </w:tc>
        <w:tc>
          <w:tcPr>
            <w:tcW w:w="980" w:type="dxa"/>
            <w:vAlign w:val="bottom"/>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24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709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4"/>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use of shares for stock plans</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3300" w:type="dxa"/>
            <w:vAlign w:val="bottom"/>
          </w:tcPr>
          <w:p>
            <w:pPr>
              <w:ind w:left="20"/>
              <w:spacing w:after="0"/>
              <w:rPr>
                <w:sz w:val="20"/>
                <w:szCs w:val="20"/>
                <w:color w:val="auto"/>
              </w:rPr>
            </w:pPr>
            <w:r>
              <w:rPr>
                <w:rFonts w:ascii="Arial" w:cs="Arial" w:eastAsia="Arial" w:hAnsi="Arial"/>
                <w:sz w:val="16"/>
                <w:szCs w:val="16"/>
                <w:color w:val="auto"/>
              </w:rPr>
              <w:t>Repurchase of restricted shares for taxes</w:t>
            </w:r>
          </w:p>
        </w:tc>
        <w:tc>
          <w:tcPr>
            <w:tcW w:w="98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24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(309)</w:t>
            </w:r>
          </w:p>
        </w:tc>
        <w:tc>
          <w:tcPr>
            <w:tcW w:w="0" w:type="dxa"/>
            <w:vAlign w:val="bottom"/>
          </w:tcPr>
          <w:p>
            <w:pPr>
              <w:spacing w:after="0"/>
              <w:rPr>
                <w:sz w:val="1"/>
                <w:szCs w:val="1"/>
                <w:color w:val="auto"/>
              </w:rPr>
            </w:pPr>
          </w:p>
        </w:tc>
      </w:tr>
      <w:tr>
        <w:trPr>
          <w:trHeight w:val="214"/>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2,523</w:t>
            </w:r>
          </w:p>
        </w:tc>
        <w:tc>
          <w:tcPr>
            <w:tcW w:w="0" w:type="dxa"/>
            <w:vAlign w:val="bottom"/>
          </w:tcPr>
          <w:p>
            <w:pPr>
              <w:spacing w:after="0"/>
              <w:rPr>
                <w:sz w:val="1"/>
                <w:szCs w:val="1"/>
                <w:color w:val="auto"/>
              </w:rPr>
            </w:pPr>
          </w:p>
        </w:tc>
      </w:tr>
      <w:tr>
        <w:trPr>
          <w:trHeight w:val="162"/>
        </w:trPr>
        <w:tc>
          <w:tcPr>
            <w:tcW w:w="3300" w:type="dxa"/>
            <w:vAlign w:val="bottom"/>
          </w:tcPr>
          <w:p>
            <w:pPr>
              <w:ind w:left="20"/>
              <w:spacing w:after="0" w:line="162" w:lineRule="exact"/>
              <w:rPr>
                <w:sz w:val="20"/>
                <w:szCs w:val="20"/>
                <w:color w:val="auto"/>
              </w:rPr>
            </w:pPr>
            <w:r>
              <w:rPr>
                <w:rFonts w:ascii="Arial" w:cs="Arial" w:eastAsia="Arial" w:hAnsi="Arial"/>
                <w:sz w:val="16"/>
                <w:szCs w:val="16"/>
                <w:color w:val="auto"/>
                <w:w w:val="97"/>
              </w:rPr>
              <w:t>Tax payments for share settlement of restricted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300" w:type="dxa"/>
            <w:vAlign w:val="bottom"/>
          </w:tcPr>
          <w:p>
            <w:pPr>
              <w:ind w:left="20"/>
              <w:spacing w:after="0"/>
              <w:rPr>
                <w:sz w:val="20"/>
                <w:szCs w:val="20"/>
                <w:color w:val="auto"/>
              </w:rPr>
            </w:pPr>
            <w:r>
              <w:rPr>
                <w:rFonts w:ascii="Arial" w:cs="Arial" w:eastAsia="Arial" w:hAnsi="Arial"/>
                <w:sz w:val="16"/>
                <w:szCs w:val="16"/>
                <w:color w:val="auto"/>
              </w:rPr>
              <w:t>stock units</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4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06"/>
        </w:trPr>
        <w:tc>
          <w:tcPr>
            <w:tcW w:w="3300" w:type="dxa"/>
            <w:vAlign w:val="bottom"/>
            <w:tcBorders>
              <w:top w:val="single" w:sz="8" w:color="CCEEFF"/>
              <w:bottom w:val="single" w:sz="8" w:color="CCEEFF"/>
            </w:tcBorders>
            <w:shd w:val="clear" w:color="auto" w:fill="CCEEFF"/>
          </w:tcPr>
          <w:p>
            <w:pPr>
              <w:ind w:left="20"/>
              <w:spacing w:after="0" w:line="181" w:lineRule="exact"/>
              <w:rPr>
                <w:sz w:val="20"/>
                <w:szCs w:val="20"/>
                <w:color w:val="auto"/>
              </w:rPr>
            </w:pPr>
            <w:r>
              <w:rPr>
                <w:rFonts w:ascii="Arial" w:cs="Arial" w:eastAsia="Arial" w:hAnsi="Arial"/>
                <w:sz w:val="16"/>
                <w:szCs w:val="16"/>
                <w:b w:val="1"/>
                <w:bCs w:val="1"/>
                <w:color w:val="auto"/>
              </w:rPr>
              <w:t>Balance at September 30, 2020</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16,417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249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255,907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(53,992)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8,467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(558,472)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(356,364)</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7"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3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9"/>
          </w:tcPr>
          <w:p>
            <w:pPr>
              <w:ind w:left="620"/>
              <w:spacing w:after="0"/>
              <w:rPr>
                <w:sz w:val="20"/>
                <w:szCs w:val="20"/>
                <w:color w:val="auto"/>
              </w:rPr>
            </w:pPr>
            <w:r>
              <w:rPr>
                <w:rFonts w:ascii="Arial" w:cs="Arial" w:eastAsia="Arial" w:hAnsi="Arial"/>
                <w:sz w:val="16"/>
                <w:szCs w:val="16"/>
                <w:b w:val="1"/>
                <w:bCs w:val="1"/>
                <w:color w:val="auto"/>
                <w:w w:val="89"/>
              </w:rPr>
              <w:t>Nine Months ended September 30, 2020</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320" w:type="dxa"/>
            <w:vAlign w:val="bottom"/>
          </w:tcPr>
          <w:p>
            <w:pPr>
              <w:spacing w:after="0"/>
              <w:rPr>
                <w:sz w:val="16"/>
                <w:szCs w:val="16"/>
                <w:color w:val="auto"/>
              </w:rPr>
            </w:pPr>
          </w:p>
        </w:tc>
        <w:tc>
          <w:tcPr>
            <w:tcW w:w="174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2"/>
                <w:szCs w:val="12"/>
                <w:b w:val="1"/>
                <w:bCs w:val="1"/>
                <w:color w:val="auto"/>
              </w:rPr>
              <w:t>Common Stock</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2"/>
                <w:szCs w:val="12"/>
                <w:b w:val="1"/>
                <w:bCs w:val="1"/>
                <w:color w:val="auto"/>
              </w:rPr>
              <w:t>Treasury Stock</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3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8"/>
              </w:rPr>
              <w:t>Additional</w:t>
            </w:r>
          </w:p>
        </w:tc>
        <w:tc>
          <w:tcPr>
            <w:tcW w:w="114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Retained Earnings</w:t>
            </w:r>
          </w:p>
        </w:tc>
        <w:tc>
          <w:tcPr>
            <w:tcW w:w="140" w:type="dxa"/>
            <w:vAlign w:val="bottom"/>
          </w:tcPr>
          <w:p>
            <w:pPr>
              <w:spacing w:after="0"/>
              <w:rPr>
                <w:sz w:val="13"/>
                <w:szCs w:val="13"/>
                <w:color w:val="auto"/>
              </w:rPr>
            </w:pPr>
          </w:p>
        </w:tc>
        <w:tc>
          <w:tcPr>
            <w:tcW w:w="1220" w:type="dxa"/>
            <w:vAlign w:val="bottom"/>
            <w:gridSpan w:val="3"/>
          </w:tcPr>
          <w:p>
            <w:pPr>
              <w:jc w:val="center"/>
              <w:ind w:right="320"/>
              <w:spacing w:after="0"/>
              <w:rPr>
                <w:sz w:val="20"/>
                <w:szCs w:val="20"/>
                <w:color w:val="auto"/>
              </w:rPr>
            </w:pPr>
            <w:r>
              <w:rPr>
                <w:rFonts w:ascii="Arial" w:cs="Arial" w:eastAsia="Arial" w:hAnsi="Arial"/>
                <w:sz w:val="12"/>
                <w:szCs w:val="12"/>
                <w:b w:val="1"/>
                <w:bCs w:val="1"/>
                <w:color w:val="auto"/>
                <w:w w:val="92"/>
              </w:rPr>
              <w:t>Accumulated</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320" w:type="dxa"/>
            <w:vAlign w:val="bottom"/>
          </w:tcPr>
          <w:p>
            <w:pPr>
              <w:spacing w:after="0"/>
              <w:rPr>
                <w:sz w:val="10"/>
                <w:szCs w:val="10"/>
                <w:color w:val="auto"/>
              </w:rPr>
            </w:pP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84"/>
              </w:rPr>
              <w:t>Shares</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14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3"/>
          </w:tcPr>
          <w:p>
            <w:pPr>
              <w:jc w:val="center"/>
              <w:ind w:right="320"/>
              <w:spacing w:after="0" w:line="120" w:lineRule="exact"/>
              <w:rPr>
                <w:sz w:val="20"/>
                <w:szCs w:val="20"/>
                <w:color w:val="auto"/>
              </w:rPr>
            </w:pPr>
            <w:r>
              <w:rPr>
                <w:rFonts w:ascii="Arial" w:cs="Arial" w:eastAsia="Arial" w:hAnsi="Arial"/>
                <w:sz w:val="12"/>
                <w:szCs w:val="12"/>
                <w:b w:val="1"/>
                <w:bCs w:val="1"/>
                <w:color w:val="auto"/>
                <w:w w:val="93"/>
              </w:rPr>
              <w:t>Other</w:t>
            </w: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332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0"/>
                <w:szCs w:val="10"/>
                <w:color w:val="auto"/>
              </w:rPr>
            </w:pPr>
          </w:p>
        </w:tc>
        <w:tc>
          <w:tcPr>
            <w:tcW w:w="840" w:type="dxa"/>
            <w:vAlign w:val="bottom"/>
            <w:gridSpan w:val="2"/>
          </w:tcPr>
          <w:p>
            <w:pPr>
              <w:jc w:val="center"/>
              <w:ind w:right="220"/>
              <w:spacing w:after="0" w:line="120" w:lineRule="exact"/>
              <w:rPr>
                <w:sz w:val="20"/>
                <w:szCs w:val="20"/>
                <w:color w:val="auto"/>
              </w:rPr>
            </w:pPr>
            <w:r>
              <w:rPr>
                <w:rFonts w:ascii="Arial" w:cs="Arial" w:eastAsia="Arial" w:hAnsi="Arial"/>
                <w:sz w:val="12"/>
                <w:szCs w:val="12"/>
                <w:b w:val="1"/>
                <w:bCs w:val="1"/>
                <w:color w:val="auto"/>
                <w:w w:val="94"/>
              </w:rPr>
              <w:t>Paid-in</w:t>
            </w:r>
          </w:p>
        </w:tc>
        <w:tc>
          <w:tcPr>
            <w:tcW w:w="120" w:type="dxa"/>
            <w:vAlign w:val="bottom"/>
          </w:tcPr>
          <w:p>
            <w:pPr>
              <w:spacing w:after="0"/>
              <w:rPr>
                <w:sz w:val="10"/>
                <w:szCs w:val="10"/>
                <w:color w:val="auto"/>
              </w:rPr>
            </w:pPr>
          </w:p>
        </w:tc>
        <w:tc>
          <w:tcPr>
            <w:tcW w:w="1020" w:type="dxa"/>
            <w:vAlign w:val="bottom"/>
            <w:gridSpan w:val="2"/>
          </w:tcPr>
          <w:p>
            <w:pPr>
              <w:jc w:val="center"/>
              <w:ind w:right="240"/>
              <w:spacing w:after="0" w:line="120" w:lineRule="exact"/>
              <w:rPr>
                <w:sz w:val="20"/>
                <w:szCs w:val="20"/>
                <w:color w:val="auto"/>
              </w:rPr>
            </w:pPr>
            <w:r>
              <w:rPr>
                <w:rFonts w:ascii="Arial" w:cs="Arial" w:eastAsia="Arial" w:hAnsi="Arial"/>
                <w:sz w:val="12"/>
                <w:szCs w:val="12"/>
                <w:b w:val="1"/>
                <w:bCs w:val="1"/>
                <w:color w:val="auto"/>
                <w:w w:val="93"/>
              </w:rPr>
              <w:t>(Accumulated</w:t>
            </w:r>
          </w:p>
        </w:tc>
        <w:tc>
          <w:tcPr>
            <w:tcW w:w="140" w:type="dxa"/>
            <w:vAlign w:val="bottom"/>
          </w:tcPr>
          <w:p>
            <w:pPr>
              <w:spacing w:after="0"/>
              <w:rPr>
                <w:sz w:val="10"/>
                <w:szCs w:val="10"/>
                <w:color w:val="auto"/>
              </w:rPr>
            </w:pPr>
          </w:p>
        </w:tc>
        <w:tc>
          <w:tcPr>
            <w:tcW w:w="1220" w:type="dxa"/>
            <w:vAlign w:val="bottom"/>
            <w:gridSpan w:val="3"/>
          </w:tcPr>
          <w:p>
            <w:pPr>
              <w:jc w:val="center"/>
              <w:ind w:right="320"/>
              <w:spacing w:after="0" w:line="120" w:lineRule="exact"/>
              <w:rPr>
                <w:sz w:val="20"/>
                <w:szCs w:val="20"/>
                <w:color w:val="auto"/>
              </w:rPr>
            </w:pPr>
            <w:r>
              <w:rPr>
                <w:rFonts w:ascii="Arial" w:cs="Arial" w:eastAsia="Arial" w:hAnsi="Arial"/>
                <w:sz w:val="12"/>
                <w:szCs w:val="12"/>
                <w:b w:val="1"/>
                <w:bCs w:val="1"/>
                <w:color w:val="auto"/>
                <w:w w:val="91"/>
              </w:rPr>
              <w:t>Comprehensive</w:t>
            </w:r>
          </w:p>
        </w:tc>
        <w:tc>
          <w:tcPr>
            <w:tcW w:w="6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0"/>
                <w:szCs w:val="10"/>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Cost</w:t>
            </w:r>
          </w:p>
        </w:tc>
        <w:tc>
          <w:tcPr>
            <w:tcW w:w="200" w:type="dxa"/>
            <w:vAlign w:val="bottom"/>
          </w:tcPr>
          <w:p>
            <w:pPr>
              <w:spacing w:after="0"/>
              <w:rPr>
                <w:sz w:val="10"/>
                <w:szCs w:val="10"/>
                <w:color w:val="auto"/>
              </w:rPr>
            </w:pPr>
          </w:p>
        </w:tc>
        <w:tc>
          <w:tcPr>
            <w:tcW w:w="740" w:type="dxa"/>
            <w:vAlign w:val="bottom"/>
            <w:vMerge w:val="restart"/>
          </w:tcPr>
          <w:p>
            <w:pPr>
              <w:jc w:val="right"/>
              <w:ind w:right="27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6"/>
        </w:trPr>
        <w:tc>
          <w:tcPr>
            <w:tcW w:w="3320" w:type="dxa"/>
            <w:vAlign w:val="bottom"/>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3"/>
              </w:rPr>
              <w:t>Outstanding</w:t>
            </w: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4"/>
              </w:rPr>
              <w:t>Capital</w:t>
            </w: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8"/>
              </w:rPr>
              <w:t>Deficit)</w:t>
            </w:r>
          </w:p>
        </w:tc>
        <w:tc>
          <w:tcPr>
            <w:tcW w:w="140" w:type="dxa"/>
            <w:vAlign w:val="bottom"/>
          </w:tcPr>
          <w:p>
            <w:pPr>
              <w:spacing w:after="0"/>
              <w:rPr>
                <w:sz w:val="14"/>
                <w:szCs w:val="14"/>
                <w:color w:val="auto"/>
              </w:rPr>
            </w:pPr>
          </w:p>
        </w:tc>
        <w:tc>
          <w:tcPr>
            <w:tcW w:w="1220" w:type="dxa"/>
            <w:vAlign w:val="bottom"/>
            <w:gridSpan w:val="3"/>
          </w:tcPr>
          <w:p>
            <w:pPr>
              <w:jc w:val="center"/>
              <w:ind w:right="340"/>
              <w:spacing w:after="0"/>
              <w:rPr>
                <w:sz w:val="20"/>
                <w:szCs w:val="20"/>
                <w:color w:val="auto"/>
              </w:rPr>
            </w:pPr>
            <w:r>
              <w:rPr>
                <w:rFonts w:ascii="Arial" w:cs="Arial" w:eastAsia="Arial" w:hAnsi="Arial"/>
                <w:sz w:val="12"/>
                <w:szCs w:val="12"/>
                <w:b w:val="1"/>
                <w:bCs w:val="1"/>
                <w:color w:val="auto"/>
                <w:w w:val="85"/>
              </w:rPr>
              <w:t>Loss</w:t>
            </w:r>
          </w:p>
        </w:tc>
        <w:tc>
          <w:tcPr>
            <w:tcW w:w="6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2019</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16,522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246,192</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61,653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8,404</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(549,810)</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(241,774)</w:t>
            </w:r>
          </w:p>
        </w:tc>
        <w:tc>
          <w:tcPr>
            <w:tcW w:w="0" w:type="dxa"/>
            <w:vAlign w:val="bottom"/>
          </w:tcPr>
          <w:p>
            <w:pPr>
              <w:spacing w:after="0"/>
              <w:rPr>
                <w:sz w:val="1"/>
                <w:szCs w:val="1"/>
                <w:color w:val="auto"/>
              </w:rPr>
            </w:pPr>
          </w:p>
        </w:tc>
      </w:tr>
      <w:tr>
        <w:trPr>
          <w:trHeight w:val="162"/>
        </w:trPr>
        <w:tc>
          <w:tcPr>
            <w:tcW w:w="3320" w:type="dxa"/>
            <w:vAlign w:val="bottom"/>
          </w:tcPr>
          <w:p>
            <w:pPr>
              <w:ind w:left="20"/>
              <w:spacing w:after="0" w:line="162" w:lineRule="exact"/>
              <w:rPr>
                <w:sz w:val="20"/>
                <w:szCs w:val="20"/>
                <w:color w:val="auto"/>
              </w:rPr>
            </w:pPr>
            <w:r>
              <w:rPr>
                <w:rFonts w:ascii="Arial" w:cs="Arial" w:eastAsia="Arial" w:hAnsi="Arial"/>
                <w:sz w:val="16"/>
                <w:szCs w:val="16"/>
                <w:color w:val="auto"/>
              </w:rPr>
              <w:t>Adoption of credit loss accounting guidance</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320" w:type="dxa"/>
            <w:vAlign w:val="bottom"/>
          </w:tcPr>
          <w:p>
            <w:pPr>
              <w:ind w:left="20"/>
              <w:spacing w:after="0"/>
              <w:rPr>
                <w:sz w:val="20"/>
                <w:szCs w:val="20"/>
                <w:color w:val="auto"/>
              </w:rPr>
            </w:pPr>
            <w:r>
              <w:rPr>
                <w:rFonts w:ascii="Arial" w:cs="Arial" w:eastAsia="Arial" w:hAnsi="Arial"/>
                <w:sz w:val="16"/>
                <w:szCs w:val="16"/>
                <w:color w:val="auto"/>
              </w:rPr>
              <w:t>(Note 3)</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(497)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(497)</w:t>
            </w:r>
          </w:p>
        </w:tc>
        <w:tc>
          <w:tcPr>
            <w:tcW w:w="0" w:type="dxa"/>
            <w:vAlign w:val="bottom"/>
          </w:tcPr>
          <w:p>
            <w:pPr>
              <w:spacing w:after="0"/>
              <w:rPr>
                <w:sz w:val="1"/>
                <w:szCs w:val="1"/>
                <w:color w:val="auto"/>
              </w:rPr>
            </w:pPr>
          </w:p>
        </w:tc>
      </w:tr>
      <w:tr>
        <w:trPr>
          <w:trHeight w:val="215"/>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(102,433)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(102,433)</w:t>
            </w:r>
          </w:p>
        </w:tc>
        <w:tc>
          <w:tcPr>
            <w:tcW w:w="0" w:type="dxa"/>
            <w:vAlign w:val="bottom"/>
          </w:tcPr>
          <w:p>
            <w:pPr>
              <w:spacing w:after="0"/>
              <w:rPr>
                <w:sz w:val="1"/>
                <w:szCs w:val="1"/>
                <w:color w:val="auto"/>
              </w:rPr>
            </w:pPr>
          </w:p>
        </w:tc>
      </w:tr>
      <w:tr>
        <w:trPr>
          <w:trHeight w:val="210"/>
        </w:trPr>
        <w:tc>
          <w:tcPr>
            <w:tcW w:w="332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15"/>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Company common stock</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(26,527)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(26,527)</w:t>
            </w:r>
          </w:p>
        </w:tc>
        <w:tc>
          <w:tcPr>
            <w:tcW w:w="0" w:type="dxa"/>
            <w:vAlign w:val="bottom"/>
          </w:tcPr>
          <w:p>
            <w:pPr>
              <w:spacing w:after="0"/>
              <w:rPr>
                <w:sz w:val="1"/>
                <w:szCs w:val="1"/>
                <w:color w:val="auto"/>
              </w:rPr>
            </w:pPr>
          </w:p>
        </w:tc>
      </w:tr>
      <w:tr>
        <w:trPr>
          <w:trHeight w:val="209"/>
        </w:trPr>
        <w:tc>
          <w:tcPr>
            <w:tcW w:w="3320" w:type="dxa"/>
            <w:vAlign w:val="bottom"/>
          </w:tcPr>
          <w:p>
            <w:pPr>
              <w:ind w:left="20"/>
              <w:spacing w:after="0"/>
              <w:rPr>
                <w:sz w:val="20"/>
                <w:szCs w:val="20"/>
                <w:color w:val="auto"/>
              </w:rPr>
            </w:pPr>
            <w:r>
              <w:rPr>
                <w:rFonts w:ascii="Arial" w:cs="Arial" w:eastAsia="Arial" w:hAnsi="Arial"/>
                <w:sz w:val="16"/>
                <w:szCs w:val="16"/>
                <w:color w:val="auto"/>
              </w:rPr>
              <w:t>Reissuance of treasury stock</w:t>
            </w:r>
          </w:p>
        </w:tc>
        <w:tc>
          <w:tcPr>
            <w:tcW w:w="980" w:type="dxa"/>
            <w:vAlign w:val="bottom"/>
          </w:tcPr>
          <w:p>
            <w:pPr>
              <w:jc w:val="right"/>
              <w:spacing w:after="0"/>
              <w:rPr>
                <w:sz w:val="20"/>
                <w:szCs w:val="20"/>
                <w:color w:val="auto"/>
              </w:rPr>
            </w:pPr>
            <w:r>
              <w:rPr>
                <w:rFonts w:ascii="Arial" w:cs="Arial" w:eastAsia="Arial" w:hAnsi="Arial"/>
                <w:sz w:val="14"/>
                <w:szCs w:val="14"/>
                <w:color w:val="auto"/>
              </w:rPr>
              <w:t>397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(397)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17,865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20,523</w:t>
            </w:r>
          </w:p>
        </w:tc>
        <w:tc>
          <w:tcPr>
            <w:tcW w:w="0" w:type="dxa"/>
            <w:vAlign w:val="bottom"/>
          </w:tcPr>
          <w:p>
            <w:pPr>
              <w:spacing w:after="0"/>
              <w:rPr>
                <w:sz w:val="1"/>
                <w:szCs w:val="1"/>
                <w:color w:val="auto"/>
              </w:rPr>
            </w:pPr>
          </w:p>
        </w:tc>
      </w:tr>
      <w:tr>
        <w:trPr>
          <w:trHeight w:val="215"/>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use of shares for stock plans</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3320" w:type="dxa"/>
            <w:vAlign w:val="bottom"/>
          </w:tcPr>
          <w:p>
            <w:pPr>
              <w:ind w:left="20"/>
              <w:spacing w:after="0"/>
              <w:rPr>
                <w:sz w:val="20"/>
                <w:szCs w:val="20"/>
                <w:color w:val="auto"/>
              </w:rPr>
            </w:pPr>
            <w:r>
              <w:rPr>
                <w:rFonts w:ascii="Arial" w:cs="Arial" w:eastAsia="Arial" w:hAnsi="Arial"/>
                <w:sz w:val="16"/>
                <w:szCs w:val="16"/>
                <w:color w:val="auto"/>
              </w:rPr>
              <w:t>Repurchase of restricted shares for taxes</w:t>
            </w:r>
          </w:p>
        </w:tc>
        <w:tc>
          <w:tcPr>
            <w:tcW w:w="98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(2,438)</w:t>
            </w:r>
          </w:p>
        </w:tc>
        <w:tc>
          <w:tcPr>
            <w:tcW w:w="0" w:type="dxa"/>
            <w:vAlign w:val="bottom"/>
          </w:tcPr>
          <w:p>
            <w:pPr>
              <w:spacing w:after="0"/>
              <w:rPr>
                <w:sz w:val="1"/>
                <w:szCs w:val="1"/>
                <w:color w:val="auto"/>
              </w:rPr>
            </w:pPr>
          </w:p>
        </w:tc>
      </w:tr>
      <w:tr>
        <w:trPr>
          <w:trHeight w:val="215"/>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9,193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9,193</w:t>
            </w:r>
          </w:p>
        </w:tc>
        <w:tc>
          <w:tcPr>
            <w:tcW w:w="0" w:type="dxa"/>
            <w:vAlign w:val="bottom"/>
          </w:tcPr>
          <w:p>
            <w:pPr>
              <w:spacing w:after="0"/>
              <w:rPr>
                <w:sz w:val="1"/>
                <w:szCs w:val="1"/>
                <w:color w:val="auto"/>
              </w:rPr>
            </w:pPr>
          </w:p>
        </w:tc>
      </w:tr>
      <w:tr>
        <w:trPr>
          <w:trHeight w:val="209"/>
        </w:trPr>
        <w:tc>
          <w:tcPr>
            <w:tcW w:w="3320" w:type="dxa"/>
            <w:vAlign w:val="bottom"/>
          </w:tcPr>
          <w:p>
            <w:pPr>
              <w:ind w:left="20"/>
              <w:spacing w:after="0"/>
              <w:rPr>
                <w:sz w:val="20"/>
                <w:szCs w:val="20"/>
                <w:color w:val="auto"/>
              </w:rPr>
            </w:pPr>
            <w:r>
              <w:rPr>
                <w:rFonts w:ascii="Arial" w:cs="Arial" w:eastAsia="Arial" w:hAnsi="Arial"/>
                <w:sz w:val="16"/>
                <w:szCs w:val="16"/>
                <w:color w:val="auto"/>
              </w:rPr>
              <w:t>Dividends on common stock</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(12,715)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(12,208)</w:t>
            </w:r>
          </w:p>
        </w:tc>
        <w:tc>
          <w:tcPr>
            <w:tcW w:w="0" w:type="dxa"/>
            <w:vAlign w:val="bottom"/>
          </w:tcPr>
          <w:p>
            <w:pPr>
              <w:spacing w:after="0"/>
              <w:rPr>
                <w:sz w:val="1"/>
                <w:szCs w:val="1"/>
                <w:color w:val="auto"/>
              </w:rPr>
            </w:pPr>
          </w:p>
        </w:tc>
      </w:tr>
      <w:tr>
        <w:trPr>
          <w:trHeight w:val="165"/>
        </w:trPr>
        <w:tc>
          <w:tcPr>
            <w:tcW w:w="332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w w:val="98"/>
              </w:rPr>
              <w:t>Tax payments for share settlement of restricted</w:t>
            </w: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units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179"/>
        </w:trPr>
        <w:tc>
          <w:tcPr>
            <w:tcW w:w="3320" w:type="dxa"/>
            <w:vAlign w:val="bottom"/>
          </w:tcPr>
          <w:p>
            <w:pPr>
              <w:ind w:left="20"/>
              <w:spacing w:after="0" w:line="179" w:lineRule="exact"/>
              <w:rPr>
                <w:sz w:val="20"/>
                <w:szCs w:val="20"/>
                <w:color w:val="auto"/>
              </w:rPr>
            </w:pPr>
            <w:r>
              <w:rPr>
                <w:rFonts w:ascii="Arial" w:cs="Arial" w:eastAsia="Arial" w:hAnsi="Arial"/>
                <w:sz w:val="16"/>
                <w:szCs w:val="16"/>
                <w:b w:val="1"/>
                <w:bCs w:val="1"/>
                <w:color w:val="auto"/>
              </w:rPr>
              <w:t>Balance at September 30, 2020</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16,417</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249</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255,907</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(53,992)</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8,467</w:t>
            </w: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(558,472)</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(356,364)</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the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Unaudited)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80" w:type="dxa"/>
            <w:vAlign w:val="bottom"/>
            <w:gridSpan w:val="4"/>
          </w:tcPr>
          <w:p>
            <w:pPr>
              <w:jc w:val="right"/>
              <w:ind w:right="452"/>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4"/>
        </w:trPr>
        <w:tc>
          <w:tcPr>
            <w:tcW w:w="87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7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w w:val="89"/>
              </w:rPr>
              <w:t>2020</w:t>
            </w:r>
          </w:p>
        </w:tc>
        <w:tc>
          <w:tcPr>
            <w:tcW w:w="0" w:type="dxa"/>
            <w:vAlign w:val="bottom"/>
          </w:tcPr>
          <w:p>
            <w:pPr>
              <w:spacing w:after="0"/>
              <w:rPr>
                <w:sz w:val="1"/>
                <w:szCs w:val="1"/>
                <w:color w:val="auto"/>
              </w:rPr>
            </w:pPr>
          </w:p>
        </w:tc>
      </w:tr>
      <w:tr>
        <w:trPr>
          <w:trHeight w:val="207"/>
        </w:trPr>
        <w:tc>
          <w:tcPr>
            <w:tcW w:w="87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78,076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(102,433)</w:t>
            </w:r>
          </w:p>
        </w:tc>
        <w:tc>
          <w:tcPr>
            <w:tcW w:w="0" w:type="dxa"/>
            <w:vAlign w:val="bottom"/>
          </w:tcPr>
          <w:p>
            <w:pPr>
              <w:spacing w:after="0"/>
              <w:rPr>
                <w:sz w:val="1"/>
                <w:szCs w:val="1"/>
                <w:color w:val="auto"/>
              </w:rPr>
            </w:pPr>
          </w:p>
        </w:tc>
      </w:tr>
      <w:tr>
        <w:trPr>
          <w:trHeight w:val="225"/>
        </w:trPr>
        <w:tc>
          <w:tcPr>
            <w:tcW w:w="8780" w:type="dxa"/>
            <w:vAlign w:val="bottom"/>
          </w:tcPr>
          <w:p>
            <w:pPr>
              <w:ind w:left="220"/>
              <w:spacing w:after="0"/>
              <w:rPr>
                <w:sz w:val="20"/>
                <w:szCs w:val="20"/>
                <w:color w:val="auto"/>
              </w:rPr>
            </w:pPr>
            <w:r>
              <w:rPr>
                <w:rFonts w:ascii="Arial" w:cs="Arial" w:eastAsia="Arial" w:hAnsi="Arial"/>
                <w:sz w:val="18"/>
                <w:szCs w:val="18"/>
                <w:color w:val="auto"/>
              </w:rPr>
              <w:t>Adjustments to reconcile net income (loss) to cash flows provided by operating activities: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Non-cash impairment and closure charges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124,469</w:t>
            </w:r>
          </w:p>
        </w:tc>
        <w:tc>
          <w:tcPr>
            <w:tcW w:w="0" w:type="dxa"/>
            <w:vAlign w:val="bottom"/>
          </w:tcPr>
          <w:p>
            <w:pPr>
              <w:spacing w:after="0"/>
              <w:rPr>
                <w:sz w:val="1"/>
                <w:szCs w:val="1"/>
                <w:color w:val="auto"/>
              </w:rPr>
            </w:pPr>
          </w:p>
        </w:tc>
      </w:tr>
      <w:tr>
        <w:trPr>
          <w:trHeight w:val="225"/>
        </w:trPr>
        <w:tc>
          <w:tcPr>
            <w:tcW w:w="8780" w:type="dxa"/>
            <w:vAlign w:val="bottom"/>
          </w:tcPr>
          <w:p>
            <w:pPr>
              <w:ind w:left="46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29,995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32,053</w:t>
            </w: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Non-cash stock-based compensation expense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9,193</w:t>
            </w:r>
          </w:p>
        </w:tc>
        <w:tc>
          <w:tcPr>
            <w:tcW w:w="0" w:type="dxa"/>
            <w:vAlign w:val="bottom"/>
          </w:tcPr>
          <w:p>
            <w:pPr>
              <w:spacing w:after="0"/>
              <w:rPr>
                <w:sz w:val="1"/>
                <w:szCs w:val="1"/>
                <w:color w:val="auto"/>
              </w:rPr>
            </w:pPr>
          </w:p>
        </w:tc>
      </w:tr>
      <w:tr>
        <w:trPr>
          <w:trHeight w:val="225"/>
        </w:trPr>
        <w:tc>
          <w:tcPr>
            <w:tcW w:w="8780" w:type="dxa"/>
            <w:vAlign w:val="bottom"/>
          </w:tcPr>
          <w:p>
            <w:pPr>
              <w:ind w:left="460"/>
              <w:spacing w:after="0"/>
              <w:rPr>
                <w:sz w:val="20"/>
                <w:szCs w:val="20"/>
                <w:color w:val="auto"/>
              </w:rPr>
            </w:pPr>
            <w:r>
              <w:rPr>
                <w:rFonts w:ascii="Arial" w:cs="Arial" w:eastAsia="Arial" w:hAnsi="Arial"/>
                <w:sz w:val="18"/>
                <w:szCs w:val="18"/>
                <w:color w:val="auto"/>
              </w:rPr>
              <w:t>Non-cash interest expense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2,146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1,990</w:t>
            </w: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24,172</w:t>
            </w:r>
          </w:p>
        </w:tc>
        <w:tc>
          <w:tcPr>
            <w:tcW w:w="0" w:type="dxa"/>
            <w:vAlign w:val="bottom"/>
          </w:tcPr>
          <w:p>
            <w:pPr>
              <w:spacing w:after="0"/>
              <w:rPr>
                <w:sz w:val="1"/>
                <w:szCs w:val="1"/>
                <w:color w:val="auto"/>
              </w:rPr>
            </w:pPr>
          </w:p>
        </w:tc>
      </w:tr>
      <w:tr>
        <w:trPr>
          <w:trHeight w:val="225"/>
        </w:trPr>
        <w:tc>
          <w:tcPr>
            <w:tcW w:w="8780" w:type="dxa"/>
            <w:vAlign w:val="bottom"/>
          </w:tcPr>
          <w:p>
            <w:pPr>
              <w:ind w:left="460"/>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(5,808)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(5,067)</w:t>
            </w: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Loss on disposition of assets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w:t>
            </w:r>
          </w:p>
        </w:tc>
        <w:tc>
          <w:tcPr>
            <w:tcW w:w="0" w:type="dxa"/>
            <w:vAlign w:val="bottom"/>
          </w:tcPr>
          <w:p>
            <w:pPr>
              <w:spacing w:after="0"/>
              <w:rPr>
                <w:sz w:val="1"/>
                <w:szCs w:val="1"/>
                <w:color w:val="auto"/>
              </w:rPr>
            </w:pPr>
          </w:p>
        </w:tc>
      </w:tr>
      <w:tr>
        <w:trPr>
          <w:trHeight w:val="225"/>
        </w:trPr>
        <w:tc>
          <w:tcPr>
            <w:tcW w:w="8780" w:type="dxa"/>
            <w:vAlign w:val="bottom"/>
          </w:tcPr>
          <w:p>
            <w:pPr>
              <w:ind w:left="46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(8,418)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80" w:type="dxa"/>
            <w:vAlign w:val="bottom"/>
          </w:tcPr>
          <w:p>
            <w:pPr>
              <w:ind w:left="660"/>
              <w:spacing w:after="0"/>
              <w:rPr>
                <w:sz w:val="20"/>
                <w:szCs w:val="20"/>
                <w:color w:val="auto"/>
              </w:rPr>
            </w:pPr>
            <w:r>
              <w:rPr>
                <w:rFonts w:ascii="Arial" w:cs="Arial" w:eastAsia="Arial" w:hAnsi="Arial"/>
                <w:sz w:val="18"/>
                <w:szCs w:val="18"/>
                <w:color w:val="auto"/>
              </w:rPr>
              <w:t>Accounts receivable, net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8,398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(27,849)</w:t>
            </w: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Current income tax receivables and payables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(41,426)</w:t>
            </w:r>
          </w:p>
        </w:tc>
        <w:tc>
          <w:tcPr>
            <w:tcW w:w="0" w:type="dxa"/>
            <w:vAlign w:val="bottom"/>
          </w:tcPr>
          <w:p>
            <w:pPr>
              <w:spacing w:after="0"/>
              <w:rPr>
                <w:sz w:val="1"/>
                <w:szCs w:val="1"/>
                <w:color w:val="auto"/>
              </w:rPr>
            </w:pPr>
          </w:p>
        </w:tc>
      </w:tr>
      <w:tr>
        <w:trPr>
          <w:trHeight w:val="225"/>
        </w:trPr>
        <w:tc>
          <w:tcPr>
            <w:tcW w:w="8780" w:type="dxa"/>
            <w:vAlign w:val="bottom"/>
          </w:tcPr>
          <w:p>
            <w:pPr>
              <w:ind w:left="660"/>
              <w:spacing w:after="0"/>
              <w:rPr>
                <w:sz w:val="20"/>
                <w:szCs w:val="20"/>
                <w:color w:val="auto"/>
              </w:rPr>
            </w:pPr>
            <w:r>
              <w:rPr>
                <w:rFonts w:ascii="Arial" w:cs="Arial" w:eastAsia="Arial" w:hAnsi="Arial"/>
                <w:sz w:val="18"/>
                <w:szCs w:val="18"/>
                <w:color w:val="auto"/>
              </w:rPr>
              <w:t>Gift card receivables and payables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(9,215)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(1,980)</w:t>
            </w: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 current assets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w:t>
            </w:r>
          </w:p>
        </w:tc>
        <w:tc>
          <w:tcPr>
            <w:tcW w:w="0" w:type="dxa"/>
            <w:vAlign w:val="bottom"/>
          </w:tcPr>
          <w:p>
            <w:pPr>
              <w:spacing w:after="0"/>
              <w:rPr>
                <w:sz w:val="1"/>
                <w:szCs w:val="1"/>
                <w:color w:val="auto"/>
              </w:rPr>
            </w:pPr>
          </w:p>
        </w:tc>
      </w:tr>
      <w:tr>
        <w:trPr>
          <w:trHeight w:val="225"/>
        </w:trPr>
        <w:tc>
          <w:tcPr>
            <w:tcW w:w="8780" w:type="dxa"/>
            <w:vAlign w:val="bottom"/>
          </w:tcPr>
          <w:p>
            <w:pPr>
              <w:ind w:left="66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9,678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6,777</w:t>
            </w: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Accrued employee compensation and benefits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(6,406)</w:t>
            </w:r>
          </w:p>
        </w:tc>
        <w:tc>
          <w:tcPr>
            <w:tcW w:w="0" w:type="dxa"/>
            <w:vAlign w:val="bottom"/>
          </w:tcPr>
          <w:p>
            <w:pPr>
              <w:spacing w:after="0"/>
              <w:rPr>
                <w:sz w:val="1"/>
                <w:szCs w:val="1"/>
                <w:color w:val="auto"/>
              </w:rPr>
            </w:pPr>
          </w:p>
        </w:tc>
      </w:tr>
      <w:tr>
        <w:trPr>
          <w:trHeight w:val="225"/>
        </w:trPr>
        <w:tc>
          <w:tcPr>
            <w:tcW w:w="8780" w:type="dxa"/>
            <w:vAlign w:val="bottom"/>
          </w:tcPr>
          <w:p>
            <w:pPr>
              <w:ind w:left="660"/>
              <w:spacing w:after="0"/>
              <w:rPr>
                <w:sz w:val="20"/>
                <w:szCs w:val="20"/>
                <w:color w:val="auto"/>
              </w:rPr>
            </w:pPr>
            <w:r>
              <w:rPr>
                <w:rFonts w:ascii="Arial" w:cs="Arial" w:eastAsia="Arial" w:hAnsi="Arial"/>
                <w:sz w:val="18"/>
                <w:szCs w:val="18"/>
                <w:color w:val="auto"/>
              </w:rPr>
              <w:t>Accrued advertising</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32,232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19,579</w:t>
            </w: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 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0" w:type="dxa"/>
            <w:vAlign w:val="bottom"/>
          </w:tcPr>
          <w:p>
            <w:pPr>
              <w:spacing w:after="0"/>
              <w:rPr>
                <w:sz w:val="1"/>
                <w:szCs w:val="1"/>
                <w:color w:val="auto"/>
              </w:rPr>
            </w:pPr>
          </w:p>
        </w:tc>
      </w:tr>
      <w:tr>
        <w:trPr>
          <w:trHeight w:val="218"/>
        </w:trPr>
        <w:tc>
          <w:tcPr>
            <w:tcW w:w="8780" w:type="dxa"/>
            <w:vAlign w:val="bottom"/>
            <w:tcBorders>
              <w:bottom w:val="single" w:sz="8" w:color="CCEEFF"/>
            </w:tcBorders>
          </w:tcPr>
          <w:p>
            <w:pPr>
              <w:ind w:left="860"/>
              <w:spacing w:after="0"/>
              <w:rPr>
                <w:sz w:val="20"/>
                <w:szCs w:val="20"/>
                <w:color w:val="auto"/>
              </w:rPr>
            </w:pPr>
            <w:r>
              <w:rPr>
                <w:rFonts w:ascii="Arial" w:cs="Arial" w:eastAsia="Arial" w:hAnsi="Arial"/>
                <w:sz w:val="18"/>
                <w:szCs w:val="18"/>
                <w:color w:val="auto"/>
              </w:rPr>
              <w:t>Cash flows provided by operating activities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145,562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36,728</w:t>
            </w:r>
          </w:p>
        </w:tc>
        <w:tc>
          <w:tcPr>
            <w:tcW w:w="0" w:type="dxa"/>
            <w:vAlign w:val="bottom"/>
          </w:tcPr>
          <w:p>
            <w:pPr>
              <w:spacing w:after="0"/>
              <w:rPr>
                <w:sz w:val="1"/>
                <w:szCs w:val="1"/>
                <w:color w:val="auto"/>
              </w:rPr>
            </w:pPr>
          </w:p>
        </w:tc>
      </w:tr>
      <w:tr>
        <w:trPr>
          <w:trHeight w:val="219"/>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80" w:type="dxa"/>
            <w:vAlign w:val="bottom"/>
          </w:tcPr>
          <w:p>
            <w:pPr>
              <w:ind w:left="460"/>
              <w:spacing w:after="0"/>
              <w:rPr>
                <w:sz w:val="20"/>
                <w:szCs w:val="20"/>
                <w:color w:val="auto"/>
              </w:rPr>
            </w:pPr>
            <w:r>
              <w:rPr>
                <w:rFonts w:ascii="Arial" w:cs="Arial" w:eastAsia="Arial" w:hAnsi="Arial"/>
                <w:sz w:val="18"/>
                <w:szCs w:val="18"/>
                <w:color w:val="auto"/>
              </w:rPr>
              <w:t>Principal receipts from notes, equipment contracts and other long-term receivables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14,795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15,731</w:t>
            </w: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Net additions to property and equipment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(9,088)</w:t>
            </w:r>
          </w:p>
        </w:tc>
        <w:tc>
          <w:tcPr>
            <w:tcW w:w="0" w:type="dxa"/>
            <w:vAlign w:val="bottom"/>
          </w:tcPr>
          <w:p>
            <w:pPr>
              <w:spacing w:after="0"/>
              <w:rPr>
                <w:sz w:val="1"/>
                <w:szCs w:val="1"/>
                <w:color w:val="auto"/>
              </w:rPr>
            </w:pPr>
          </w:p>
        </w:tc>
      </w:tr>
      <w:tr>
        <w:trPr>
          <w:trHeight w:val="225"/>
        </w:trPr>
        <w:tc>
          <w:tcPr>
            <w:tcW w:w="8780" w:type="dxa"/>
            <w:vAlign w:val="bottom"/>
          </w:tcPr>
          <w:p>
            <w:pPr>
              <w:ind w:left="460"/>
              <w:spacing w:after="0"/>
              <w:rPr>
                <w:sz w:val="20"/>
                <w:szCs w:val="20"/>
                <w:color w:val="auto"/>
              </w:rPr>
            </w:pPr>
            <w:r>
              <w:rPr>
                <w:rFonts w:ascii="Arial" w:cs="Arial" w:eastAsia="Arial" w:hAnsi="Arial"/>
                <w:sz w:val="18"/>
                <w:szCs w:val="18"/>
                <w:color w:val="auto"/>
              </w:rPr>
              <w:t>Proceeds from sale of property and equipment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Additions to long-term receivables</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0" w:type="dxa"/>
            <w:vAlign w:val="bottom"/>
          </w:tcPr>
          <w:p>
            <w:pPr>
              <w:spacing w:after="0"/>
              <w:rPr>
                <w:sz w:val="1"/>
                <w:szCs w:val="1"/>
                <w:color w:val="auto"/>
              </w:rPr>
            </w:pPr>
          </w:p>
        </w:tc>
      </w:tr>
      <w:tr>
        <w:trPr>
          <w:trHeight w:val="225"/>
        </w:trPr>
        <w:tc>
          <w:tcPr>
            <w:tcW w:w="87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9"/>
        </w:trPr>
        <w:tc>
          <w:tcPr>
            <w:tcW w:w="8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flows provided by investing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5,327</w:t>
            </w:r>
          </w:p>
        </w:tc>
        <w:tc>
          <w:tcPr>
            <w:tcW w:w="0" w:type="dxa"/>
            <w:vAlign w:val="bottom"/>
          </w:tcPr>
          <w:p>
            <w:pPr>
              <w:spacing w:after="0"/>
              <w:rPr>
                <w:sz w:val="1"/>
                <w:szCs w:val="1"/>
                <w:color w:val="auto"/>
              </w:rPr>
            </w:pPr>
          </w:p>
        </w:tc>
      </w:tr>
      <w:tr>
        <w:trPr>
          <w:trHeight w:val="218"/>
        </w:trPr>
        <w:tc>
          <w:tcPr>
            <w:tcW w:w="878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Repayment of long-term debt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780" w:type="dxa"/>
            <w:vAlign w:val="bottom"/>
          </w:tcPr>
          <w:p>
            <w:pPr>
              <w:ind w:left="460"/>
              <w:spacing w:after="0"/>
              <w:rPr>
                <w:sz w:val="20"/>
                <w:szCs w:val="20"/>
                <w:color w:val="auto"/>
              </w:rPr>
            </w:pPr>
            <w:r>
              <w:rPr>
                <w:rFonts w:ascii="Arial" w:cs="Arial" w:eastAsia="Arial" w:hAnsi="Arial"/>
                <w:sz w:val="18"/>
                <w:szCs w:val="18"/>
                <w:color w:val="auto"/>
              </w:rPr>
              <w:t>Borrowing from revolving credit facility</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220,000</w:t>
            </w: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Repayment of revolving credit facility</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780" w:type="dxa"/>
            <w:vAlign w:val="bottom"/>
          </w:tcPr>
          <w:p>
            <w:pPr>
              <w:ind w:left="460"/>
              <w:spacing w:after="0"/>
              <w:rPr>
                <w:sz w:val="20"/>
                <w:szCs w:val="20"/>
                <w:color w:val="auto"/>
              </w:rPr>
            </w:pPr>
            <w:r>
              <w:rPr>
                <w:rFonts w:ascii="Arial" w:cs="Arial" w:eastAsia="Arial" w:hAnsi="Arial"/>
                <w:sz w:val="18"/>
                <w:szCs w:val="18"/>
                <w:color w:val="auto"/>
              </w:rPr>
              <w:t>Dividends paid on common stock</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(23,934)</w:t>
            </w: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Repurchase of common stock</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(29,853)</w:t>
            </w:r>
          </w:p>
        </w:tc>
        <w:tc>
          <w:tcPr>
            <w:tcW w:w="0" w:type="dxa"/>
            <w:vAlign w:val="bottom"/>
          </w:tcPr>
          <w:p>
            <w:pPr>
              <w:spacing w:after="0"/>
              <w:rPr>
                <w:sz w:val="1"/>
                <w:szCs w:val="1"/>
                <w:color w:val="auto"/>
              </w:rPr>
            </w:pPr>
          </w:p>
        </w:tc>
      </w:tr>
      <w:tr>
        <w:trPr>
          <w:trHeight w:val="225"/>
        </w:trPr>
        <w:tc>
          <w:tcPr>
            <w:tcW w:w="8780" w:type="dxa"/>
            <w:vAlign w:val="bottom"/>
          </w:tcPr>
          <w:p>
            <w:pPr>
              <w:ind w:left="460"/>
              <w:spacing w:after="0"/>
              <w:rPr>
                <w:sz w:val="20"/>
                <w:szCs w:val="20"/>
                <w:color w:val="auto"/>
              </w:rPr>
            </w:pPr>
            <w:r>
              <w:rPr>
                <w:rFonts w:ascii="Arial" w:cs="Arial" w:eastAsia="Arial" w:hAnsi="Arial"/>
                <w:sz w:val="18"/>
                <w:szCs w:val="18"/>
                <w:color w:val="auto"/>
              </w:rPr>
              <w:t>Principal payments on finance lease obligations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(7,772)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(9,034)</w:t>
            </w: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Proceeds from stock options exercised</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25,016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20,523</w:t>
            </w:r>
          </w:p>
        </w:tc>
        <w:tc>
          <w:tcPr>
            <w:tcW w:w="0" w:type="dxa"/>
            <w:vAlign w:val="bottom"/>
          </w:tcPr>
          <w:p>
            <w:pPr>
              <w:spacing w:after="0"/>
              <w:rPr>
                <w:sz w:val="1"/>
                <w:szCs w:val="1"/>
                <w:color w:val="auto"/>
              </w:rPr>
            </w:pPr>
          </w:p>
        </w:tc>
      </w:tr>
      <w:tr>
        <w:trPr>
          <w:trHeight w:val="225"/>
        </w:trPr>
        <w:tc>
          <w:tcPr>
            <w:tcW w:w="8780" w:type="dxa"/>
            <w:vAlign w:val="bottom"/>
          </w:tcPr>
          <w:p>
            <w:pPr>
              <w:ind w:left="460"/>
              <w:spacing w:after="0"/>
              <w:rPr>
                <w:sz w:val="20"/>
                <w:szCs w:val="20"/>
                <w:color w:val="auto"/>
              </w:rPr>
            </w:pPr>
            <w:r>
              <w:rPr>
                <w:rFonts w:ascii="Arial" w:cs="Arial" w:eastAsia="Arial" w:hAnsi="Arial"/>
                <w:sz w:val="18"/>
                <w:szCs w:val="18"/>
                <w:color w:val="auto"/>
              </w:rPr>
              <w:t>Repurchase of restricted stock for tax payments upon vesting</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(1,543)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(2,438)</w:t>
            </w: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Tax payments for share settlement of restricted stock units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8"/>
        </w:trPr>
        <w:tc>
          <w:tcPr>
            <w:tcW w:w="8780" w:type="dxa"/>
            <w:vAlign w:val="bottom"/>
            <w:tcBorders>
              <w:bottom w:val="single" w:sz="8" w:color="CCEEFF"/>
            </w:tcBorders>
          </w:tcPr>
          <w:p>
            <w:pPr>
              <w:ind w:left="860"/>
              <w:spacing w:after="0"/>
              <w:rPr>
                <w:sz w:val="20"/>
                <w:szCs w:val="20"/>
                <w:color w:val="auto"/>
              </w:rPr>
            </w:pPr>
            <w:r>
              <w:rPr>
                <w:rFonts w:ascii="Arial" w:cs="Arial" w:eastAsia="Arial" w:hAnsi="Arial"/>
                <w:sz w:val="18"/>
                <w:szCs w:val="18"/>
                <w:color w:val="auto"/>
              </w:rPr>
              <w:t>Cash flows (used in) provided by financing activities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(223,832)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175,059</w:t>
            </w:r>
          </w:p>
        </w:tc>
        <w:tc>
          <w:tcPr>
            <w:tcW w:w="0" w:type="dxa"/>
            <w:vAlign w:val="bottom"/>
          </w:tcPr>
          <w:p>
            <w:pPr>
              <w:spacing w:after="0"/>
              <w:rPr>
                <w:sz w:val="1"/>
                <w:szCs w:val="1"/>
                <w:color w:val="auto"/>
              </w:rPr>
            </w:pPr>
          </w:p>
        </w:tc>
      </w:tr>
      <w:tr>
        <w:trPr>
          <w:trHeight w:val="219"/>
        </w:trPr>
        <w:tc>
          <w:tcPr>
            <w:tcW w:w="8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Net change in cash, cash equivalents and restricted cash</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(70,809)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217,114</w:t>
            </w:r>
          </w:p>
        </w:tc>
        <w:tc>
          <w:tcPr>
            <w:tcW w:w="0" w:type="dxa"/>
            <w:vAlign w:val="bottom"/>
          </w:tcPr>
          <w:p>
            <w:pPr>
              <w:spacing w:after="0"/>
              <w:rPr>
                <w:sz w:val="1"/>
                <w:szCs w:val="1"/>
                <w:color w:val="auto"/>
              </w:rPr>
            </w:pPr>
          </w:p>
        </w:tc>
      </w:tr>
      <w:tr>
        <w:trPr>
          <w:trHeight w:val="225"/>
        </w:trPr>
        <w:tc>
          <w:tcPr>
            <w:tcW w:w="87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Cash, cash equivalents and restricted cash at beginning of period</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456,053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172,475</w:t>
            </w:r>
          </w:p>
        </w:tc>
        <w:tc>
          <w:tcPr>
            <w:tcW w:w="0" w:type="dxa"/>
            <w:vAlign w:val="bottom"/>
          </w:tcPr>
          <w:p>
            <w:pPr>
              <w:spacing w:after="0"/>
              <w:rPr>
                <w:sz w:val="1"/>
                <w:szCs w:val="1"/>
                <w:color w:val="auto"/>
              </w:rPr>
            </w:pPr>
          </w:p>
        </w:tc>
      </w:tr>
      <w:tr>
        <w:trPr>
          <w:trHeight w:val="244"/>
        </w:trPr>
        <w:tc>
          <w:tcPr>
            <w:tcW w:w="8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Cash, cash equivalents and restricted cash at end of period</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385,244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389,589</w:t>
            </w:r>
          </w:p>
        </w:tc>
        <w:tc>
          <w:tcPr>
            <w:tcW w:w="0" w:type="dxa"/>
            <w:vAlign w:val="bottom"/>
          </w:tcPr>
          <w:p>
            <w:pPr>
              <w:spacing w:after="0"/>
              <w:rPr>
                <w:sz w:val="1"/>
                <w:szCs w:val="1"/>
                <w:color w:val="auto"/>
              </w:rPr>
            </w:pPr>
          </w:p>
        </w:tc>
      </w:tr>
      <w:tr>
        <w:trPr>
          <w:trHeight w:val="20"/>
        </w:trPr>
        <w:tc>
          <w:tcPr>
            <w:tcW w:w="8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Supplemental disclosures: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7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Interest paid in cash</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49,366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51,706</w:t>
            </w:r>
          </w:p>
        </w:tc>
        <w:tc>
          <w:tcPr>
            <w:tcW w:w="0" w:type="dxa"/>
            <w:vAlign w:val="bottom"/>
          </w:tcPr>
          <w:p>
            <w:pPr>
              <w:spacing w:after="0"/>
              <w:rPr>
                <w:sz w:val="1"/>
                <w:szCs w:val="1"/>
                <w:color w:val="auto"/>
              </w:rPr>
            </w:pPr>
          </w:p>
        </w:tc>
      </w:tr>
      <w:tr>
        <w:trPr>
          <w:trHeight w:val="225"/>
        </w:trPr>
        <w:tc>
          <w:tcPr>
            <w:tcW w:w="8780" w:type="dxa"/>
            <w:vAlign w:val="bottom"/>
          </w:tcPr>
          <w:p>
            <w:pPr>
              <w:ind w:left="460"/>
              <w:spacing w:after="0"/>
              <w:rPr>
                <w:sz w:val="20"/>
                <w:szCs w:val="20"/>
                <w:color w:val="auto"/>
              </w:rPr>
            </w:pPr>
            <w:r>
              <w:rPr>
                <w:rFonts w:ascii="Arial" w:cs="Arial" w:eastAsia="Arial" w:hAnsi="Arial"/>
                <w:sz w:val="18"/>
                <w:szCs w:val="18"/>
                <w:color w:val="auto"/>
              </w:rPr>
              <w:t>Income taxes paid in cash</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21,143</w:t>
            </w:r>
          </w:p>
        </w:tc>
        <w:tc>
          <w:tcPr>
            <w:tcW w:w="12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11,348</w:t>
            </w: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Non-cash conversion of accounts receivable to notes receivable</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accompanying Notes to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94615</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2"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210" w:lineRule="exact"/>
        <w:rPr>
          <w:sz w:val="20"/>
          <w:szCs w:val="20"/>
          <w:color w:val="auto"/>
        </w:rPr>
      </w:pPr>
    </w:p>
    <w:p>
      <w:pPr>
        <w:ind w:right="40" w:firstLine="318"/>
        <w:spacing w:after="0" w:line="235" w:lineRule="auto"/>
        <w:rPr>
          <w:sz w:val="20"/>
          <w:szCs w:val="20"/>
          <w:color w:val="auto"/>
        </w:rPr>
      </w:pPr>
      <w:r>
        <w:rPr>
          <w:rFonts w:ascii="Arial" w:cs="Arial" w:eastAsia="Arial" w:hAnsi="Arial"/>
          <w:sz w:val="18"/>
          <w:szCs w:val="18"/>
          <w:color w:val="auto"/>
        </w:rPr>
        <w:t>The accompanying unaudited consolidated financial statements of Dine Brands Global, Inc. (the “Company” or “Dine Brands Global”) have been prepared in accordance with United States generally accepted accounting principles (“U.S. GAAP”) for interim financial information and with the instructions to Form 10-Q and Article 10 of Regulation S-X. Accordingly, they do not include all the information and footnotes required by U.S. GAAP for complete financial statements. In the opinion of management, all adjustments (consisting of normal recurring accruals) considered necessary for a fair presentation have been included. The operating results for the nine months ended September 30, 2021 are not necessarily indicative of the results that may be expected for the twelve months ending December 31, 2021.</w:t>
      </w:r>
    </w:p>
    <w:p>
      <w:pPr>
        <w:spacing w:after="0" w:line="175" w:lineRule="exact"/>
        <w:rPr>
          <w:sz w:val="20"/>
          <w:szCs w:val="20"/>
          <w:color w:val="auto"/>
        </w:rPr>
      </w:pPr>
    </w:p>
    <w:p>
      <w:pPr>
        <w:ind w:right="560" w:firstLine="318"/>
        <w:spacing w:after="0" w:line="249" w:lineRule="auto"/>
        <w:rPr>
          <w:sz w:val="20"/>
          <w:szCs w:val="20"/>
          <w:color w:val="auto"/>
        </w:rPr>
      </w:pPr>
      <w:r>
        <w:rPr>
          <w:rFonts w:ascii="Arial" w:cs="Arial" w:eastAsia="Arial" w:hAnsi="Arial"/>
          <w:sz w:val="18"/>
          <w:szCs w:val="18"/>
          <w:color w:val="auto"/>
        </w:rPr>
        <w:t>The consolidated balance sheet at December 31, 2020 has been derived from the audited consolidated financial statements at that date but does not include all of information and footnotes required by U.S. GAAP for complete financial statements.</w:t>
      </w:r>
    </w:p>
    <w:p>
      <w:pPr>
        <w:spacing w:after="0" w:line="167" w:lineRule="exact"/>
        <w:rPr>
          <w:sz w:val="20"/>
          <w:szCs w:val="20"/>
          <w:color w:val="auto"/>
        </w:rPr>
      </w:pPr>
    </w:p>
    <w:p>
      <w:pPr>
        <w:ind w:right="340" w:firstLine="318"/>
        <w:spacing w:after="0" w:line="249" w:lineRule="auto"/>
        <w:rPr>
          <w:sz w:val="20"/>
          <w:szCs w:val="20"/>
          <w:color w:val="auto"/>
        </w:rPr>
      </w:pPr>
      <w:r>
        <w:rPr>
          <w:rFonts w:ascii="Arial" w:cs="Arial" w:eastAsia="Arial" w:hAnsi="Arial"/>
          <w:sz w:val="18"/>
          <w:szCs w:val="18"/>
          <w:color w:val="auto"/>
        </w:rPr>
        <w:t>These consolidated financial statements should be read in conjunction with the consolidated financial statements and footnotes thereto included in the Company’s Annual Report on Form 10-K for the year ended December 31, 2020.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83" w:lineRule="exact"/>
        <w:rPr>
          <w:sz w:val="20"/>
          <w:szCs w:val="20"/>
          <w:color w:val="auto"/>
        </w:rPr>
      </w:pPr>
    </w:p>
    <w:p>
      <w:pPr>
        <w:ind w:right="100" w:firstLine="318"/>
        <w:spacing w:after="0" w:line="300" w:lineRule="auto"/>
        <w:rPr>
          <w:sz w:val="20"/>
          <w:szCs w:val="20"/>
          <w:color w:val="auto"/>
        </w:rPr>
      </w:pPr>
      <w:r>
        <w:rPr>
          <w:rFonts w:ascii="Arial" w:cs="Arial" w:eastAsia="Arial" w:hAnsi="Arial"/>
          <w:sz w:val="15"/>
          <w:szCs w:val="15"/>
          <w:color w:val="auto"/>
        </w:rPr>
        <w:t>The Company’s fiscal quarters end on the Sunday closest to the last day of each calendar quarter. For convenience, the fiscal quarters of each year are referred to as ending on March 31, June 30, September 30 and December 31. The first fiscal quarter of 2021 began on January 4, 2021 and ended on April 4, 2021; the second and third fiscal quarters of 2021 ended on July 4, 2021 and October 3, 2021, respectively. The first fiscal quarter of 2020 began on December 30, 2019 and ended on March 29, 2020; the second and third fiscal quarters of 2020 ended on June 28, 2020 and September 27, 2020, respectively.</w:t>
      </w:r>
    </w:p>
    <w:p>
      <w:pPr>
        <w:spacing w:after="0" w:line="171" w:lineRule="exact"/>
        <w:rPr>
          <w:sz w:val="20"/>
          <w:szCs w:val="20"/>
          <w:color w:val="auto"/>
        </w:rPr>
      </w:pPr>
    </w:p>
    <w:p>
      <w:pPr>
        <w:ind w:right="240" w:firstLine="318"/>
        <w:spacing w:after="0" w:line="249" w:lineRule="auto"/>
        <w:rPr>
          <w:sz w:val="20"/>
          <w:szCs w:val="20"/>
          <w:color w:val="auto"/>
        </w:rPr>
      </w:pPr>
      <w:r>
        <w:rPr>
          <w:rFonts w:ascii="Arial" w:cs="Arial" w:eastAsia="Arial" w:hAnsi="Arial"/>
          <w:sz w:val="18"/>
          <w:szCs w:val="18"/>
          <w:color w:val="auto"/>
        </w:rPr>
        <w:t>The accompanying consolidated financial statements include the accounts of the Company and its subsidiaries that are consolidated in accordance with U.S. GAAP. All intercompany balances and transactions have been eliminated.</w:t>
      </w:r>
    </w:p>
    <w:p>
      <w:pPr>
        <w:spacing w:after="0" w:line="167" w:lineRule="exact"/>
        <w:rPr>
          <w:sz w:val="20"/>
          <w:szCs w:val="20"/>
          <w:color w:val="auto"/>
        </w:rPr>
      </w:pPr>
    </w:p>
    <w:p>
      <w:pPr>
        <w:ind w:right="60" w:firstLine="318"/>
        <w:spacing w:after="0" w:line="288" w:lineRule="auto"/>
        <w:rPr>
          <w:sz w:val="20"/>
          <w:szCs w:val="20"/>
          <w:color w:val="auto"/>
        </w:rPr>
      </w:pPr>
      <w:r>
        <w:rPr>
          <w:rFonts w:ascii="Arial" w:cs="Arial" w:eastAsia="Arial" w:hAnsi="Arial"/>
          <w:sz w:val="15"/>
          <w:szCs w:val="15"/>
          <w:color w:val="auto"/>
        </w:rPr>
        <w:t>The preparation of financial statements in conformity with U.S. GAAP requires the Company’s management to make assumptions and estimates that affect the reported amounts of assets and liabilities, disclosures of contingent assets and liabilities, if any, at the date of the consolidated financial statements, and the reported amounts of revenues and expenses during the reporting period. Significant estimates may include the calculation and assessment of the following: impairment of goodwill, other intangible assets and tangible assets; income taxes; allowance for credit losses on accounts and notes receivables; lease accounting estimates; contingencies; and stock-based compensation. On an ongoing basis, the Company evaluates its estimates based on historical experience, current conditions and various other assumptions that are believed to be reasonable under the circumstances. The Company adjusts such estimates and assumptions when facts and circumstances dictate. Actual results could differ from those estimates.</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30" w:lineRule="exact"/>
        <w:rPr>
          <w:sz w:val="20"/>
          <w:szCs w:val="20"/>
          <w:color w:val="auto"/>
        </w:rPr>
      </w:pPr>
    </w:p>
    <w:p>
      <w:pPr>
        <w:ind w:firstLine="318"/>
        <w:spacing w:after="0" w:line="285" w:lineRule="auto"/>
        <w:rPr>
          <w:sz w:val="20"/>
          <w:szCs w:val="20"/>
          <w:color w:val="auto"/>
        </w:rPr>
      </w:pPr>
      <w:r>
        <w:rPr>
          <w:rFonts w:ascii="Arial" w:cs="Arial" w:eastAsia="Arial" w:hAnsi="Arial"/>
          <w:sz w:val="15"/>
          <w:szCs w:val="15"/>
          <w:color w:val="auto"/>
        </w:rPr>
        <w:t>The Company was subject to risks and uncertainties as a result of the continuing outbreak of a novel strain of coronavirus, designated “COVID-19,” and evolving variants thereof. The extent of the continued impact of the COVID-19 pandemic on the Company's business remains uncertain and difficult to predict, as measures taken in response to and the effect of the pandemic have varied and continue to vary by country, state and municipalities within states. The Company first began to experience impacts from the COVID-19 pandemic in March 2020, as federal, state, local and international governments reacted to the public health crisis by encouraging social distancing and requiring, in varying degrees, restaurant dine-in limitations and other restrictions that largely limited the restaurants of the Company's franchisees and its company-operated restaurants to take-out and delivery sales during the initial stages of the pandemic. Subsequently, government-imposed dine-in restrictions have been relaxed or removed in many of the locations in which the Company operates as incidents of infection decline and vaccination rates increase within the respective governmental jurisdictions. As of September 30, 2021, 99% of domestic Applebee's and IHOP restaurants were open and operating without government-mandated restrictions.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Basis of Presentation (Continued)</w:t>
      </w:r>
    </w:p>
    <w:p>
      <w:pPr>
        <w:spacing w:after="0" w:line="200" w:lineRule="exact"/>
        <w:rPr>
          <w:sz w:val="20"/>
          <w:szCs w:val="20"/>
          <w:color w:val="auto"/>
        </w:rPr>
      </w:pPr>
    </w:p>
    <w:p>
      <w:pPr>
        <w:spacing w:after="0" w:line="307" w:lineRule="exact"/>
        <w:rPr>
          <w:sz w:val="20"/>
          <w:szCs w:val="20"/>
          <w:color w:val="auto"/>
        </w:rPr>
      </w:pPr>
    </w:p>
    <w:p>
      <w:pPr>
        <w:ind w:firstLine="318"/>
        <w:spacing w:after="0" w:line="235" w:lineRule="auto"/>
        <w:rPr>
          <w:sz w:val="20"/>
          <w:szCs w:val="20"/>
          <w:color w:val="auto"/>
        </w:rPr>
      </w:pPr>
      <w:r>
        <w:rPr>
          <w:rFonts w:ascii="Arial" w:cs="Arial" w:eastAsia="Arial" w:hAnsi="Arial"/>
          <w:sz w:val="18"/>
          <w:szCs w:val="18"/>
          <w:color w:val="auto"/>
        </w:rPr>
        <w:t>The Company took several actions to mitigate the effects of the COVID-19 pandemic on its operations and its franchisees, as follows: (i) drew down $220 million from its revolving credit facility in March 2020; that borrowing was repaid in March 2021; (ii) suspended repurchases of common stock and the declaration of dividends on common stock after the first quarter of 2020 ( See Note 17, Subsequent Events); (iii) deferred franchisee payment of royalty, advertising and other fees, and lease obligations for up to two months on a case-by-case basis, with 99% of Applebee's and 97% of IHOP deferrals collected as of September 30, 2021; (iv) deferred franchisee remodel and development obligations for up to 15 months; and (v) negotiated deferrals and abatements for properties on which the Company was lessee.</w:t>
      </w:r>
    </w:p>
    <w:p>
      <w:pPr>
        <w:spacing w:after="0" w:line="215" w:lineRule="exact"/>
        <w:rPr>
          <w:sz w:val="20"/>
          <w:szCs w:val="20"/>
          <w:color w:val="auto"/>
        </w:rPr>
      </w:pPr>
    </w:p>
    <w:p>
      <w:pPr>
        <w:ind w:right="20" w:firstLine="318"/>
        <w:spacing w:after="0" w:line="248" w:lineRule="auto"/>
        <w:rPr>
          <w:sz w:val="20"/>
          <w:szCs w:val="20"/>
          <w:color w:val="auto"/>
        </w:rPr>
      </w:pPr>
      <w:r>
        <w:rPr>
          <w:rFonts w:ascii="Arial" w:cs="Arial" w:eastAsia="Arial" w:hAnsi="Arial"/>
          <w:sz w:val="17"/>
          <w:szCs w:val="17"/>
          <w:color w:val="auto"/>
        </w:rPr>
        <w:t>The severity of the continued impact of the COVID-19 pandemic on the Company's business will depend on a number of factors, including, but not limited to, how long the pandemic will last, whether/when recurrences of the virus and variants of the virus may arise, the availability and acceptance of vaccines, what restrictions on in-restaurant dining may be imposed or re-imposed, the timing and extent of customer re-engagement with the Company's brands and, in general, what the short- and long-term impact on consumer discretionary spending the COVID-19 pandemic might have on the Company and the restaurant industry as a whole, all of which are uncertain and cannot be predicted. The Company's future results of operations and liquidity could adversely be impacted by the resurgence of outbreaks of the virus and its variants that result in the re-imposition of dine-in restrictions, as well as the success of any initiatives or programs that the Company may undertake to address financial and operational challenges faced by itself and its franchisees. As such, the extent to which the COVID-19 pandemic may continue to materially impact the Company's financial condition, liquidity, or results of operations remains highly uncertain.</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Accounting Standards Adopted and Newly Issued Accounting Standards Not Yet Adopted</w:t>
      </w:r>
    </w:p>
    <w:p>
      <w:pPr>
        <w:spacing w:after="0" w:line="2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Accounting Standards Adopted in the Current Fiscal Year</w:t>
      </w:r>
    </w:p>
    <w:p>
      <w:pPr>
        <w:spacing w:after="0" w:line="204" w:lineRule="exact"/>
        <w:rPr>
          <w:sz w:val="20"/>
          <w:szCs w:val="20"/>
          <w:color w:val="auto"/>
        </w:rPr>
      </w:pPr>
    </w:p>
    <w:p>
      <w:pPr>
        <w:ind w:right="300" w:firstLine="318"/>
        <w:spacing w:after="0" w:line="261" w:lineRule="auto"/>
        <w:rPr>
          <w:sz w:val="20"/>
          <w:szCs w:val="20"/>
          <w:color w:val="auto"/>
        </w:rPr>
      </w:pPr>
      <w:r>
        <w:rPr>
          <w:rFonts w:ascii="Arial" w:cs="Arial" w:eastAsia="Arial" w:hAnsi="Arial"/>
          <w:sz w:val="17"/>
          <w:szCs w:val="17"/>
          <w:color w:val="auto"/>
        </w:rPr>
        <w:t>In December 2019, the Financial Accounting Standards Board (“FASB”) issued new guidance intended to simplify the accounting for income taxes, change the accounting for certain income tax transactions, and make other minor changes. The Company adopted the new guidance at the beginning of the first fiscal quarter of 2021. Adoption did not have any material effect on the consolidated financial statements.</w:t>
      </w:r>
    </w:p>
    <w:p>
      <w:pPr>
        <w:spacing w:after="0" w:line="197" w:lineRule="exact"/>
        <w:rPr>
          <w:sz w:val="20"/>
          <w:szCs w:val="20"/>
          <w:color w:val="auto"/>
        </w:rPr>
      </w:pPr>
    </w:p>
    <w:p>
      <w:pPr>
        <w:ind w:right="60" w:firstLine="318"/>
        <w:spacing w:after="0" w:line="347" w:lineRule="auto"/>
        <w:rPr>
          <w:sz w:val="20"/>
          <w:szCs w:val="20"/>
          <w:color w:val="auto"/>
        </w:rPr>
      </w:pPr>
      <w:r>
        <w:rPr>
          <w:rFonts w:ascii="Arial" w:cs="Arial" w:eastAsia="Arial" w:hAnsi="Arial"/>
          <w:sz w:val="15"/>
          <w:szCs w:val="15"/>
          <w:color w:val="auto"/>
        </w:rPr>
        <w:t>Additional new accounting guidance became effective for the Company as of the beginning of fiscal 2021 that the Company reviewed and concluded was either not applicable to its operations or had no material effect on its consolidated financial statements in the current or future fiscal years.</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Newly Issued Accounting Standards Not Yet Adopted</w:t>
      </w:r>
    </w:p>
    <w:p>
      <w:pPr>
        <w:spacing w:after="0" w:line="230" w:lineRule="exact"/>
        <w:rPr>
          <w:sz w:val="20"/>
          <w:szCs w:val="20"/>
          <w:color w:val="auto"/>
        </w:rPr>
      </w:pPr>
    </w:p>
    <w:p>
      <w:pPr>
        <w:ind w:right="160" w:firstLine="318"/>
        <w:spacing w:after="0" w:line="300" w:lineRule="auto"/>
        <w:rPr>
          <w:sz w:val="20"/>
          <w:szCs w:val="20"/>
          <w:color w:val="auto"/>
        </w:rPr>
      </w:pPr>
      <w:r>
        <w:rPr>
          <w:rFonts w:ascii="Arial" w:cs="Arial" w:eastAsia="Arial" w:hAnsi="Arial"/>
          <w:sz w:val="15"/>
          <w:szCs w:val="15"/>
          <w:color w:val="auto"/>
        </w:rPr>
        <w:t>In March 2020, with an update in January 2021, the FASB issued guidance which provides optional expedients and exceptions for applying current U.S. GAAP to contracts, hedging relationships, and other transactions affected by the discontinuation of the London Interbank Offered Rate (“LIBOR”) or by another reference rate expected to be discontinued. The guidance can be adopted immediately and is applicable to contracts entered into on or before December 31, 2022. The Company is currently evaluating its contracts that reference LIBOR and the potential effects of adopting this new guidance.</w:t>
      </w:r>
    </w:p>
    <w:p>
      <w:pPr>
        <w:spacing w:after="0" w:line="158" w:lineRule="exact"/>
        <w:rPr>
          <w:sz w:val="20"/>
          <w:szCs w:val="20"/>
          <w:color w:val="auto"/>
        </w:rPr>
      </w:pPr>
    </w:p>
    <w:p>
      <w:pPr>
        <w:ind w:right="60" w:firstLine="318"/>
        <w:spacing w:after="0" w:line="226" w:lineRule="auto"/>
        <w:rPr>
          <w:sz w:val="20"/>
          <w:szCs w:val="20"/>
          <w:color w:val="auto"/>
        </w:rPr>
      </w:pPr>
      <w:r>
        <w:rPr>
          <w:rFonts w:ascii="Arial" w:cs="Arial" w:eastAsia="Arial" w:hAnsi="Arial"/>
          <w:sz w:val="18"/>
          <w:szCs w:val="18"/>
          <w:color w:val="auto"/>
        </w:rPr>
        <w:t>In July 2021, the FASB issued guidance which affect lessors with lease contracts that (i) have variable lease payments that do not depend on a reference index or a rate and (ii) would have resulted in the recognition of a selling loss at lease commencement if classified as sales-type or direct financing. The amendments are effective for fiscal years beginning after December 15, 2021. The Company is currently evaluating lease contracts and the potential effects of adopting this new guidance.</w:t>
      </w:r>
    </w:p>
    <w:p>
      <w:pPr>
        <w:spacing w:after="0" w:line="214" w:lineRule="exact"/>
        <w:rPr>
          <w:sz w:val="20"/>
          <w:szCs w:val="20"/>
          <w:color w:val="auto"/>
        </w:rPr>
      </w:pPr>
    </w:p>
    <w:p>
      <w:pPr>
        <w:ind w:right="80" w:firstLine="318"/>
        <w:spacing w:after="0" w:line="249" w:lineRule="auto"/>
        <w:rPr>
          <w:sz w:val="20"/>
          <w:szCs w:val="20"/>
          <w:color w:val="auto"/>
        </w:rPr>
      </w:pPr>
      <w:r>
        <w:rPr>
          <w:rFonts w:ascii="Arial" w:cs="Arial" w:eastAsia="Arial" w:hAnsi="Arial"/>
          <w:sz w:val="18"/>
          <w:szCs w:val="18"/>
          <w:color w:val="auto"/>
        </w:rPr>
        <w:t>The Company reviewed all other newly issued accounting pronouncements and concluded that they either are not applicable to the Company's operations or that no material effect is expected on the Company's financial statements when adoption is required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 Disclosures</w:t>
      </w:r>
    </w:p>
    <w:p>
      <w:pPr>
        <w:spacing w:after="0" w:line="250" w:lineRule="exact"/>
        <w:rPr>
          <w:sz w:val="20"/>
          <w:szCs w:val="20"/>
          <w:color w:val="auto"/>
        </w:rPr>
      </w:pPr>
    </w:p>
    <w:p>
      <w:pPr>
        <w:ind w:right="220" w:firstLine="318"/>
        <w:spacing w:after="0" w:line="277" w:lineRule="auto"/>
        <w:rPr>
          <w:sz w:val="20"/>
          <w:szCs w:val="20"/>
          <w:color w:val="auto"/>
        </w:rPr>
      </w:pPr>
      <w:r>
        <w:rPr>
          <w:rFonts w:ascii="Arial" w:cs="Arial" w:eastAsia="Arial" w:hAnsi="Arial"/>
          <w:sz w:val="17"/>
          <w:szCs w:val="17"/>
          <w:color w:val="auto"/>
        </w:rPr>
        <w:t>Franchise revenue and revenue from company-operated restaurants are recognized in accordance with current guidance for revenue recognition as codified in Accounting Standards Topic 606 (“ASC 606”). Under ASC 606, revenue is recognized upon transfer of control of promised services or goods to customers in an amount that reflects the consideration the Company expects to receive for those services or goods.</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Franchising Activities</w:t>
      </w:r>
    </w:p>
    <w:p>
      <w:pPr>
        <w:spacing w:after="0" w:line="236" w:lineRule="exact"/>
        <w:rPr>
          <w:sz w:val="20"/>
          <w:szCs w:val="20"/>
          <w:color w:val="auto"/>
        </w:rPr>
      </w:pPr>
    </w:p>
    <w:p>
      <w:pPr>
        <w:ind w:right="80" w:firstLine="318"/>
        <w:spacing w:after="0" w:line="251" w:lineRule="auto"/>
        <w:rPr>
          <w:sz w:val="20"/>
          <w:szCs w:val="20"/>
          <w:color w:val="auto"/>
        </w:rPr>
      </w:pPr>
      <w:r>
        <w:rPr>
          <w:rFonts w:ascii="Arial" w:cs="Arial" w:eastAsia="Arial" w:hAnsi="Arial"/>
          <w:sz w:val="17"/>
          <w:szCs w:val="17"/>
          <w:color w:val="auto"/>
        </w:rPr>
        <w:t>The Company owns, franchises and operates the Applebee's Neighborhood Grill &amp; Bar</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(“Applebee's”) concept in the casual dining category of the restaurant industry and the Company owns and franchises the International House of Pancakes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(“IHOP”) concept in the family dining category of the restaurant industry. The franchise arrangement for both brands is documented in the form of a franchise agreement and, in most cases, a development agreement. The franchise arrangement between the Company as the franchisor and the franchisee as the customer requires the Company to perform various activities to support the brands that do not directly transfer goods and services to the franchisee, but instead represent a single performance obligation, which is the transfer of the franchise license. The intellectual property subject to the franchise license is symbolic intellectual property as it does not have significant standalone functionality, and substantially all the utility is derived from its association with the Company’s past or ongoing activities. The nature of the Company’s promise in granting the franchise license is to provide the franchisee with access to the respective brand’s symbolic intellectual property over the term of the license. The services provided by the Company are highly interrelated with the franchise license and as such are considered to represent a single performance obligation.</w:t>
      </w:r>
    </w:p>
    <w:p>
      <w:pPr>
        <w:spacing w:after="0" w:line="225"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The transaction price in a standard franchise arrangement for both brands primarily consists of (a) initial franchise/development fees; (b) continuing franchise fees (royalties); and (c) advertising fees. Since the Company considers the licensing of the franchising right to be a single performance obligation, no allocation of the transaction price is required. All domestic IHOP franchise agreements require franchisees to purchase proprietary pancake and waffle dry mix from the Company.</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recognizes the primary components of the transaction price as follows:</w:t>
      </w:r>
    </w:p>
    <w:p>
      <w:pPr>
        <w:spacing w:after="0" w:line="244" w:lineRule="exact"/>
        <w:rPr>
          <w:sz w:val="20"/>
          <w:szCs w:val="20"/>
          <w:color w:val="auto"/>
        </w:rPr>
      </w:pPr>
    </w:p>
    <w:p>
      <w:pPr>
        <w:ind w:left="560" w:right="140" w:hanging="316"/>
        <w:spacing w:after="0" w:line="250" w:lineRule="auto"/>
        <w:tabs>
          <w:tab w:leader="none" w:pos="556" w:val="left"/>
        </w:tabs>
        <w:numPr>
          <w:ilvl w:val="0"/>
          <w:numId w:val="3"/>
        </w:numPr>
        <w:rPr>
          <w:rFonts w:ascii="Arial" w:cs="Arial" w:eastAsia="Arial" w:hAnsi="Arial"/>
          <w:sz w:val="18"/>
          <w:szCs w:val="18"/>
          <w:color w:val="auto"/>
        </w:rPr>
      </w:pPr>
      <w:r>
        <w:rPr>
          <w:rFonts w:ascii="Arial" w:cs="Arial" w:eastAsia="Arial" w:hAnsi="Arial"/>
          <w:sz w:val="18"/>
          <w:szCs w:val="18"/>
          <w:color w:val="auto"/>
        </w:rPr>
        <w:t>Franchise and development fees are recognized as revenue ratably on a straight-line basis over the term of the franchise agreement commencing with the restaurant opening date. As these fees are typically received in cash at or near the beginning of the franchise term, the cash received is initially recorded as a contract liability until recognized as revenue over time.</w:t>
      </w:r>
    </w:p>
    <w:p>
      <w:pPr>
        <w:ind w:left="560" w:right="20" w:hanging="316"/>
        <w:spacing w:after="0" w:line="245" w:lineRule="auto"/>
        <w:tabs>
          <w:tab w:leader="none" w:pos="55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is entitled to royalties and advertising fees based on a percentage of the franchisee's gross sales as defined in the franchise agreement. Royalty and advertising revenue are recognized when the franchisee's reported sales occur. Depending on timing within a fiscal period, the recognition of revenue results in either what is considered a contract asset (unbilled receivable) or once billed, accounts receivable, and are included in “receivables, net” in the Consolidated Balance Sheets.</w:t>
      </w:r>
    </w:p>
    <w:p>
      <w:pPr>
        <w:spacing w:after="0" w:line="2" w:lineRule="exact"/>
        <w:rPr>
          <w:rFonts w:ascii="Arial" w:cs="Arial" w:eastAsia="Arial" w:hAnsi="Arial"/>
          <w:sz w:val="18"/>
          <w:szCs w:val="18"/>
          <w:color w:val="auto"/>
        </w:rPr>
      </w:pPr>
    </w:p>
    <w:p>
      <w:pPr>
        <w:ind w:left="560" w:right="700" w:hanging="316"/>
        <w:spacing w:after="0" w:line="349" w:lineRule="auto"/>
        <w:tabs>
          <w:tab w:leader="none" w:pos="556" w:val="left"/>
        </w:tabs>
        <w:numPr>
          <w:ilvl w:val="0"/>
          <w:numId w:val="3"/>
        </w:numPr>
        <w:rPr>
          <w:rFonts w:ascii="Arial" w:cs="Arial" w:eastAsia="Arial" w:hAnsi="Arial"/>
          <w:sz w:val="15"/>
          <w:szCs w:val="15"/>
          <w:color w:val="auto"/>
        </w:rPr>
      </w:pPr>
      <w:r>
        <w:rPr>
          <w:rFonts w:ascii="Arial" w:cs="Arial" w:eastAsia="Arial" w:hAnsi="Arial"/>
          <w:sz w:val="15"/>
          <w:szCs w:val="15"/>
          <w:color w:val="auto"/>
        </w:rPr>
        <w:t>Revenue from the sale of proprietary pancake and waffle dry mix is recognized in the period in which distributors ship the franchisee's order; recognition of revenue results in an accounts receivable included in “receivables, net” in the Consolidated Balance Sheets.</w:t>
      </w:r>
    </w:p>
    <w:p>
      <w:pPr>
        <w:spacing w:after="0" w:line="149" w:lineRule="exact"/>
        <w:rPr>
          <w:sz w:val="20"/>
          <w:szCs w:val="20"/>
          <w:color w:val="auto"/>
        </w:rPr>
      </w:pPr>
    </w:p>
    <w:p>
      <w:pPr>
        <w:ind w:right="300" w:firstLine="318"/>
        <w:spacing w:after="0" w:line="250" w:lineRule="auto"/>
        <w:rPr>
          <w:sz w:val="20"/>
          <w:szCs w:val="20"/>
          <w:color w:val="auto"/>
        </w:rPr>
      </w:pPr>
      <w:r>
        <w:rPr>
          <w:rFonts w:ascii="Arial" w:cs="Arial" w:eastAsia="Arial" w:hAnsi="Arial"/>
          <w:sz w:val="18"/>
          <w:szCs w:val="18"/>
          <w:color w:val="auto"/>
        </w:rPr>
        <w:t>In determining the amount and timing of revenue from contracts with customers, the Company exercises significant judgment with respect to collectability of the amount; however, the timing of recognition does not require significant judgments as it is based on either the term of the franchise agreement, the month of reported sales by the franchisee or the date of product shipment, none of which require estimation. The Company does not incur a significant amount of contract acquisition costs in conducting franchising activities. The Company's franchising arrangements do not contain a significant financing component.</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Company Restaurant Revenue</w:t>
      </w:r>
    </w:p>
    <w:p>
      <w:pPr>
        <w:spacing w:after="0" w:line="244" w:lineRule="exact"/>
        <w:rPr>
          <w:sz w:val="20"/>
          <w:szCs w:val="20"/>
          <w:color w:val="auto"/>
        </w:rPr>
      </w:pPr>
    </w:p>
    <w:p>
      <w:pPr>
        <w:ind w:right="240" w:firstLine="318"/>
        <w:spacing w:after="0" w:line="264" w:lineRule="auto"/>
        <w:rPr>
          <w:sz w:val="20"/>
          <w:szCs w:val="20"/>
          <w:color w:val="auto"/>
        </w:rPr>
      </w:pPr>
      <w:r>
        <w:rPr>
          <w:rFonts w:ascii="Arial" w:cs="Arial" w:eastAsia="Arial" w:hAnsi="Arial"/>
          <w:sz w:val="18"/>
          <w:szCs w:val="18"/>
          <w:color w:val="auto"/>
        </w:rPr>
        <w:t>Sales by company-operated restaurants are recognized when food and beverage items are sold. Company restaurant sales are reported net of sales taxes collected from guests that are remitted to the appropriate taxing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ind w:left="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4. Revenue Disclosures (Continued)</w:t>
      </w:r>
    </w:p>
    <w:p>
      <w:pPr>
        <w:spacing w:after="0" w:line="200" w:lineRule="exact"/>
        <w:rPr>
          <w:sz w:val="20"/>
          <w:szCs w:val="20"/>
          <w:color w:val="auto"/>
        </w:rPr>
      </w:pPr>
    </w:p>
    <w:p>
      <w:pPr>
        <w:spacing w:after="0" w:line="3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disaggregates franchise revenue by major type for the three and nine months ended September 30, 2021 and 2020:</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90"/>
              </w:rPr>
              <w:t>Three Months Ended</w:t>
            </w:r>
          </w:p>
        </w:tc>
        <w:tc>
          <w:tcPr>
            <w:tcW w:w="420" w:type="dxa"/>
            <w:vAlign w:val="bottom"/>
          </w:tcPr>
          <w:p>
            <w:pPr>
              <w:spacing w:after="0"/>
              <w:rPr>
                <w:sz w:val="18"/>
                <w:szCs w:val="18"/>
                <w:color w:val="auto"/>
              </w:rPr>
            </w:pPr>
          </w:p>
        </w:tc>
        <w:tc>
          <w:tcPr>
            <w:tcW w:w="2100" w:type="dxa"/>
            <w:vAlign w:val="bottom"/>
            <w:gridSpan w:val="4"/>
          </w:tcPr>
          <w:p>
            <w:pPr>
              <w:jc w:val="right"/>
              <w:ind w:right="493"/>
              <w:spacing w:after="0"/>
              <w:rPr>
                <w:sz w:val="20"/>
                <w:szCs w:val="20"/>
                <w:color w:val="auto"/>
              </w:rPr>
            </w:pPr>
            <w:r>
              <w:rPr>
                <w:rFonts w:ascii="Arial" w:cs="Arial" w:eastAsia="Arial" w:hAnsi="Arial"/>
                <w:sz w:val="16"/>
                <w:szCs w:val="16"/>
                <w:b w:val="1"/>
                <w:bCs w:val="1"/>
                <w:color w:val="auto"/>
              </w:rPr>
              <w:t>Nine Months Ended</w:t>
            </w:r>
          </w:p>
        </w:tc>
      </w:tr>
      <w:tr>
        <w:trPr>
          <w:trHeight w:val="215"/>
        </w:trPr>
        <w:tc>
          <w:tcPr>
            <w:tcW w:w="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87"/>
              </w:rPr>
              <w:t>September 30,</w:t>
            </w:r>
          </w:p>
        </w:tc>
        <w:tc>
          <w:tcPr>
            <w:tcW w:w="420" w:type="dxa"/>
            <w:vAlign w:val="bottom"/>
          </w:tcPr>
          <w:p>
            <w:pPr>
              <w:spacing w:after="0"/>
              <w:rPr>
                <w:sz w:val="18"/>
                <w:szCs w:val="18"/>
                <w:color w:val="auto"/>
              </w:rPr>
            </w:pPr>
          </w:p>
        </w:tc>
        <w:tc>
          <w:tcPr>
            <w:tcW w:w="2100" w:type="dxa"/>
            <w:vAlign w:val="bottom"/>
            <w:gridSpan w:val="4"/>
          </w:tcPr>
          <w:p>
            <w:pPr>
              <w:jc w:val="right"/>
              <w:ind w:right="673"/>
              <w:spacing w:after="0"/>
              <w:rPr>
                <w:sz w:val="20"/>
                <w:szCs w:val="20"/>
                <w:color w:val="auto"/>
              </w:rPr>
            </w:pPr>
            <w:r>
              <w:rPr>
                <w:rFonts w:ascii="Arial" w:cs="Arial" w:eastAsia="Arial" w:hAnsi="Arial"/>
                <w:sz w:val="16"/>
                <w:szCs w:val="16"/>
                <w:b w:val="1"/>
                <w:bCs w:val="1"/>
                <w:color w:val="auto"/>
              </w:rPr>
              <w:t>September 30,</w:t>
            </w:r>
          </w:p>
        </w:tc>
      </w:tr>
      <w:tr>
        <w:trPr>
          <w:trHeight w:val="206"/>
        </w:trPr>
        <w:tc>
          <w:tcPr>
            <w:tcW w:w="20" w:type="dxa"/>
            <w:vAlign w:val="bottom"/>
          </w:tcPr>
          <w:p>
            <w:pPr>
              <w:spacing w:after="0"/>
              <w:rPr>
                <w:sz w:val="17"/>
                <w:szCs w:val="17"/>
                <w:color w:val="auto"/>
              </w:rPr>
            </w:pPr>
          </w:p>
        </w:tc>
        <w:tc>
          <w:tcPr>
            <w:tcW w:w="61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2020</w:t>
            </w:r>
          </w:p>
        </w:tc>
      </w:tr>
      <w:tr>
        <w:trPr>
          <w:trHeight w:val="179"/>
        </w:trPr>
        <w:tc>
          <w:tcPr>
            <w:tcW w:w="2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26"/>
        </w:trPr>
        <w:tc>
          <w:tcPr>
            <w:tcW w:w="6120" w:type="dxa"/>
            <w:vAlign w:val="bottom"/>
            <w:gridSpan w:val="2"/>
          </w:tcPr>
          <w:p>
            <w:pPr>
              <w:spacing w:after="0"/>
              <w:rPr>
                <w:sz w:val="20"/>
                <w:szCs w:val="20"/>
                <w:color w:val="auto"/>
              </w:rPr>
            </w:pPr>
            <w:r>
              <w:rPr>
                <w:rFonts w:ascii="Arial" w:cs="Arial" w:eastAsia="Arial" w:hAnsi="Arial"/>
                <w:sz w:val="18"/>
                <w:szCs w:val="18"/>
                <w:color w:val="auto"/>
              </w:rPr>
              <w:t>Franchise Revenue:</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Royalties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75,098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56,061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154,672</w:t>
            </w:r>
          </w:p>
        </w:tc>
      </w:tr>
      <w:tr>
        <w:trPr>
          <w:trHeight w:val="225"/>
        </w:trPr>
        <w:tc>
          <w:tcPr>
            <w:tcW w:w="20" w:type="dxa"/>
            <w:vAlign w:val="bottom"/>
          </w:tcPr>
          <w:p>
            <w:pPr>
              <w:spacing w:after="0"/>
              <w:rPr>
                <w:sz w:val="19"/>
                <w:szCs w:val="19"/>
                <w:color w:val="auto"/>
              </w:rPr>
            </w:pPr>
          </w:p>
        </w:tc>
        <w:tc>
          <w:tcPr>
            <w:tcW w:w="6100" w:type="dxa"/>
            <w:vAlign w:val="bottom"/>
          </w:tcPr>
          <w:p>
            <w:pPr>
              <w:ind w:left="220"/>
              <w:spacing w:after="0"/>
              <w:rPr>
                <w:sz w:val="20"/>
                <w:szCs w:val="20"/>
                <w:color w:val="auto"/>
              </w:rPr>
            </w:pPr>
            <w:r>
              <w:rPr>
                <w:rFonts w:ascii="Arial" w:cs="Arial" w:eastAsia="Arial" w:hAnsi="Arial"/>
                <w:sz w:val="18"/>
                <w:szCs w:val="18"/>
                <w:color w:val="auto"/>
              </w:rPr>
              <w:t>Advertising fees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70,709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51,932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203,918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142,750</w:t>
            </w:r>
          </w:p>
        </w:tc>
      </w:tr>
      <w:tr>
        <w:trPr>
          <w:trHeight w:val="226"/>
        </w:trPr>
        <w:tc>
          <w:tcPr>
            <w:tcW w:w="20" w:type="dxa"/>
            <w:vAlign w:val="bottom"/>
          </w:tcPr>
          <w:p>
            <w:pPr>
              <w:spacing w:after="0"/>
              <w:rPr>
                <w:sz w:val="19"/>
                <w:szCs w:val="19"/>
                <w:color w:val="auto"/>
              </w:rPr>
            </w:pPr>
          </w:p>
        </w:tc>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Pancake and waffle dry mix sales and other</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27,575</w:t>
            </w:r>
          </w:p>
        </w:tc>
      </w:tr>
      <w:tr>
        <w:trPr>
          <w:trHeight w:val="225"/>
        </w:trPr>
        <w:tc>
          <w:tcPr>
            <w:tcW w:w="20" w:type="dxa"/>
            <w:vAlign w:val="bottom"/>
          </w:tcPr>
          <w:p>
            <w:pPr>
              <w:spacing w:after="0"/>
              <w:rPr>
                <w:sz w:val="19"/>
                <w:szCs w:val="19"/>
                <w:color w:val="auto"/>
              </w:rPr>
            </w:pPr>
          </w:p>
        </w:tc>
        <w:tc>
          <w:tcPr>
            <w:tcW w:w="6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Franchise and development fees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9,668</w:t>
            </w:r>
          </w:p>
        </w:tc>
      </w:tr>
      <w:tr>
        <w:trPr>
          <w:trHeight w:val="244"/>
        </w:trPr>
        <w:tc>
          <w:tcPr>
            <w:tcW w:w="20" w:type="dxa"/>
            <w:vAlign w:val="bottom"/>
          </w:tcPr>
          <w:p>
            <w:pPr>
              <w:spacing w:after="0"/>
              <w:rPr>
                <w:sz w:val="20"/>
                <w:szCs w:val="20"/>
                <w:color w:val="auto"/>
              </w:rPr>
            </w:pPr>
          </w:p>
        </w:tc>
        <w:tc>
          <w:tcPr>
            <w:tcW w:w="6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franchise revenue</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161,126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121,752</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469,056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334,665</w:t>
            </w:r>
          </w:p>
        </w:tc>
      </w:tr>
      <w:tr>
        <w:trPr>
          <w:trHeight w:val="20"/>
        </w:trPr>
        <w:tc>
          <w:tcPr>
            <w:tcW w:w="20" w:type="dxa"/>
            <w:vAlign w:val="bottom"/>
          </w:tcPr>
          <w:p>
            <w:pPr>
              <w:spacing w:after="0" w:line="20" w:lineRule="exact"/>
              <w:rPr>
                <w:sz w:val="1"/>
                <w:szCs w:val="1"/>
                <w:color w:val="auto"/>
              </w:rPr>
            </w:pPr>
          </w:p>
        </w:tc>
        <w:tc>
          <w:tcPr>
            <w:tcW w:w="6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ind w:left="20" w:right="100" w:firstLine="318"/>
        <w:spacing w:after="0" w:line="365" w:lineRule="auto"/>
        <w:rPr>
          <w:sz w:val="20"/>
          <w:szCs w:val="20"/>
          <w:color w:val="auto"/>
        </w:rPr>
      </w:pPr>
      <w:r>
        <w:rPr>
          <w:rFonts w:ascii="Arial" w:cs="Arial" w:eastAsia="Arial" w:hAnsi="Arial"/>
          <w:sz w:val="15"/>
          <w:szCs w:val="15"/>
          <w:color w:val="auto"/>
        </w:rPr>
        <w:t>Accounts and other receivables from franchisees as of September 30, 2021 and December 31, 2020 were $64.2 million (net of allowance of $2.1 million) and $76.3 million (net of allowance of $11.4 million), respectively, and were included in receivables, net in the Consolidated Balance Sheets.</w:t>
      </w:r>
    </w:p>
    <w:p>
      <w:pPr>
        <w:spacing w:after="0" w:line="138" w:lineRule="exact"/>
        <w:rPr>
          <w:sz w:val="20"/>
          <w:szCs w:val="20"/>
          <w:color w:val="auto"/>
        </w:rPr>
      </w:pPr>
    </w:p>
    <w:p>
      <w:pPr>
        <w:ind w:left="20" w:right="480" w:firstLine="318"/>
        <w:spacing w:after="0" w:line="264" w:lineRule="auto"/>
        <w:rPr>
          <w:sz w:val="20"/>
          <w:szCs w:val="20"/>
          <w:color w:val="auto"/>
        </w:rPr>
      </w:pPr>
      <w:r>
        <w:rPr>
          <w:rFonts w:ascii="Arial" w:cs="Arial" w:eastAsia="Arial" w:hAnsi="Arial"/>
          <w:sz w:val="18"/>
          <w:szCs w:val="18"/>
          <w:color w:val="auto"/>
        </w:rPr>
        <w:t>Changes in the Company's contract liability for deferred franchise and development fees during the nine months ended September 30, 2021 were as follows:</w:t>
      </w:r>
    </w:p>
    <w:p>
      <w:pPr>
        <w:sectPr>
          <w:pgSz w:w="11900" w:h="16838" w:orient="portrait"/>
          <w:cols w:equalWidth="0" w:num="1">
            <w:col w:w="11260"/>
          </w:cols>
          <w:pgMar w:left="300" w:top="122" w:right="3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Balance at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-131445</wp:posOffset>
            </wp:positionV>
            <wp:extent cx="7008495" cy="142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08495" cy="14287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color w:val="auto"/>
        </w:rPr>
        <w:t>Recognized as revenue during the nine months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10795</wp:posOffset>
            </wp:positionV>
            <wp:extent cx="7008495" cy="142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08495" cy="14287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color w:val="auto"/>
        </w:rPr>
        <w:t>Fees deferred during the nine months ended September 30, 2021</w:t>
      </w:r>
    </w:p>
    <w:p>
      <w:pPr>
        <w:spacing w:after="0" w:line="5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Balance at September 30, 2021</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balance of deferred revenue as of September 30, 2021 is expected to be recognized as follows:</w:t>
      </w:r>
    </w:p>
    <w:p>
      <w:pPr>
        <w:spacing w:after="0" w:line="20" w:lineRule="exact"/>
        <w:rPr>
          <w:sz w:val="20"/>
          <w:szCs w:val="20"/>
          <w:color w:val="auto"/>
        </w:rPr>
      </w:pPr>
      <w:r>
        <w:rPr>
          <w:sz w:val="20"/>
          <w:szCs w:val="20"/>
          <w:color w:val="auto"/>
        </w:rPr>
        <w:br w:type="column"/>
      </w:r>
    </w:p>
    <w:p>
      <w:pPr>
        <w:jc w:val="center"/>
        <w:ind w:right="100"/>
        <w:spacing w:after="0"/>
        <w:rPr>
          <w:sz w:val="20"/>
          <w:szCs w:val="20"/>
          <w:color w:val="auto"/>
        </w:rPr>
      </w:pPr>
      <w:r>
        <w:rPr>
          <w:rFonts w:ascii="Arial" w:cs="Arial" w:eastAsia="Arial" w:hAnsi="Arial"/>
          <w:sz w:val="15"/>
          <w:szCs w:val="15"/>
          <w:b w:val="1"/>
          <w:bCs w:val="1"/>
          <w:color w:val="auto"/>
        </w:rPr>
        <w:t>Deferred Franchise Revenue</w:t>
      </w:r>
    </w:p>
    <w:p>
      <w:pPr>
        <w:spacing w:after="0" w:line="5"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(short- and long-term)</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0" w:type="dxa"/>
            <w:vAlign w:val="bottom"/>
            <w:tcBorders>
              <w:top w:val="single" w:sz="8" w:color="auto"/>
            </w:tcBorders>
          </w:tcPr>
          <w:p>
            <w:pPr>
              <w:spacing w:after="0"/>
              <w:rPr>
                <w:sz w:val="15"/>
                <w:szCs w:val="15"/>
                <w:color w:val="auto"/>
              </w:rPr>
            </w:pPr>
          </w:p>
        </w:tc>
        <w:tc>
          <w:tcPr>
            <w:tcW w:w="1740" w:type="dxa"/>
            <w:vAlign w:val="bottom"/>
            <w:tcBorders>
              <w:top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(In thousands)</w:t>
            </w:r>
          </w:p>
        </w:tc>
      </w:tr>
      <w:tr>
        <w:trPr>
          <w:trHeight w:val="224"/>
        </w:trPr>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59,919</w:t>
            </w:r>
          </w:p>
        </w:tc>
      </w:tr>
      <w:tr>
        <w:trPr>
          <w:trHeight w:val="225"/>
        </w:trPr>
        <w:tc>
          <w:tcPr>
            <w:tcW w:w="3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(9,621)</w:t>
            </w:r>
          </w:p>
        </w:tc>
      </w:tr>
      <w:tr>
        <w:trPr>
          <w:trHeight w:val="226"/>
        </w:trPr>
        <w:tc>
          <w:tcPr>
            <w:tcW w:w="3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3,813</w:t>
            </w:r>
          </w:p>
        </w:tc>
      </w:tr>
      <w:tr>
        <w:trPr>
          <w:trHeight w:val="218"/>
        </w:trPr>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54,111</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3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(In thousands)</w:t>
      </w:r>
    </w:p>
    <w:p>
      <w:pPr>
        <w:spacing w:after="0" w:line="43" w:lineRule="exact"/>
        <w:rPr>
          <w:sz w:val="20"/>
          <w:szCs w:val="20"/>
          <w:color w:val="auto"/>
        </w:rPr>
      </w:pPr>
    </w:p>
    <w:p>
      <w:pPr>
        <w:sectPr>
          <w:pgSz w:w="11900" w:h="16838" w:orient="portrait"/>
          <w:cols w:equalWidth="0" w:num="2">
            <w:col w:w="8340" w:space="720"/>
            <w:col w:w="2200"/>
          </w:cols>
          <w:pgMar w:left="300" w:top="122" w:right="339" w:bottom="1440" w:gutter="0" w:footer="0" w:header="0"/>
          <w:type w:val="continuous"/>
        </w:sectPr>
      </w:pPr>
    </w:p>
    <w:tbl>
      <w:tblPr>
        <w:tblLayout w:type="fixed"/>
        <w:tblInd w:w="120" w:type="dxa"/>
        <w:tblCellMar>
          <w:top w:w="0" w:type="dxa"/>
          <w:left w:w="0" w:type="dxa"/>
          <w:bottom w:w="0" w:type="dxa"/>
          <w:right w:w="0" w:type="dxa"/>
        </w:tblCellMar>
      </w:tblP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2021 (remaining three months)</w:t>
            </w:r>
          </w:p>
        </w:tc>
        <w:tc>
          <w:tcPr>
            <w:tcW w:w="80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w:t>
            </w:r>
          </w:p>
        </w:tc>
      </w:tr>
      <w:tr>
        <w:trPr>
          <w:trHeight w:val="225"/>
        </w:trPr>
        <w:tc>
          <w:tcPr>
            <w:tcW w:w="9000" w:type="dxa"/>
            <w:vAlign w:val="bottom"/>
          </w:tcPr>
          <w:p>
            <w:pPr>
              <w:spacing w:after="0"/>
              <w:rPr>
                <w:sz w:val="20"/>
                <w:szCs w:val="20"/>
                <w:color w:val="auto"/>
              </w:rPr>
            </w:pPr>
            <w:r>
              <w:rPr>
                <w:rFonts w:ascii="Arial" w:cs="Arial" w:eastAsia="Arial" w:hAnsi="Arial"/>
                <w:sz w:val="18"/>
                <w:szCs w:val="18"/>
                <w:color w:val="auto"/>
              </w:rPr>
              <w:t>2022</w:t>
            </w:r>
          </w:p>
        </w:tc>
        <w:tc>
          <w:tcPr>
            <w:tcW w:w="8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7,303</w:t>
            </w:r>
          </w:p>
        </w:tc>
      </w:tr>
      <w:tr>
        <w:trPr>
          <w:trHeight w:val="22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8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6,724</w:t>
            </w:r>
          </w:p>
        </w:tc>
      </w:tr>
      <w:tr>
        <w:trPr>
          <w:trHeight w:val="225"/>
        </w:trPr>
        <w:tc>
          <w:tcPr>
            <w:tcW w:w="9000" w:type="dxa"/>
            <w:vAlign w:val="bottom"/>
          </w:tcPr>
          <w:p>
            <w:pPr>
              <w:spacing w:after="0"/>
              <w:rPr>
                <w:sz w:val="20"/>
                <w:szCs w:val="20"/>
                <w:color w:val="auto"/>
              </w:rPr>
            </w:pPr>
            <w:r>
              <w:rPr>
                <w:rFonts w:ascii="Arial" w:cs="Arial" w:eastAsia="Arial" w:hAnsi="Arial"/>
                <w:sz w:val="18"/>
                <w:szCs w:val="18"/>
                <w:color w:val="auto"/>
              </w:rPr>
              <w:t>2024</w:t>
            </w:r>
          </w:p>
        </w:tc>
        <w:tc>
          <w:tcPr>
            <w:tcW w:w="8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6,129</w:t>
            </w:r>
          </w:p>
        </w:tc>
      </w:tr>
      <w:tr>
        <w:trPr>
          <w:trHeight w:val="22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8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5,349</w:t>
            </w:r>
          </w:p>
        </w:tc>
      </w:tr>
      <w:tr>
        <w:trPr>
          <w:trHeight w:val="225"/>
        </w:trPr>
        <w:tc>
          <w:tcPr>
            <w:tcW w:w="9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8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26,714</w:t>
            </w:r>
          </w:p>
        </w:tc>
      </w:tr>
      <w:tr>
        <w:trPr>
          <w:trHeight w:val="244"/>
        </w:trPr>
        <w:tc>
          <w:tcPr>
            <w:tcW w:w="9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shd w:val="clear" w:color="auto" w:fill="CCEEFF"/>
          </w:tcPr>
          <w:p>
            <w:pPr>
              <w:jc w:val="right"/>
              <w:ind w:right="61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54,111</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5. Current Expected Credit Losses (“CECL”)</w:t>
      </w:r>
    </w:p>
    <w:p>
      <w:pPr>
        <w:spacing w:after="0" w:line="250" w:lineRule="exact"/>
        <w:rPr>
          <w:sz w:val="20"/>
          <w:szCs w:val="20"/>
          <w:color w:val="auto"/>
        </w:rPr>
      </w:pPr>
    </w:p>
    <w:p>
      <w:pPr>
        <w:ind w:left="20" w:right="60" w:firstLine="318"/>
        <w:spacing w:after="0" w:line="248" w:lineRule="auto"/>
        <w:rPr>
          <w:sz w:val="20"/>
          <w:szCs w:val="20"/>
          <w:color w:val="auto"/>
        </w:rPr>
      </w:pPr>
      <w:r>
        <w:rPr>
          <w:rFonts w:ascii="Arial" w:cs="Arial" w:eastAsia="Arial" w:hAnsi="Arial"/>
          <w:sz w:val="18"/>
          <w:szCs w:val="18"/>
          <w:color w:val="auto"/>
        </w:rPr>
        <w:t>The CECL reserve methodology requires companies to measure expected credit losses on financial instruments based on the total estimated amount to be collected over the lifetime of the instrument. Under the CECL model, reserves may be established against financial asset balances even if the risk of loss is remote or has not yet manifested itself. The Company records specific reserves against account balances of franchisees deemed at-risk when a potential loss is likely or imminent as a result of prolonged payment delinquency (greater than 90 days past due) and where notable credit deterioration has become evident. For financial assets that are not currently deemed at-risk, an allowance is recorded based on expected loss rates derived pursuant to the Company's CECL methodology that assesses four components - historical losses, current conditions, reasonable and supportable forecasts, and a reversion to history, if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65405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60"/>
          </w:cols>
          <w:pgMar w:left="300" w:top="122" w:right="339" w:bottom="1440" w:gutter="0" w:footer="0" w:header="0"/>
          <w:type w:val="continuous"/>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Current Expected Credit Losses (Continued)</w:t>
      </w:r>
    </w:p>
    <w:p>
      <w:pPr>
        <w:spacing w:after="0" w:line="200" w:lineRule="exact"/>
        <w:rPr>
          <w:sz w:val="20"/>
          <w:szCs w:val="20"/>
          <w:color w:val="auto"/>
        </w:rPr>
      </w:pPr>
    </w:p>
    <w:p>
      <w:pPr>
        <w:spacing w:after="0" w:line="22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considers its portfolio segments to be the following:</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Accounts Receivable (Franchise-Related)</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Most of the Company’s short-term receivables due from franchisees are derived from royalty, advertising and other franchise-related fees.</w:t>
      </w:r>
    </w:p>
    <w:p>
      <w:pPr>
        <w:spacing w:after="0" w:line="255"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Gift Card Receivables</w:t>
      </w:r>
    </w:p>
    <w:p>
      <w:pPr>
        <w:spacing w:after="0" w:line="217" w:lineRule="exact"/>
        <w:rPr>
          <w:sz w:val="20"/>
          <w:szCs w:val="20"/>
          <w:color w:val="auto"/>
        </w:rPr>
      </w:pPr>
    </w:p>
    <w:p>
      <w:pPr>
        <w:ind w:right="480" w:firstLine="318"/>
        <w:spacing w:after="0" w:line="264" w:lineRule="auto"/>
        <w:rPr>
          <w:sz w:val="20"/>
          <w:szCs w:val="20"/>
          <w:color w:val="auto"/>
        </w:rPr>
      </w:pPr>
      <w:r>
        <w:rPr>
          <w:rFonts w:ascii="Arial" w:cs="Arial" w:eastAsia="Arial" w:hAnsi="Arial"/>
          <w:sz w:val="18"/>
          <w:szCs w:val="18"/>
          <w:color w:val="auto"/>
        </w:rPr>
        <w:t>Gift card receivables consist primarily of amounts due from third-party vendors. Receivables related to gift card sales are subject to seasonality and usually peak around year-end as a result of the December holiday season.</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Notes Receivable</w:t>
      </w:r>
    </w:p>
    <w:p>
      <w:pPr>
        <w:spacing w:after="0" w:line="244" w:lineRule="exact"/>
        <w:rPr>
          <w:sz w:val="20"/>
          <w:szCs w:val="20"/>
          <w:color w:val="auto"/>
        </w:rPr>
      </w:pPr>
    </w:p>
    <w:p>
      <w:pPr>
        <w:ind w:right="120" w:firstLine="318"/>
        <w:spacing w:after="0" w:line="252" w:lineRule="auto"/>
        <w:rPr>
          <w:sz w:val="20"/>
          <w:szCs w:val="20"/>
          <w:color w:val="auto"/>
        </w:rPr>
      </w:pPr>
      <w:r>
        <w:rPr>
          <w:rFonts w:ascii="Arial" w:cs="Arial" w:eastAsia="Arial" w:hAnsi="Arial"/>
          <w:sz w:val="18"/>
          <w:szCs w:val="18"/>
          <w:color w:val="auto"/>
        </w:rPr>
        <w:t>Notes receivable balances primarily relate to the conversion of certain past due Applebee's franchisee accounts receivable to notes receivable, cash loans to franchisees for working capital purposes, a note receivable in connection with the sale of IHOP company restaurants and IHOP franchise fee and other notes. The notes are typically collateralized by the franchise. A significant portion of these notes have specific reserves recorded against them amounting to $10.7 million as of September 30, 2021.</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Equipment Leases Receivable</w:t>
      </w:r>
    </w:p>
    <w:p>
      <w:pPr>
        <w:spacing w:after="0" w:line="244" w:lineRule="exact"/>
        <w:rPr>
          <w:sz w:val="20"/>
          <w:szCs w:val="20"/>
          <w:color w:val="auto"/>
        </w:rPr>
      </w:pPr>
    </w:p>
    <w:p>
      <w:pPr>
        <w:ind w:right="60" w:firstLine="318"/>
        <w:spacing w:after="0" w:line="318" w:lineRule="auto"/>
        <w:rPr>
          <w:sz w:val="20"/>
          <w:szCs w:val="20"/>
          <w:color w:val="auto"/>
        </w:rPr>
      </w:pPr>
      <w:r>
        <w:rPr>
          <w:rFonts w:ascii="Arial" w:cs="Arial" w:eastAsia="Arial" w:hAnsi="Arial"/>
          <w:sz w:val="15"/>
          <w:szCs w:val="15"/>
          <w:color w:val="auto"/>
        </w:rPr>
        <w:t>Equipment leases receivable relate to IHOP franchise development activity prior to 2003 when IHOP typically leased or purchased the restaurant site, built and equipped the restaurant, then franchised the restaurant to a franchisee. Equipment lease contracts are collateralized by the equipment in the restaurant. The estimated fair value of the equipment collateralizing these lease contracts are not deemed to be significant given the very seasoned and mature nature of this portfolio. The weighted average remaining life of the Company’s equipment leases is 4.9 years as of September 30, 2021.</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Direct Financing Leases Receivable</w:t>
      </w:r>
    </w:p>
    <w:p>
      <w:pPr>
        <w:spacing w:after="0" w:line="16"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Direct financing lease receivables also relate to IHOP franchise development activity prior to 2003. IHOP provided the financing for leasing or subleasing the site. Direct financing leases at September 30, 2021, comprised 74 leases with a weighted average remaining life of 5.1 years, and relate to locations that IHOP is leasing from third parties and subleasing to franchisees.</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Distributor Receivables</w:t>
      </w:r>
    </w:p>
    <w:p>
      <w:pPr>
        <w:spacing w:after="0" w:line="244"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Receivables due from distributors are related to the sale of IHOP’s proprietary pancake and waffle dry mix to franchisees through the Company’s network of suppliers and distributors and are included as part of Other receivables.</w:t>
      </w:r>
    </w:p>
    <w:p>
      <w:pPr>
        <w:spacing w:after="0" w:line="237" w:lineRule="exact"/>
        <w:rPr>
          <w:sz w:val="20"/>
          <w:szCs w:val="20"/>
          <w:color w:val="auto"/>
        </w:rPr>
      </w:pPr>
    </w:p>
    <w:tbl>
      <w:tblPr>
        <w:tblLayout w:type="fixed"/>
        <w:tblInd w:w="320" w:type="dxa"/>
        <w:tblCellMar>
          <w:top w:w="0" w:type="dxa"/>
          <w:left w:w="0" w:type="dxa"/>
          <w:bottom w:w="0" w:type="dxa"/>
          <w:right w:w="0" w:type="dxa"/>
        </w:tblCellMar>
      </w:tblPr>
      <w:tr>
        <w:trPr>
          <w:trHeight w:val="189"/>
        </w:trPr>
        <w:tc>
          <w:tcPr>
            <w:tcW w:w="644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September 30, 2021</w:t>
            </w:r>
          </w:p>
        </w:tc>
        <w:tc>
          <w:tcPr>
            <w:tcW w:w="5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3"/>
              </w:rPr>
              <w:t>December 31, 2020</w:t>
            </w:r>
          </w:p>
        </w:tc>
      </w:tr>
      <w:tr>
        <w:trPr>
          <w:trHeight w:val="183"/>
        </w:trPr>
        <w:tc>
          <w:tcPr>
            <w:tcW w:w="6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520" w:type="dxa"/>
            <w:vAlign w:val="bottom"/>
          </w:tcPr>
          <w:p>
            <w:pPr>
              <w:spacing w:after="0"/>
              <w:rPr>
                <w:sz w:val="15"/>
                <w:szCs w:val="15"/>
                <w:color w:val="auto"/>
              </w:rPr>
            </w:pPr>
          </w:p>
        </w:tc>
      </w:tr>
      <w:tr>
        <w:trPr>
          <w:trHeight w:val="226"/>
        </w:trPr>
        <w:tc>
          <w:tcPr>
            <w:tcW w:w="6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r>
      <w:tr>
        <w:trPr>
          <w:trHeight w:val="225"/>
        </w:trPr>
        <w:tc>
          <w:tcPr>
            <w:tcW w:w="6440" w:type="dxa"/>
            <w:vAlign w:val="bottom"/>
          </w:tcPr>
          <w:p>
            <w:pPr>
              <w:ind w:left="340"/>
              <w:spacing w:after="0"/>
              <w:rPr>
                <w:sz w:val="20"/>
                <w:szCs w:val="20"/>
                <w:color w:val="auto"/>
              </w:rPr>
            </w:pPr>
            <w:r>
              <w:rPr>
                <w:rFonts w:ascii="Arial" w:cs="Arial" w:eastAsia="Arial" w:hAnsi="Arial"/>
                <w:sz w:val="18"/>
                <w:szCs w:val="18"/>
                <w:color w:val="auto"/>
              </w:rPr>
              <w:t>Gift card receivables</w:t>
            </w:r>
          </w:p>
        </w:tc>
        <w:tc>
          <w:tcPr>
            <w:tcW w:w="5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26"/>
        </w:trPr>
        <w:tc>
          <w:tcPr>
            <w:tcW w:w="6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Notes receivable</w:t>
            </w:r>
          </w:p>
        </w:tc>
        <w:tc>
          <w:tcPr>
            <w:tcW w:w="5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25"/>
        </w:trPr>
        <w:tc>
          <w:tcPr>
            <w:tcW w:w="6440" w:type="dxa"/>
            <w:vAlign w:val="bottom"/>
          </w:tcPr>
          <w:p>
            <w:pPr>
              <w:ind w:left="340"/>
              <w:spacing w:after="0"/>
              <w:rPr>
                <w:sz w:val="20"/>
                <w:szCs w:val="20"/>
                <w:color w:val="auto"/>
              </w:rPr>
            </w:pPr>
            <w:r>
              <w:rPr>
                <w:rFonts w:ascii="Arial" w:cs="Arial" w:eastAsia="Arial" w:hAnsi="Arial"/>
                <w:sz w:val="18"/>
                <w:szCs w:val="18"/>
                <w:color w:val="auto"/>
              </w:rPr>
              <w:t>Financing receivables:</w:t>
            </w:r>
          </w:p>
        </w:tc>
        <w:tc>
          <w:tcPr>
            <w:tcW w:w="5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6"/>
        </w:trPr>
        <w:tc>
          <w:tcPr>
            <w:tcW w:w="64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Equipment leases receivable</w:t>
            </w:r>
          </w:p>
        </w:tc>
        <w:tc>
          <w:tcPr>
            <w:tcW w:w="5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r>
      <w:tr>
        <w:trPr>
          <w:trHeight w:val="225"/>
        </w:trPr>
        <w:tc>
          <w:tcPr>
            <w:tcW w:w="6440" w:type="dxa"/>
            <w:vAlign w:val="bottom"/>
          </w:tcPr>
          <w:p>
            <w:pPr>
              <w:ind w:left="560"/>
              <w:spacing w:after="0"/>
              <w:rPr>
                <w:sz w:val="20"/>
                <w:szCs w:val="20"/>
                <w:color w:val="auto"/>
              </w:rPr>
            </w:pPr>
            <w:r>
              <w:rPr>
                <w:rFonts w:ascii="Arial" w:cs="Arial" w:eastAsia="Arial" w:hAnsi="Arial"/>
                <w:sz w:val="18"/>
                <w:szCs w:val="18"/>
                <w:color w:val="auto"/>
              </w:rPr>
              <w:t>Direct financing leases receivable</w:t>
            </w:r>
          </w:p>
        </w:tc>
        <w:tc>
          <w:tcPr>
            <w:tcW w:w="5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18.6</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22.7</w:t>
            </w:r>
          </w:p>
        </w:tc>
      </w:tr>
      <w:tr>
        <w:trPr>
          <w:trHeight w:val="225"/>
        </w:trPr>
        <w:tc>
          <w:tcPr>
            <w:tcW w:w="6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18"/>
        </w:trPr>
        <w:tc>
          <w:tcPr>
            <w:tcW w:w="6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151.9</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199.5</w:t>
            </w:r>
          </w:p>
        </w:tc>
      </w:tr>
      <w:tr>
        <w:trPr>
          <w:trHeight w:val="225"/>
        </w:trPr>
        <w:tc>
          <w:tcPr>
            <w:tcW w:w="6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allowance for credit losses</w:t>
            </w:r>
          </w:p>
        </w:tc>
        <w:tc>
          <w:tcPr>
            <w:tcW w:w="5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6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r>
      <w:tr>
        <w:trPr>
          <w:trHeight w:val="219"/>
        </w:trPr>
        <w:tc>
          <w:tcPr>
            <w:tcW w:w="6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138.7</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176.4</w:t>
            </w:r>
          </w:p>
        </w:tc>
      </w:tr>
      <w:tr>
        <w:trPr>
          <w:trHeight w:val="225"/>
        </w:trPr>
        <w:tc>
          <w:tcPr>
            <w:tcW w:w="6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current portion</w:t>
            </w:r>
          </w:p>
        </w:tc>
        <w:tc>
          <w:tcPr>
            <w:tcW w:w="5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6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w:t>
            </w:r>
          </w:p>
        </w:tc>
      </w:tr>
      <w:tr>
        <w:trPr>
          <w:trHeight w:val="219"/>
        </w:trPr>
        <w:tc>
          <w:tcPr>
            <w:tcW w:w="6440" w:type="dxa"/>
            <w:vAlign w:val="bottom"/>
          </w:tcPr>
          <w:p>
            <w:pPr>
              <w:ind w:left="340"/>
              <w:spacing w:after="0"/>
              <w:rPr>
                <w:sz w:val="20"/>
                <w:szCs w:val="20"/>
                <w:color w:val="auto"/>
              </w:rPr>
            </w:pPr>
            <w:r>
              <w:rPr>
                <w:rFonts w:ascii="Arial" w:cs="Arial" w:eastAsia="Arial" w:hAnsi="Arial"/>
                <w:sz w:val="18"/>
                <w:szCs w:val="18"/>
                <w:color w:val="auto"/>
              </w:rPr>
              <w:t>Long-term receivables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160" w:type="dxa"/>
            <w:vAlign w:val="bottom"/>
          </w:tcPr>
          <w:p>
            <w:pPr>
              <w:spacing w:after="0"/>
              <w:rPr>
                <w:sz w:val="19"/>
                <w:szCs w:val="19"/>
                <w:color w:val="auto"/>
              </w:rPr>
            </w:pPr>
          </w:p>
        </w:tc>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w:t>
            </w:r>
          </w:p>
        </w:tc>
      </w:tr>
      <w:tr>
        <w:trPr>
          <w:trHeight w:val="20"/>
        </w:trPr>
        <w:tc>
          <w:tcPr>
            <w:tcW w:w="64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3" w:name="page14"/>
    <w:bookmarkEnd w:id="13"/>
    <w:p>
      <w:pPr>
        <w:jc w:val="center"/>
        <w:ind w:right="100"/>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Current Expected Credit Losses (Continued)</w:t>
      </w:r>
    </w:p>
    <w:p>
      <w:pPr>
        <w:spacing w:after="0" w:line="200" w:lineRule="exact"/>
        <w:rPr>
          <w:sz w:val="20"/>
          <w:szCs w:val="20"/>
          <w:color w:val="auto"/>
        </w:rPr>
      </w:pPr>
    </w:p>
    <w:p>
      <w:pPr>
        <w:spacing w:after="0" w:line="227" w:lineRule="exact"/>
        <w:rPr>
          <w:sz w:val="20"/>
          <w:szCs w:val="20"/>
          <w:color w:val="auto"/>
        </w:rPr>
      </w:pPr>
    </w:p>
    <w:p>
      <w:pPr>
        <w:ind w:right="580" w:firstLine="318"/>
        <w:spacing w:after="0" w:line="262" w:lineRule="auto"/>
        <w:rPr>
          <w:sz w:val="20"/>
          <w:szCs w:val="20"/>
          <w:color w:val="auto"/>
        </w:rPr>
      </w:pPr>
      <w:r>
        <w:rPr>
          <w:rFonts w:ascii="Arial" w:cs="Arial" w:eastAsia="Arial" w:hAnsi="Arial"/>
          <w:sz w:val="18"/>
          <w:szCs w:val="18"/>
          <w:color w:val="auto"/>
        </w:rPr>
        <w:t>The Company's primary credit quality indicator for all portfolio segments is delinquency. Changes in the allowance for credit losses during the nine months ended September 30, 2021 were as follows:</w:t>
      </w:r>
    </w:p>
    <w:tbl>
      <w:tblPr>
        <w:tblLayout w:type="fixed"/>
        <w:tblInd w:w="320" w:type="dxa"/>
        <w:tblCellMar>
          <w:top w:w="0" w:type="dxa"/>
          <w:left w:w="0" w:type="dxa"/>
          <w:bottom w:w="0" w:type="dxa"/>
          <w:right w:w="0" w:type="dxa"/>
        </w:tblCellMar>
      </w:tblPr>
      <w:tr>
        <w:trPr>
          <w:trHeight w:val="143"/>
        </w:trPr>
        <w:tc>
          <w:tcPr>
            <w:tcW w:w="2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w w:val="90"/>
              </w:rPr>
              <w:t>Accounts</w:t>
            </w:r>
          </w:p>
        </w:tc>
        <w:tc>
          <w:tcPr>
            <w:tcW w:w="460" w:type="dxa"/>
            <w:vAlign w:val="bottom"/>
          </w:tcPr>
          <w:p>
            <w:pPr>
              <w:spacing w:after="0"/>
              <w:rPr>
                <w:sz w:val="12"/>
                <w:szCs w:val="12"/>
                <w:color w:val="auto"/>
              </w:rPr>
            </w:pPr>
          </w:p>
        </w:tc>
        <w:tc>
          <w:tcPr>
            <w:tcW w:w="840" w:type="dxa"/>
            <w:vAlign w:val="bottom"/>
          </w:tcPr>
          <w:p>
            <w:pPr>
              <w:jc w:val="right"/>
              <w:ind w:right="256"/>
              <w:spacing w:after="0" w:line="143" w:lineRule="exact"/>
              <w:rPr>
                <w:sz w:val="20"/>
                <w:szCs w:val="20"/>
                <w:color w:val="auto"/>
              </w:rPr>
            </w:pPr>
            <w:r>
              <w:rPr>
                <w:rFonts w:ascii="Arial" w:cs="Arial" w:eastAsia="Arial" w:hAnsi="Arial"/>
                <w:sz w:val="14"/>
                <w:szCs w:val="14"/>
                <w:b w:val="1"/>
                <w:bCs w:val="1"/>
                <w:color w:val="auto"/>
              </w:rPr>
              <w:t>Notes</w:t>
            </w:r>
          </w:p>
        </w:tc>
        <w:tc>
          <w:tcPr>
            <w:tcW w:w="460" w:type="dxa"/>
            <w:vAlign w:val="bottom"/>
          </w:tcPr>
          <w:p>
            <w:pPr>
              <w:spacing w:after="0"/>
              <w:rPr>
                <w:sz w:val="12"/>
                <w:szCs w:val="12"/>
                <w:color w:val="auto"/>
              </w:rPr>
            </w:pPr>
          </w:p>
        </w:tc>
        <w:tc>
          <w:tcPr>
            <w:tcW w:w="860" w:type="dxa"/>
            <w:vAlign w:val="bottom"/>
          </w:tcPr>
          <w:p>
            <w:pPr>
              <w:jc w:val="right"/>
              <w:ind w:right="296"/>
              <w:spacing w:after="0" w:line="143" w:lineRule="exact"/>
              <w:rPr>
                <w:sz w:val="20"/>
                <w:szCs w:val="20"/>
                <w:color w:val="auto"/>
              </w:rPr>
            </w:pPr>
            <w:r>
              <w:rPr>
                <w:rFonts w:ascii="Arial" w:cs="Arial" w:eastAsia="Arial" w:hAnsi="Arial"/>
                <w:sz w:val="14"/>
                <w:szCs w:val="14"/>
                <w:b w:val="1"/>
                <w:bCs w:val="1"/>
                <w:color w:val="auto"/>
              </w:rPr>
              <w:t>Notes</w:t>
            </w:r>
          </w:p>
        </w:tc>
        <w:tc>
          <w:tcPr>
            <w:tcW w:w="440" w:type="dxa"/>
            <w:vAlign w:val="bottom"/>
          </w:tcPr>
          <w:p>
            <w:pPr>
              <w:spacing w:after="0"/>
              <w:rPr>
                <w:sz w:val="12"/>
                <w:szCs w:val="12"/>
                <w:color w:val="auto"/>
              </w:rPr>
            </w:pPr>
          </w:p>
        </w:tc>
        <w:tc>
          <w:tcPr>
            <w:tcW w:w="88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Lease</w:t>
            </w:r>
          </w:p>
        </w:tc>
        <w:tc>
          <w:tcPr>
            <w:tcW w:w="1260" w:type="dxa"/>
            <w:vAlign w:val="bottom"/>
            <w:gridSpan w:val="2"/>
            <w:vMerge w:val="restart"/>
          </w:tcPr>
          <w:p>
            <w:pPr>
              <w:jc w:val="right"/>
              <w:ind w:right="212"/>
              <w:spacing w:after="0"/>
              <w:rPr>
                <w:sz w:val="20"/>
                <w:szCs w:val="20"/>
                <w:color w:val="auto"/>
              </w:rPr>
            </w:pPr>
            <w:r>
              <w:rPr>
                <w:rFonts w:ascii="Arial" w:cs="Arial" w:eastAsia="Arial" w:hAnsi="Arial"/>
                <w:sz w:val="14"/>
                <w:szCs w:val="14"/>
                <w:b w:val="1"/>
                <w:bCs w:val="1"/>
                <w:color w:val="auto"/>
              </w:rPr>
              <w:t>Equipment</w:t>
            </w: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300" w:type="dxa"/>
            <w:vAlign w:val="bottom"/>
            <w:gridSpan w:val="2"/>
          </w:tcPr>
          <w:p>
            <w:pPr>
              <w:jc w:val="right"/>
              <w:ind w:right="56"/>
              <w:spacing w:after="0" w:line="133" w:lineRule="exact"/>
              <w:rPr>
                <w:sz w:val="20"/>
                <w:szCs w:val="20"/>
                <w:color w:val="auto"/>
              </w:rPr>
            </w:pPr>
            <w:r>
              <w:rPr>
                <w:rFonts w:ascii="Arial" w:cs="Arial" w:eastAsia="Arial" w:hAnsi="Arial"/>
                <w:sz w:val="14"/>
                <w:szCs w:val="14"/>
                <w:b w:val="1"/>
                <w:bCs w:val="1"/>
                <w:color w:val="auto"/>
                <w:w w:val="98"/>
              </w:rPr>
              <w:t>receivable, short-</w:t>
            </w:r>
          </w:p>
        </w:tc>
        <w:tc>
          <w:tcPr>
            <w:tcW w:w="1320" w:type="dxa"/>
            <w:vAlign w:val="bottom"/>
            <w:gridSpan w:val="2"/>
          </w:tcPr>
          <w:p>
            <w:pPr>
              <w:jc w:val="right"/>
              <w:ind w:right="136"/>
              <w:spacing w:after="0" w:line="133" w:lineRule="exact"/>
              <w:rPr>
                <w:sz w:val="20"/>
                <w:szCs w:val="20"/>
                <w:color w:val="auto"/>
              </w:rPr>
            </w:pPr>
            <w:r>
              <w:rPr>
                <w:rFonts w:ascii="Arial" w:cs="Arial" w:eastAsia="Arial" w:hAnsi="Arial"/>
                <w:sz w:val="14"/>
                <w:szCs w:val="14"/>
                <w:b w:val="1"/>
                <w:bCs w:val="1"/>
                <w:color w:val="auto"/>
                <w:w w:val="97"/>
              </w:rPr>
              <w:t>receivable, long-</w:t>
            </w:r>
          </w:p>
        </w:tc>
        <w:tc>
          <w:tcPr>
            <w:tcW w:w="44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w w:val="85"/>
              </w:rPr>
              <w:t xml:space="preserve">Other </w:t>
            </w:r>
            <w:r>
              <w:rPr>
                <w:rFonts w:ascii="Arial" w:cs="Arial" w:eastAsia="Arial" w:hAnsi="Arial"/>
                <w:sz w:val="18"/>
                <w:szCs w:val="18"/>
                <w:b w:val="1"/>
                <w:bCs w:val="1"/>
                <w:color w:val="auto"/>
                <w:w w:val="85"/>
                <w:vertAlign w:val="superscript"/>
              </w:rPr>
              <w:t>(1)</w:t>
            </w:r>
          </w:p>
        </w:tc>
        <w:tc>
          <w:tcPr>
            <w:tcW w:w="400" w:type="dxa"/>
            <w:vAlign w:val="bottom"/>
          </w:tcPr>
          <w:p>
            <w:pPr>
              <w:spacing w:after="0"/>
              <w:rPr>
                <w:sz w:val="11"/>
                <w:szCs w:val="11"/>
                <w:color w:val="auto"/>
              </w:rPr>
            </w:pPr>
          </w:p>
        </w:tc>
        <w:tc>
          <w:tcPr>
            <w:tcW w:w="6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2360" w:type="dxa"/>
            <w:vAlign w:val="bottom"/>
          </w:tcPr>
          <w:p>
            <w:pPr>
              <w:spacing w:after="0"/>
              <w:rPr>
                <w:sz w:val="16"/>
                <w:szCs w:val="16"/>
                <w:color w:val="auto"/>
              </w:rPr>
            </w:pPr>
          </w:p>
        </w:tc>
        <w:tc>
          <w:tcPr>
            <w:tcW w:w="1300" w:type="dxa"/>
            <w:vAlign w:val="bottom"/>
            <w:tcBorders>
              <w:bottom w:val="single" w:sz="8" w:color="auto"/>
            </w:tcBorders>
            <w:gridSpan w:val="2"/>
          </w:tcPr>
          <w:p>
            <w:pPr>
              <w:jc w:val="right"/>
              <w:ind w:right="274"/>
              <w:spacing w:after="0"/>
              <w:rPr>
                <w:sz w:val="20"/>
                <w:szCs w:val="20"/>
                <w:color w:val="auto"/>
              </w:rPr>
            </w:pPr>
            <w:r>
              <w:rPr>
                <w:rFonts w:ascii="Arial" w:cs="Arial" w:eastAsia="Arial" w:hAnsi="Arial"/>
                <w:sz w:val="14"/>
                <w:szCs w:val="14"/>
                <w:b w:val="1"/>
                <w:bCs w:val="1"/>
                <w:color w:val="auto"/>
              </w:rPr>
              <w:t>Receivable</w:t>
            </w: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w w:val="98"/>
              </w:rPr>
              <w:t>term</w:t>
            </w: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w w:val="85"/>
              </w:rPr>
              <w:t>term</w:t>
            </w:r>
          </w:p>
        </w:tc>
        <w:tc>
          <w:tcPr>
            <w:tcW w:w="1320" w:type="dxa"/>
            <w:vAlign w:val="bottom"/>
            <w:tcBorders>
              <w:bottom w:val="single" w:sz="8" w:color="auto"/>
            </w:tcBorders>
            <w:gridSpan w:val="2"/>
          </w:tcPr>
          <w:p>
            <w:pPr>
              <w:jc w:val="right"/>
              <w:ind w:right="354"/>
              <w:spacing w:after="0"/>
              <w:rPr>
                <w:sz w:val="20"/>
                <w:szCs w:val="20"/>
                <w:color w:val="auto"/>
              </w:rPr>
            </w:pPr>
            <w:r>
              <w:rPr>
                <w:rFonts w:ascii="Arial" w:cs="Arial" w:eastAsia="Arial" w:hAnsi="Arial"/>
                <w:sz w:val="14"/>
                <w:szCs w:val="14"/>
                <w:b w:val="1"/>
                <w:bCs w:val="1"/>
                <w:color w:val="auto"/>
              </w:rPr>
              <w:t>Receivables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Notes</w:t>
            </w:r>
          </w:p>
        </w:tc>
        <w:tc>
          <w:tcPr>
            <w:tcW w:w="6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20" w:type="dxa"/>
            <w:vAlign w:val="bottom"/>
            <w:gridSpan w:val="2"/>
          </w:tcPr>
          <w:p>
            <w:pPr>
              <w:jc w:val="right"/>
              <w:ind w:right="274"/>
              <w:spacing w:after="0"/>
              <w:rPr>
                <w:sz w:val="20"/>
                <w:szCs w:val="20"/>
                <w:color w:val="auto"/>
              </w:rPr>
            </w:pPr>
            <w:r>
              <w:rPr>
                <w:rFonts w:ascii="Arial" w:cs="Arial" w:eastAsia="Arial" w:hAnsi="Arial"/>
                <w:sz w:val="14"/>
                <w:szCs w:val="14"/>
                <w:b w:val="1"/>
                <w:bCs w:val="1"/>
                <w:color w:val="auto"/>
              </w:rPr>
              <w:t>(In millions)</w:t>
            </w: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360" w:type="dxa"/>
            <w:vAlign w:val="bottom"/>
            <w:shd w:val="clear" w:color="auto" w:fill="CCEEFF"/>
          </w:tcPr>
          <w:p>
            <w:pPr>
              <w:ind w:left="340"/>
              <w:spacing w:after="0" w:line="174" w:lineRule="exact"/>
              <w:rPr>
                <w:sz w:val="20"/>
                <w:szCs w:val="20"/>
                <w:color w:val="auto"/>
              </w:rPr>
            </w:pPr>
            <w:r>
              <w:rPr>
                <w:rFonts w:ascii="Arial" w:cs="Arial" w:eastAsia="Arial" w:hAnsi="Arial"/>
                <w:sz w:val="18"/>
                <w:szCs w:val="18"/>
                <w:color w:val="auto"/>
              </w:rPr>
              <w:t>Balance, December 31,</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ind w:right="54"/>
              <w:spacing w:after="0"/>
              <w:rPr>
                <w:sz w:val="20"/>
                <w:szCs w:val="20"/>
                <w:color w:val="auto"/>
              </w:rPr>
            </w:pPr>
            <w:r>
              <w:rPr>
                <w:rFonts w:ascii="Arial" w:cs="Arial" w:eastAsia="Arial" w:hAnsi="Arial"/>
                <w:sz w:val="18"/>
                <w:szCs w:val="18"/>
                <w:color w:val="auto"/>
              </w:rPr>
              <w:t>11.2</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ind w:right="56"/>
              <w:spacing w:after="0"/>
              <w:rPr>
                <w:sz w:val="20"/>
                <w:szCs w:val="20"/>
                <w:color w:val="auto"/>
              </w:rPr>
            </w:pPr>
            <w:r>
              <w:rPr>
                <w:rFonts w:ascii="Arial" w:cs="Arial" w:eastAsia="Arial" w:hAnsi="Arial"/>
                <w:sz w:val="18"/>
                <w:szCs w:val="18"/>
                <w:color w:val="auto"/>
              </w:rPr>
              <w:t>3.6</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ind w:right="136"/>
              <w:spacing w:after="0"/>
              <w:rPr>
                <w:sz w:val="20"/>
                <w:szCs w:val="20"/>
                <w:color w:val="auto"/>
              </w:rPr>
            </w:pPr>
            <w:r>
              <w:rPr>
                <w:rFonts w:ascii="Arial" w:cs="Arial" w:eastAsia="Arial" w:hAnsi="Arial"/>
                <w:sz w:val="18"/>
                <w:szCs w:val="18"/>
                <w:color w:val="auto"/>
              </w:rPr>
              <w:t>5.3</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ind w:right="194"/>
              <w:spacing w:after="0"/>
              <w:rPr>
                <w:sz w:val="20"/>
                <w:szCs w:val="20"/>
                <w:color w:val="auto"/>
              </w:rPr>
            </w:pPr>
            <w:r>
              <w:rPr>
                <w:rFonts w:ascii="Arial" w:cs="Arial" w:eastAsia="Arial" w:hAnsi="Arial"/>
                <w:sz w:val="18"/>
                <w:szCs w:val="18"/>
                <w:color w:val="auto"/>
              </w:rPr>
              <w:t>0.4</w:t>
            </w:r>
          </w:p>
        </w:tc>
        <w:tc>
          <w:tcPr>
            <w:tcW w:w="660" w:type="dxa"/>
            <w:vAlign w:val="bottom"/>
            <w:vMerge w:val="restart"/>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600" w:type="dxa"/>
            <w:vAlign w:val="bottom"/>
            <w:vMerge w:val="restart"/>
            <w:shd w:val="clear" w:color="auto" w:fill="CCEEFF"/>
          </w:tcPr>
          <w:p>
            <w:pPr>
              <w:jc w:val="right"/>
              <w:ind w:right="192"/>
              <w:spacing w:after="0"/>
              <w:rPr>
                <w:sz w:val="20"/>
                <w:szCs w:val="20"/>
                <w:color w:val="auto"/>
              </w:rPr>
            </w:pPr>
            <w:r>
              <w:rPr>
                <w:rFonts w:ascii="Arial" w:cs="Arial" w:eastAsia="Arial" w:hAnsi="Arial"/>
                <w:sz w:val="18"/>
                <w:szCs w:val="18"/>
                <w:color w:val="auto"/>
              </w:rPr>
              <w:t>2.3</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ind w:right="174"/>
              <w:spacing w:after="0"/>
              <w:rPr>
                <w:sz w:val="20"/>
                <w:szCs w:val="20"/>
                <w:color w:val="auto"/>
              </w:rPr>
            </w:pPr>
            <w:r>
              <w:rPr>
                <w:rFonts w:ascii="Arial" w:cs="Arial" w:eastAsia="Arial" w:hAnsi="Arial"/>
                <w:sz w:val="18"/>
                <w:szCs w:val="18"/>
                <w:color w:val="auto"/>
              </w:rPr>
              <w:t>0.3</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24"/>
        </w:trPr>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46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360" w:type="dxa"/>
            <w:vAlign w:val="bottom"/>
          </w:tcPr>
          <w:p>
            <w:pPr>
              <w:ind w:left="340"/>
              <w:spacing w:after="0" w:line="173" w:lineRule="exact"/>
              <w:rPr>
                <w:sz w:val="20"/>
                <w:szCs w:val="20"/>
                <w:color w:val="auto"/>
              </w:rPr>
            </w:pPr>
            <w:r>
              <w:rPr>
                <w:rFonts w:ascii="Arial" w:cs="Arial" w:eastAsia="Arial" w:hAnsi="Arial"/>
                <w:sz w:val="18"/>
                <w:szCs w:val="18"/>
                <w:color w:val="auto"/>
                <w:w w:val="97"/>
              </w:rPr>
              <w:t>Bad debt (credit) expense</w:t>
            </w: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360" w:type="dxa"/>
            <w:vAlign w:val="bottom"/>
          </w:tcPr>
          <w:p>
            <w:pPr>
              <w:ind w:left="20"/>
              <w:spacing w:after="0" w:line="172" w:lineRule="exact"/>
              <w:rPr>
                <w:sz w:val="20"/>
                <w:szCs w:val="20"/>
                <w:color w:val="auto"/>
              </w:rPr>
            </w:pPr>
            <w:r>
              <w:rPr>
                <w:rFonts w:ascii="Arial" w:cs="Arial" w:eastAsia="Arial" w:hAnsi="Arial"/>
                <w:sz w:val="18"/>
                <w:szCs w:val="18"/>
                <w:color w:val="auto"/>
              </w:rPr>
              <w:t>for the nine months ended</w:t>
            </w:r>
          </w:p>
        </w:tc>
        <w:tc>
          <w:tcPr>
            <w:tcW w:w="460" w:type="dxa"/>
            <w:vAlign w:val="bottom"/>
          </w:tcPr>
          <w:p>
            <w:pPr>
              <w:spacing w:after="0"/>
              <w:rPr>
                <w:sz w:val="14"/>
                <w:szCs w:val="14"/>
                <w:color w:val="auto"/>
              </w:rPr>
            </w:pPr>
          </w:p>
        </w:tc>
        <w:tc>
          <w:tcPr>
            <w:tcW w:w="840" w:type="dxa"/>
            <w:vAlign w:val="bottom"/>
            <w:vMerge w:val="restart"/>
          </w:tcPr>
          <w:p>
            <w:pPr>
              <w:jc w:val="right"/>
              <w:ind w:right="14"/>
              <w:spacing w:after="0"/>
              <w:rPr>
                <w:sz w:val="20"/>
                <w:szCs w:val="20"/>
                <w:color w:val="auto"/>
              </w:rPr>
            </w:pPr>
            <w:r>
              <w:rPr>
                <w:rFonts w:ascii="Arial" w:cs="Arial" w:eastAsia="Arial" w:hAnsi="Arial"/>
                <w:sz w:val="18"/>
                <w:szCs w:val="18"/>
                <w:color w:val="auto"/>
              </w:rPr>
              <w:t>(9.0)</w:t>
            </w:r>
          </w:p>
        </w:tc>
        <w:tc>
          <w:tcPr>
            <w:tcW w:w="460" w:type="dxa"/>
            <w:vAlign w:val="bottom"/>
          </w:tcPr>
          <w:p>
            <w:pPr>
              <w:spacing w:after="0"/>
              <w:rPr>
                <w:sz w:val="14"/>
                <w:szCs w:val="14"/>
                <w:color w:val="auto"/>
              </w:rPr>
            </w:pPr>
          </w:p>
        </w:tc>
        <w:tc>
          <w:tcPr>
            <w:tcW w:w="840" w:type="dxa"/>
            <w:vAlign w:val="bottom"/>
            <w:vMerge w:val="restart"/>
          </w:tcPr>
          <w:p>
            <w:pPr>
              <w:jc w:val="right"/>
              <w:ind w:right="56"/>
              <w:spacing w:after="0"/>
              <w:rPr>
                <w:sz w:val="20"/>
                <w:szCs w:val="20"/>
                <w:color w:val="auto"/>
              </w:rPr>
            </w:pPr>
            <w:r>
              <w:rPr>
                <w:rFonts w:ascii="Arial" w:cs="Arial" w:eastAsia="Arial" w:hAnsi="Arial"/>
                <w:sz w:val="18"/>
                <w:szCs w:val="18"/>
                <w:color w:val="auto"/>
              </w:rPr>
              <w:t>0.4</w:t>
            </w:r>
          </w:p>
        </w:tc>
        <w:tc>
          <w:tcPr>
            <w:tcW w:w="460" w:type="dxa"/>
            <w:vAlign w:val="bottom"/>
          </w:tcPr>
          <w:p>
            <w:pPr>
              <w:spacing w:after="0"/>
              <w:rPr>
                <w:sz w:val="14"/>
                <w:szCs w:val="14"/>
                <w:color w:val="auto"/>
              </w:rPr>
            </w:pPr>
          </w:p>
        </w:tc>
        <w:tc>
          <w:tcPr>
            <w:tcW w:w="860" w:type="dxa"/>
            <w:vAlign w:val="bottom"/>
            <w:vMerge w:val="restart"/>
          </w:tcPr>
          <w:p>
            <w:pPr>
              <w:jc w:val="right"/>
              <w:ind w:right="136"/>
              <w:spacing w:after="0"/>
              <w:rPr>
                <w:sz w:val="20"/>
                <w:szCs w:val="20"/>
                <w:color w:val="auto"/>
              </w:rPr>
            </w:pPr>
            <w:r>
              <w:rPr>
                <w:rFonts w:ascii="Arial" w:cs="Arial" w:eastAsia="Arial" w:hAnsi="Arial"/>
                <w:sz w:val="18"/>
                <w:szCs w:val="18"/>
                <w:color w:val="auto"/>
              </w:rPr>
              <w:t>4.5</w:t>
            </w:r>
          </w:p>
        </w:tc>
        <w:tc>
          <w:tcPr>
            <w:tcW w:w="440" w:type="dxa"/>
            <w:vAlign w:val="bottom"/>
          </w:tcPr>
          <w:p>
            <w:pPr>
              <w:spacing w:after="0"/>
              <w:rPr>
                <w:sz w:val="14"/>
                <w:szCs w:val="14"/>
                <w:color w:val="auto"/>
              </w:rPr>
            </w:pPr>
          </w:p>
        </w:tc>
        <w:tc>
          <w:tcPr>
            <w:tcW w:w="880" w:type="dxa"/>
            <w:vAlign w:val="bottom"/>
            <w:vMerge w:val="restart"/>
          </w:tcPr>
          <w:p>
            <w:pPr>
              <w:jc w:val="right"/>
              <w:ind w:right="194"/>
              <w:spacing w:after="0"/>
              <w:rPr>
                <w:sz w:val="20"/>
                <w:szCs w:val="20"/>
                <w:color w:val="auto"/>
              </w:rPr>
            </w:pPr>
            <w:r>
              <w:rPr>
                <w:rFonts w:ascii="Arial" w:cs="Arial" w:eastAsia="Arial" w:hAnsi="Arial"/>
                <w:sz w:val="18"/>
                <w:szCs w:val="18"/>
                <w:color w:val="auto"/>
              </w:rPr>
              <w:t>0.1</w:t>
            </w:r>
          </w:p>
        </w:tc>
        <w:tc>
          <w:tcPr>
            <w:tcW w:w="660" w:type="dxa"/>
            <w:vAlign w:val="bottom"/>
          </w:tcPr>
          <w:p>
            <w:pPr>
              <w:spacing w:after="0"/>
              <w:rPr>
                <w:sz w:val="14"/>
                <w:szCs w:val="14"/>
                <w:color w:val="auto"/>
              </w:rPr>
            </w:pPr>
          </w:p>
        </w:tc>
        <w:tc>
          <w:tcPr>
            <w:tcW w:w="600" w:type="dxa"/>
            <w:vAlign w:val="bottom"/>
            <w:vMerge w:val="restart"/>
          </w:tcPr>
          <w:p>
            <w:pPr>
              <w:jc w:val="right"/>
              <w:ind w:right="152"/>
              <w:spacing w:after="0"/>
              <w:rPr>
                <w:sz w:val="20"/>
                <w:szCs w:val="20"/>
                <w:color w:val="auto"/>
              </w:rPr>
            </w:pPr>
            <w:r>
              <w:rPr>
                <w:rFonts w:ascii="Arial" w:cs="Arial" w:eastAsia="Arial" w:hAnsi="Arial"/>
                <w:sz w:val="18"/>
                <w:szCs w:val="18"/>
                <w:color w:val="auto"/>
                <w:w w:val="91"/>
              </w:rPr>
              <w:t>(0.1)</w:t>
            </w:r>
          </w:p>
        </w:tc>
        <w:tc>
          <w:tcPr>
            <w:tcW w:w="320" w:type="dxa"/>
            <w:vAlign w:val="bottom"/>
          </w:tcPr>
          <w:p>
            <w:pPr>
              <w:spacing w:after="0"/>
              <w:rPr>
                <w:sz w:val="14"/>
                <w:szCs w:val="14"/>
                <w:color w:val="auto"/>
              </w:rPr>
            </w:pPr>
          </w:p>
        </w:tc>
        <w:tc>
          <w:tcPr>
            <w:tcW w:w="840" w:type="dxa"/>
            <w:vAlign w:val="bottom"/>
            <w:vMerge w:val="restart"/>
          </w:tcPr>
          <w:p>
            <w:pPr>
              <w:jc w:val="right"/>
              <w:ind w:right="134"/>
              <w:spacing w:after="0"/>
              <w:rPr>
                <w:sz w:val="20"/>
                <w:szCs w:val="20"/>
                <w:color w:val="auto"/>
              </w:rPr>
            </w:pPr>
            <w:r>
              <w:rPr>
                <w:rFonts w:ascii="Arial" w:cs="Arial" w:eastAsia="Arial" w:hAnsi="Arial"/>
                <w:sz w:val="18"/>
                <w:szCs w:val="18"/>
                <w:color w:val="auto"/>
              </w:rPr>
              <w:t>(0.1)</w:t>
            </w:r>
          </w:p>
        </w:tc>
        <w:tc>
          <w:tcPr>
            <w:tcW w:w="40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4"/>
        </w:trPr>
        <w:tc>
          <w:tcPr>
            <w:tcW w:w="2360" w:type="dxa"/>
            <w:vAlign w:val="bottom"/>
          </w:tcPr>
          <w:p>
            <w:pPr>
              <w:ind w:left="20"/>
              <w:spacing w:after="0"/>
              <w:rPr>
                <w:sz w:val="20"/>
                <w:szCs w:val="20"/>
                <w:color w:val="auto"/>
              </w:rPr>
            </w:pPr>
            <w:r>
              <w:rPr>
                <w:rFonts w:ascii="Arial" w:cs="Arial" w:eastAsia="Arial" w:hAnsi="Arial"/>
                <w:sz w:val="18"/>
                <w:szCs w:val="18"/>
                <w:color w:val="auto"/>
              </w:rPr>
              <w:t>September 30, 2021</w:t>
            </w:r>
          </w:p>
        </w:tc>
        <w:tc>
          <w:tcPr>
            <w:tcW w:w="46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360" w:type="dxa"/>
            <w:vAlign w:val="bottom"/>
            <w:shd w:val="clear" w:color="auto" w:fill="CCEEFF"/>
          </w:tcPr>
          <w:p>
            <w:pPr>
              <w:ind w:left="340"/>
              <w:spacing w:after="0" w:line="174" w:lineRule="exact"/>
              <w:rPr>
                <w:sz w:val="20"/>
                <w:szCs w:val="20"/>
                <w:color w:val="auto"/>
              </w:rPr>
            </w:pPr>
            <w:r>
              <w:rPr>
                <w:rFonts w:ascii="Arial" w:cs="Arial" w:eastAsia="Arial" w:hAnsi="Arial"/>
                <w:sz w:val="18"/>
                <w:szCs w:val="18"/>
                <w:color w:val="auto"/>
              </w:rPr>
              <w:t>Advertising provision</w:t>
            </w:r>
          </w:p>
        </w:tc>
        <w:tc>
          <w:tcPr>
            <w:tcW w:w="4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(0.0)</w:t>
            </w:r>
          </w:p>
        </w:tc>
        <w:tc>
          <w:tcPr>
            <w:tcW w:w="4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56"/>
              <w:spacing w:after="0"/>
              <w:rPr>
                <w:sz w:val="20"/>
                <w:szCs w:val="20"/>
                <w:color w:val="auto"/>
              </w:rPr>
            </w:pPr>
            <w:r>
              <w:rPr>
                <w:rFonts w:ascii="Arial" w:cs="Arial" w:eastAsia="Arial" w:hAnsi="Arial"/>
                <w:sz w:val="18"/>
                <w:szCs w:val="18"/>
                <w:color w:val="auto"/>
              </w:rPr>
              <w:t>0.3</w:t>
            </w:r>
          </w:p>
        </w:tc>
        <w:tc>
          <w:tcPr>
            <w:tcW w:w="4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76"/>
              <w:spacing w:after="0"/>
              <w:rPr>
                <w:sz w:val="20"/>
                <w:szCs w:val="20"/>
                <w:color w:val="auto"/>
              </w:rPr>
            </w:pPr>
            <w:r>
              <w:rPr>
                <w:rFonts w:ascii="Arial" w:cs="Arial" w:eastAsia="Arial" w:hAnsi="Arial"/>
                <w:sz w:val="18"/>
                <w:szCs w:val="18"/>
                <w:color w:val="auto"/>
              </w:rPr>
              <w:t>(2.7)</w:t>
            </w:r>
          </w:p>
        </w:tc>
        <w:tc>
          <w:tcPr>
            <w:tcW w:w="4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194"/>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4"/>
        </w:trPr>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w:t>
            </w:r>
          </w:p>
        </w:tc>
        <w:tc>
          <w:tcPr>
            <w:tcW w:w="46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360" w:type="dxa"/>
            <w:vAlign w:val="bottom"/>
          </w:tcPr>
          <w:p>
            <w:pPr>
              <w:ind w:left="340"/>
              <w:spacing w:after="0"/>
              <w:rPr>
                <w:sz w:val="20"/>
                <w:szCs w:val="20"/>
                <w:color w:val="auto"/>
              </w:rPr>
            </w:pPr>
            <w:r>
              <w:rPr>
                <w:rFonts w:ascii="Arial" w:cs="Arial" w:eastAsia="Arial" w:hAnsi="Arial"/>
                <w:sz w:val="18"/>
                <w:szCs w:val="18"/>
                <w:color w:val="auto"/>
              </w:rPr>
              <w:t>Write-offs</w:t>
            </w:r>
          </w:p>
        </w:tc>
        <w:tc>
          <w:tcPr>
            <w:tcW w:w="460" w:type="dxa"/>
            <w:vAlign w:val="bottom"/>
          </w:tcPr>
          <w:p>
            <w:pPr>
              <w:spacing w:after="0"/>
              <w:rPr>
                <w:sz w:val="19"/>
                <w:szCs w:val="19"/>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(0.2)</w:t>
            </w:r>
          </w:p>
        </w:tc>
        <w:tc>
          <w:tcPr>
            <w:tcW w:w="460" w:type="dxa"/>
            <w:vAlign w:val="bottom"/>
          </w:tcPr>
          <w:p>
            <w:pPr>
              <w:spacing w:after="0"/>
              <w:rPr>
                <w:sz w:val="19"/>
                <w:szCs w:val="19"/>
                <w:color w:val="auto"/>
              </w:rPr>
            </w:pP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(0.6)</w:t>
            </w:r>
          </w:p>
        </w:tc>
        <w:tc>
          <w:tcPr>
            <w:tcW w:w="460" w:type="dxa"/>
            <w:vAlign w:val="bottom"/>
          </w:tcPr>
          <w:p>
            <w:pPr>
              <w:spacing w:after="0"/>
              <w:rPr>
                <w:sz w:val="19"/>
                <w:szCs w:val="19"/>
                <w:color w:val="auto"/>
              </w:rPr>
            </w:pPr>
          </w:p>
        </w:tc>
        <w:tc>
          <w:tcPr>
            <w:tcW w:w="86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80" w:type="dxa"/>
            <w:vAlign w:val="bottom"/>
          </w:tcPr>
          <w:p>
            <w:pPr>
              <w:jc w:val="right"/>
              <w:ind w:right="134"/>
              <w:spacing w:after="0"/>
              <w:rPr>
                <w:sz w:val="20"/>
                <w:szCs w:val="20"/>
                <w:color w:val="auto"/>
              </w:rPr>
            </w:pPr>
            <w:r>
              <w:rPr>
                <w:rFonts w:ascii="Arial" w:cs="Arial" w:eastAsia="Arial" w:hAnsi="Arial"/>
                <w:sz w:val="18"/>
                <w:szCs w:val="18"/>
                <w:color w:val="auto"/>
              </w:rPr>
              <w:t>(0.5)</w:t>
            </w:r>
          </w:p>
        </w:tc>
        <w:tc>
          <w:tcPr>
            <w:tcW w:w="660" w:type="dxa"/>
            <w:vAlign w:val="bottom"/>
          </w:tcPr>
          <w:p>
            <w:pPr>
              <w:spacing w:after="0"/>
              <w:rPr>
                <w:sz w:val="19"/>
                <w:szCs w:val="19"/>
                <w:color w:val="auto"/>
              </w:rPr>
            </w:pPr>
          </w:p>
        </w:tc>
        <w:tc>
          <w:tcPr>
            <w:tcW w:w="600" w:type="dxa"/>
            <w:vAlign w:val="bottom"/>
          </w:tcPr>
          <w:p>
            <w:pPr>
              <w:jc w:val="right"/>
              <w:ind w:right="152"/>
              <w:spacing w:after="0"/>
              <w:rPr>
                <w:sz w:val="20"/>
                <w:szCs w:val="20"/>
                <w:color w:val="auto"/>
              </w:rPr>
            </w:pPr>
            <w:r>
              <w:rPr>
                <w:rFonts w:ascii="Arial" w:cs="Arial" w:eastAsia="Arial" w:hAnsi="Arial"/>
                <w:sz w:val="18"/>
                <w:szCs w:val="18"/>
                <w:color w:val="auto"/>
                <w:w w:val="91"/>
              </w:rPr>
              <w:t>(2.1)</w:t>
            </w:r>
          </w:p>
        </w:tc>
        <w:tc>
          <w:tcPr>
            <w:tcW w:w="320" w:type="dxa"/>
            <w:vAlign w:val="bottom"/>
          </w:tcPr>
          <w:p>
            <w:pPr>
              <w:spacing w:after="0"/>
              <w:rPr>
                <w:sz w:val="19"/>
                <w:szCs w:val="19"/>
                <w:color w:val="auto"/>
              </w:rPr>
            </w:pPr>
          </w:p>
        </w:tc>
        <w:tc>
          <w:tcPr>
            <w:tcW w:w="84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6"/>
        </w:trPr>
        <w:tc>
          <w:tcPr>
            <w:tcW w:w="2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0.0</w:t>
            </w: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0.1</w:t>
            </w:r>
          </w:p>
        </w:tc>
        <w:tc>
          <w:tcPr>
            <w:tcW w:w="6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0.0</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153"/>
        </w:trPr>
        <w:tc>
          <w:tcPr>
            <w:tcW w:w="2360" w:type="dxa"/>
            <w:vAlign w:val="bottom"/>
          </w:tcPr>
          <w:p>
            <w:pPr>
              <w:ind w:left="340"/>
              <w:spacing w:after="0" w:line="154" w:lineRule="exact"/>
              <w:rPr>
                <w:sz w:val="20"/>
                <w:szCs w:val="20"/>
                <w:color w:val="auto"/>
              </w:rPr>
            </w:pPr>
            <w:r>
              <w:rPr>
                <w:rFonts w:ascii="Arial" w:cs="Arial" w:eastAsia="Arial" w:hAnsi="Arial"/>
                <w:sz w:val="17"/>
                <w:szCs w:val="17"/>
                <w:color w:val="auto"/>
              </w:rPr>
              <w:t>Balance, September 30,</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ind w:right="54"/>
              <w:spacing w:after="0"/>
              <w:rPr>
                <w:sz w:val="20"/>
                <w:szCs w:val="20"/>
                <w:color w:val="auto"/>
              </w:rPr>
            </w:pPr>
            <w:r>
              <w:rPr>
                <w:rFonts w:ascii="Arial" w:cs="Arial" w:eastAsia="Arial" w:hAnsi="Arial"/>
                <w:sz w:val="18"/>
                <w:szCs w:val="18"/>
                <w:color w:val="auto"/>
              </w:rPr>
              <w:t>2.0</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ind w:right="56"/>
              <w:spacing w:after="0"/>
              <w:rPr>
                <w:sz w:val="20"/>
                <w:szCs w:val="20"/>
                <w:color w:val="auto"/>
              </w:rPr>
            </w:pPr>
            <w:r>
              <w:rPr>
                <w:rFonts w:ascii="Arial" w:cs="Arial" w:eastAsia="Arial" w:hAnsi="Arial"/>
                <w:sz w:val="18"/>
                <w:szCs w:val="18"/>
                <w:color w:val="auto"/>
              </w:rPr>
              <w:t>3.7</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ind w:right="136"/>
              <w:spacing w:after="0"/>
              <w:rPr>
                <w:sz w:val="20"/>
                <w:szCs w:val="20"/>
                <w:color w:val="auto"/>
              </w:rPr>
            </w:pPr>
            <w:r>
              <w:rPr>
                <w:rFonts w:ascii="Arial" w:cs="Arial" w:eastAsia="Arial" w:hAnsi="Arial"/>
                <w:sz w:val="18"/>
                <w:szCs w:val="18"/>
                <w:color w:val="auto"/>
              </w:rPr>
              <w:t>7.1</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194"/>
              <w:spacing w:after="0"/>
              <w:rPr>
                <w:sz w:val="20"/>
                <w:szCs w:val="20"/>
                <w:color w:val="auto"/>
              </w:rPr>
            </w:pPr>
            <w:r>
              <w:rPr>
                <w:rFonts w:ascii="Arial" w:cs="Arial" w:eastAsia="Arial" w:hAnsi="Arial"/>
                <w:sz w:val="18"/>
                <w:szCs w:val="18"/>
                <w:color w:val="auto"/>
              </w:rPr>
              <w:t>0.1</w:t>
            </w:r>
          </w:p>
        </w:tc>
        <w:tc>
          <w:tcPr>
            <w:tcW w:w="660" w:type="dxa"/>
            <w:vAlign w:val="bottom"/>
            <w:vMerge w:val="restart"/>
          </w:tcPr>
          <w:p>
            <w:pPr>
              <w:jc w:val="right"/>
              <w:ind w:right="261"/>
              <w:spacing w:after="0"/>
              <w:rPr>
                <w:sz w:val="20"/>
                <w:szCs w:val="20"/>
                <w:color w:val="auto"/>
              </w:rPr>
            </w:pPr>
            <w:r>
              <w:rPr>
                <w:rFonts w:ascii="Arial" w:cs="Arial" w:eastAsia="Arial" w:hAnsi="Arial"/>
                <w:sz w:val="18"/>
                <w:szCs w:val="18"/>
                <w:color w:val="auto"/>
              </w:rPr>
              <w:t>$</w:t>
            </w:r>
          </w:p>
        </w:tc>
        <w:tc>
          <w:tcPr>
            <w:tcW w:w="600" w:type="dxa"/>
            <w:vAlign w:val="bottom"/>
            <w:vMerge w:val="restart"/>
          </w:tcPr>
          <w:p>
            <w:pPr>
              <w:jc w:val="right"/>
              <w:ind w:right="192"/>
              <w:spacing w:after="0"/>
              <w:rPr>
                <w:sz w:val="20"/>
                <w:szCs w:val="20"/>
                <w:color w:val="auto"/>
              </w:rPr>
            </w:pPr>
            <w:r>
              <w:rPr>
                <w:rFonts w:ascii="Arial" w:cs="Arial" w:eastAsia="Arial" w:hAnsi="Arial"/>
                <w:sz w:val="18"/>
                <w:szCs w:val="18"/>
                <w:color w:val="auto"/>
              </w:rPr>
              <w:t>0.1</w:t>
            </w: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ind w:right="174"/>
              <w:spacing w:after="0"/>
              <w:rPr>
                <w:sz w:val="20"/>
                <w:szCs w:val="20"/>
                <w:color w:val="auto"/>
              </w:rPr>
            </w:pPr>
            <w:r>
              <w:rPr>
                <w:rFonts w:ascii="Arial" w:cs="Arial" w:eastAsia="Arial" w:hAnsi="Arial"/>
                <w:sz w:val="18"/>
                <w:szCs w:val="18"/>
                <w:color w:val="auto"/>
              </w:rPr>
              <w:t>0.2</w:t>
            </w: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3"/>
        </w:trPr>
        <w:tc>
          <w:tcPr>
            <w:tcW w:w="2360" w:type="dxa"/>
            <w:vAlign w:val="bottom"/>
          </w:tcPr>
          <w:p>
            <w:pPr>
              <w:ind w:left="20"/>
              <w:spacing w:after="0" w:line="198" w:lineRule="exact"/>
              <w:rPr>
                <w:sz w:val="20"/>
                <w:szCs w:val="20"/>
                <w:color w:val="auto"/>
              </w:rPr>
            </w:pPr>
            <w:r>
              <w:rPr>
                <w:rFonts w:ascii="Arial" w:cs="Arial" w:eastAsia="Arial" w:hAnsi="Arial"/>
                <w:sz w:val="18"/>
                <w:szCs w:val="18"/>
                <w:color w:val="auto"/>
              </w:rPr>
              <w:t>2021</w:t>
            </w:r>
          </w:p>
        </w:tc>
        <w:tc>
          <w:tcPr>
            <w:tcW w:w="460" w:type="dxa"/>
            <w:vAlign w:val="bottom"/>
            <w:tcBorders>
              <w:bottom w:val="single" w:sz="8" w:color="auto"/>
            </w:tcBorders>
            <w:vMerge w:val="continue"/>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44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40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ind w:left="500" w:hanging="176"/>
        <w:spacing w:after="0"/>
        <w:tabs>
          <w:tab w:leader="none" w:pos="500" w:val="left"/>
        </w:tabs>
        <w:numPr>
          <w:ilvl w:val="0"/>
          <w:numId w:val="4"/>
        </w:numPr>
        <w:rPr>
          <w:rFonts w:ascii="Arial" w:cs="Arial" w:eastAsia="Arial" w:hAnsi="Arial"/>
          <w:sz w:val="21"/>
          <w:szCs w:val="21"/>
          <w:color w:val="auto"/>
          <w:vertAlign w:val="superscript"/>
        </w:rPr>
      </w:pPr>
      <w:r>
        <w:rPr>
          <w:rFonts w:ascii="Arial" w:cs="Arial" w:eastAsia="Arial" w:hAnsi="Arial"/>
          <w:sz w:val="15"/>
          <w:szCs w:val="15"/>
          <w:color w:val="auto"/>
        </w:rPr>
        <w:t>Primarily distributor receivables, gift card receivables and credit card receivables</w:t>
      </w:r>
    </w:p>
    <w:p>
      <w:pPr>
        <w:spacing w:after="0" w:line="231" w:lineRule="exact"/>
        <w:rPr>
          <w:sz w:val="20"/>
          <w:szCs w:val="20"/>
          <w:color w:val="auto"/>
        </w:rPr>
      </w:pPr>
    </w:p>
    <w:p>
      <w:pPr>
        <w:ind w:right="480" w:firstLine="318"/>
        <w:spacing w:after="0" w:line="264" w:lineRule="auto"/>
        <w:rPr>
          <w:sz w:val="20"/>
          <w:szCs w:val="20"/>
          <w:color w:val="auto"/>
        </w:rPr>
      </w:pPr>
      <w:r>
        <w:rPr>
          <w:rFonts w:ascii="Arial" w:cs="Arial" w:eastAsia="Arial" w:hAnsi="Arial"/>
          <w:sz w:val="18"/>
          <w:szCs w:val="18"/>
          <w:color w:val="auto"/>
        </w:rPr>
        <w:t>The delinquency status of receivables (other than accounts receivable, gift card receivables and distributor receivables) at September 30, 2021 was as follows:</w:t>
      </w:r>
    </w:p>
    <w:tbl>
      <w:tblPr>
        <w:tblLayout w:type="fixed"/>
        <w:tblInd w:w="220" w:type="dxa"/>
        <w:tblCellMar>
          <w:top w:w="0" w:type="dxa"/>
          <w:left w:w="0" w:type="dxa"/>
          <w:bottom w:w="0" w:type="dxa"/>
          <w:right w:w="0" w:type="dxa"/>
        </w:tblCellMar>
      </w:tblPr>
      <w:tr>
        <w:trPr>
          <w:trHeight w:val="167"/>
        </w:trPr>
        <w:tc>
          <w:tcPr>
            <w:tcW w:w="3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295"/>
              <w:spacing w:after="0" w:line="167" w:lineRule="exact"/>
              <w:rPr>
                <w:sz w:val="20"/>
                <w:szCs w:val="20"/>
                <w:color w:val="auto"/>
              </w:rPr>
            </w:pPr>
            <w:r>
              <w:rPr>
                <w:rFonts w:ascii="Arial" w:cs="Arial" w:eastAsia="Arial" w:hAnsi="Arial"/>
                <w:sz w:val="16"/>
                <w:szCs w:val="16"/>
                <w:b w:val="1"/>
                <w:bCs w:val="1"/>
                <w:color w:val="auto"/>
              </w:rPr>
              <w:t>Notes</w:t>
            </w:r>
          </w:p>
        </w:tc>
        <w:tc>
          <w:tcPr>
            <w:tcW w:w="240" w:type="dxa"/>
            <w:vAlign w:val="bottom"/>
          </w:tcPr>
          <w:p>
            <w:pPr>
              <w:spacing w:after="0"/>
              <w:rPr>
                <w:sz w:val="14"/>
                <w:szCs w:val="14"/>
                <w:color w:val="auto"/>
              </w:rPr>
            </w:pPr>
          </w:p>
        </w:tc>
        <w:tc>
          <w:tcPr>
            <w:tcW w:w="980" w:type="dxa"/>
            <w:vAlign w:val="bottom"/>
          </w:tcPr>
          <w:p>
            <w:pPr>
              <w:jc w:val="center"/>
              <w:ind w:right="75"/>
              <w:spacing w:after="0" w:line="167" w:lineRule="exact"/>
              <w:rPr>
                <w:sz w:val="20"/>
                <w:szCs w:val="20"/>
                <w:color w:val="auto"/>
              </w:rPr>
            </w:pPr>
            <w:r>
              <w:rPr>
                <w:rFonts w:ascii="Arial" w:cs="Arial" w:eastAsia="Arial" w:hAnsi="Arial"/>
                <w:sz w:val="16"/>
                <w:szCs w:val="16"/>
                <w:b w:val="1"/>
                <w:bCs w:val="1"/>
                <w:color w:val="auto"/>
                <w:w w:val="85"/>
              </w:rPr>
              <w:t>Notes</w:t>
            </w:r>
          </w:p>
        </w:tc>
        <w:tc>
          <w:tcPr>
            <w:tcW w:w="220" w:type="dxa"/>
            <w:vAlign w:val="bottom"/>
          </w:tcPr>
          <w:p>
            <w:pPr>
              <w:spacing w:after="0"/>
              <w:rPr>
                <w:sz w:val="14"/>
                <w:szCs w:val="14"/>
                <w:color w:val="auto"/>
              </w:rPr>
            </w:pPr>
          </w:p>
        </w:tc>
        <w:tc>
          <w:tcPr>
            <w:tcW w:w="1040" w:type="dxa"/>
            <w:vAlign w:val="bottom"/>
            <w:vMerge w:val="restart"/>
          </w:tcPr>
          <w:p>
            <w:pPr>
              <w:jc w:val="right"/>
              <w:ind w:right="315"/>
              <w:spacing w:after="0"/>
              <w:rPr>
                <w:sz w:val="20"/>
                <w:szCs w:val="20"/>
                <w:color w:val="auto"/>
              </w:rPr>
            </w:pPr>
            <w:r>
              <w:rPr>
                <w:rFonts w:ascii="Arial" w:cs="Arial" w:eastAsia="Arial" w:hAnsi="Arial"/>
                <w:sz w:val="16"/>
                <w:szCs w:val="16"/>
                <w:b w:val="1"/>
                <w:bCs w:val="1"/>
                <w:color w:val="auto"/>
              </w:rPr>
              <w:t>Lease</w:t>
            </w:r>
          </w:p>
        </w:tc>
        <w:tc>
          <w:tcPr>
            <w:tcW w:w="220" w:type="dxa"/>
            <w:vAlign w:val="bottom"/>
          </w:tcPr>
          <w:p>
            <w:pPr>
              <w:spacing w:after="0"/>
              <w:rPr>
                <w:sz w:val="14"/>
                <w:szCs w:val="14"/>
                <w:color w:val="auto"/>
              </w:rPr>
            </w:pPr>
          </w:p>
        </w:tc>
        <w:tc>
          <w:tcPr>
            <w:tcW w:w="1000" w:type="dxa"/>
            <w:vAlign w:val="bottom"/>
            <w:vMerge w:val="restart"/>
          </w:tcPr>
          <w:p>
            <w:pPr>
              <w:jc w:val="right"/>
              <w:ind w:right="134"/>
              <w:spacing w:after="0"/>
              <w:rPr>
                <w:sz w:val="20"/>
                <w:szCs w:val="20"/>
                <w:color w:val="auto"/>
              </w:rPr>
            </w:pPr>
            <w:r>
              <w:rPr>
                <w:rFonts w:ascii="Arial" w:cs="Arial" w:eastAsia="Arial" w:hAnsi="Arial"/>
                <w:sz w:val="16"/>
                <w:szCs w:val="16"/>
                <w:b w:val="1"/>
                <w:bCs w:val="1"/>
                <w:color w:val="auto"/>
                <w:w w:val="91"/>
              </w:rPr>
              <w:t>Equipment</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ind w:right="135"/>
              <w:spacing w:after="0" w:line="159" w:lineRule="exact"/>
              <w:rPr>
                <w:sz w:val="20"/>
                <w:szCs w:val="20"/>
                <w:color w:val="auto"/>
              </w:rPr>
            </w:pPr>
            <w:r>
              <w:rPr>
                <w:rFonts w:ascii="Arial" w:cs="Arial" w:eastAsia="Arial" w:hAnsi="Arial"/>
                <w:sz w:val="16"/>
                <w:szCs w:val="16"/>
                <w:b w:val="1"/>
                <w:bCs w:val="1"/>
                <w:color w:val="auto"/>
                <w:w w:val="89"/>
              </w:rPr>
              <w:t>receivable,</w:t>
            </w:r>
          </w:p>
        </w:tc>
        <w:tc>
          <w:tcPr>
            <w:tcW w:w="240" w:type="dxa"/>
            <w:vAlign w:val="bottom"/>
          </w:tcPr>
          <w:p>
            <w:pPr>
              <w:spacing w:after="0"/>
              <w:rPr>
                <w:sz w:val="13"/>
                <w:szCs w:val="13"/>
                <w:color w:val="auto"/>
              </w:rPr>
            </w:pPr>
          </w:p>
        </w:tc>
        <w:tc>
          <w:tcPr>
            <w:tcW w:w="980" w:type="dxa"/>
            <w:vAlign w:val="bottom"/>
          </w:tcPr>
          <w:p>
            <w:pPr>
              <w:jc w:val="center"/>
              <w:ind w:right="95"/>
              <w:spacing w:after="0" w:line="159" w:lineRule="exact"/>
              <w:rPr>
                <w:sz w:val="20"/>
                <w:szCs w:val="20"/>
                <w:color w:val="auto"/>
              </w:rPr>
            </w:pPr>
            <w:r>
              <w:rPr>
                <w:rFonts w:ascii="Arial" w:cs="Arial" w:eastAsia="Arial" w:hAnsi="Arial"/>
                <w:sz w:val="16"/>
                <w:szCs w:val="16"/>
                <w:b w:val="1"/>
                <w:bCs w:val="1"/>
                <w:color w:val="auto"/>
                <w:w w:val="86"/>
              </w:rPr>
              <w:t>receivable,</w:t>
            </w:r>
          </w:p>
        </w:tc>
        <w:tc>
          <w:tcPr>
            <w:tcW w:w="2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vMerge w:val="restart"/>
          </w:tcPr>
          <w:p>
            <w:pPr>
              <w:jc w:val="right"/>
              <w:ind w:right="233"/>
              <w:spacing w:after="0"/>
              <w:rPr>
                <w:sz w:val="20"/>
                <w:szCs w:val="20"/>
                <w:color w:val="auto"/>
              </w:rPr>
            </w:pPr>
            <w:r>
              <w:rPr>
                <w:rFonts w:ascii="Arial" w:cs="Arial" w:eastAsia="Arial" w:hAnsi="Arial"/>
                <w:sz w:val="16"/>
                <w:szCs w:val="16"/>
                <w:b w:val="1"/>
                <w:bCs w:val="1"/>
                <w:color w:val="auto"/>
                <w:w w:val="97"/>
              </w:rPr>
              <w:t xml:space="preserve">Other </w:t>
            </w:r>
            <w:r>
              <w:rPr>
                <w:rFonts w:ascii="Arial" w:cs="Arial" w:eastAsia="Arial" w:hAnsi="Arial"/>
                <w:sz w:val="20"/>
                <w:szCs w:val="20"/>
                <w:b w:val="1"/>
                <w:bCs w:val="1"/>
                <w:color w:val="auto"/>
                <w:w w:val="97"/>
                <w:vertAlign w:val="superscript"/>
              </w:rPr>
              <w:t>(1)</w:t>
            </w:r>
          </w:p>
        </w:tc>
        <w:tc>
          <w:tcPr>
            <w:tcW w:w="320" w:type="dxa"/>
            <w:vAlign w:val="bottom"/>
          </w:tcPr>
          <w:p>
            <w:pPr>
              <w:spacing w:after="0"/>
              <w:rPr>
                <w:sz w:val="13"/>
                <w:szCs w:val="13"/>
                <w:color w:val="auto"/>
              </w:rPr>
            </w:pPr>
          </w:p>
        </w:tc>
        <w:tc>
          <w:tcPr>
            <w:tcW w:w="920" w:type="dxa"/>
            <w:vAlign w:val="bottom"/>
            <w:vMerge w:val="restart"/>
          </w:tcPr>
          <w:p>
            <w:pPr>
              <w:jc w:val="right"/>
              <w:ind w:right="33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2"/>
        </w:trPr>
        <w:tc>
          <w:tcPr>
            <w:tcW w:w="35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5"/>
              <w:spacing w:after="0"/>
              <w:rPr>
                <w:sz w:val="20"/>
                <w:szCs w:val="20"/>
                <w:color w:val="auto"/>
              </w:rPr>
            </w:pPr>
            <w:r>
              <w:rPr>
                <w:rFonts w:ascii="Arial" w:cs="Arial" w:eastAsia="Arial" w:hAnsi="Arial"/>
                <w:sz w:val="16"/>
                <w:szCs w:val="16"/>
                <w:b w:val="1"/>
                <w:bCs w:val="1"/>
                <w:color w:val="auto"/>
                <w:w w:val="94"/>
              </w:rPr>
              <w:t>short-term</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95"/>
              <w:spacing w:after="0"/>
              <w:rPr>
                <w:sz w:val="20"/>
                <w:szCs w:val="20"/>
                <w:color w:val="auto"/>
              </w:rPr>
            </w:pPr>
            <w:r>
              <w:rPr>
                <w:rFonts w:ascii="Arial" w:cs="Arial" w:eastAsia="Arial" w:hAnsi="Arial"/>
                <w:sz w:val="16"/>
                <w:szCs w:val="16"/>
                <w:b w:val="1"/>
                <w:bCs w:val="1"/>
                <w:color w:val="auto"/>
                <w:w w:val="92"/>
              </w:rPr>
              <w:t>long-term</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5"/>
              <w:spacing w:after="0"/>
              <w:rPr>
                <w:sz w:val="20"/>
                <w:szCs w:val="20"/>
                <w:color w:val="auto"/>
              </w:rPr>
            </w:pPr>
            <w:r>
              <w:rPr>
                <w:rFonts w:ascii="Arial" w:cs="Arial" w:eastAsia="Arial" w:hAnsi="Arial"/>
                <w:sz w:val="16"/>
                <w:szCs w:val="16"/>
                <w:b w:val="1"/>
                <w:bCs w:val="1"/>
                <w:color w:val="auto"/>
                <w:w w:val="88"/>
              </w:rPr>
              <w:t>Receivables</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Notes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gridSpan w:val="3"/>
          </w:tcPr>
          <w:p>
            <w:pPr>
              <w:jc w:val="right"/>
              <w:ind w:right="674"/>
              <w:spacing w:after="0"/>
              <w:rPr>
                <w:sz w:val="20"/>
                <w:szCs w:val="20"/>
                <w:color w:val="auto"/>
              </w:rPr>
            </w:pPr>
            <w:r>
              <w:rPr>
                <w:rFonts w:ascii="Arial" w:cs="Arial" w:eastAsia="Arial" w:hAnsi="Arial"/>
                <w:sz w:val="16"/>
                <w:szCs w:val="16"/>
                <w:b w:val="1"/>
                <w:bCs w:val="1"/>
                <w:color w:val="auto"/>
              </w:rPr>
              <w:t>(In millions)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18.6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35.3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25"/>
        </w:trPr>
        <w:tc>
          <w:tcPr>
            <w:tcW w:w="3540" w:type="dxa"/>
            <w:vAlign w:val="bottom"/>
          </w:tcPr>
          <w:p>
            <w:pPr>
              <w:spacing w:after="0"/>
              <w:rPr>
                <w:sz w:val="20"/>
                <w:szCs w:val="20"/>
                <w:color w:val="auto"/>
              </w:rPr>
            </w:pPr>
            <w:r>
              <w:rPr>
                <w:rFonts w:ascii="Arial" w:cs="Arial" w:eastAsia="Arial" w:hAnsi="Arial"/>
                <w:sz w:val="18"/>
                <w:szCs w:val="18"/>
                <w:color w:val="auto"/>
              </w:rPr>
              <w:t>30-59 days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2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60-89 days</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25"/>
        </w:trPr>
        <w:tc>
          <w:tcPr>
            <w:tcW w:w="3540" w:type="dxa"/>
            <w:vAlign w:val="bottom"/>
          </w:tcPr>
          <w:p>
            <w:pPr>
              <w:spacing w:after="0"/>
              <w:rPr>
                <w:sz w:val="20"/>
                <w:szCs w:val="20"/>
                <w:color w:val="auto"/>
              </w:rPr>
            </w:pPr>
            <w:r>
              <w:rPr>
                <w:rFonts w:ascii="Arial" w:cs="Arial" w:eastAsia="Arial" w:hAnsi="Arial"/>
                <w:sz w:val="18"/>
                <w:szCs w:val="18"/>
                <w:color w:val="auto"/>
              </w:rPr>
              <w:t>90-119 days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25"/>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120+ days</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9"/>
        </w:trPr>
        <w:tc>
          <w:tcPr>
            <w:tcW w:w="354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18.6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35.3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1.9</w:t>
            </w:r>
          </w:p>
        </w:tc>
        <w:tc>
          <w:tcPr>
            <w:tcW w:w="3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ind w:left="500" w:hanging="176"/>
        <w:spacing w:after="0"/>
        <w:tabs>
          <w:tab w:leader="none" w:pos="500"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Primarily c</w:t>
      </w:r>
      <w:r>
        <w:rPr>
          <w:rFonts w:ascii="Arial" w:cs="Arial" w:eastAsia="Arial" w:hAnsi="Arial"/>
          <w:sz w:val="14"/>
          <w:szCs w:val="14"/>
          <w:color w:val="auto"/>
        </w:rPr>
        <w:t>redit card receivables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year of origination of the Company's notes receivable and financing receivables is as follows:</w:t>
      </w:r>
    </w:p>
    <w:p>
      <w:pPr>
        <w:spacing w:after="0" w:line="19"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1760" w:type="dxa"/>
            <w:vAlign w:val="bottom"/>
            <w:gridSpan w:val="2"/>
          </w:tcPr>
          <w:p>
            <w:pPr>
              <w:jc w:val="right"/>
              <w:ind w:right="152"/>
              <w:spacing w:after="0"/>
              <w:rPr>
                <w:sz w:val="20"/>
                <w:szCs w:val="20"/>
                <w:color w:val="auto"/>
              </w:rPr>
            </w:pPr>
            <w:r>
              <w:rPr>
                <w:rFonts w:ascii="Arial" w:cs="Arial" w:eastAsia="Arial" w:hAnsi="Arial"/>
                <w:sz w:val="16"/>
                <w:szCs w:val="16"/>
                <w:b w:val="1"/>
                <w:bCs w:val="1"/>
                <w:color w:val="auto"/>
              </w:rPr>
              <w:t>Notes receivable,</w:t>
            </w:r>
          </w:p>
        </w:tc>
        <w:tc>
          <w:tcPr>
            <w:tcW w:w="480" w:type="dxa"/>
            <w:vAlign w:val="bottom"/>
          </w:tcPr>
          <w:p>
            <w:pPr>
              <w:spacing w:after="0"/>
              <w:rPr>
                <w:sz w:val="16"/>
                <w:szCs w:val="16"/>
                <w:color w:val="auto"/>
              </w:rPr>
            </w:pPr>
          </w:p>
        </w:tc>
        <w:tc>
          <w:tcPr>
            <w:tcW w:w="1040" w:type="dxa"/>
            <w:vAlign w:val="bottom"/>
          </w:tcPr>
          <w:p>
            <w:pPr>
              <w:jc w:val="right"/>
              <w:ind w:right="454"/>
              <w:spacing w:after="0"/>
              <w:rPr>
                <w:sz w:val="20"/>
                <w:szCs w:val="20"/>
                <w:color w:val="auto"/>
              </w:rPr>
            </w:pPr>
            <w:r>
              <w:rPr>
                <w:rFonts w:ascii="Arial" w:cs="Arial" w:eastAsia="Arial" w:hAnsi="Arial"/>
                <w:sz w:val="16"/>
                <w:szCs w:val="16"/>
                <w:b w:val="1"/>
                <w:bCs w:val="1"/>
                <w:color w:val="auto"/>
              </w:rPr>
              <w:t>Lease</w:t>
            </w:r>
          </w:p>
        </w:tc>
        <w:tc>
          <w:tcPr>
            <w:tcW w:w="380" w:type="dxa"/>
            <w:vAlign w:val="bottom"/>
          </w:tcPr>
          <w:p>
            <w:pPr>
              <w:spacing w:after="0"/>
              <w:rPr>
                <w:sz w:val="16"/>
                <w:szCs w:val="16"/>
                <w:color w:val="auto"/>
              </w:rPr>
            </w:pPr>
          </w:p>
        </w:tc>
        <w:tc>
          <w:tcPr>
            <w:tcW w:w="1120" w:type="dxa"/>
            <w:vAlign w:val="bottom"/>
          </w:tcPr>
          <w:p>
            <w:pPr>
              <w:jc w:val="right"/>
              <w:ind w:right="274"/>
              <w:spacing w:after="0"/>
              <w:rPr>
                <w:sz w:val="20"/>
                <w:szCs w:val="20"/>
                <w:color w:val="auto"/>
              </w:rPr>
            </w:pPr>
            <w:r>
              <w:rPr>
                <w:rFonts w:ascii="Arial" w:cs="Arial" w:eastAsia="Arial" w:hAnsi="Arial"/>
                <w:sz w:val="16"/>
                <w:szCs w:val="16"/>
                <w:b w:val="1"/>
                <w:bCs w:val="1"/>
                <w:color w:val="auto"/>
                <w:w w:val="89"/>
              </w:rPr>
              <w:t>Equipment</w:t>
            </w:r>
          </w:p>
        </w:tc>
        <w:tc>
          <w:tcPr>
            <w:tcW w:w="480" w:type="dxa"/>
            <w:vAlign w:val="bottom"/>
          </w:tcPr>
          <w:p>
            <w:pPr>
              <w:spacing w:after="0"/>
              <w:rPr>
                <w:sz w:val="16"/>
                <w:szCs w:val="16"/>
                <w:color w:val="auto"/>
              </w:rPr>
            </w:pPr>
          </w:p>
        </w:tc>
        <w:tc>
          <w:tcPr>
            <w:tcW w:w="860" w:type="dxa"/>
            <w:vAlign w:val="bottom"/>
            <w:vMerge w:val="restart"/>
          </w:tcPr>
          <w:p>
            <w:pPr>
              <w:jc w:val="right"/>
              <w:ind w:right="29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4660" w:type="dxa"/>
            <w:vAlign w:val="bottom"/>
          </w:tcPr>
          <w:p>
            <w:pPr>
              <w:spacing w:after="0"/>
              <w:rPr>
                <w:sz w:val="18"/>
                <w:szCs w:val="18"/>
                <w:color w:val="auto"/>
              </w:rPr>
            </w:pPr>
          </w:p>
        </w:tc>
        <w:tc>
          <w:tcPr>
            <w:tcW w:w="1760" w:type="dxa"/>
            <w:vAlign w:val="bottom"/>
            <w:tcBorders>
              <w:bottom w:val="single" w:sz="8" w:color="auto"/>
            </w:tcBorders>
            <w:gridSpan w:val="2"/>
          </w:tcPr>
          <w:p>
            <w:pPr>
              <w:jc w:val="right"/>
              <w:ind w:right="212"/>
              <w:spacing w:after="0"/>
              <w:rPr>
                <w:sz w:val="20"/>
                <w:szCs w:val="20"/>
                <w:color w:val="auto"/>
              </w:rPr>
            </w:pPr>
            <w:r>
              <w:rPr>
                <w:rFonts w:ascii="Arial" w:cs="Arial" w:eastAsia="Arial" w:hAnsi="Arial"/>
                <w:sz w:val="16"/>
                <w:szCs w:val="16"/>
                <w:b w:val="1"/>
                <w:bCs w:val="1"/>
                <w:color w:val="auto"/>
                <w:w w:val="95"/>
              </w:rPr>
              <w:t>short and long-term</w:t>
            </w:r>
          </w:p>
        </w:tc>
        <w:tc>
          <w:tcPr>
            <w:tcW w:w="1520" w:type="dxa"/>
            <w:vAlign w:val="bottom"/>
            <w:tcBorders>
              <w:bottom w:val="single" w:sz="8" w:color="auto"/>
            </w:tcBorders>
            <w:gridSpan w:val="2"/>
          </w:tcPr>
          <w:p>
            <w:pPr>
              <w:jc w:val="right"/>
              <w:ind w:right="394"/>
              <w:spacing w:after="0"/>
              <w:rPr>
                <w:sz w:val="20"/>
                <w:szCs w:val="20"/>
                <w:color w:val="auto"/>
              </w:rPr>
            </w:pPr>
            <w:r>
              <w:rPr>
                <w:rFonts w:ascii="Arial" w:cs="Arial" w:eastAsia="Arial" w:hAnsi="Arial"/>
                <w:sz w:val="16"/>
                <w:szCs w:val="16"/>
                <w:b w:val="1"/>
                <w:bCs w:val="1"/>
                <w:color w:val="auto"/>
              </w:rPr>
              <w:t>Receivables</w:t>
            </w: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14"/>
              <w:spacing w:after="0"/>
              <w:rPr>
                <w:sz w:val="20"/>
                <w:szCs w:val="20"/>
                <w:color w:val="auto"/>
              </w:rPr>
            </w:pPr>
            <w:r>
              <w:rPr>
                <w:rFonts w:ascii="Arial" w:cs="Arial" w:eastAsia="Arial" w:hAnsi="Arial"/>
                <w:sz w:val="16"/>
                <w:szCs w:val="16"/>
                <w:b w:val="1"/>
                <w:bCs w:val="1"/>
                <w:color w:val="auto"/>
                <w:w w:val="89"/>
              </w:rPr>
              <w:t>Notes</w:t>
            </w: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20" w:type="dxa"/>
            <w:vAlign w:val="bottom"/>
            <w:gridSpan w:val="2"/>
          </w:tcPr>
          <w:p>
            <w:pPr>
              <w:jc w:val="right"/>
              <w:spacing w:after="0"/>
              <w:rPr>
                <w:sz w:val="20"/>
                <w:szCs w:val="20"/>
                <w:color w:val="auto"/>
              </w:rPr>
            </w:pPr>
            <w:r>
              <w:rPr>
                <w:rFonts w:ascii="Arial" w:cs="Arial" w:eastAsia="Arial" w:hAnsi="Arial"/>
                <w:sz w:val="16"/>
                <w:szCs w:val="16"/>
                <w:b w:val="1"/>
                <w:bCs w:val="1"/>
                <w:color w:val="auto"/>
              </w:rPr>
              <w:t>(In millions)</w:t>
            </w:r>
          </w:p>
        </w:tc>
        <w:tc>
          <w:tcPr>
            <w:tcW w:w="1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2021</w:t>
            </w:r>
          </w:p>
        </w:tc>
        <w:tc>
          <w:tcPr>
            <w:tcW w:w="82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13.4</w:t>
            </w:r>
          </w:p>
        </w:tc>
        <w:tc>
          <w:tcPr>
            <w:tcW w:w="4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2.7</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25"/>
        </w:trPr>
        <w:tc>
          <w:tcPr>
            <w:tcW w:w="4660" w:type="dxa"/>
            <w:vAlign w:val="bottom"/>
          </w:tcPr>
          <w:p>
            <w:pPr>
              <w:ind w:left="320"/>
              <w:spacing w:after="0"/>
              <w:rPr>
                <w:sz w:val="20"/>
                <w:szCs w:val="20"/>
                <w:color w:val="auto"/>
              </w:rPr>
            </w:pPr>
            <w:r>
              <w:rPr>
                <w:rFonts w:ascii="Arial" w:cs="Arial" w:eastAsia="Arial" w:hAnsi="Arial"/>
                <w:sz w:val="18"/>
                <w:szCs w:val="18"/>
                <w:color w:val="auto"/>
              </w:rPr>
              <w:t>2020</w:t>
            </w:r>
          </w:p>
        </w:tc>
        <w:tc>
          <w:tcPr>
            <w:tcW w:w="820" w:type="dxa"/>
            <w:vAlign w:val="bottom"/>
          </w:tcPr>
          <w:p>
            <w:pPr>
              <w:spacing w:after="0"/>
              <w:rPr>
                <w:sz w:val="19"/>
                <w:szCs w:val="19"/>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0.6</w:t>
            </w:r>
          </w:p>
        </w:tc>
        <w:tc>
          <w:tcPr>
            <w:tcW w:w="480" w:type="dxa"/>
            <w:vAlign w:val="bottom"/>
          </w:tcPr>
          <w:p>
            <w:pPr>
              <w:spacing w:after="0"/>
              <w:rPr>
                <w:sz w:val="19"/>
                <w:szCs w:val="19"/>
                <w:color w:val="auto"/>
              </w:rPr>
            </w:pPr>
          </w:p>
        </w:tc>
        <w:tc>
          <w:tcPr>
            <w:tcW w:w="1040" w:type="dxa"/>
            <w:vAlign w:val="bottom"/>
          </w:tcPr>
          <w:p>
            <w:pPr>
              <w:jc w:val="right"/>
              <w:ind w:right="174"/>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19"/>
                <w:szCs w:val="19"/>
                <w:color w:val="auto"/>
              </w:rPr>
            </w:pPr>
          </w:p>
        </w:tc>
        <w:tc>
          <w:tcPr>
            <w:tcW w:w="112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6"/>
        </w:trPr>
        <w:tc>
          <w:tcPr>
            <w:tcW w:w="4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2019</w:t>
            </w:r>
          </w:p>
        </w:tc>
        <w:tc>
          <w:tcPr>
            <w:tcW w:w="8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0.9</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0.8</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5"/>
        </w:trPr>
        <w:tc>
          <w:tcPr>
            <w:tcW w:w="4660" w:type="dxa"/>
            <w:vAlign w:val="bottom"/>
          </w:tcPr>
          <w:p>
            <w:pPr>
              <w:ind w:left="320"/>
              <w:spacing w:after="0"/>
              <w:rPr>
                <w:sz w:val="20"/>
                <w:szCs w:val="20"/>
                <w:color w:val="auto"/>
              </w:rPr>
            </w:pPr>
            <w:r>
              <w:rPr>
                <w:rFonts w:ascii="Arial" w:cs="Arial" w:eastAsia="Arial" w:hAnsi="Arial"/>
                <w:sz w:val="18"/>
                <w:szCs w:val="18"/>
                <w:color w:val="auto"/>
              </w:rPr>
              <w:t>2018</w:t>
            </w:r>
          </w:p>
        </w:tc>
        <w:tc>
          <w:tcPr>
            <w:tcW w:w="820" w:type="dxa"/>
            <w:vAlign w:val="bottom"/>
          </w:tcPr>
          <w:p>
            <w:pPr>
              <w:spacing w:after="0"/>
              <w:rPr>
                <w:sz w:val="19"/>
                <w:szCs w:val="19"/>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0.0</w:t>
            </w:r>
          </w:p>
        </w:tc>
        <w:tc>
          <w:tcPr>
            <w:tcW w:w="480" w:type="dxa"/>
            <w:vAlign w:val="bottom"/>
          </w:tcPr>
          <w:p>
            <w:pPr>
              <w:spacing w:after="0"/>
              <w:rPr>
                <w:sz w:val="19"/>
                <w:szCs w:val="19"/>
                <w:color w:val="auto"/>
              </w:rPr>
            </w:pPr>
          </w:p>
        </w:tc>
        <w:tc>
          <w:tcPr>
            <w:tcW w:w="104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2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26"/>
        </w:trPr>
        <w:tc>
          <w:tcPr>
            <w:tcW w:w="4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2017</w:t>
            </w:r>
          </w:p>
        </w:tc>
        <w:tc>
          <w:tcPr>
            <w:tcW w:w="8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6.1</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5"/>
        </w:trPr>
        <w:tc>
          <w:tcPr>
            <w:tcW w:w="46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Prior</w:t>
            </w:r>
          </w:p>
        </w:tc>
        <w:tc>
          <w:tcPr>
            <w:tcW w:w="8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0.1</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13.6</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35.3</w:t>
            </w: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44"/>
        </w:trPr>
        <w:tc>
          <w:tcPr>
            <w:tcW w:w="46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21.1</w:t>
            </w:r>
          </w:p>
        </w:tc>
        <w:tc>
          <w:tcPr>
            <w:tcW w:w="4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rPr>
              <w:t>18.6</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rPr>
              <w:t>35.3</w:t>
            </w:r>
          </w:p>
        </w:tc>
        <w:tc>
          <w:tcPr>
            <w:tcW w:w="4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does not place its financing receivables in non-accrual status.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 Disclosures</w:t>
      </w:r>
    </w:p>
    <w:p>
      <w:pPr>
        <w:spacing w:after="0" w:line="250" w:lineRule="exact"/>
        <w:rPr>
          <w:sz w:val="20"/>
          <w:szCs w:val="20"/>
          <w:color w:val="auto"/>
        </w:rPr>
      </w:pPr>
    </w:p>
    <w:p>
      <w:pPr>
        <w:ind w:right="120"/>
        <w:spacing w:after="0" w:line="312" w:lineRule="auto"/>
        <w:rPr>
          <w:sz w:val="20"/>
          <w:szCs w:val="20"/>
          <w:color w:val="auto"/>
        </w:rPr>
      </w:pPr>
      <w:r>
        <w:rPr>
          <w:rFonts w:ascii="Arial" w:cs="Arial" w:eastAsia="Arial" w:hAnsi="Arial"/>
          <w:sz w:val="15"/>
          <w:szCs w:val="15"/>
          <w:color w:val="auto"/>
        </w:rPr>
        <w:t>The Company engages in leasing activity as both a lessee and a lessor. The Company currently leases from third parties the real property on which approximately 540 IHOP franchisee-operated restaurants and one Applebee's franchisee-operated restaurant are located; the Company (as lessor) subleases the property to the franchisees that operate those restaurants. The Company also leases property it owns to the franchisees that operate approximately 55 IHOP restaurants and one Applebee's restaurant. The Company leases from third parties the real property on which 69 Applebee's company-operated restaurants are located. The Company also leases office space for its principal corporate office in Glendale, California and restaurant support</w:t>
      </w:r>
    </w:p>
    <w:p>
      <w:pPr>
        <w:sectPr>
          <w:pgSz w:w="11900" w:h="16838" w:orient="portrait"/>
          <w:cols w:equalWidth="0" w:num="1">
            <w:col w:w="11340"/>
          </w:cols>
          <w:pgMar w:left="32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type w:val="continuous"/>
        </w:sectPr>
      </w:pPr>
    </w:p>
    <w:bookmarkStart w:id="14" w:name="page15"/>
    <w:bookmarkEnd w:id="14"/>
    <w:p>
      <w:pPr>
        <w:jc w:val="center"/>
        <w:ind w:right="-5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Lease Disclosures (Continued)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centers in Kansas City, Missouri and Raleigh, North Carolina. The Company does not have a significant amount of non-real estate leases.</w:t>
      </w:r>
    </w:p>
    <w:p>
      <w:pPr>
        <w:spacing w:after="0" w:line="244" w:lineRule="exact"/>
        <w:rPr>
          <w:sz w:val="20"/>
          <w:szCs w:val="20"/>
          <w:color w:val="auto"/>
        </w:rPr>
      </w:pPr>
    </w:p>
    <w:p>
      <w:pPr>
        <w:ind w:firstLine="238"/>
        <w:spacing w:after="0" w:line="267" w:lineRule="auto"/>
        <w:rPr>
          <w:sz w:val="20"/>
          <w:szCs w:val="20"/>
          <w:color w:val="auto"/>
        </w:rPr>
      </w:pPr>
      <w:r>
        <w:rPr>
          <w:rFonts w:ascii="Arial" w:cs="Arial" w:eastAsia="Arial" w:hAnsi="Arial"/>
          <w:sz w:val="17"/>
          <w:szCs w:val="17"/>
          <w:color w:val="auto"/>
        </w:rPr>
        <w:t>The Company's existing leases/subleases related to IHOP restaurants generally provide for an initial term of 20 to 25 years, with most having one or more five-year renewal options. Leases related to Applebee's restaurants generally have an initial term of 10 to 20 years, with renewal terms of five to 20 years. Option periods were not included in determining liabilities and right-of-use assets related to operating leases. Approximately 280 of the Company's leases met the sales levels that required variable rent payments to the Company (as lessor), based on a percentage of restaurant sales during the nine months ended September 30, 2021. Approximately 45 of the leases met the sales levels that required variable rent payments by the Company (as lessee), based on a percentage of restaurant sales during the nine months ended September 30, 2021.</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Company's lease cost for the three and nine months ended September 30, 2021 and 2020 was as follows:</w:t>
      </w:r>
    </w:p>
    <w:p>
      <w:pPr>
        <w:spacing w:after="0" w:line="19" w:lineRule="exact"/>
        <w:rPr>
          <w:sz w:val="20"/>
          <w:szCs w:val="20"/>
          <w:color w:val="auto"/>
        </w:rPr>
      </w:pPr>
    </w:p>
    <w:tbl>
      <w:tblPr>
        <w:tblLayout w:type="fixed"/>
        <w:tblInd w:w="16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7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gridSpan w:val="4"/>
          </w:tcPr>
          <w:p>
            <w:pPr>
              <w:jc w:val="right"/>
              <w:ind w:right="177"/>
              <w:spacing w:after="0"/>
              <w:rPr>
                <w:sz w:val="20"/>
                <w:szCs w:val="20"/>
                <w:color w:val="auto"/>
              </w:rPr>
            </w:pPr>
            <w:r>
              <w:rPr>
                <w:rFonts w:ascii="Arial" w:cs="Arial" w:eastAsia="Arial" w:hAnsi="Arial"/>
                <w:sz w:val="16"/>
                <w:szCs w:val="16"/>
                <w:b w:val="1"/>
                <w:bCs w:val="1"/>
                <w:color w:val="auto"/>
                <w:w w:val="92"/>
              </w:rPr>
              <w:t>Three months ended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60" w:type="dxa"/>
            <w:vAlign w:val="bottom"/>
            <w:gridSpan w:val="6"/>
          </w:tcPr>
          <w:p>
            <w:pPr>
              <w:jc w:val="center"/>
              <w:ind w:right="40"/>
              <w:spacing w:after="0"/>
              <w:rPr>
                <w:sz w:val="20"/>
                <w:szCs w:val="20"/>
                <w:color w:val="auto"/>
              </w:rPr>
            </w:pPr>
            <w:r>
              <w:rPr>
                <w:rFonts w:ascii="Arial" w:cs="Arial" w:eastAsia="Arial" w:hAnsi="Arial"/>
                <w:sz w:val="16"/>
                <w:szCs w:val="16"/>
                <w:b w:val="1"/>
                <w:bCs w:val="1"/>
                <w:color w:val="auto"/>
                <w:w w:val="87"/>
              </w:rPr>
              <w:t>Nine months ended</w:t>
            </w:r>
          </w:p>
        </w:tc>
      </w:tr>
      <w:tr>
        <w:trPr>
          <w:trHeight w:val="210"/>
        </w:trPr>
        <w:tc>
          <w:tcPr>
            <w:tcW w:w="4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4"/>
          </w:tcPr>
          <w:p>
            <w:pPr>
              <w:jc w:val="right"/>
              <w:ind w:right="397"/>
              <w:spacing w:after="0"/>
              <w:rPr>
                <w:sz w:val="20"/>
                <w:szCs w:val="20"/>
                <w:color w:val="auto"/>
              </w:rPr>
            </w:pPr>
            <w:r>
              <w:rPr>
                <w:rFonts w:ascii="Arial" w:cs="Arial" w:eastAsia="Arial" w:hAnsi="Arial"/>
                <w:sz w:val="16"/>
                <w:szCs w:val="16"/>
                <w:b w:val="1"/>
                <w:bCs w:val="1"/>
                <w:color w:val="auto"/>
              </w:rPr>
              <w:t>September 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87"/>
              </w:rPr>
              <w:t>September 30,</w:t>
            </w:r>
          </w:p>
        </w:tc>
      </w:tr>
      <w:tr>
        <w:trPr>
          <w:trHeight w:val="205"/>
        </w:trPr>
        <w:tc>
          <w:tcPr>
            <w:tcW w:w="40" w:type="dxa"/>
            <w:vAlign w:val="bottom"/>
          </w:tcPr>
          <w:p>
            <w:pPr>
              <w:spacing w:after="0"/>
              <w:rPr>
                <w:sz w:val="17"/>
                <w:szCs w:val="17"/>
                <w:color w:val="auto"/>
              </w:rPr>
            </w:pPr>
          </w:p>
        </w:tc>
        <w:tc>
          <w:tcPr>
            <w:tcW w:w="70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6"/>
                <w:szCs w:val="16"/>
                <w:b w:val="1"/>
                <w:bCs w:val="1"/>
                <w:color w:val="auto"/>
              </w:rPr>
              <w:t>2020</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top w:val="single" w:sz="8" w:color="auto"/>
              <w:bottom w:val="single" w:sz="8" w:color="auto"/>
            </w:tcBorders>
            <w:gridSpan w:val="3"/>
          </w:tcPr>
          <w:p>
            <w:pPr>
              <w:jc w:val="right"/>
              <w:ind w:right="229"/>
              <w:spacing w:after="0"/>
              <w:rPr>
                <w:sz w:val="20"/>
                <w:szCs w:val="20"/>
                <w:color w:val="auto"/>
              </w:rPr>
            </w:pPr>
            <w:r>
              <w:rPr>
                <w:rFonts w:ascii="Arial" w:cs="Arial" w:eastAsia="Arial" w:hAnsi="Arial"/>
                <w:sz w:val="16"/>
                <w:szCs w:val="16"/>
                <w:b w:val="1"/>
                <w:bCs w:val="1"/>
                <w:color w:val="auto"/>
              </w:rPr>
              <w:t>2021</w:t>
            </w:r>
          </w:p>
        </w:tc>
        <w:tc>
          <w:tcPr>
            <w:tcW w:w="28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7"/>
                <w:szCs w:val="17"/>
                <w:color w:val="auto"/>
              </w:rPr>
            </w:pPr>
          </w:p>
        </w:tc>
      </w:tr>
      <w:tr>
        <w:trPr>
          <w:trHeight w:val="179"/>
        </w:trPr>
        <w:tc>
          <w:tcPr>
            <w:tcW w:w="40" w:type="dxa"/>
            <w:vAlign w:val="bottom"/>
          </w:tcPr>
          <w:p>
            <w:pPr>
              <w:spacing w:after="0"/>
              <w:rPr>
                <w:sz w:val="15"/>
                <w:szCs w:val="15"/>
                <w:color w:val="auto"/>
              </w:rPr>
            </w:pPr>
          </w:p>
        </w:tc>
        <w:tc>
          <w:tcPr>
            <w:tcW w:w="7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4"/>
          </w:tcPr>
          <w:p>
            <w:pPr>
              <w:jc w:val="right"/>
              <w:ind w:right="1"/>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6"/>
        </w:trPr>
        <w:tc>
          <w:tcPr>
            <w:tcW w:w="4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Arial" w:cs="Arial" w:eastAsia="Arial" w:hAnsi="Arial"/>
                <w:sz w:val="18"/>
                <w:szCs w:val="18"/>
                <w:color w:val="auto"/>
              </w:rPr>
              <w:t>Finance lease cost:</w:t>
            </w: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70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Amortization of right-of-use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60" w:type="dxa"/>
            <w:vAlign w:val="bottom"/>
            <w:gridSpan w:val="3"/>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7000" w:type="dxa"/>
            <w:vAlign w:val="bottom"/>
          </w:tcPr>
          <w:p>
            <w:pPr>
              <w:ind w:left="260"/>
              <w:spacing w:after="0"/>
              <w:rPr>
                <w:sz w:val="20"/>
                <w:szCs w:val="20"/>
                <w:color w:val="auto"/>
              </w:rPr>
            </w:pPr>
            <w:r>
              <w:rPr>
                <w:rFonts w:ascii="Arial" w:cs="Arial" w:eastAsia="Arial" w:hAnsi="Arial"/>
                <w:sz w:val="18"/>
                <w:szCs w:val="18"/>
                <w:color w:val="auto"/>
              </w:rPr>
              <w:t>Interest on lease liabilities</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gridSpan w:val="2"/>
          </w:tcPr>
          <w:p>
            <w:pPr>
              <w:jc w:val="right"/>
              <w:ind w:right="9"/>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74.2</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gridSpan w:val="2"/>
          </w:tcPr>
          <w:p>
            <w:pPr>
              <w:jc w:val="right"/>
              <w:ind w:right="9"/>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0.0</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Sublease income</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center"/>
              <w:ind w:left="117"/>
              <w:spacing w:after="0"/>
              <w:rPr>
                <w:sz w:val="20"/>
                <w:szCs w:val="20"/>
                <w:color w:val="auto"/>
              </w:rPr>
            </w:pPr>
            <w:r>
              <w:rPr>
                <w:rFonts w:ascii="Arial" w:cs="Arial" w:eastAsia="Arial" w:hAnsi="Arial"/>
                <w:sz w:val="18"/>
                <w:szCs w:val="18"/>
                <w:color w:val="auto"/>
                <w:w w:val="89"/>
              </w:rPr>
              <w:t>(23.9)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(78.0)</w:t>
            </w: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w:t>
            </w:r>
          </w:p>
        </w:tc>
        <w:tc>
          <w:tcPr>
            <w:tcW w:w="20" w:type="dxa"/>
            <w:vAlign w:val="bottom"/>
          </w:tcPr>
          <w:p>
            <w:pPr>
              <w:spacing w:after="0"/>
              <w:rPr>
                <w:sz w:val="19"/>
                <w:szCs w:val="19"/>
                <w:color w:val="auto"/>
              </w:rPr>
            </w:pPr>
          </w:p>
        </w:tc>
      </w:tr>
      <w:tr>
        <w:trPr>
          <w:trHeight w:val="239"/>
        </w:trPr>
        <w:tc>
          <w:tcPr>
            <w:tcW w:w="40" w:type="dxa"/>
            <w:vAlign w:val="bottom"/>
          </w:tcPr>
          <w:p>
            <w:pPr>
              <w:spacing w:after="0"/>
              <w:rPr>
                <w:sz w:val="20"/>
                <w:szCs w:val="20"/>
                <w:color w:val="auto"/>
              </w:rPr>
            </w:pPr>
          </w:p>
        </w:tc>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cost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gridSpan w:val="2"/>
            <w:shd w:val="clear" w:color="auto" w:fill="CCEEFF"/>
          </w:tcPr>
          <w:p>
            <w:pPr>
              <w:jc w:val="right"/>
              <w:ind w:right="9"/>
              <w:spacing w:after="0"/>
              <w:rPr>
                <w:sz w:val="20"/>
                <w:szCs w:val="20"/>
                <w:color w:val="auto"/>
              </w:rPr>
            </w:pPr>
            <w:r>
              <w:rPr>
                <w:rFonts w:ascii="Arial" w:cs="Arial" w:eastAsia="Arial" w:hAnsi="Arial"/>
                <w:sz w:val="18"/>
                <w:szCs w:val="18"/>
                <w:color w:val="auto"/>
              </w:rPr>
              <w:t>9.1</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0" w:type="dxa"/>
            <w:vAlign w:val="bottom"/>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8"/>
        </w:trPr>
        <w:tc>
          <w:tcPr>
            <w:tcW w:w="40" w:type="dxa"/>
            <w:vAlign w:val="bottom"/>
          </w:tcPr>
          <w:p>
            <w:pPr>
              <w:spacing w:after="0"/>
              <w:rPr>
                <w:sz w:val="24"/>
                <w:szCs w:val="24"/>
                <w:color w:val="auto"/>
              </w:rPr>
            </w:pPr>
          </w:p>
        </w:tc>
        <w:tc>
          <w:tcPr>
            <w:tcW w:w="8260" w:type="dxa"/>
            <w:vAlign w:val="bottom"/>
            <w:gridSpan w:val="5"/>
          </w:tcPr>
          <w:p>
            <w:pPr>
              <w:ind w:left="120"/>
              <w:spacing w:after="0"/>
              <w:rPr>
                <w:sz w:val="20"/>
                <w:szCs w:val="20"/>
                <w:color w:val="auto"/>
              </w:rPr>
            </w:pPr>
            <w:r>
              <w:rPr>
                <w:rFonts w:ascii="Arial" w:cs="Arial" w:eastAsia="Arial" w:hAnsi="Arial"/>
                <w:sz w:val="18"/>
                <w:szCs w:val="18"/>
                <w:color w:val="auto"/>
                <w:w w:val="88"/>
              </w:rPr>
              <w:t>Future minimum lease payments under noncancelable leases as lessee as of September 30, 2021 were as follows:</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0"/>
        </w:trPr>
        <w:tc>
          <w:tcPr>
            <w:tcW w:w="40" w:type="dxa"/>
            <w:vAlign w:val="bottom"/>
          </w:tcPr>
          <w:p>
            <w:pPr>
              <w:spacing w:after="0"/>
              <w:rPr>
                <w:sz w:val="13"/>
                <w:szCs w:val="13"/>
                <w:color w:val="auto"/>
              </w:rPr>
            </w:pPr>
          </w:p>
        </w:tc>
        <w:tc>
          <w:tcPr>
            <w:tcW w:w="7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center"/>
              <w:ind w:left="97"/>
              <w:spacing w:after="0"/>
              <w:rPr>
                <w:sz w:val="20"/>
                <w:szCs w:val="20"/>
                <w:color w:val="auto"/>
              </w:rPr>
            </w:pPr>
            <w:r>
              <w:rPr>
                <w:rFonts w:ascii="Arial" w:cs="Arial" w:eastAsia="Arial" w:hAnsi="Arial"/>
                <w:sz w:val="14"/>
                <w:szCs w:val="14"/>
                <w:b w:val="1"/>
                <w:bCs w:val="1"/>
                <w:color w:val="auto"/>
                <w:w w:val="90"/>
              </w:rPr>
              <w:t>Finance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Operating</w:t>
            </w:r>
          </w:p>
        </w:tc>
      </w:tr>
      <w:tr>
        <w:trPr>
          <w:trHeight w:val="185"/>
        </w:trPr>
        <w:tc>
          <w:tcPr>
            <w:tcW w:w="40" w:type="dxa"/>
            <w:vAlign w:val="bottom"/>
          </w:tcPr>
          <w:p>
            <w:pPr>
              <w:spacing w:after="0"/>
              <w:rPr>
                <w:sz w:val="16"/>
                <w:szCs w:val="16"/>
                <w:color w:val="auto"/>
              </w:rPr>
            </w:pPr>
          </w:p>
        </w:tc>
        <w:tc>
          <w:tcPr>
            <w:tcW w:w="7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left="97"/>
              <w:spacing w:after="0"/>
              <w:rPr>
                <w:sz w:val="20"/>
                <w:szCs w:val="20"/>
                <w:color w:val="auto"/>
              </w:rPr>
            </w:pPr>
            <w:r>
              <w:rPr>
                <w:rFonts w:ascii="Arial" w:cs="Arial" w:eastAsia="Arial" w:hAnsi="Arial"/>
                <w:sz w:val="14"/>
                <w:szCs w:val="14"/>
                <w:b w:val="1"/>
                <w:bCs w:val="1"/>
                <w:color w:val="auto"/>
                <w:w w:val="84"/>
              </w:rPr>
              <w:t>Leases</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center"/>
              <w:ind w:right="460"/>
              <w:spacing w:after="0"/>
              <w:rPr>
                <w:sz w:val="20"/>
                <w:szCs w:val="20"/>
                <w:color w:val="auto"/>
              </w:rPr>
            </w:pPr>
            <w:r>
              <w:rPr>
                <w:rFonts w:ascii="Arial" w:cs="Arial" w:eastAsia="Arial" w:hAnsi="Arial"/>
                <w:sz w:val="14"/>
                <w:szCs w:val="14"/>
                <w:b w:val="1"/>
                <w:bCs w:val="1"/>
                <w:color w:val="auto"/>
                <w:w w:val="84"/>
              </w:rPr>
              <w:t>Leases</w:t>
            </w:r>
          </w:p>
        </w:tc>
      </w:tr>
      <w:tr>
        <w:trPr>
          <w:trHeight w:val="179"/>
        </w:trPr>
        <w:tc>
          <w:tcPr>
            <w:tcW w:w="40" w:type="dxa"/>
            <w:vAlign w:val="bottom"/>
          </w:tcPr>
          <w:p>
            <w:pPr>
              <w:spacing w:after="0"/>
              <w:rPr>
                <w:sz w:val="15"/>
                <w:szCs w:val="15"/>
                <w:color w:val="auto"/>
              </w:rPr>
            </w:pPr>
          </w:p>
        </w:tc>
        <w:tc>
          <w:tcPr>
            <w:tcW w:w="7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3"/>
          </w:tcPr>
          <w:p>
            <w:pPr>
              <w:jc w:val="right"/>
              <w:ind w:right="69"/>
              <w:spacing w:after="0"/>
              <w:rPr>
                <w:sz w:val="20"/>
                <w:szCs w:val="20"/>
                <w:color w:val="auto"/>
              </w:rPr>
            </w:pPr>
            <w:r>
              <w:rPr>
                <w:rFonts w:ascii="Arial" w:cs="Arial" w:eastAsia="Arial" w:hAnsi="Arial"/>
                <w:sz w:val="14"/>
                <w:szCs w:val="14"/>
                <w:b w:val="1"/>
                <w:bCs w:val="1"/>
                <w:color w:val="auto"/>
                <w:w w:val="96"/>
              </w:rPr>
              <w:t>(In millions)</w:t>
            </w: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6"/>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2021 (remaining three months)</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3.7</w:t>
            </w:r>
          </w:p>
        </w:tc>
        <w:tc>
          <w:tcPr>
            <w:tcW w:w="560" w:type="dxa"/>
            <w:vAlign w:val="bottom"/>
            <w:gridSpan w:val="2"/>
            <w:shd w:val="clear" w:color="auto" w:fill="CCEEFF"/>
          </w:tcPr>
          <w:p>
            <w:pPr>
              <w:jc w:val="right"/>
              <w:ind w:right="289"/>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0" w:type="dxa"/>
            <w:vAlign w:val="bottom"/>
            <w:shd w:val="clear" w:color="auto" w:fill="CCEEFF"/>
          </w:tcPr>
          <w:p>
            <w:pPr>
              <w:spacing w:after="0"/>
              <w:rPr>
                <w:sz w:val="19"/>
                <w:szCs w:val="19"/>
                <w:color w:val="auto"/>
              </w:rPr>
            </w:pPr>
          </w:p>
        </w:tc>
      </w:tr>
      <w:tr>
        <w:trPr>
          <w:trHeight w:val="225"/>
        </w:trPr>
        <w:tc>
          <w:tcPr>
            <w:tcW w:w="704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gridSpan w:val="3"/>
          </w:tcPr>
          <w:p>
            <w:pPr>
              <w:jc w:val="right"/>
              <w:ind w:right="1"/>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90.1</w:t>
            </w:r>
          </w:p>
        </w:tc>
        <w:tc>
          <w:tcPr>
            <w:tcW w:w="20" w:type="dxa"/>
            <w:vAlign w:val="bottom"/>
          </w:tcPr>
          <w:p>
            <w:pPr>
              <w:spacing w:after="0"/>
              <w:rPr>
                <w:sz w:val="19"/>
                <w:szCs w:val="19"/>
                <w:color w:val="auto"/>
              </w:rPr>
            </w:pPr>
          </w:p>
        </w:tc>
      </w:tr>
      <w:tr>
        <w:trPr>
          <w:trHeight w:val="226"/>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20" w:type="dxa"/>
            <w:vAlign w:val="bottom"/>
            <w:shd w:val="clear" w:color="auto" w:fill="CCEEFF"/>
          </w:tcPr>
          <w:p>
            <w:pPr>
              <w:spacing w:after="0"/>
              <w:rPr>
                <w:sz w:val="19"/>
                <w:szCs w:val="19"/>
                <w:color w:val="auto"/>
              </w:rPr>
            </w:pPr>
          </w:p>
        </w:tc>
      </w:tr>
      <w:tr>
        <w:trPr>
          <w:trHeight w:val="225"/>
        </w:trPr>
        <w:tc>
          <w:tcPr>
            <w:tcW w:w="704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gridSpan w:val="3"/>
          </w:tcPr>
          <w:p>
            <w:pPr>
              <w:jc w:val="right"/>
              <w:ind w:right="1"/>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69.8</w:t>
            </w:r>
          </w:p>
        </w:tc>
        <w:tc>
          <w:tcPr>
            <w:tcW w:w="20" w:type="dxa"/>
            <w:vAlign w:val="bottom"/>
          </w:tcPr>
          <w:p>
            <w:pPr>
              <w:spacing w:after="0"/>
              <w:rPr>
                <w:sz w:val="19"/>
                <w:szCs w:val="19"/>
                <w:color w:val="auto"/>
              </w:rPr>
            </w:pPr>
          </w:p>
        </w:tc>
      </w:tr>
      <w:tr>
        <w:trPr>
          <w:trHeight w:val="226"/>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20" w:type="dxa"/>
            <w:vAlign w:val="bottom"/>
            <w:shd w:val="clear" w:color="auto" w:fill="CCEEFF"/>
          </w:tcPr>
          <w:p>
            <w:pPr>
              <w:spacing w:after="0"/>
              <w:rPr>
                <w:sz w:val="19"/>
                <w:szCs w:val="19"/>
                <w:color w:val="auto"/>
              </w:rPr>
            </w:pPr>
          </w:p>
        </w:tc>
      </w:tr>
      <w:tr>
        <w:trPr>
          <w:trHeight w:val="225"/>
        </w:trPr>
        <w:tc>
          <w:tcPr>
            <w:tcW w:w="70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161.5</w:t>
            </w:r>
          </w:p>
        </w:tc>
        <w:tc>
          <w:tcPr>
            <w:tcW w:w="20" w:type="dxa"/>
            <w:vAlign w:val="bottom"/>
            <w:tcBorders>
              <w:bottom w:val="single" w:sz="8" w:color="auto"/>
            </w:tcBorders>
          </w:tcPr>
          <w:p>
            <w:pPr>
              <w:spacing w:after="0"/>
              <w:rPr>
                <w:sz w:val="19"/>
                <w:szCs w:val="19"/>
                <w:color w:val="auto"/>
              </w:rPr>
            </w:pPr>
          </w:p>
        </w:tc>
      </w:tr>
      <w:tr>
        <w:trPr>
          <w:trHeight w:val="219"/>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minimum lease payments</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98.7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480.4</w:t>
            </w:r>
          </w:p>
        </w:tc>
        <w:tc>
          <w:tcPr>
            <w:tcW w:w="20" w:type="dxa"/>
            <w:vAlign w:val="bottom"/>
            <w:shd w:val="clear" w:color="auto" w:fill="CCEEFF"/>
          </w:tcPr>
          <w:p>
            <w:pPr>
              <w:spacing w:after="0"/>
              <w:rPr>
                <w:sz w:val="19"/>
                <w:szCs w:val="19"/>
                <w:color w:val="auto"/>
              </w:rPr>
            </w:pPr>
          </w:p>
        </w:tc>
      </w:tr>
      <w:tr>
        <w:trPr>
          <w:trHeight w:val="225"/>
        </w:trPr>
        <w:tc>
          <w:tcPr>
            <w:tcW w:w="70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interest/imputed interest</w:t>
            </w:r>
          </w:p>
        </w:tc>
        <w:tc>
          <w:tcPr>
            <w:tcW w:w="18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4"/>
              </w:rPr>
              <w:t>(27.4)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(85.3)</w:t>
            </w:r>
          </w:p>
        </w:tc>
      </w:tr>
      <w:tr>
        <w:trPr>
          <w:trHeight w:val="219"/>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obligations</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71.3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395.1</w:t>
            </w:r>
          </w:p>
        </w:tc>
        <w:tc>
          <w:tcPr>
            <w:tcW w:w="20" w:type="dxa"/>
            <w:vAlign w:val="bottom"/>
            <w:shd w:val="clear" w:color="auto" w:fill="CCEEFF"/>
          </w:tcPr>
          <w:p>
            <w:pPr>
              <w:spacing w:after="0"/>
              <w:rPr>
                <w:sz w:val="19"/>
                <w:szCs w:val="19"/>
                <w:color w:val="auto"/>
              </w:rPr>
            </w:pPr>
          </w:p>
        </w:tc>
      </w:tr>
      <w:tr>
        <w:trPr>
          <w:trHeight w:val="225"/>
        </w:trPr>
        <w:tc>
          <w:tcPr>
            <w:tcW w:w="70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current portion</w:t>
            </w:r>
          </w:p>
        </w:tc>
        <w:tc>
          <w:tcPr>
            <w:tcW w:w="18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(71.2)</w:t>
            </w:r>
          </w:p>
        </w:tc>
      </w:tr>
      <w:tr>
        <w:trPr>
          <w:trHeight w:val="239"/>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lease obligations</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spacing w:after="0"/>
              <w:rPr>
                <w:sz w:val="20"/>
                <w:szCs w:val="20"/>
                <w:color w:val="auto"/>
              </w:rPr>
            </w:pPr>
          </w:p>
        </w:tc>
        <w:tc>
          <w:tcPr>
            <w:tcW w:w="46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61.5</w:t>
            </w:r>
          </w:p>
        </w:tc>
        <w:tc>
          <w:tcPr>
            <w:tcW w:w="560" w:type="dxa"/>
            <w:vAlign w:val="bottom"/>
            <w:gridSpan w:val="2"/>
            <w:shd w:val="clear" w:color="auto" w:fill="CCEEFF"/>
          </w:tcPr>
          <w:p>
            <w:pPr>
              <w:jc w:val="right"/>
              <w:ind w:right="289"/>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w:t>
            </w:r>
          </w:p>
        </w:tc>
        <w:tc>
          <w:tcPr>
            <w:tcW w:w="20" w:type="dxa"/>
            <w:vAlign w:val="bottom"/>
            <w:shd w:val="clear" w:color="auto" w:fill="CCEEFF"/>
          </w:tcPr>
          <w:p>
            <w:pPr>
              <w:spacing w:after="0"/>
              <w:rPr>
                <w:sz w:val="20"/>
                <w:szCs w:val="20"/>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ind w:right="200" w:firstLine="318"/>
        <w:spacing w:after="0" w:line="264" w:lineRule="auto"/>
        <w:rPr>
          <w:sz w:val="20"/>
          <w:szCs w:val="20"/>
          <w:color w:val="auto"/>
        </w:rPr>
      </w:pPr>
      <w:r>
        <w:rPr>
          <w:rFonts w:ascii="Arial" w:cs="Arial" w:eastAsia="Arial" w:hAnsi="Arial"/>
          <w:sz w:val="18"/>
          <w:szCs w:val="18"/>
          <w:color w:val="auto"/>
        </w:rPr>
        <w:t>The weighted average remaining lease term as of September 30, 2021 was 9.5 years for finance leases and 6.9 years for operating leases. The weighted average discount rate as of September 30, 2021 was 10.1% for finance leases and 5.6% for operating leases.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15" w:name="page16"/>
    <w:bookmarkEnd w:id="15"/>
    <w:p>
      <w:pPr>
        <w:jc w:val="center"/>
        <w:ind w:right="100"/>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Lease Disclosures (Continued)</w:t>
      </w:r>
    </w:p>
    <w:p>
      <w:pPr>
        <w:spacing w:after="0" w:line="200" w:lineRule="exact"/>
        <w:rPr>
          <w:sz w:val="20"/>
          <w:szCs w:val="20"/>
          <w:color w:val="auto"/>
        </w:rPr>
      </w:pPr>
    </w:p>
    <w:p>
      <w:pPr>
        <w:spacing w:after="0" w:line="22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During the three and nine months ended September 30, 2021 and 2020, the Company made the following cash payments for leases:</w:t>
      </w:r>
    </w:p>
    <w:p>
      <w:pPr>
        <w:spacing w:after="0" w:line="43" w:lineRule="exact"/>
        <w:rPr>
          <w:sz w:val="20"/>
          <w:szCs w:val="20"/>
          <w:color w:val="auto"/>
        </w:rPr>
      </w:pPr>
    </w:p>
    <w:tbl>
      <w:tblPr>
        <w:tblLayout w:type="fixed"/>
        <w:tblInd w:w="320" w:type="dxa"/>
        <w:tblCellMar>
          <w:top w:w="0" w:type="dxa"/>
          <w:left w:w="0" w:type="dxa"/>
          <w:bottom w:w="0" w:type="dxa"/>
          <w:right w:w="0" w:type="dxa"/>
        </w:tblCellMar>
      </w:tblPr>
      <w:tr>
        <w:trPr>
          <w:trHeight w:val="210"/>
        </w:trPr>
        <w:tc>
          <w:tcPr>
            <w:tcW w:w="4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780" w:type="dxa"/>
            <w:vAlign w:val="bottom"/>
            <w:gridSpan w:val="4"/>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480" w:type="dxa"/>
            <w:vAlign w:val="bottom"/>
          </w:tcPr>
          <w:p>
            <w:pPr>
              <w:spacing w:after="0"/>
              <w:rPr>
                <w:sz w:val="18"/>
                <w:szCs w:val="18"/>
                <w:color w:val="auto"/>
              </w:rPr>
            </w:pPr>
          </w:p>
        </w:tc>
        <w:tc>
          <w:tcPr>
            <w:tcW w:w="2600" w:type="dxa"/>
            <w:vAlign w:val="bottom"/>
            <w:gridSpan w:val="3"/>
          </w:tcPr>
          <w:p>
            <w:pPr>
              <w:jc w:val="right"/>
              <w:ind w:right="133"/>
              <w:spacing w:after="0"/>
              <w:rPr>
                <w:sz w:val="20"/>
                <w:szCs w:val="20"/>
                <w:color w:val="auto"/>
              </w:rPr>
            </w:pPr>
            <w:r>
              <w:rPr>
                <w:rFonts w:ascii="Arial" w:cs="Arial" w:eastAsia="Arial" w:hAnsi="Arial"/>
                <w:sz w:val="16"/>
                <w:szCs w:val="16"/>
                <w:b w:val="1"/>
                <w:bCs w:val="1"/>
                <w:color w:val="auto"/>
                <w:w w:val="89"/>
              </w:rPr>
              <w:t>Nine months ended September 30,</w:t>
            </w:r>
          </w:p>
        </w:tc>
      </w:tr>
      <w:tr>
        <w:trPr>
          <w:trHeight w:val="206"/>
        </w:trPr>
        <w:tc>
          <w:tcPr>
            <w:tcW w:w="4300" w:type="dxa"/>
            <w:vAlign w:val="bottom"/>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6"/>
                <w:szCs w:val="16"/>
                <w:b w:val="1"/>
                <w:bCs w:val="1"/>
                <w:color w:val="auto"/>
              </w:rPr>
              <w:t>2021</w:t>
            </w:r>
          </w:p>
        </w:tc>
        <w:tc>
          <w:tcPr>
            <w:tcW w:w="5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2020</w:t>
            </w:r>
          </w:p>
        </w:tc>
      </w:tr>
      <w:tr>
        <w:trPr>
          <w:trHeight w:val="180"/>
        </w:trPr>
        <w:tc>
          <w:tcPr>
            <w:tcW w:w="4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26"/>
        </w:trPr>
        <w:tc>
          <w:tcPr>
            <w:tcW w:w="4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Principal payments on finance lease obligations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2.5</w:t>
            </w:r>
          </w:p>
        </w:tc>
        <w:tc>
          <w:tcPr>
            <w:tcW w:w="5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7.8</w:t>
            </w:r>
          </w:p>
        </w:tc>
        <w:tc>
          <w:tcPr>
            <w:tcW w:w="5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25"/>
        </w:trPr>
        <w:tc>
          <w:tcPr>
            <w:tcW w:w="4300" w:type="dxa"/>
            <w:vAlign w:val="bottom"/>
          </w:tcPr>
          <w:p>
            <w:pPr>
              <w:ind w:left="340"/>
              <w:spacing w:after="0"/>
              <w:rPr>
                <w:sz w:val="20"/>
                <w:szCs w:val="20"/>
                <w:color w:val="auto"/>
              </w:rPr>
            </w:pPr>
            <w:r>
              <w:rPr>
                <w:rFonts w:ascii="Arial" w:cs="Arial" w:eastAsia="Arial" w:hAnsi="Arial"/>
                <w:sz w:val="18"/>
                <w:szCs w:val="18"/>
                <w:color w:val="auto"/>
              </w:rPr>
              <w:t>Interest payments on finance lease obligations</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55"/>
              <w:spacing w:after="0"/>
              <w:rPr>
                <w:sz w:val="20"/>
                <w:szCs w:val="20"/>
                <w:color w:val="auto"/>
              </w:rPr>
            </w:pPr>
            <w:r>
              <w:rPr>
                <w:rFonts w:ascii="Arial" w:cs="Arial" w:eastAsia="Arial" w:hAnsi="Arial"/>
                <w:sz w:val="18"/>
                <w:szCs w:val="18"/>
                <w:color w:val="auto"/>
              </w:rPr>
              <w:t>1.3</w:t>
            </w:r>
          </w:p>
        </w:tc>
        <w:tc>
          <w:tcPr>
            <w:tcW w:w="5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75"/>
              <w:spacing w:after="0"/>
              <w:rPr>
                <w:sz w:val="20"/>
                <w:szCs w:val="20"/>
                <w:color w:val="auto"/>
              </w:rPr>
            </w:pPr>
            <w:r>
              <w:rPr>
                <w:rFonts w:ascii="Arial" w:cs="Arial" w:eastAsia="Arial" w:hAnsi="Arial"/>
                <w:sz w:val="18"/>
                <w:szCs w:val="18"/>
                <w:color w:val="auto"/>
              </w:rPr>
              <w:t>4.2</w:t>
            </w: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26"/>
        </w:trPr>
        <w:tc>
          <w:tcPr>
            <w:tcW w:w="4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on operating leases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22.9</w:t>
            </w:r>
          </w:p>
        </w:tc>
        <w:tc>
          <w:tcPr>
            <w:tcW w:w="5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68.7</w:t>
            </w:r>
          </w:p>
        </w:tc>
        <w:tc>
          <w:tcPr>
            <w:tcW w:w="5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r>
      <w:tr>
        <w:trPr>
          <w:trHeight w:val="224"/>
        </w:trPr>
        <w:tc>
          <w:tcPr>
            <w:tcW w:w="4300" w:type="dxa"/>
            <w:vAlign w:val="bottom"/>
          </w:tcPr>
          <w:p>
            <w:pPr>
              <w:ind w:left="340"/>
              <w:spacing w:after="0"/>
              <w:rPr>
                <w:sz w:val="20"/>
                <w:szCs w:val="20"/>
                <w:color w:val="auto"/>
              </w:rPr>
            </w:pPr>
            <w:r>
              <w:rPr>
                <w:rFonts w:ascii="Arial" w:cs="Arial" w:eastAsia="Arial" w:hAnsi="Arial"/>
                <w:sz w:val="18"/>
                <w:szCs w:val="18"/>
                <w:color w:val="auto"/>
              </w:rPr>
              <w:t>Variable lease payments</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55"/>
              <w:spacing w:after="0"/>
              <w:rPr>
                <w:sz w:val="20"/>
                <w:szCs w:val="20"/>
                <w:color w:val="auto"/>
              </w:rPr>
            </w:pPr>
            <w:r>
              <w:rPr>
                <w:rFonts w:ascii="Arial" w:cs="Arial" w:eastAsia="Arial" w:hAnsi="Arial"/>
                <w:sz w:val="18"/>
                <w:szCs w:val="18"/>
                <w:color w:val="auto"/>
              </w:rPr>
              <w:t>4.4</w:t>
            </w:r>
          </w:p>
        </w:tc>
        <w:tc>
          <w:tcPr>
            <w:tcW w:w="5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75"/>
              <w:spacing w:after="0"/>
              <w:rPr>
                <w:sz w:val="20"/>
                <w:szCs w:val="20"/>
                <w:color w:val="auto"/>
              </w:rPr>
            </w:pPr>
            <w:r>
              <w:rPr>
                <w:rFonts w:ascii="Arial" w:cs="Arial" w:eastAsia="Arial" w:hAnsi="Arial"/>
                <w:sz w:val="18"/>
                <w:szCs w:val="18"/>
                <w:color w:val="auto"/>
              </w:rPr>
              <w:t>5.0</w:t>
            </w: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0.7</w:t>
            </w:r>
          </w:p>
        </w:tc>
      </w:tr>
    </w:tbl>
    <w:p>
      <w:pPr>
        <w:spacing w:after="0" w:line="32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Company's income from operating leases for the three and nine months ended September 30, 2021 and 2020 was as follows:</w:t>
      </w:r>
    </w:p>
    <w:p>
      <w:pPr>
        <w:spacing w:after="0" w:line="43" w:lineRule="exact"/>
        <w:rPr>
          <w:sz w:val="20"/>
          <w:szCs w:val="20"/>
          <w:color w:val="auto"/>
        </w:rPr>
      </w:pPr>
    </w:p>
    <w:tbl>
      <w:tblPr>
        <w:tblLayout w:type="fixed"/>
        <w:tblInd w:w="320" w:type="dxa"/>
        <w:tblCellMar>
          <w:top w:w="0" w:type="dxa"/>
          <w:left w:w="0" w:type="dxa"/>
          <w:bottom w:w="0" w:type="dxa"/>
          <w:right w:w="0" w:type="dxa"/>
        </w:tblCellMar>
      </w:tblPr>
      <w:tr>
        <w:trPr>
          <w:trHeight w:val="210"/>
        </w:trPr>
        <w:tc>
          <w:tcPr>
            <w:tcW w:w="14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5"/>
          </w:tcPr>
          <w:p>
            <w:pPr>
              <w:ind w:left="60"/>
              <w:spacing w:after="0"/>
              <w:rPr>
                <w:sz w:val="20"/>
                <w:szCs w:val="20"/>
                <w:color w:val="auto"/>
              </w:rPr>
            </w:pPr>
            <w:r>
              <w:rPr>
                <w:rFonts w:ascii="Arial" w:cs="Arial" w:eastAsia="Arial" w:hAnsi="Arial"/>
                <w:sz w:val="16"/>
                <w:szCs w:val="16"/>
                <w:b w:val="1"/>
                <w:bCs w:val="1"/>
                <w:color w:val="auto"/>
              </w:rPr>
              <w:t>Three months ended September 30,</w:t>
            </w:r>
          </w:p>
        </w:tc>
        <w:tc>
          <w:tcPr>
            <w:tcW w:w="500" w:type="dxa"/>
            <w:vAlign w:val="bottom"/>
          </w:tcPr>
          <w:p>
            <w:pPr>
              <w:spacing w:after="0"/>
              <w:rPr>
                <w:sz w:val="18"/>
                <w:szCs w:val="18"/>
                <w:color w:val="auto"/>
              </w:rPr>
            </w:pPr>
          </w:p>
        </w:tc>
        <w:tc>
          <w:tcPr>
            <w:tcW w:w="2640" w:type="dxa"/>
            <w:vAlign w:val="bottom"/>
            <w:gridSpan w:val="4"/>
          </w:tcPr>
          <w:p>
            <w:pPr>
              <w:jc w:val="right"/>
              <w:ind w:right="172"/>
              <w:spacing w:after="0"/>
              <w:rPr>
                <w:sz w:val="20"/>
                <w:szCs w:val="20"/>
                <w:color w:val="auto"/>
              </w:rPr>
            </w:pPr>
            <w:r>
              <w:rPr>
                <w:rFonts w:ascii="Arial" w:cs="Arial" w:eastAsia="Arial" w:hAnsi="Arial"/>
                <w:sz w:val="16"/>
                <w:szCs w:val="16"/>
                <w:b w:val="1"/>
                <w:bCs w:val="1"/>
                <w:color w:val="auto"/>
                <w:w w:val="89"/>
              </w:rPr>
              <w:t>Nine months ended September 30,</w:t>
            </w:r>
          </w:p>
        </w:tc>
        <w:tc>
          <w:tcPr>
            <w:tcW w:w="20" w:type="dxa"/>
            <w:vAlign w:val="bottom"/>
          </w:tcPr>
          <w:p>
            <w:pPr>
              <w:spacing w:after="0"/>
              <w:rPr>
                <w:sz w:val="18"/>
                <w:szCs w:val="18"/>
                <w:color w:val="auto"/>
              </w:rPr>
            </w:pPr>
          </w:p>
        </w:tc>
      </w:tr>
      <w:tr>
        <w:trPr>
          <w:trHeight w:val="206"/>
        </w:trPr>
        <w:tc>
          <w:tcPr>
            <w:tcW w:w="14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2021</w:t>
            </w:r>
          </w:p>
        </w:tc>
        <w:tc>
          <w:tcPr>
            <w:tcW w:w="50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7"/>
                <w:szCs w:val="17"/>
                <w:color w:val="auto"/>
              </w:rPr>
            </w:pPr>
          </w:p>
        </w:tc>
      </w:tr>
      <w:tr>
        <w:trPr>
          <w:trHeight w:val="180"/>
        </w:trPr>
        <w:tc>
          <w:tcPr>
            <w:tcW w:w="14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6"/>
        </w:trPr>
        <w:tc>
          <w:tcPr>
            <w:tcW w:w="140" w:type="dxa"/>
            <w:vAlign w:val="bottom"/>
          </w:tcPr>
          <w:p>
            <w:pPr>
              <w:spacing w:after="0"/>
              <w:rPr>
                <w:sz w:val="19"/>
                <w:szCs w:val="19"/>
                <w:color w:val="auto"/>
              </w:rPr>
            </w:pPr>
          </w:p>
        </w:tc>
        <w:tc>
          <w:tcPr>
            <w:tcW w:w="4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Minimum lease payments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71.7</w:t>
            </w:r>
          </w:p>
        </w:tc>
        <w:tc>
          <w:tcPr>
            <w:tcW w:w="30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20" w:type="dxa"/>
            <w:vAlign w:val="bottom"/>
          </w:tcPr>
          <w:p>
            <w:pPr>
              <w:spacing w:after="0"/>
              <w:rPr>
                <w:sz w:val="19"/>
                <w:szCs w:val="19"/>
                <w:color w:val="auto"/>
              </w:rPr>
            </w:pPr>
          </w:p>
        </w:tc>
      </w:tr>
      <w:tr>
        <w:trPr>
          <w:trHeight w:val="225"/>
        </w:trPr>
        <w:tc>
          <w:tcPr>
            <w:tcW w:w="140" w:type="dxa"/>
            <w:vAlign w:val="bottom"/>
          </w:tcPr>
          <w:p>
            <w:pPr>
              <w:spacing w:after="0"/>
              <w:rPr>
                <w:sz w:val="19"/>
                <w:szCs w:val="19"/>
                <w:color w:val="auto"/>
              </w:rPr>
            </w:pPr>
          </w:p>
        </w:tc>
        <w:tc>
          <w:tcPr>
            <w:tcW w:w="42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Variable lease income</w:t>
            </w: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11.1</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9"/>
                <w:szCs w:val="19"/>
                <w:color w:val="auto"/>
              </w:rPr>
            </w:pPr>
          </w:p>
        </w:tc>
      </w:tr>
      <w:tr>
        <w:trPr>
          <w:trHeight w:val="244"/>
        </w:trPr>
        <w:tc>
          <w:tcPr>
            <w:tcW w:w="140" w:type="dxa"/>
            <w:vAlign w:val="bottom"/>
          </w:tcPr>
          <w:p>
            <w:pPr>
              <w:spacing w:after="0"/>
              <w:rPr>
                <w:sz w:val="20"/>
                <w:szCs w:val="20"/>
                <w:color w:val="auto"/>
              </w:rPr>
            </w:pPr>
          </w:p>
        </w:tc>
        <w:tc>
          <w:tcPr>
            <w:tcW w:w="42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operating lease income</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82.8</w:t>
            </w:r>
          </w:p>
        </w:tc>
        <w:tc>
          <w:tcPr>
            <w:tcW w:w="3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20" w:type="dxa"/>
            <w:vAlign w:val="bottom"/>
          </w:tcPr>
          <w:p>
            <w:pPr>
              <w:spacing w:after="0"/>
              <w:rPr>
                <w:sz w:val="20"/>
                <w:szCs w:val="20"/>
                <w:color w:val="auto"/>
              </w:rPr>
            </w:pPr>
          </w:p>
        </w:tc>
      </w:tr>
      <w:tr>
        <w:trPr>
          <w:trHeight w:val="20"/>
        </w:trPr>
        <w:tc>
          <w:tcPr>
            <w:tcW w:w="140" w:type="dxa"/>
            <w:vAlign w:val="bottom"/>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8"/>
        </w:trPr>
        <w:tc>
          <w:tcPr>
            <w:tcW w:w="9620" w:type="dxa"/>
            <w:vAlign w:val="bottom"/>
            <w:gridSpan w:val="11"/>
          </w:tcPr>
          <w:p>
            <w:pPr>
              <w:jc w:val="right"/>
              <w:ind w:right="780"/>
              <w:spacing w:after="0"/>
              <w:rPr>
                <w:sz w:val="20"/>
                <w:szCs w:val="20"/>
                <w:color w:val="auto"/>
              </w:rPr>
            </w:pPr>
            <w:r>
              <w:rPr>
                <w:rFonts w:ascii="Arial" w:cs="Arial" w:eastAsia="Arial" w:hAnsi="Arial"/>
                <w:sz w:val="18"/>
                <w:szCs w:val="18"/>
                <w:color w:val="auto"/>
                <w:w w:val="87"/>
              </w:rPr>
              <w:t>Minimum payments to be received as lessor under noncancelable operating leases as of September 30, 2021 were as follows:</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8"/>
        </w:trPr>
        <w:tc>
          <w:tcPr>
            <w:tcW w:w="14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8"/>
                <w:szCs w:val="18"/>
                <w:color w:val="auto"/>
              </w:rPr>
            </w:pPr>
          </w:p>
        </w:tc>
      </w:tr>
      <w:tr>
        <w:trPr>
          <w:trHeight w:val="231"/>
        </w:trPr>
        <w:tc>
          <w:tcPr>
            <w:tcW w:w="140" w:type="dxa"/>
            <w:vAlign w:val="bottom"/>
            <w:tcBorders>
              <w:right w:val="single" w:sz="8" w:color="CCEEFF"/>
            </w:tcBorders>
          </w:tcPr>
          <w:p>
            <w:pPr>
              <w:spacing w:after="0"/>
              <w:rPr>
                <w:sz w:val="20"/>
                <w:szCs w:val="20"/>
                <w:color w:val="auto"/>
              </w:rPr>
            </w:pPr>
          </w:p>
        </w:tc>
        <w:tc>
          <w:tcPr>
            <w:tcW w:w="4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2021 (remaining three months)</w:t>
            </w:r>
          </w:p>
        </w:tc>
        <w:tc>
          <w:tcPr>
            <w:tcW w:w="4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0" w:type="dxa"/>
            <w:vAlign w:val="bottom"/>
            <w:shd w:val="clear" w:color="auto" w:fill="CCEEFF"/>
          </w:tcPr>
          <w:p>
            <w:pPr>
              <w:spacing w:after="0"/>
              <w:rPr>
                <w:sz w:val="20"/>
                <w:szCs w:val="20"/>
                <w:color w:val="auto"/>
              </w:rPr>
            </w:pPr>
          </w:p>
        </w:tc>
      </w:tr>
      <w:tr>
        <w:trPr>
          <w:trHeight w:val="225"/>
        </w:trPr>
        <w:tc>
          <w:tcPr>
            <w:tcW w:w="4380" w:type="dxa"/>
            <w:vAlign w:val="bottom"/>
            <w:gridSpan w:val="2"/>
          </w:tcPr>
          <w:p>
            <w:pPr>
              <w:ind w:left="460"/>
              <w:spacing w:after="0"/>
              <w:rPr>
                <w:sz w:val="20"/>
                <w:szCs w:val="20"/>
                <w:color w:val="auto"/>
              </w:rPr>
            </w:pPr>
            <w:r>
              <w:rPr>
                <w:rFonts w:ascii="Arial" w:cs="Arial" w:eastAsia="Arial" w:hAnsi="Arial"/>
                <w:sz w:val="18"/>
                <w:szCs w:val="18"/>
                <w:color w:val="auto"/>
              </w:rPr>
              <w:t>2022</w:t>
            </w: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101.7</w:t>
            </w:r>
          </w:p>
        </w:tc>
        <w:tc>
          <w:tcPr>
            <w:tcW w:w="20" w:type="dxa"/>
            <w:vAlign w:val="bottom"/>
          </w:tcPr>
          <w:p>
            <w:pPr>
              <w:spacing w:after="0"/>
              <w:rPr>
                <w:sz w:val="19"/>
                <w:szCs w:val="19"/>
                <w:color w:val="auto"/>
              </w:rPr>
            </w:pPr>
          </w:p>
        </w:tc>
      </w:tr>
      <w:tr>
        <w:trPr>
          <w:trHeight w:val="226"/>
        </w:trPr>
        <w:tc>
          <w:tcPr>
            <w:tcW w:w="140" w:type="dxa"/>
            <w:vAlign w:val="bottom"/>
            <w:tcBorders>
              <w:right w:val="single" w:sz="8" w:color="CCEEFF"/>
            </w:tcBorders>
          </w:tcPr>
          <w:p>
            <w:pPr>
              <w:spacing w:after="0"/>
              <w:rPr>
                <w:sz w:val="19"/>
                <w:szCs w:val="19"/>
                <w:color w:val="auto"/>
              </w:rPr>
            </w:pPr>
          </w:p>
        </w:tc>
        <w:tc>
          <w:tcPr>
            <w:tcW w:w="4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2023</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20" w:type="dxa"/>
            <w:vAlign w:val="bottom"/>
            <w:shd w:val="clear" w:color="auto" w:fill="CCEEFF"/>
          </w:tcPr>
          <w:p>
            <w:pPr>
              <w:spacing w:after="0"/>
              <w:rPr>
                <w:sz w:val="19"/>
                <w:szCs w:val="19"/>
                <w:color w:val="auto"/>
              </w:rPr>
            </w:pPr>
          </w:p>
        </w:tc>
      </w:tr>
      <w:tr>
        <w:trPr>
          <w:trHeight w:val="225"/>
        </w:trPr>
        <w:tc>
          <w:tcPr>
            <w:tcW w:w="4380" w:type="dxa"/>
            <w:vAlign w:val="bottom"/>
            <w:gridSpan w:val="2"/>
          </w:tcPr>
          <w:p>
            <w:pPr>
              <w:ind w:left="460"/>
              <w:spacing w:after="0"/>
              <w:rPr>
                <w:sz w:val="20"/>
                <w:szCs w:val="20"/>
                <w:color w:val="auto"/>
              </w:rPr>
            </w:pPr>
            <w:r>
              <w:rPr>
                <w:rFonts w:ascii="Arial" w:cs="Arial" w:eastAsia="Arial" w:hAnsi="Arial"/>
                <w:sz w:val="18"/>
                <w:szCs w:val="18"/>
                <w:color w:val="auto"/>
              </w:rPr>
              <w:t>2024</w:t>
            </w: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89.1</w:t>
            </w:r>
          </w:p>
        </w:tc>
        <w:tc>
          <w:tcPr>
            <w:tcW w:w="20" w:type="dxa"/>
            <w:vAlign w:val="bottom"/>
          </w:tcPr>
          <w:p>
            <w:pPr>
              <w:spacing w:after="0"/>
              <w:rPr>
                <w:sz w:val="19"/>
                <w:szCs w:val="19"/>
                <w:color w:val="auto"/>
              </w:rPr>
            </w:pPr>
          </w:p>
        </w:tc>
      </w:tr>
      <w:tr>
        <w:trPr>
          <w:trHeight w:val="226"/>
        </w:trPr>
        <w:tc>
          <w:tcPr>
            <w:tcW w:w="140" w:type="dxa"/>
            <w:vAlign w:val="bottom"/>
            <w:tcBorders>
              <w:right w:val="single" w:sz="8" w:color="CCEEFF"/>
            </w:tcBorders>
          </w:tcPr>
          <w:p>
            <w:pPr>
              <w:spacing w:after="0"/>
              <w:rPr>
                <w:sz w:val="19"/>
                <w:szCs w:val="19"/>
                <w:color w:val="auto"/>
              </w:rPr>
            </w:pPr>
          </w:p>
        </w:tc>
        <w:tc>
          <w:tcPr>
            <w:tcW w:w="4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2025</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20" w:type="dxa"/>
            <w:vAlign w:val="bottom"/>
            <w:shd w:val="clear" w:color="auto" w:fill="CCEEFF"/>
          </w:tcPr>
          <w:p>
            <w:pPr>
              <w:spacing w:after="0"/>
              <w:rPr>
                <w:sz w:val="19"/>
                <w:szCs w:val="19"/>
                <w:color w:val="auto"/>
              </w:rPr>
            </w:pPr>
          </w:p>
        </w:tc>
      </w:tr>
      <w:tr>
        <w:trPr>
          <w:trHeight w:val="225"/>
        </w:trPr>
        <w:tc>
          <w:tcPr>
            <w:tcW w:w="140" w:type="dxa"/>
            <w:vAlign w:val="bottom"/>
          </w:tcPr>
          <w:p>
            <w:pPr>
              <w:spacing w:after="0"/>
              <w:rPr>
                <w:sz w:val="19"/>
                <w:szCs w:val="19"/>
                <w:color w:val="auto"/>
              </w:rPr>
            </w:pPr>
          </w:p>
        </w:tc>
        <w:tc>
          <w:tcPr>
            <w:tcW w:w="42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Thereafter</w:t>
            </w:r>
          </w:p>
        </w:tc>
        <w:tc>
          <w:tcPr>
            <w:tcW w:w="4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193.6</w:t>
            </w:r>
          </w:p>
        </w:tc>
        <w:tc>
          <w:tcPr>
            <w:tcW w:w="20" w:type="dxa"/>
            <w:vAlign w:val="bottom"/>
            <w:tcBorders>
              <w:bottom w:val="single" w:sz="8" w:color="auto"/>
            </w:tcBorders>
          </w:tcPr>
          <w:p>
            <w:pPr>
              <w:spacing w:after="0"/>
              <w:rPr>
                <w:sz w:val="19"/>
                <w:szCs w:val="19"/>
                <w:color w:val="auto"/>
              </w:rPr>
            </w:pPr>
          </w:p>
        </w:tc>
      </w:tr>
      <w:tr>
        <w:trPr>
          <w:trHeight w:val="239"/>
        </w:trPr>
        <w:tc>
          <w:tcPr>
            <w:tcW w:w="140" w:type="dxa"/>
            <w:vAlign w:val="bottom"/>
            <w:tcBorders>
              <w:right w:val="single" w:sz="8" w:color="CCEEFF"/>
            </w:tcBorders>
          </w:tcPr>
          <w:p>
            <w:pPr>
              <w:spacing w:after="0"/>
              <w:rPr>
                <w:sz w:val="20"/>
                <w:szCs w:val="20"/>
                <w:color w:val="auto"/>
              </w:rPr>
            </w:pPr>
          </w:p>
        </w:tc>
        <w:tc>
          <w:tcPr>
            <w:tcW w:w="4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minimum rents receivable</w:t>
            </w:r>
          </w:p>
        </w:tc>
        <w:tc>
          <w:tcPr>
            <w:tcW w:w="4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586.6</w:t>
            </w:r>
          </w:p>
        </w:tc>
        <w:tc>
          <w:tcPr>
            <w:tcW w:w="20" w:type="dxa"/>
            <w:vAlign w:val="bottom"/>
            <w:shd w:val="clear" w:color="auto" w:fill="CCEEFF"/>
          </w:tcPr>
          <w:p>
            <w:pPr>
              <w:spacing w:after="0"/>
              <w:rPr>
                <w:sz w:val="20"/>
                <w:szCs w:val="20"/>
                <w:color w:val="auto"/>
              </w:rPr>
            </w:pPr>
          </w:p>
        </w:tc>
      </w:tr>
      <w:tr>
        <w:trPr>
          <w:trHeight w:val="20"/>
        </w:trPr>
        <w:tc>
          <w:tcPr>
            <w:tcW w:w="140" w:type="dxa"/>
            <w:vAlign w:val="bottom"/>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Company's income from direct financing leases for the three and nine months ended September 30, 2021 and 2020 was as follows:</w:t>
      </w:r>
    </w:p>
    <w:p>
      <w:pPr>
        <w:spacing w:after="0" w:line="43" w:lineRule="exact"/>
        <w:rPr>
          <w:sz w:val="20"/>
          <w:szCs w:val="20"/>
          <w:color w:val="auto"/>
        </w:rPr>
      </w:pPr>
    </w:p>
    <w:tbl>
      <w:tblPr>
        <w:tblLayout w:type="fixed"/>
        <w:tblInd w:w="320" w:type="dxa"/>
        <w:tblCellMar>
          <w:top w:w="0" w:type="dxa"/>
          <w:left w:w="0" w:type="dxa"/>
          <w:bottom w:w="0" w:type="dxa"/>
          <w:right w:w="0" w:type="dxa"/>
        </w:tblCellMar>
      </w:tblPr>
      <w:tr>
        <w:trPr>
          <w:trHeight w:val="210"/>
        </w:trPr>
        <w:tc>
          <w:tcPr>
            <w:tcW w:w="4920" w:type="dxa"/>
            <w:vAlign w:val="bottom"/>
          </w:tcPr>
          <w:p>
            <w:pPr>
              <w:spacing w:after="0"/>
              <w:rPr>
                <w:sz w:val="18"/>
                <w:szCs w:val="18"/>
                <w:color w:val="auto"/>
              </w:rPr>
            </w:pPr>
          </w:p>
        </w:tc>
        <w:tc>
          <w:tcPr>
            <w:tcW w:w="3260" w:type="dxa"/>
            <w:vAlign w:val="bottom"/>
            <w:gridSpan w:val="6"/>
          </w:tcPr>
          <w:p>
            <w:pPr>
              <w:ind w:left="540"/>
              <w:spacing w:after="0"/>
              <w:rPr>
                <w:sz w:val="20"/>
                <w:szCs w:val="20"/>
                <w:color w:val="auto"/>
              </w:rPr>
            </w:pPr>
            <w:r>
              <w:rPr>
                <w:rFonts w:ascii="Arial" w:cs="Arial" w:eastAsia="Arial" w:hAnsi="Arial"/>
                <w:sz w:val="16"/>
                <w:szCs w:val="16"/>
                <w:b w:val="1"/>
                <w:bCs w:val="1"/>
                <w:color w:val="auto"/>
                <w:w w:val="99"/>
              </w:rPr>
              <w:t>Three months ended September 30,</w:t>
            </w:r>
          </w:p>
        </w:tc>
        <w:tc>
          <w:tcPr>
            <w:tcW w:w="480" w:type="dxa"/>
            <w:vAlign w:val="bottom"/>
          </w:tcPr>
          <w:p>
            <w:pPr>
              <w:spacing w:after="0"/>
              <w:rPr>
                <w:sz w:val="18"/>
                <w:szCs w:val="18"/>
                <w:color w:val="auto"/>
              </w:rPr>
            </w:pPr>
          </w:p>
        </w:tc>
        <w:tc>
          <w:tcPr>
            <w:tcW w:w="2360" w:type="dxa"/>
            <w:vAlign w:val="bottom"/>
            <w:gridSpan w:val="3"/>
          </w:tcPr>
          <w:p>
            <w:pPr>
              <w:jc w:val="right"/>
              <w:spacing w:after="0"/>
              <w:rPr>
                <w:sz w:val="20"/>
                <w:szCs w:val="20"/>
                <w:color w:val="auto"/>
              </w:rPr>
            </w:pPr>
            <w:r>
              <w:rPr>
                <w:rFonts w:ascii="Arial" w:cs="Arial" w:eastAsia="Arial" w:hAnsi="Arial"/>
                <w:sz w:val="16"/>
                <w:szCs w:val="16"/>
                <w:b w:val="1"/>
                <w:bCs w:val="1"/>
                <w:color w:val="auto"/>
                <w:w w:val="89"/>
              </w:rPr>
              <w:t>Nine months ended September 30,</w:t>
            </w:r>
          </w:p>
        </w:tc>
      </w:tr>
      <w:tr>
        <w:trPr>
          <w:trHeight w:val="206"/>
        </w:trPr>
        <w:tc>
          <w:tcPr>
            <w:tcW w:w="492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6"/>
                <w:szCs w:val="16"/>
                <w:b w:val="1"/>
                <w:bCs w:val="1"/>
                <w:color w:val="auto"/>
              </w:rPr>
              <w:t>2020</w:t>
            </w:r>
          </w:p>
        </w:tc>
      </w:tr>
      <w:tr>
        <w:trPr>
          <w:trHeight w:val="180"/>
        </w:trPr>
        <w:tc>
          <w:tcPr>
            <w:tcW w:w="4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26"/>
        </w:trPr>
        <w:tc>
          <w:tcPr>
            <w:tcW w:w="4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11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1.6</w:t>
            </w:r>
          </w:p>
        </w:tc>
        <w:tc>
          <w:tcPr>
            <w:tcW w:w="5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5"/>
        </w:trPr>
        <w:tc>
          <w:tcPr>
            <w:tcW w:w="49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Variable lease income</w:t>
            </w:r>
          </w:p>
        </w:tc>
        <w:tc>
          <w:tcPr>
            <w:tcW w:w="1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rPr>
              <w:t>0.4</w:t>
            </w:r>
          </w:p>
        </w:tc>
        <w:tc>
          <w:tcPr>
            <w:tcW w:w="5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r>
      <w:tr>
        <w:trPr>
          <w:trHeight w:val="244"/>
        </w:trPr>
        <w:tc>
          <w:tcPr>
            <w:tcW w:w="49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financing lease income</w:t>
            </w:r>
          </w:p>
        </w:tc>
        <w:tc>
          <w:tcPr>
            <w:tcW w:w="116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8"/>
                <w:szCs w:val="18"/>
                <w:color w:val="auto"/>
              </w:rPr>
              <w:t>2.0</w:t>
            </w:r>
          </w:p>
        </w:tc>
        <w:tc>
          <w:tcPr>
            <w:tcW w:w="5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360" w:right="2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Lease Disclosures (Continued)</w:t>
      </w:r>
    </w:p>
    <w:p>
      <w:pPr>
        <w:spacing w:after="0" w:line="200" w:lineRule="exact"/>
        <w:rPr>
          <w:sz w:val="20"/>
          <w:szCs w:val="20"/>
          <w:color w:val="auto"/>
        </w:rPr>
      </w:pPr>
    </w:p>
    <w:p>
      <w:pPr>
        <w:spacing w:after="0" w:line="22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Minimum payments to be received as lessor under noncancelable direct financing leases as of September 30, 2021 were as follows:</w:t>
      </w:r>
    </w:p>
    <w:p>
      <w:pPr>
        <w:spacing w:after="0" w:line="35" w:lineRule="exact"/>
        <w:rPr>
          <w:sz w:val="20"/>
          <w:szCs w:val="20"/>
          <w:color w:val="auto"/>
        </w:rPr>
      </w:pPr>
    </w:p>
    <w:tbl>
      <w:tblPr>
        <w:tblLayout w:type="fixed"/>
        <w:tblInd w:w="460" w:type="dxa"/>
        <w:tblCellMar>
          <w:top w:w="0" w:type="dxa"/>
          <w:left w:w="0" w:type="dxa"/>
          <w:bottom w:w="0" w:type="dxa"/>
          <w:right w:w="0" w:type="dxa"/>
        </w:tblCellMar>
      </w:tblPr>
      <w:tr>
        <w:trPr>
          <w:trHeight w:val="189"/>
        </w:trPr>
        <w:tc>
          <w:tcPr>
            <w:tcW w:w="8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60" w:type="dxa"/>
            <w:vAlign w:val="bottom"/>
          </w:tcPr>
          <w:p>
            <w:pPr>
              <w:jc w:val="right"/>
              <w:ind w:right="233"/>
              <w:spacing w:after="0"/>
              <w:rPr>
                <w:sz w:val="20"/>
                <w:szCs w:val="20"/>
                <w:color w:val="auto"/>
              </w:rPr>
            </w:pPr>
            <w:r>
              <w:rPr>
                <w:rFonts w:ascii="Arial" w:cs="Arial" w:eastAsia="Arial" w:hAnsi="Arial"/>
                <w:sz w:val="14"/>
                <w:szCs w:val="14"/>
                <w:b w:val="1"/>
                <w:bCs w:val="1"/>
                <w:color w:val="auto"/>
              </w:rPr>
              <w:t>(In millions)</w:t>
            </w:r>
          </w:p>
        </w:tc>
      </w:tr>
      <w:tr>
        <w:trPr>
          <w:trHeight w:val="231"/>
        </w:trPr>
        <w:tc>
          <w:tcPr>
            <w:tcW w:w="8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2021 (remaining three months)</w:t>
            </w: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5"/>
        </w:trPr>
        <w:tc>
          <w:tcPr>
            <w:tcW w:w="8940" w:type="dxa"/>
            <w:vAlign w:val="bottom"/>
          </w:tcPr>
          <w:p>
            <w:pPr>
              <w:ind w:left="340"/>
              <w:spacing w:after="0"/>
              <w:rPr>
                <w:sz w:val="20"/>
                <w:szCs w:val="20"/>
                <w:color w:val="auto"/>
              </w:rPr>
            </w:pPr>
            <w:r>
              <w:rPr>
                <w:rFonts w:ascii="Arial" w:cs="Arial" w:eastAsia="Arial" w:hAnsi="Arial"/>
                <w:sz w:val="18"/>
                <w:szCs w:val="18"/>
                <w:color w:val="auto"/>
              </w:rPr>
              <w:t>2022</w:t>
            </w: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26"/>
        </w:trPr>
        <w:tc>
          <w:tcPr>
            <w:tcW w:w="8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2023</w:t>
            </w: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25"/>
        </w:trPr>
        <w:tc>
          <w:tcPr>
            <w:tcW w:w="8940" w:type="dxa"/>
            <w:vAlign w:val="bottom"/>
          </w:tcPr>
          <w:p>
            <w:pPr>
              <w:ind w:left="340"/>
              <w:spacing w:after="0"/>
              <w:rPr>
                <w:sz w:val="20"/>
                <w:szCs w:val="20"/>
                <w:color w:val="auto"/>
              </w:rPr>
            </w:pPr>
            <w:r>
              <w:rPr>
                <w:rFonts w:ascii="Arial" w:cs="Arial" w:eastAsia="Arial" w:hAnsi="Arial"/>
                <w:sz w:val="18"/>
                <w:szCs w:val="18"/>
                <w:color w:val="auto"/>
              </w:rPr>
              <w:t>2024</w:t>
            </w: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6"/>
        </w:trPr>
        <w:tc>
          <w:tcPr>
            <w:tcW w:w="8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2025</w:t>
            </w: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5"/>
        </w:trPr>
        <w:tc>
          <w:tcPr>
            <w:tcW w:w="89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Thereafter</w:t>
            </w:r>
          </w:p>
        </w:tc>
        <w:tc>
          <w:tcPr>
            <w:tcW w:w="5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r>
      <w:tr>
        <w:trPr>
          <w:trHeight w:val="219"/>
        </w:trPr>
        <w:tc>
          <w:tcPr>
            <w:tcW w:w="8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minimum rents receivable</w:t>
            </w: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25"/>
        </w:trPr>
        <w:tc>
          <w:tcPr>
            <w:tcW w:w="89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Less: unearned income</w:t>
            </w:r>
          </w:p>
        </w:tc>
        <w:tc>
          <w:tcPr>
            <w:tcW w:w="5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19"/>
        </w:trPr>
        <w:tc>
          <w:tcPr>
            <w:tcW w:w="8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net investment in direct financing leases</w:t>
            </w: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25"/>
        </w:trPr>
        <w:tc>
          <w:tcPr>
            <w:tcW w:w="89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Less: current portion</w:t>
            </w:r>
          </w:p>
        </w:tc>
        <w:tc>
          <w:tcPr>
            <w:tcW w:w="5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r>
      <w:tr>
        <w:trPr>
          <w:trHeight w:val="244"/>
        </w:trPr>
        <w:tc>
          <w:tcPr>
            <w:tcW w:w="8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Long-term investment in direct financing leases</w:t>
            </w:r>
          </w:p>
        </w:tc>
        <w:tc>
          <w:tcPr>
            <w:tcW w:w="5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0"/>
        </w:trPr>
        <w:tc>
          <w:tcPr>
            <w:tcW w:w="89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At September 30, 2021 and December 31, 2020, long-term debt consisted of the following:</w:t>
      </w:r>
    </w:p>
    <w:p>
      <w:pPr>
        <w:spacing w:after="0" w:line="43" w:lineRule="exact"/>
        <w:rPr>
          <w:sz w:val="20"/>
          <w:szCs w:val="20"/>
          <w:color w:val="auto"/>
        </w:rPr>
      </w:pPr>
    </w:p>
    <w:tbl>
      <w:tblPr>
        <w:tblLayout w:type="fixed"/>
        <w:tblInd w:w="440" w:type="dxa"/>
        <w:tblCellMar>
          <w:top w:w="0" w:type="dxa"/>
          <w:left w:w="0" w:type="dxa"/>
          <w:bottom w:w="0" w:type="dxa"/>
          <w:right w:w="0" w:type="dxa"/>
        </w:tblCellMar>
      </w:tblPr>
      <w:tr>
        <w:trPr>
          <w:trHeight w:val="210"/>
        </w:trPr>
        <w:tc>
          <w:tcPr>
            <w:tcW w:w="65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September 30, 2021</w:t>
            </w:r>
          </w:p>
        </w:tc>
        <w:tc>
          <w:tcPr>
            <w:tcW w:w="5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33"/>
              <w:spacing w:after="0"/>
              <w:rPr>
                <w:sz w:val="20"/>
                <w:szCs w:val="20"/>
                <w:color w:val="auto"/>
              </w:rPr>
            </w:pPr>
            <w:r>
              <w:rPr>
                <w:rFonts w:ascii="Arial" w:cs="Arial" w:eastAsia="Arial" w:hAnsi="Arial"/>
                <w:sz w:val="16"/>
                <w:szCs w:val="16"/>
                <w:b w:val="1"/>
                <w:bCs w:val="1"/>
                <w:color w:val="auto"/>
                <w:w w:val="90"/>
              </w:rPr>
              <w:t>December 31, 2020</w:t>
            </w:r>
          </w:p>
        </w:tc>
        <w:tc>
          <w:tcPr>
            <w:tcW w:w="0" w:type="dxa"/>
            <w:vAlign w:val="bottom"/>
          </w:tcPr>
          <w:p>
            <w:pPr>
              <w:spacing w:after="0"/>
              <w:rPr>
                <w:sz w:val="1"/>
                <w:szCs w:val="1"/>
                <w:color w:val="auto"/>
              </w:rPr>
            </w:pPr>
          </w:p>
        </w:tc>
      </w:tr>
      <w:tr>
        <w:trPr>
          <w:trHeight w:val="180"/>
        </w:trPr>
        <w:tc>
          <w:tcPr>
            <w:tcW w:w="6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1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Series 2019-1 4.194% Fixed Rate Senior Secured Notes, Class A-2-I</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698.3</w:t>
            </w:r>
          </w:p>
        </w:tc>
        <w:tc>
          <w:tcPr>
            <w:tcW w:w="0" w:type="dxa"/>
            <w:vAlign w:val="bottom"/>
          </w:tcPr>
          <w:p>
            <w:pPr>
              <w:spacing w:after="0"/>
              <w:rPr>
                <w:sz w:val="1"/>
                <w:szCs w:val="1"/>
                <w:color w:val="auto"/>
              </w:rPr>
            </w:pPr>
          </w:p>
        </w:tc>
      </w:tr>
      <w:tr>
        <w:trPr>
          <w:trHeight w:val="225"/>
        </w:trPr>
        <w:tc>
          <w:tcPr>
            <w:tcW w:w="6540" w:type="dxa"/>
            <w:vAlign w:val="bottom"/>
          </w:tcPr>
          <w:p>
            <w:pPr>
              <w:ind w:left="340"/>
              <w:spacing w:after="0"/>
              <w:rPr>
                <w:sz w:val="20"/>
                <w:szCs w:val="20"/>
                <w:color w:val="auto"/>
              </w:rPr>
            </w:pPr>
            <w:r>
              <w:rPr>
                <w:rFonts w:ascii="Arial" w:cs="Arial" w:eastAsia="Arial" w:hAnsi="Arial"/>
                <w:sz w:val="18"/>
                <w:szCs w:val="18"/>
                <w:color w:val="auto"/>
              </w:rPr>
              <w:t>Series 2019-1 4.723% Fixed Rate Senior Secured Notes, Class A-2-II</w:t>
            </w:r>
          </w:p>
        </w:tc>
        <w:tc>
          <w:tcPr>
            <w:tcW w:w="5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594.0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598.5</w:t>
            </w:r>
          </w:p>
        </w:tc>
        <w:tc>
          <w:tcPr>
            <w:tcW w:w="0" w:type="dxa"/>
            <w:vAlign w:val="bottom"/>
          </w:tcPr>
          <w:p>
            <w:pPr>
              <w:spacing w:after="0"/>
              <w:rPr>
                <w:sz w:val="1"/>
                <w:szCs w:val="1"/>
                <w:color w:val="auto"/>
              </w:rPr>
            </w:pPr>
          </w:p>
        </w:tc>
      </w:tr>
      <w:tr>
        <w:trPr>
          <w:trHeight w:val="174"/>
        </w:trPr>
        <w:tc>
          <w:tcPr>
            <w:tcW w:w="654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0"/>
              </w:rPr>
              <w:t>Series 2019-1 Variable Funding Senior Notes Class A-1, variable interest rate of 2.42% at</w:t>
            </w:r>
          </w:p>
        </w:tc>
        <w:tc>
          <w:tcPr>
            <w:tcW w:w="500" w:type="dxa"/>
            <w:vAlign w:val="bottom"/>
            <w:shd w:val="clear" w:color="auto" w:fill="CCEEFF"/>
          </w:tcPr>
          <w:p>
            <w:pPr>
              <w:spacing w:after="0"/>
              <w:rPr>
                <w:sz w:val="15"/>
                <w:szCs w:val="15"/>
                <w:color w:val="auto"/>
              </w:rPr>
            </w:pPr>
          </w:p>
        </w:tc>
        <w:tc>
          <w:tcPr>
            <w:tcW w:w="16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r>
        <w:trPr>
          <w:trHeight w:val="224"/>
        </w:trPr>
        <w:tc>
          <w:tcPr>
            <w:tcW w:w="6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2020</w:t>
            </w:r>
          </w:p>
        </w:tc>
        <w:tc>
          <w:tcPr>
            <w:tcW w:w="500" w:type="dxa"/>
            <w:vAlign w:val="bottom"/>
            <w:shd w:val="clear" w:color="auto" w:fill="CCEEFF"/>
          </w:tcPr>
          <w:p>
            <w:pPr>
              <w:spacing w:after="0"/>
              <w:rPr>
                <w:sz w:val="19"/>
                <w:szCs w:val="19"/>
                <w:color w:val="auto"/>
              </w:rPr>
            </w:pPr>
          </w:p>
        </w:tc>
        <w:tc>
          <w:tcPr>
            <w:tcW w:w="1620" w:type="dxa"/>
            <w:vAlign w:val="bottom"/>
            <w:gridSpan w:val="2"/>
            <w:vMerge w:val="continue"/>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5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Debt issuance costs</w:t>
            </w:r>
          </w:p>
        </w:tc>
        <w:tc>
          <w:tcPr>
            <w:tcW w:w="5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9"/>
        </w:trPr>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Long-term debt, net of debt issuance costs</w:t>
            </w:r>
          </w:p>
        </w:tc>
        <w:tc>
          <w:tcPr>
            <w:tcW w:w="5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1,505.0</w:t>
            </w:r>
          </w:p>
        </w:tc>
        <w:tc>
          <w:tcPr>
            <w:tcW w:w="0" w:type="dxa"/>
            <w:vAlign w:val="bottom"/>
          </w:tcPr>
          <w:p>
            <w:pPr>
              <w:spacing w:after="0"/>
              <w:rPr>
                <w:sz w:val="1"/>
                <w:szCs w:val="1"/>
                <w:color w:val="auto"/>
              </w:rPr>
            </w:pPr>
          </w:p>
        </w:tc>
      </w:tr>
      <w:tr>
        <w:trPr>
          <w:trHeight w:val="225"/>
        </w:trPr>
        <w:tc>
          <w:tcPr>
            <w:tcW w:w="6540" w:type="dxa"/>
            <w:vAlign w:val="bottom"/>
          </w:tcPr>
          <w:p>
            <w:pPr>
              <w:ind w:left="340"/>
              <w:spacing w:after="0"/>
              <w:rPr>
                <w:sz w:val="20"/>
                <w:szCs w:val="20"/>
                <w:color w:val="auto"/>
              </w:rPr>
            </w:pPr>
            <w:r>
              <w:rPr>
                <w:rFonts w:ascii="Arial" w:cs="Arial" w:eastAsia="Arial" w:hAnsi="Arial"/>
                <w:sz w:val="18"/>
                <w:szCs w:val="18"/>
                <w:color w:val="auto"/>
              </w:rPr>
              <w:t>Current portion of long-term debt</w:t>
            </w:r>
          </w:p>
        </w:tc>
        <w:tc>
          <w:tcPr>
            <w:tcW w:w="50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44"/>
        </w:trPr>
        <w:tc>
          <w:tcPr>
            <w:tcW w:w="65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Long-term debt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1,492.0</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2" w:lineRule="exact"/>
        <w:rPr>
          <w:sz w:val="20"/>
          <w:szCs w:val="20"/>
          <w:color w:val="auto"/>
        </w:rPr>
      </w:pPr>
    </w:p>
    <w:p>
      <w:pPr>
        <w:ind w:right="120" w:firstLine="318"/>
        <w:spacing w:after="0" w:line="249" w:lineRule="auto"/>
        <w:rPr>
          <w:sz w:val="20"/>
          <w:szCs w:val="20"/>
          <w:color w:val="auto"/>
        </w:rPr>
      </w:pPr>
      <w:r>
        <w:rPr>
          <w:rFonts w:ascii="Arial" w:cs="Arial" w:eastAsia="Arial" w:hAnsi="Arial"/>
          <w:sz w:val="18"/>
          <w:szCs w:val="18"/>
          <w:color w:val="auto"/>
        </w:rPr>
        <w:t>On June 5, 2019, Applebee’s Funding LLC and IHOP Funding LLC (the “Co-Issuers”), each a special purpose, wholly-owned indirect subsidiary of the Company, issued two tranches of fixed rate senior secured notes, the Series 2019-1 4.194% Fixed Rate Senior Secured Notes, Class A-2-I (“Class A-2-I Notes”) in an initial aggregate principal amount of $700 million and the Series 2019-1 4.723% Fixed Rate Senior Secured Notes, Class A-2-II (“Class A-2-II Notes”) in an initial aggregate</w:t>
      </w:r>
    </w:p>
    <w:p>
      <w:pPr>
        <w:ind w:right="40"/>
        <w:spacing w:after="0" w:line="251" w:lineRule="auto"/>
        <w:rPr>
          <w:sz w:val="20"/>
          <w:szCs w:val="20"/>
          <w:color w:val="auto"/>
        </w:rPr>
      </w:pPr>
      <w:r>
        <w:rPr>
          <w:rFonts w:ascii="Arial" w:cs="Arial" w:eastAsia="Arial" w:hAnsi="Arial"/>
          <w:sz w:val="18"/>
          <w:szCs w:val="18"/>
          <w:color w:val="auto"/>
        </w:rPr>
        <w:t>principal amount of $600 million (the “Class A-2-II Notes” and, together with the Class A-2-I Notes, the “2019 Class A-2 Notes”). The 2019 Class A-2 Notes were issued pursuant to an offering exempt from registration under the Securities Act of 1933, as amended.</w:t>
      </w:r>
    </w:p>
    <w:p>
      <w:pPr>
        <w:spacing w:after="0" w:line="218" w:lineRule="exact"/>
        <w:rPr>
          <w:sz w:val="20"/>
          <w:szCs w:val="20"/>
          <w:color w:val="auto"/>
        </w:rPr>
      </w:pPr>
    </w:p>
    <w:p>
      <w:pPr>
        <w:ind w:firstLine="318"/>
        <w:spacing w:after="0" w:line="268" w:lineRule="auto"/>
        <w:rPr>
          <w:sz w:val="20"/>
          <w:szCs w:val="20"/>
          <w:color w:val="auto"/>
        </w:rPr>
      </w:pPr>
      <w:r>
        <w:rPr>
          <w:rFonts w:ascii="Arial" w:cs="Arial" w:eastAsia="Arial" w:hAnsi="Arial"/>
          <w:sz w:val="17"/>
          <w:szCs w:val="17"/>
          <w:color w:val="auto"/>
        </w:rPr>
        <w:t>The Co-Issuers also entered into a revolving financing facility, the 2019-1 Variable Funding Senior Notes, Class A-1 (the “Credit Facility”), that allows for drawings up to $225 million of variable funding notes and the issuance of letters of credit. The Credit Facility and the 2019 Class A-2 Notes are referred to collectively herein as the “New Notes.” The New Notes were issued in a securitization transaction pursuant to which substantially all the domestic revenue-generating assets and domestic intellectual property held by the Co-Issuers and certain other special-purpose, wholly-owned indirect subsidiaries of the Company (the “Guarantors”) were pledged as collateral to secure the New Notes.</w:t>
      </w:r>
    </w:p>
    <w:p>
      <w:pPr>
        <w:spacing w:after="0" w:line="207" w:lineRule="exact"/>
        <w:rPr>
          <w:sz w:val="20"/>
          <w:szCs w:val="20"/>
          <w:color w:val="auto"/>
        </w:rPr>
      </w:pPr>
    </w:p>
    <w:p>
      <w:pPr>
        <w:ind w:firstLine="318"/>
        <w:spacing w:after="0" w:line="318" w:lineRule="auto"/>
        <w:rPr>
          <w:sz w:val="20"/>
          <w:szCs w:val="20"/>
          <w:color w:val="auto"/>
        </w:rPr>
      </w:pPr>
      <w:r>
        <w:rPr>
          <w:rFonts w:ascii="Arial" w:cs="Arial" w:eastAsia="Arial" w:hAnsi="Arial"/>
          <w:sz w:val="15"/>
          <w:szCs w:val="15"/>
          <w:color w:val="auto"/>
        </w:rPr>
        <w:t>The New Notes were issued under a Base Indenture, dated as of September 30, 2014, and amended and restated as of June 5, 2019 (the “Base Indenture”), and the related Series 2019-1 Supplement to the Base Indenture, dated June 5, 2019 (the “Series 2019-1 Supplement”), among the Co-Issuers and Citibank, N.A., as the trustee (in such capacity, the “Trustee”) and securities intermediary. The Base Indenture and the Series 2019-1 Supplement (collectively, the “Indenture”) will allow the Co-Issuers to issue additional series of notes in the future subject to certain conditions set forth therein.</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7" w:name="page18"/>
    <w:bookmarkEnd w:id="1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jc w:val="center"/>
        <w:ind w:right="-3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Long-Term Debt (Continued)</w:t>
      </w:r>
    </w:p>
    <w:p>
      <w:pPr>
        <w:spacing w:after="0" w:line="26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2019 Class A-2 Notes</w:t>
      </w:r>
    </w:p>
    <w:p>
      <w:pPr>
        <w:spacing w:after="0" w:line="250" w:lineRule="exact"/>
        <w:rPr>
          <w:sz w:val="20"/>
          <w:szCs w:val="20"/>
          <w:color w:val="auto"/>
        </w:rPr>
      </w:pPr>
    </w:p>
    <w:p>
      <w:pPr>
        <w:jc w:val="both"/>
        <w:ind w:right="100" w:firstLine="318"/>
        <w:spacing w:after="0" w:line="298" w:lineRule="auto"/>
        <w:rPr>
          <w:sz w:val="20"/>
          <w:szCs w:val="20"/>
          <w:color w:val="auto"/>
        </w:rPr>
      </w:pPr>
      <w:r>
        <w:rPr>
          <w:rFonts w:ascii="Arial" w:cs="Arial" w:eastAsia="Arial" w:hAnsi="Arial"/>
          <w:sz w:val="15"/>
          <w:szCs w:val="15"/>
          <w:color w:val="auto"/>
        </w:rPr>
        <w:t>The legal final maturity of the 2019 Class A-2 Notes is June 2049, but rapid amortization will apply if the Class A-2-I Notes are not repaid by June 2024 (the “Class A-2-I Anticipated Repayment Date”) and for the Class A-2-II Notes if not repaid by June 2026 (the “Class A-2-II Anticipated Repayment Date”). If the Co-Issuers have not repaid or refinanced the Class A-2-I Notes by the Class A-2-I Anticipated Repayment Date or the Class A-2-II Notes by the Class A-2-II Anticipated Repayment Date, then additional interest will accrue on the Class A-2-I Notes and the Class A-2-II Notes, as applicable, at the greater of:</w:t>
      </w:r>
    </w:p>
    <w:p>
      <w:pPr>
        <w:spacing w:after="0" w:line="3" w:lineRule="exact"/>
        <w:rPr>
          <w:sz w:val="20"/>
          <w:szCs w:val="20"/>
          <w:color w:val="auto"/>
        </w:rPr>
      </w:pPr>
    </w:p>
    <w:p>
      <w:pPr>
        <w:jc w:val="both"/>
        <w:ind w:right="340" w:firstLine="6"/>
        <w:spacing w:after="0" w:line="322" w:lineRule="auto"/>
        <w:tabs>
          <w:tab w:leader="none" w:pos="289" w:val="left"/>
        </w:tabs>
        <w:numPr>
          <w:ilvl w:val="0"/>
          <w:numId w:val="6"/>
        </w:numPr>
        <w:rPr>
          <w:rFonts w:ascii="Arial" w:cs="Arial" w:eastAsia="Arial" w:hAnsi="Arial"/>
          <w:sz w:val="15"/>
          <w:szCs w:val="15"/>
          <w:color w:val="auto"/>
        </w:rPr>
      </w:pPr>
      <w:r>
        <w:rPr>
          <w:rFonts w:ascii="Arial" w:cs="Arial" w:eastAsia="Arial" w:hAnsi="Arial"/>
          <w:sz w:val="15"/>
          <w:szCs w:val="15"/>
          <w:color w:val="auto"/>
        </w:rPr>
        <w:t>5.0% and (B) the amount, if any, by which the sum of the following exceeds the applicable Series 2019-1 Class A-2 Note interest rate: (x) the yield to maturity (adjusted to a quarterly bond-equivalent basis) on the applicable anticipated repayment date of the United States Treasury Security having a term closest to 10 years plus (y) 5.0%, plus (z) 2.15% for the Series 2019-1 Class A-2-I Notes and 2.64% for the Series 2019-1 Class A-2-II Notes.</w:t>
      </w:r>
    </w:p>
    <w:p>
      <w:pPr>
        <w:spacing w:after="0" w:line="169" w:lineRule="exact"/>
        <w:rPr>
          <w:sz w:val="20"/>
          <w:szCs w:val="20"/>
          <w:color w:val="auto"/>
        </w:rPr>
      </w:pPr>
    </w:p>
    <w:p>
      <w:pPr>
        <w:ind w:right="240" w:firstLine="318"/>
        <w:spacing w:after="0" w:line="312" w:lineRule="auto"/>
        <w:rPr>
          <w:sz w:val="20"/>
          <w:szCs w:val="20"/>
          <w:color w:val="auto"/>
        </w:rPr>
      </w:pPr>
      <w:r>
        <w:rPr>
          <w:rFonts w:ascii="Arial" w:cs="Arial" w:eastAsia="Arial" w:hAnsi="Arial"/>
          <w:sz w:val="15"/>
          <w:szCs w:val="15"/>
          <w:color w:val="auto"/>
        </w:rPr>
        <w:t>While the 2019 Class A-2 Notes are outstanding, payment of principal and interest is required to be made on the 2019 Class A-2 Notes on a quarterly basis. The quarterly principal payment of $3.25 million on the 2019 Class A-2 Notes may be suspended when the leverage ratio for the Company and its subsidiaries is less than or equal to 5.25x. Exceeding the leverage ratio of 5.25x does not violate any covenant related to the New Notes. In general, the leverage ratio is the Company's indebtedness (as defined in the Indenture) divided by adjusted EBITDA (as defined in the Indenture) for the four preceding quarterly periods. The complete definitions of all calculation elements of the leverage ratio are contained in the Indenture.</w:t>
      </w:r>
    </w:p>
    <w:p>
      <w:pPr>
        <w:spacing w:after="0" w:line="177" w:lineRule="exact"/>
        <w:rPr>
          <w:sz w:val="20"/>
          <w:szCs w:val="20"/>
          <w:color w:val="auto"/>
        </w:rPr>
      </w:pPr>
    </w:p>
    <w:p>
      <w:pPr>
        <w:ind w:right="900" w:firstLine="318"/>
        <w:spacing w:after="0" w:line="264" w:lineRule="auto"/>
        <w:rPr>
          <w:sz w:val="20"/>
          <w:szCs w:val="20"/>
          <w:color w:val="auto"/>
        </w:rPr>
      </w:pPr>
      <w:r>
        <w:rPr>
          <w:rFonts w:ascii="Arial" w:cs="Arial" w:eastAsia="Arial" w:hAnsi="Arial"/>
          <w:sz w:val="18"/>
          <w:szCs w:val="18"/>
          <w:color w:val="auto"/>
        </w:rPr>
        <w:t>As of September 30, 2021, the Company's leverage ratio was 4.36x. As a result, quarterly principal payments on the 2019 Class A-2 Notes of $3.25 million currently are not required.</w:t>
      </w:r>
    </w:p>
    <w:p>
      <w:pPr>
        <w:spacing w:after="0" w:line="207" w:lineRule="exact"/>
        <w:rPr>
          <w:sz w:val="20"/>
          <w:szCs w:val="20"/>
          <w:color w:val="auto"/>
        </w:rPr>
      </w:pPr>
    </w:p>
    <w:p>
      <w:pPr>
        <w:ind w:right="40" w:firstLine="318"/>
        <w:spacing w:after="0" w:line="305" w:lineRule="auto"/>
        <w:rPr>
          <w:sz w:val="20"/>
          <w:szCs w:val="20"/>
          <w:color w:val="auto"/>
        </w:rPr>
      </w:pPr>
      <w:r>
        <w:rPr>
          <w:rFonts w:ascii="Arial" w:cs="Arial" w:eastAsia="Arial" w:hAnsi="Arial"/>
          <w:sz w:val="15"/>
          <w:szCs w:val="15"/>
          <w:color w:val="auto"/>
        </w:rPr>
        <w:t>The Company may voluntarily repay the 2019 Class A-2 Notes at any time; however, if the 2019 Class A-2 Notes are repaid prior to certain dates, the Company would be required to pay make-whole premiums. As of September 30, 2021, the make-whole premium associated with voluntary prepayment of the Class A-2-I Notes was approximately $15 million; this amount declines progressively each quarter to zero in June 2022. As of September 30, 2021, the make-whole premium associated with voluntary prepayment of the Class A-2-II Notes was approximately $46 million; this amount declines progressively each quarter to zero in June 2024. The Company would also be subject to a make-whole premium in the event of a mandatory prepayment required following a Rapid Amortization Event or certain asset dispositions. The mandatory make-whole premium requirements are considered derivatives embedded in the New Notes that must be bifurcated for separate valuation. The Company estimated the fair value of these derivatives to be immaterial as of September 30, 2021, based on the probability-weighted discounted cash flows associated with either event.</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2019 Class A-1 Notes</w:t>
      </w:r>
    </w:p>
    <w:p>
      <w:pPr>
        <w:spacing w:after="0" w:line="22" w:lineRule="exact"/>
        <w:rPr>
          <w:sz w:val="20"/>
          <w:szCs w:val="20"/>
          <w:color w:val="auto"/>
        </w:rPr>
      </w:pPr>
    </w:p>
    <w:p>
      <w:pPr>
        <w:ind w:firstLine="318"/>
        <w:spacing w:after="0" w:line="294" w:lineRule="auto"/>
        <w:rPr>
          <w:sz w:val="20"/>
          <w:szCs w:val="20"/>
          <w:color w:val="auto"/>
        </w:rPr>
      </w:pPr>
      <w:r>
        <w:rPr>
          <w:rFonts w:ascii="Arial" w:cs="Arial" w:eastAsia="Arial" w:hAnsi="Arial"/>
          <w:sz w:val="15"/>
          <w:szCs w:val="15"/>
          <w:color w:val="auto"/>
        </w:rPr>
        <w:t>The Co-Issuers entered into the Credit Facility that allows for drawings up to $225 million of variable funding notes and the issuance of letters of credit. The applicable interest rate under the Credit Facility depends on the type of borrowing by the Co-Issuers. The applicable interest rate for advances is generally calculated at a per annum rate equal to the commercial paper funding rate or one-, two-, three- or six-month Eurodollar Funding Rate, in either case, plus</w:t>
      </w:r>
    </w:p>
    <w:p>
      <w:pPr>
        <w:spacing w:after="0" w:line="2" w:lineRule="exact"/>
        <w:rPr>
          <w:sz w:val="20"/>
          <w:szCs w:val="20"/>
          <w:color w:val="auto"/>
        </w:rPr>
      </w:pPr>
    </w:p>
    <w:p>
      <w:pPr>
        <w:jc w:val="both"/>
        <w:ind w:right="140"/>
        <w:spacing w:after="0" w:line="313" w:lineRule="auto"/>
        <w:rPr>
          <w:sz w:val="20"/>
          <w:szCs w:val="20"/>
          <w:color w:val="auto"/>
        </w:rPr>
      </w:pPr>
      <w:r>
        <w:rPr>
          <w:rFonts w:ascii="Arial" w:cs="Arial" w:eastAsia="Arial" w:hAnsi="Arial"/>
          <w:sz w:val="15"/>
          <w:szCs w:val="15"/>
          <w:color w:val="auto"/>
        </w:rPr>
        <w:t>2.15%. The applicable interest rate for swingline advances and unreimbursed draws on outstanding letters of credit is a per annum base rate equal to the sum of (a) 1.15% plus (b) the greatest of (i) the Prime Rate in effect from time to time, (ii) the Federal Funds Rate in effect from time to time plus 0.50% and (iii) the one-month Eurodollar Funding Rate plus 1.00%. There is no upfront fee for the Credit Facility. There is a fee of 50 basis points on any unused portion of the revolving financing facility. Undrawn face amounts of outstanding letters of credit that are not cash collateralized accrue a fee of 2.15% per annum.</w:t>
      </w:r>
    </w:p>
    <w:p>
      <w:pPr>
        <w:spacing w:after="0" w:line="175" w:lineRule="exact"/>
        <w:rPr>
          <w:sz w:val="20"/>
          <w:szCs w:val="20"/>
          <w:color w:val="auto"/>
        </w:rPr>
      </w:pPr>
    </w:p>
    <w:p>
      <w:pPr>
        <w:ind w:right="100" w:firstLine="318"/>
        <w:spacing w:after="0" w:line="298" w:lineRule="auto"/>
        <w:rPr>
          <w:sz w:val="20"/>
          <w:szCs w:val="20"/>
          <w:color w:val="auto"/>
        </w:rPr>
      </w:pPr>
      <w:r>
        <w:rPr>
          <w:rFonts w:ascii="Arial" w:cs="Arial" w:eastAsia="Arial" w:hAnsi="Arial"/>
          <w:sz w:val="15"/>
          <w:szCs w:val="15"/>
          <w:color w:val="auto"/>
        </w:rPr>
        <w:t>In March 2020, the Company borrowed $220.0 million against the Credit Facility. The $220.0 million was repaid on March 5, 2021, and there have been no new borrowings since that date. The maximum amount of borrowings from the Credit Facility outstanding during the nine months ended September 30, 2021 was $220.0 million. As of September 30, 2021, there were no outstanding borrowings under the Credit Facility. The interest rate for borrowings under the Credit Facility is the three-month LIBOR rate plus 2.15% for 60% of the advances and the commercial paper funding rate of our conduit investor plus</w:t>
      </w:r>
    </w:p>
    <w:p>
      <w:pPr>
        <w:spacing w:after="0" w:line="3" w:lineRule="exact"/>
        <w:rPr>
          <w:sz w:val="20"/>
          <w:szCs w:val="20"/>
          <w:color w:val="auto"/>
        </w:rPr>
      </w:pPr>
    </w:p>
    <w:p>
      <w:pPr>
        <w:ind w:right="320"/>
        <w:spacing w:after="0" w:line="251" w:lineRule="auto"/>
        <w:rPr>
          <w:sz w:val="20"/>
          <w:szCs w:val="20"/>
          <w:color w:val="auto"/>
        </w:rPr>
      </w:pPr>
      <w:r>
        <w:rPr>
          <w:rFonts w:ascii="Arial" w:cs="Arial" w:eastAsia="Arial" w:hAnsi="Arial"/>
          <w:sz w:val="18"/>
          <w:szCs w:val="18"/>
          <w:color w:val="auto"/>
        </w:rPr>
        <w:t>2.15% for 40% of the advances. The weighted average interest rate on Credit Facility borrowings for the period outstanding during the nine months ended September 30, 2021 was 2.4%.</w:t>
      </w:r>
    </w:p>
    <w:p>
      <w:pPr>
        <w:spacing w:after="0" w:line="218" w:lineRule="exact"/>
        <w:rPr>
          <w:sz w:val="20"/>
          <w:szCs w:val="20"/>
          <w:color w:val="auto"/>
        </w:rPr>
      </w:pPr>
    </w:p>
    <w:p>
      <w:pPr>
        <w:ind w:right="660" w:firstLine="318"/>
        <w:spacing w:after="0" w:line="264" w:lineRule="auto"/>
        <w:rPr>
          <w:sz w:val="20"/>
          <w:szCs w:val="20"/>
          <w:color w:val="auto"/>
        </w:rPr>
      </w:pPr>
      <w:r>
        <w:rPr>
          <w:rFonts w:ascii="Arial" w:cs="Arial" w:eastAsia="Arial" w:hAnsi="Arial"/>
          <w:sz w:val="18"/>
          <w:szCs w:val="18"/>
          <w:color w:val="auto"/>
        </w:rPr>
        <w:t>At September 30, 2021, $3.3 million was pledged against the Credit Facility for outstanding letters of credit, leaving $221.7 million available for borrowing. The letters of credit are used primarily to satisfy insurance-related collateral requirements.</w:t>
      </w: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8" w:name="page19"/>
    <w:bookmarkEnd w:id="1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jc w:val="center"/>
        <w:ind w:right="-1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Long-Term Debt (Continued)</w:t>
      </w:r>
    </w:p>
    <w:p>
      <w:pPr>
        <w:spacing w:after="0" w:line="200" w:lineRule="exact"/>
        <w:rPr>
          <w:sz w:val="20"/>
          <w:szCs w:val="20"/>
          <w:color w:val="auto"/>
        </w:rPr>
      </w:pPr>
    </w:p>
    <w:p>
      <w:pPr>
        <w:spacing w:after="0" w:line="30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Covenants and Restrictions</w:t>
      </w:r>
    </w:p>
    <w:p>
      <w:pPr>
        <w:spacing w:after="0" w:line="250" w:lineRule="exact"/>
        <w:rPr>
          <w:sz w:val="20"/>
          <w:szCs w:val="20"/>
          <w:color w:val="auto"/>
        </w:rPr>
      </w:pPr>
    </w:p>
    <w:p>
      <w:pPr>
        <w:ind w:right="40" w:firstLine="318"/>
        <w:spacing w:after="0" w:line="302" w:lineRule="auto"/>
        <w:rPr>
          <w:sz w:val="20"/>
          <w:szCs w:val="20"/>
          <w:color w:val="auto"/>
        </w:rPr>
      </w:pPr>
      <w:r>
        <w:rPr>
          <w:rFonts w:ascii="Arial" w:cs="Arial" w:eastAsia="Arial" w:hAnsi="Arial"/>
          <w:sz w:val="15"/>
          <w:szCs w:val="15"/>
          <w:color w:val="auto"/>
        </w:rPr>
        <w:t>The New Notes are subject to a series of covenants and restrictions customary for transactions of this type, including: (i) that the Co-Issuers maintain specified reserve accounts to be used to make required payments in respect of the New Notes, (ii) provisions relating to optional and mandatory prepayments, and the related payment of specified amounts, including specified call redemption premiums in the case of Class A-2 Notes under certain circumstances; (iii) certain indemnification payments in the event, among other things, the transfers of the assets pledged as collateral for the New Notes are in stated ways defective or ineffective and (iv) covenants relating to recordkeeping, access to information and similar matters. The New Notes are subject to customary rapid amortization events provided for in the Indenture, including events tied to failure of the Securitization Entities (as defined in the Indenture) to maintain the stated debt service coverage ratio (“DSCR”), the sum of domestic retail sales for all restaurants being below certain levels on certain measurement dates, certain manager termination events, certain events of default and the failure to repay or refinance the Class A-2 Notes on the anticipated repayment dates. The New Notes are also subject to certain customary events of default, including events relating to non-payment of required interest, principal or other amounts due on or with respect to the New Notes, failure of the Securitization Entities to maintain the stated DSCR, failure to comply with covenants within certain time frames, certain bankruptcy events, breaches of specified representations and warranties and certain judgments.</w:t>
      </w:r>
    </w:p>
    <w:p>
      <w:pPr>
        <w:spacing w:after="0" w:line="183" w:lineRule="exact"/>
        <w:rPr>
          <w:sz w:val="20"/>
          <w:szCs w:val="20"/>
          <w:color w:val="auto"/>
        </w:rPr>
      </w:pPr>
    </w:p>
    <w:p>
      <w:pPr>
        <w:ind w:firstLine="318"/>
        <w:spacing w:after="0" w:line="306" w:lineRule="auto"/>
        <w:rPr>
          <w:sz w:val="20"/>
          <w:szCs w:val="20"/>
          <w:color w:val="auto"/>
        </w:rPr>
      </w:pPr>
      <w:r>
        <w:rPr>
          <w:rFonts w:ascii="Arial" w:cs="Arial" w:eastAsia="Arial" w:hAnsi="Arial"/>
          <w:sz w:val="15"/>
          <w:szCs w:val="15"/>
          <w:color w:val="auto"/>
        </w:rPr>
        <w:t>In general, the DSCR ratio is Net Cash Flow (as defined in the Indenture) for the four quarters preceding the calculation date divided by the total debt service payments (as defined in the Indenture) of the preceding four quarters. The complete definitions of the DSCR and all calculation elements are contained in the Indenture. Failure to maintain a prescribed DSCR can trigger a Cash Flow Sweeping Event, A Rapid Amortization Event, a Manager Termination Event or a Default Event as described below. In a Cash Flow Sweeping Event, the Trustee is required to retain 50% of excess Cash Flow (as defined in the Indenture) in a restricted account. In a Rapid Amortization Event, all excess Cash Flow is retained and used to retire principal amounts of debt. In a Manager Termination Event, the Company may be replaced as manager of the assets securitized under the Indenture. In a Default Event, the outstanding principal amount and any accrued but unpaid interest can be called to become immediately due and payable. Key DSCRs are as follows:</w:t>
      </w:r>
    </w:p>
    <w:p>
      <w:pPr>
        <w:spacing w:after="0" w:line="183" w:lineRule="exact"/>
        <w:rPr>
          <w:sz w:val="20"/>
          <w:szCs w:val="20"/>
          <w:color w:val="auto"/>
        </w:rPr>
      </w:pPr>
    </w:p>
    <w:p>
      <w:pPr>
        <w:ind w:left="1280" w:hanging="320"/>
        <w:spacing w:after="0"/>
        <w:tabs>
          <w:tab w:leader="none" w:pos="1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DSCR less than 1.75x - Cash Flow Sweeping Event</w:t>
      </w:r>
    </w:p>
    <w:p>
      <w:pPr>
        <w:spacing w:after="0" w:line="16" w:lineRule="exact"/>
        <w:rPr>
          <w:rFonts w:ascii="Arial" w:cs="Arial" w:eastAsia="Arial" w:hAnsi="Arial"/>
          <w:sz w:val="18"/>
          <w:szCs w:val="18"/>
          <w:color w:val="auto"/>
        </w:rPr>
      </w:pPr>
    </w:p>
    <w:p>
      <w:pPr>
        <w:ind w:left="1280" w:hanging="320"/>
        <w:spacing w:after="0"/>
        <w:tabs>
          <w:tab w:leader="none" w:pos="1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DSCR less than 1.20x - Rapid Amortization Event</w:t>
      </w:r>
    </w:p>
    <w:p>
      <w:pPr>
        <w:spacing w:after="0" w:line="5" w:lineRule="exact"/>
        <w:rPr>
          <w:rFonts w:ascii="Arial" w:cs="Arial" w:eastAsia="Arial" w:hAnsi="Arial"/>
          <w:sz w:val="18"/>
          <w:szCs w:val="18"/>
          <w:color w:val="auto"/>
        </w:rPr>
      </w:pPr>
    </w:p>
    <w:p>
      <w:pPr>
        <w:ind w:left="1280" w:hanging="320"/>
        <w:spacing w:after="0"/>
        <w:tabs>
          <w:tab w:leader="none" w:pos="1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Interest-only DSCR less than 1.20x - Manager Termination Event</w:t>
      </w:r>
    </w:p>
    <w:p>
      <w:pPr>
        <w:spacing w:after="0" w:line="5" w:lineRule="exact"/>
        <w:rPr>
          <w:rFonts w:ascii="Arial" w:cs="Arial" w:eastAsia="Arial" w:hAnsi="Arial"/>
          <w:sz w:val="18"/>
          <w:szCs w:val="18"/>
          <w:color w:val="auto"/>
        </w:rPr>
      </w:pPr>
    </w:p>
    <w:p>
      <w:pPr>
        <w:ind w:left="1280" w:hanging="320"/>
        <w:spacing w:after="0"/>
        <w:tabs>
          <w:tab w:leader="none" w:pos="1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Interest-only DSCR less than 1.10x - Default Event</w:t>
      </w:r>
    </w:p>
    <w:p>
      <w:pPr>
        <w:spacing w:after="0" w:line="23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Company's DSCR for the reporting period ended September 30, 2021 was approximately 4.8x.</w:t>
      </w:r>
    </w:p>
    <w:p>
      <w:pPr>
        <w:spacing w:after="0" w:line="23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Debt Issuance Costs</w:t>
      </w:r>
    </w:p>
    <w:p>
      <w:pPr>
        <w:spacing w:after="0" w:line="250" w:lineRule="exact"/>
        <w:rPr>
          <w:sz w:val="20"/>
          <w:szCs w:val="20"/>
          <w:color w:val="auto"/>
        </w:rPr>
      </w:pPr>
    </w:p>
    <w:p>
      <w:pPr>
        <w:ind w:right="60" w:firstLine="318"/>
        <w:spacing w:after="0" w:line="247" w:lineRule="auto"/>
        <w:rPr>
          <w:sz w:val="20"/>
          <w:szCs w:val="20"/>
          <w:color w:val="auto"/>
        </w:rPr>
      </w:pPr>
      <w:r>
        <w:rPr>
          <w:rFonts w:ascii="Arial" w:cs="Arial" w:eastAsia="Arial" w:hAnsi="Arial"/>
          <w:sz w:val="18"/>
          <w:szCs w:val="18"/>
          <w:color w:val="auto"/>
        </w:rPr>
        <w:t>Amortization of costs incurred in connection with the issuance of the 2019 Class A-2 Notes of $0.6 million and $0.5 million were included in interest expense for the three months ended September 30, 2021 and 2020, respectively. Amortization of costs incurred in connection with the issuance of the 2019 Class A-2 Notes of $1.7 million and $1.6 million were included in interest expense for the nine months ended September 30, 2021 and 2020, respectively. Amortization costs incurred in connection with the Company's Credit Facility and prior credit facility of $0.2 million and $0.1 million were included in interest expense for the three months ended September 30, 2021 and 2020, respectively. Amortization costs incurred in connection with the Company's Credit Facility and prior credit facility of $0.5 million and $0.4 million were included in interest expense for the nine months ended September 30, 2021 and 2020, respectively.</w:t>
      </w:r>
    </w:p>
    <w:p>
      <w:pPr>
        <w:spacing w:after="0" w:line="4" w:lineRule="exact"/>
        <w:rPr>
          <w:sz w:val="20"/>
          <w:szCs w:val="20"/>
          <w:color w:val="auto"/>
        </w:rPr>
      </w:pPr>
    </w:p>
    <w:p>
      <w:pPr>
        <w:jc w:val="both"/>
        <w:ind w:right="60" w:firstLine="318"/>
        <w:spacing w:after="0" w:line="322" w:lineRule="auto"/>
        <w:rPr>
          <w:sz w:val="20"/>
          <w:szCs w:val="20"/>
          <w:color w:val="auto"/>
        </w:rPr>
      </w:pPr>
      <w:r>
        <w:rPr>
          <w:rFonts w:ascii="Arial" w:cs="Arial" w:eastAsia="Arial" w:hAnsi="Arial"/>
          <w:sz w:val="15"/>
          <w:szCs w:val="15"/>
          <w:color w:val="auto"/>
        </w:rPr>
        <w:t>At September 30, 2021, total unamortized debt issuance costs related to the 2019 Class A-2 Notes of $7.9 million are reported as a direct reduction of the 2019 Class A-2 Notes in the Consolidated Balance Sheets. At September 30, 2021, total unamortized debt issuance costs of $1.7 million related to the Credit Facility and prior credit facility are classified as other long-term assets because there are no borrowings outstanding against the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9" w:name="page20"/>
    <w:bookmarkEnd w:id="1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jc w:val="center"/>
        <w:ind w:right="100"/>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Long-Term Debt (Continued)</w:t>
      </w:r>
    </w:p>
    <w:p>
      <w:pPr>
        <w:spacing w:after="0" w:line="200" w:lineRule="exact"/>
        <w:rPr>
          <w:sz w:val="20"/>
          <w:szCs w:val="20"/>
          <w:color w:val="auto"/>
        </w:rPr>
      </w:pPr>
    </w:p>
    <w:p>
      <w:pPr>
        <w:spacing w:after="0" w:line="30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Maturities of Long-term Debt</w:t>
      </w:r>
    </w:p>
    <w:p>
      <w:pPr>
        <w:spacing w:after="0" w:line="250" w:lineRule="exact"/>
        <w:rPr>
          <w:sz w:val="20"/>
          <w:szCs w:val="20"/>
          <w:color w:val="auto"/>
        </w:rPr>
      </w:pPr>
    </w:p>
    <w:p>
      <w:pPr>
        <w:ind w:left="640" w:hanging="316"/>
        <w:spacing w:after="0"/>
        <w:tabs>
          <w:tab w:leader="none" w:pos="64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anticipated repayment date of the Class A-2-I Notes is June 2024.</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anticipated repayment date of the Class A-2-II Notes is June 2026.</w:t>
      </w:r>
    </w:p>
    <w:p>
      <w:pPr>
        <w:spacing w:after="0" w:line="5" w:lineRule="exact"/>
        <w:rPr>
          <w:rFonts w:ascii="Arial" w:cs="Arial" w:eastAsia="Arial" w:hAnsi="Arial"/>
          <w:sz w:val="18"/>
          <w:szCs w:val="18"/>
          <w:color w:val="auto"/>
        </w:rPr>
      </w:pPr>
    </w:p>
    <w:p>
      <w:pPr>
        <w:ind w:left="640" w:right="820" w:hanging="316"/>
        <w:spacing w:after="0" w:line="251" w:lineRule="auto"/>
        <w:tabs>
          <w:tab w:leader="none" w:pos="635" w:val="left"/>
        </w:tabs>
        <w:numPr>
          <w:ilvl w:val="1"/>
          <w:numId w:val="8"/>
        </w:numPr>
        <w:rPr>
          <w:rFonts w:ascii="Arial" w:cs="Arial" w:eastAsia="Arial" w:hAnsi="Arial"/>
          <w:sz w:val="18"/>
          <w:szCs w:val="18"/>
          <w:color w:val="auto"/>
        </w:rPr>
      </w:pPr>
      <w:r>
        <w:rPr>
          <w:rFonts w:ascii="Arial" w:cs="Arial" w:eastAsia="Arial" w:hAnsi="Arial"/>
          <w:sz w:val="18"/>
          <w:szCs w:val="18"/>
          <w:color w:val="auto"/>
        </w:rPr>
        <w:t>Quarterly principal payments on the Class A-2-I and Class A-2-II Notes totaling $3.25 million ($13.0 million per annum) are required if the Company's leverage ratio is greater than 5.25x.</w:t>
      </w:r>
    </w:p>
    <w:p>
      <w:pPr>
        <w:spacing w:after="0" w:line="212" w:lineRule="exact"/>
        <w:rPr>
          <w:rFonts w:ascii="Arial" w:cs="Arial" w:eastAsia="Arial" w:hAnsi="Arial"/>
          <w:sz w:val="18"/>
          <w:szCs w:val="18"/>
          <w:color w:val="auto"/>
        </w:rPr>
      </w:pPr>
    </w:p>
    <w:p>
      <w:pPr>
        <w:ind w:left="180" w:hanging="174"/>
        <w:spacing w:after="0"/>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Deficit</w:t>
      </w:r>
    </w:p>
    <w:p>
      <w:pPr>
        <w:spacing w:after="0" w:line="2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Dividends</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Dividends declared and paid per share for the three and nine months ended September 30, 2021 and 2020 were as follows:</w:t>
      </w:r>
    </w:p>
    <w:p>
      <w:pPr>
        <w:spacing w:after="0" w:line="19"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5960" w:type="dxa"/>
            <w:vAlign w:val="bottom"/>
          </w:tcPr>
          <w:p>
            <w:pPr>
              <w:spacing w:after="0"/>
              <w:rPr>
                <w:sz w:val="16"/>
                <w:szCs w:val="16"/>
                <w:color w:val="auto"/>
              </w:rPr>
            </w:pPr>
          </w:p>
        </w:tc>
        <w:tc>
          <w:tcPr>
            <w:tcW w:w="2720" w:type="dxa"/>
            <w:vAlign w:val="bottom"/>
            <w:gridSpan w:val="6"/>
          </w:tcPr>
          <w:p>
            <w:pPr>
              <w:ind w:left="360"/>
              <w:spacing w:after="0"/>
              <w:rPr>
                <w:sz w:val="20"/>
                <w:szCs w:val="20"/>
                <w:color w:val="auto"/>
              </w:rPr>
            </w:pPr>
            <w:r>
              <w:rPr>
                <w:rFonts w:ascii="Arial" w:cs="Arial" w:eastAsia="Arial" w:hAnsi="Arial"/>
                <w:sz w:val="16"/>
                <w:szCs w:val="16"/>
                <w:b w:val="1"/>
                <w:bCs w:val="1"/>
                <w:color w:val="auto"/>
                <w:w w:val="95"/>
              </w:rPr>
              <w:t>Three months ended September</w:t>
            </w:r>
          </w:p>
        </w:tc>
        <w:tc>
          <w:tcPr>
            <w:tcW w:w="2340" w:type="dxa"/>
            <w:vAlign w:val="bottom"/>
            <w:gridSpan w:val="5"/>
          </w:tcPr>
          <w:p>
            <w:pPr>
              <w:jc w:val="right"/>
              <w:spacing w:after="0"/>
              <w:rPr>
                <w:sz w:val="20"/>
                <w:szCs w:val="20"/>
                <w:color w:val="auto"/>
              </w:rPr>
            </w:pPr>
            <w:r>
              <w:rPr>
                <w:rFonts w:ascii="Arial" w:cs="Arial" w:eastAsia="Arial" w:hAnsi="Arial"/>
                <w:sz w:val="16"/>
                <w:szCs w:val="16"/>
                <w:b w:val="1"/>
                <w:bCs w:val="1"/>
                <w:color w:val="auto"/>
              </w:rPr>
              <w:t>Nine months ended Septemb</w:t>
            </w:r>
          </w:p>
        </w:tc>
      </w:tr>
      <w:tr>
        <w:trPr>
          <w:trHeight w:val="210"/>
        </w:trPr>
        <w:tc>
          <w:tcPr>
            <w:tcW w:w="596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30,</w:t>
            </w:r>
          </w:p>
        </w:tc>
        <w:tc>
          <w:tcPr>
            <w:tcW w:w="6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6"/>
                <w:szCs w:val="16"/>
                <w:b w:val="1"/>
                <w:bCs w:val="1"/>
                <w:color w:val="auto"/>
                <w:w w:val="89"/>
              </w:rPr>
              <w:t>30,</w:t>
            </w:r>
          </w:p>
        </w:tc>
        <w:tc>
          <w:tcPr>
            <w:tcW w:w="520" w:type="dxa"/>
            <w:vAlign w:val="bottom"/>
            <w:tcBorders>
              <w:bottom w:val="single" w:sz="8" w:color="auto"/>
            </w:tcBorders>
          </w:tcPr>
          <w:p>
            <w:pPr>
              <w:spacing w:after="0"/>
              <w:rPr>
                <w:sz w:val="18"/>
                <w:szCs w:val="18"/>
                <w:color w:val="auto"/>
              </w:rPr>
            </w:pPr>
          </w:p>
        </w:tc>
      </w:tr>
      <w:tr>
        <w:trPr>
          <w:trHeight w:val="205"/>
        </w:trPr>
        <w:tc>
          <w:tcPr>
            <w:tcW w:w="596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center"/>
              <w:ind w:left="156"/>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center"/>
              <w:ind w:left="95"/>
              <w:spacing w:after="0"/>
              <w:rPr>
                <w:sz w:val="20"/>
                <w:szCs w:val="20"/>
                <w:color w:val="auto"/>
              </w:rPr>
            </w:pPr>
            <w:r>
              <w:rPr>
                <w:rFonts w:ascii="Arial" w:cs="Arial" w:eastAsia="Arial" w:hAnsi="Arial"/>
                <w:sz w:val="16"/>
                <w:szCs w:val="16"/>
                <w:b w:val="1"/>
                <w:bCs w:val="1"/>
                <w:color w:val="auto"/>
                <w:w w:val="89"/>
              </w:rPr>
              <w:t>2020</w:t>
            </w:r>
          </w:p>
        </w:tc>
        <w:tc>
          <w:tcPr>
            <w:tcW w:w="16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75"/>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15"/>
              <w:spacing w:after="0"/>
              <w:rPr>
                <w:sz w:val="20"/>
                <w:szCs w:val="20"/>
                <w:color w:val="auto"/>
              </w:rPr>
            </w:pPr>
            <w:r>
              <w:rPr>
                <w:rFonts w:ascii="Arial" w:cs="Arial" w:eastAsia="Arial" w:hAnsi="Arial"/>
                <w:sz w:val="16"/>
                <w:szCs w:val="16"/>
                <w:b w:val="1"/>
                <w:bCs w:val="1"/>
                <w:color w:val="auto"/>
              </w:rPr>
              <w:t>2020</w:t>
            </w:r>
          </w:p>
        </w:tc>
      </w:tr>
      <w:tr>
        <w:trPr>
          <w:trHeight w:val="221"/>
        </w:trPr>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Dividends declared per common share</w:t>
            </w:r>
          </w:p>
        </w:tc>
        <w:tc>
          <w:tcPr>
            <w:tcW w:w="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center"/>
              <w:ind w:left="7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24"/>
        </w:trPr>
        <w:tc>
          <w:tcPr>
            <w:tcW w:w="5960" w:type="dxa"/>
            <w:vAlign w:val="bottom"/>
          </w:tcPr>
          <w:p>
            <w:pPr>
              <w:ind w:left="340"/>
              <w:spacing w:after="0"/>
              <w:rPr>
                <w:sz w:val="20"/>
                <w:szCs w:val="20"/>
                <w:color w:val="auto"/>
              </w:rPr>
            </w:pPr>
            <w:r>
              <w:rPr>
                <w:rFonts w:ascii="Arial" w:cs="Arial" w:eastAsia="Arial" w:hAnsi="Arial"/>
                <w:sz w:val="18"/>
                <w:szCs w:val="18"/>
                <w:color w:val="auto"/>
              </w:rPr>
              <w:t>Dividends paid per common share</w:t>
            </w:r>
          </w:p>
        </w:tc>
        <w:tc>
          <w:tcPr>
            <w:tcW w:w="700" w:type="dxa"/>
            <w:vAlign w:val="bottom"/>
          </w:tcPr>
          <w:p>
            <w:pPr>
              <w:ind w:left="3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center"/>
              <w:ind w:left="7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32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230" w:lineRule="exact"/>
        <w:rPr>
          <w:sz w:val="20"/>
          <w:szCs w:val="20"/>
          <w:color w:val="auto"/>
        </w:rPr>
      </w:pPr>
    </w:p>
    <w:p>
      <w:pPr>
        <w:ind w:right="200" w:firstLine="318"/>
        <w:spacing w:after="0" w:line="271" w:lineRule="auto"/>
        <w:rPr>
          <w:sz w:val="20"/>
          <w:szCs w:val="20"/>
          <w:color w:val="auto"/>
        </w:rPr>
      </w:pPr>
      <w:r>
        <w:rPr>
          <w:rFonts w:ascii="Arial" w:cs="Arial" w:eastAsia="Arial" w:hAnsi="Arial"/>
          <w:sz w:val="17"/>
          <w:szCs w:val="17"/>
          <w:color w:val="auto"/>
        </w:rPr>
        <w:t>In February 2019, the Company’s Board of Directors approved a stock repurchase program authorizing the Company to repurchase up to $200 million of the Company’s common stock (the “2019 Repurchase Program”) on an opportunistic basis from time to time in the open market or in privately negotiated transactions based on business, market, applicable legal requirements and other considerations. The 2019 Repurchase Program, as approved by the Board of Directors, does not require the repurchase of a specific number of shares and can be terminated at any time.</w:t>
      </w:r>
    </w:p>
    <w:p>
      <w:pPr>
        <w:spacing w:after="0" w:line="204" w:lineRule="exact"/>
        <w:rPr>
          <w:sz w:val="20"/>
          <w:szCs w:val="20"/>
          <w:color w:val="auto"/>
        </w:rPr>
      </w:pPr>
    </w:p>
    <w:p>
      <w:pPr>
        <w:jc w:val="both"/>
        <w:ind w:right="260" w:firstLine="318"/>
        <w:spacing w:after="0" w:line="252" w:lineRule="auto"/>
        <w:rPr>
          <w:sz w:val="20"/>
          <w:szCs w:val="20"/>
          <w:color w:val="auto"/>
        </w:rPr>
      </w:pPr>
      <w:r>
        <w:rPr>
          <w:rFonts w:ascii="Arial" w:cs="Arial" w:eastAsia="Arial" w:hAnsi="Arial"/>
          <w:sz w:val="18"/>
          <w:szCs w:val="18"/>
          <w:color w:val="auto"/>
        </w:rPr>
        <w:t>The Company did not repurchase any shares during the three and nine months ended September 30, 2021. The Company did not repurchase any shares during the three months ended September 30, 2020 and repurchased 459,899 shares during the nine months ended September 30, 2020. As of September 30, 2021, cumulative repurchases of stock total 1,697,597 shares at a cost of $129.8 million, with a dollar value of $70.2 million remaining for repurchase under the 2019 Repurchase Program.</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Treasury Stock</w:t>
      </w:r>
    </w:p>
    <w:p>
      <w:pPr>
        <w:spacing w:after="0" w:line="217" w:lineRule="exact"/>
        <w:rPr>
          <w:sz w:val="20"/>
          <w:szCs w:val="20"/>
          <w:color w:val="auto"/>
        </w:rPr>
      </w:pPr>
    </w:p>
    <w:p>
      <w:pPr>
        <w:ind w:right="240" w:firstLine="318"/>
        <w:spacing w:after="0" w:line="271" w:lineRule="auto"/>
        <w:rPr>
          <w:sz w:val="20"/>
          <w:szCs w:val="20"/>
          <w:color w:val="auto"/>
        </w:rPr>
      </w:pPr>
      <w:r>
        <w:rPr>
          <w:rFonts w:ascii="Arial" w:cs="Arial" w:eastAsia="Arial" w:hAnsi="Arial"/>
          <w:sz w:val="17"/>
          <w:szCs w:val="17"/>
          <w:color w:val="auto"/>
        </w:rPr>
        <w:t>Repurchases of the Company's common stock are included in treasury stock at the cost of shares repurchased plus any transaction costs. Treasury stock may be re-issued when stock options are exercised, when restricted stock awards are granted and when restricted stock units settle in stock upon vesting. The cost of treasury stock re-issued is determined using the first-in, first-out (“FIFO”) method. During the nine months ended September 30, 2021, the Company re-issued 646,679 shares of treasury stock at a total FIFO cost of $26.1 million.</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57" w:lineRule="exact"/>
        <w:rPr>
          <w:sz w:val="20"/>
          <w:szCs w:val="20"/>
          <w:color w:val="auto"/>
        </w:rPr>
      </w:pPr>
    </w:p>
    <w:p>
      <w:pPr>
        <w:ind w:right="140" w:firstLine="318"/>
        <w:spacing w:after="0" w:line="267" w:lineRule="auto"/>
        <w:rPr>
          <w:sz w:val="20"/>
          <w:szCs w:val="20"/>
          <w:color w:val="auto"/>
        </w:rPr>
      </w:pPr>
      <w:r>
        <w:rPr>
          <w:rFonts w:ascii="Arial" w:cs="Arial" w:eastAsia="Arial" w:hAnsi="Arial"/>
          <w:sz w:val="17"/>
          <w:szCs w:val="17"/>
          <w:color w:val="auto"/>
        </w:rPr>
        <w:t>The Company's effective tax rate was 16.4% (a tax provision of $15.4 million on pre-tax book income of $93.4 million) for the nine months ended September 30, 2021, as compared to 5.6% for the nine months ended September 30, 2020 (a tax benefit of $6.1 million on pre-tax book loss of $108.6 million). The effective tax rate for the nine months ended September 30, 2021 was lower than the statutory federal tax rate of 21% primarily due to the recognition of excess tax benefits on stock-based compensation in the first quarter of 2021. In addition, the effective tax rate for the nine months ended September 30, 2021 was different than the prior comparable period due to the impairment of goodwill in the second quarter of 2020, which was not deductible for income tax purposes and therefore had no associated tax benefit.</w:t>
      </w:r>
    </w:p>
    <w:p>
      <w:pPr>
        <w:spacing w:after="0" w:line="206" w:lineRule="exact"/>
        <w:rPr>
          <w:sz w:val="20"/>
          <w:szCs w:val="20"/>
          <w:color w:val="auto"/>
        </w:rPr>
      </w:pPr>
    </w:p>
    <w:p>
      <w:pPr>
        <w:ind w:right="100" w:firstLine="318"/>
        <w:spacing w:after="0" w:line="250" w:lineRule="auto"/>
        <w:rPr>
          <w:sz w:val="20"/>
          <w:szCs w:val="20"/>
          <w:color w:val="auto"/>
        </w:rPr>
      </w:pPr>
      <w:r>
        <w:rPr>
          <w:rFonts w:ascii="Arial" w:cs="Arial" w:eastAsia="Arial" w:hAnsi="Arial"/>
          <w:sz w:val="18"/>
          <w:szCs w:val="18"/>
          <w:color w:val="auto"/>
        </w:rPr>
        <w:t>The total gross unrecognized tax benefit as of September 30, 2021 and December 31, 2020 was $2.3 million and $2.2 million, respectively, excluding interest, penalties and related tax benefits. The Company estimates the unrecognized tax benefit as of September 30, 2021 may decrease over the upcoming 12 months by an amount up to $0.2 million related to settlements with taxing authorities and expiring statutes of limitations. For the remaining liability, due to the uncertainties related to these tax matters, the Company is unable to make a reasonable estimate as to when cash settlement with a taxing authority will occur.</w:t>
      </w:r>
    </w:p>
    <w:p>
      <w:pPr>
        <w:sectPr>
          <w:pgSz w:w="11900" w:h="16838" w:orient="portrait"/>
          <w:cols w:equalWidth="0" w:num="1">
            <w:col w:w="11340"/>
          </w:cols>
          <w:pgMar w:left="320" w:top="11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16" w:right="239" w:bottom="1440" w:gutter="0" w:footer="0" w:header="0"/>
          <w:type w:val="continuous"/>
        </w:sectPr>
      </w:pPr>
    </w:p>
    <w:bookmarkStart w:id="20" w:name="page21"/>
    <w:bookmarkEnd w:id="2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Income Taxes (Continued)</w:t>
      </w:r>
    </w:p>
    <w:p>
      <w:pPr>
        <w:spacing w:after="0" w:line="26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As of September 30, 2021, accrued interest was $0.6 million and accrued penalties were less than $0.1 million, excluding any related income tax benefits. As of December 31, 2020, accrued interest was $0.9 million and accrued penalties were less than $0.1 million, excluding any related income tax benefits. The Company recognizes interest accrued related to unrecognized tax benefits and penalties as a component of its income tax provision recognized in its Consolidated Statements of Comprehensive Income.</w:t>
      </w:r>
    </w:p>
    <w:p>
      <w:pPr>
        <w:spacing w:after="0" w:line="217" w:lineRule="exact"/>
        <w:rPr>
          <w:sz w:val="20"/>
          <w:szCs w:val="20"/>
          <w:color w:val="auto"/>
        </w:rPr>
      </w:pPr>
    </w:p>
    <w:p>
      <w:pPr>
        <w:ind w:right="340" w:firstLine="318"/>
        <w:spacing w:after="0" w:line="252" w:lineRule="auto"/>
        <w:rPr>
          <w:sz w:val="20"/>
          <w:szCs w:val="20"/>
          <w:color w:val="auto"/>
        </w:rPr>
      </w:pPr>
      <w:r>
        <w:rPr>
          <w:rFonts w:ascii="Arial" w:cs="Arial" w:eastAsia="Arial" w:hAnsi="Arial"/>
          <w:sz w:val="18"/>
          <w:szCs w:val="18"/>
          <w:color w:val="auto"/>
        </w:rPr>
        <w:t>The Company files federal income tax returns and the Company or one of its subsidiaries file income tax returns in various state and international jurisdictions. With few exceptions, the Company is no longer subject to federal tax examinations by tax authorities for years before 2017 and state or non-United States tax examinations by tax authorities for years before 2011. The Company believes that adequate reserves have been provided related to all matters contained in the tax periods open to examination.</w:t>
      </w:r>
    </w:p>
    <w:p>
      <w:pPr>
        <w:spacing w:after="0" w:line="217" w:lineRule="exact"/>
        <w:rPr>
          <w:sz w:val="20"/>
          <w:szCs w:val="20"/>
          <w:color w:val="auto"/>
        </w:rPr>
      </w:pPr>
    </w:p>
    <w:p>
      <w:pPr>
        <w:ind w:right="180" w:firstLine="318"/>
        <w:spacing w:after="0" w:line="255" w:lineRule="auto"/>
        <w:rPr>
          <w:sz w:val="20"/>
          <w:szCs w:val="20"/>
          <w:color w:val="auto"/>
        </w:rPr>
      </w:pPr>
      <w:r>
        <w:rPr>
          <w:rFonts w:ascii="Arial" w:cs="Arial" w:eastAsia="Arial" w:hAnsi="Arial"/>
          <w:sz w:val="18"/>
          <w:szCs w:val="18"/>
          <w:color w:val="auto"/>
        </w:rPr>
        <w:t>On March 11, 2021, the American Rescue Plan Act of 2021 (“ARP Act”) was enacted in response to the COVID-19 pandemic. The Company is continuing to evaluate the impact of the ARP Act, but at present, does not expect the ARP Act would result in a material impact to our income tax benefit or provision.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the components of stock-based compensation expense included in general and administrative expenses in the</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Comprehensive Income: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60" w:type="dxa"/>
            <w:vAlign w:val="bottom"/>
          </w:tcPr>
          <w:p>
            <w:pPr>
              <w:spacing w:after="0"/>
              <w:rPr>
                <w:sz w:val="16"/>
                <w:szCs w:val="16"/>
                <w:color w:val="auto"/>
              </w:rPr>
            </w:pPr>
          </w:p>
        </w:tc>
        <w:tc>
          <w:tcPr>
            <w:tcW w:w="2340" w:type="dxa"/>
            <w:vAlign w:val="bottom"/>
            <w:gridSpan w:val="7"/>
          </w:tcPr>
          <w:p>
            <w:pPr>
              <w:ind w:left="40"/>
              <w:spacing w:after="0"/>
              <w:rPr>
                <w:sz w:val="20"/>
                <w:szCs w:val="20"/>
                <w:color w:val="auto"/>
              </w:rPr>
            </w:pPr>
            <w:r>
              <w:rPr>
                <w:rFonts w:ascii="Arial" w:cs="Arial" w:eastAsia="Arial" w:hAnsi="Arial"/>
                <w:sz w:val="16"/>
                <w:szCs w:val="16"/>
                <w:b w:val="1"/>
                <w:bCs w:val="1"/>
                <w:color w:val="auto"/>
                <w:w w:val="93"/>
              </w:rPr>
              <w:t>Three months ended September</w:t>
            </w:r>
          </w:p>
        </w:tc>
        <w:tc>
          <w:tcPr>
            <w:tcW w:w="280" w:type="dxa"/>
            <w:vAlign w:val="bottom"/>
          </w:tcPr>
          <w:p>
            <w:pPr>
              <w:spacing w:after="0"/>
              <w:rPr>
                <w:sz w:val="16"/>
                <w:szCs w:val="16"/>
                <w:color w:val="auto"/>
              </w:rPr>
            </w:pPr>
          </w:p>
        </w:tc>
        <w:tc>
          <w:tcPr>
            <w:tcW w:w="1760" w:type="dxa"/>
            <w:vAlign w:val="bottom"/>
            <w:gridSpan w:val="4"/>
          </w:tcPr>
          <w:p>
            <w:pPr>
              <w:jc w:val="center"/>
              <w:ind w:right="193"/>
              <w:spacing w:after="0"/>
              <w:rPr>
                <w:sz w:val="20"/>
                <w:szCs w:val="20"/>
                <w:color w:val="auto"/>
              </w:rPr>
            </w:pPr>
            <w:r>
              <w:rPr>
                <w:rFonts w:ascii="Arial" w:cs="Arial" w:eastAsia="Arial" w:hAnsi="Arial"/>
                <w:sz w:val="16"/>
                <w:szCs w:val="16"/>
                <w:b w:val="1"/>
                <w:bCs w:val="1"/>
                <w:color w:val="auto"/>
                <w:w w:val="88"/>
              </w:rPr>
              <w:t>Nine months ended</w:t>
            </w:r>
          </w:p>
        </w:tc>
      </w:tr>
      <w:tr>
        <w:trPr>
          <w:trHeight w:val="210"/>
        </w:trPr>
        <w:tc>
          <w:tcPr>
            <w:tcW w:w="686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6"/>
                <w:szCs w:val="16"/>
                <w:b w:val="1"/>
                <w:bCs w:val="1"/>
                <w:color w:val="auto"/>
                <w:w w:val="89"/>
              </w:rPr>
              <w:t>30,</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4"/>
          </w:tcPr>
          <w:p>
            <w:pPr>
              <w:jc w:val="center"/>
              <w:ind w:right="193"/>
              <w:spacing w:after="0"/>
              <w:rPr>
                <w:sz w:val="20"/>
                <w:szCs w:val="20"/>
                <w:color w:val="auto"/>
              </w:rPr>
            </w:pPr>
            <w:r>
              <w:rPr>
                <w:rFonts w:ascii="Arial" w:cs="Arial" w:eastAsia="Arial" w:hAnsi="Arial"/>
                <w:sz w:val="16"/>
                <w:szCs w:val="16"/>
                <w:b w:val="1"/>
                <w:bCs w:val="1"/>
                <w:color w:val="auto"/>
                <w:w w:val="87"/>
              </w:rPr>
              <w:t>September 30,</w:t>
            </w:r>
          </w:p>
        </w:tc>
      </w:tr>
      <w:tr>
        <w:trPr>
          <w:trHeight w:val="203"/>
        </w:trPr>
        <w:tc>
          <w:tcPr>
            <w:tcW w:w="6860" w:type="dxa"/>
            <w:vAlign w:val="bottom"/>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7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6"/>
                <w:szCs w:val="16"/>
                <w:b w:val="1"/>
                <w:bCs w:val="1"/>
                <w:color w:val="auto"/>
              </w:rPr>
              <w:t>2020</w:t>
            </w:r>
          </w:p>
        </w:tc>
      </w:tr>
      <w:tr>
        <w:trPr>
          <w:trHeight w:val="209"/>
        </w:trPr>
        <w:tc>
          <w:tcPr>
            <w:tcW w:w="686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26"/>
        </w:trPr>
        <w:tc>
          <w:tcPr>
            <w:tcW w:w="6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classified awards expense</w:t>
            </w:r>
          </w:p>
        </w:tc>
        <w:tc>
          <w:tcPr>
            <w:tcW w:w="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3.0</w:t>
            </w:r>
          </w:p>
        </w:tc>
        <w:tc>
          <w:tcPr>
            <w:tcW w:w="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center"/>
              <w:ind w:left="355"/>
              <w:spacing w:after="0"/>
              <w:rPr>
                <w:sz w:val="20"/>
                <w:szCs w:val="20"/>
                <w:color w:val="auto"/>
              </w:rPr>
            </w:pPr>
            <w:r>
              <w:rPr>
                <w:rFonts w:ascii="Arial" w:cs="Arial" w:eastAsia="Arial" w:hAnsi="Arial"/>
                <w:sz w:val="18"/>
                <w:szCs w:val="18"/>
                <w:color w:val="auto"/>
                <w:w w:val="87"/>
              </w:rPr>
              <w:t>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center"/>
              <w:ind w:left="273"/>
              <w:spacing w:after="0"/>
              <w:rPr>
                <w:sz w:val="20"/>
                <w:szCs w:val="20"/>
                <w:color w:val="auto"/>
              </w:rPr>
            </w:pPr>
            <w:r>
              <w:rPr>
                <w:rFonts w:ascii="Arial" w:cs="Arial" w:eastAsia="Arial" w:hAnsi="Arial"/>
                <w:sz w:val="18"/>
                <w:szCs w:val="18"/>
                <w:color w:val="auto"/>
                <w:w w:val="87"/>
              </w:rPr>
              <w:t>9.2</w:t>
            </w:r>
          </w:p>
        </w:tc>
      </w:tr>
      <w:tr>
        <w:trPr>
          <w:trHeight w:val="225"/>
        </w:trPr>
        <w:tc>
          <w:tcPr>
            <w:tcW w:w="68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Liability classified awards expense</w:t>
            </w:r>
          </w:p>
        </w:tc>
        <w:tc>
          <w:tcPr>
            <w:tcW w:w="7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0.2</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left="355"/>
              <w:spacing w:after="0"/>
              <w:rPr>
                <w:sz w:val="20"/>
                <w:szCs w:val="20"/>
                <w:color w:val="auto"/>
              </w:rPr>
            </w:pPr>
            <w:r>
              <w:rPr>
                <w:rFonts w:ascii="Arial" w:cs="Arial" w:eastAsia="Arial" w:hAnsi="Arial"/>
                <w:sz w:val="18"/>
                <w:szCs w:val="18"/>
                <w:color w:val="auto"/>
                <w:w w:val="87"/>
              </w:rPr>
              <w:t>1.1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center"/>
              <w:ind w:left="273"/>
              <w:spacing w:after="0"/>
              <w:rPr>
                <w:sz w:val="20"/>
                <w:szCs w:val="20"/>
                <w:color w:val="auto"/>
              </w:rPr>
            </w:pPr>
            <w:r>
              <w:rPr>
                <w:rFonts w:ascii="Arial" w:cs="Arial" w:eastAsia="Arial" w:hAnsi="Arial"/>
                <w:sz w:val="18"/>
                <w:szCs w:val="18"/>
                <w:color w:val="auto"/>
                <w:w w:val="87"/>
              </w:rPr>
              <w:t>0.6</w:t>
            </w:r>
          </w:p>
        </w:tc>
      </w:tr>
      <w:tr>
        <w:trPr>
          <w:trHeight w:val="219"/>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pre-tax stock-based compensation expense</w:t>
            </w:r>
          </w:p>
        </w:tc>
        <w:tc>
          <w:tcPr>
            <w:tcW w:w="700" w:type="dxa"/>
            <w:vAlign w:val="bottom"/>
            <w:shd w:val="clear" w:color="auto" w:fill="CCEEFF"/>
          </w:tcPr>
          <w:p>
            <w:pPr>
              <w:spacing w:after="0"/>
              <w:rPr>
                <w:sz w:val="19"/>
                <w:szCs w:val="19"/>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left="355"/>
              <w:spacing w:after="0"/>
              <w:rPr>
                <w:sz w:val="20"/>
                <w:szCs w:val="20"/>
                <w:color w:val="auto"/>
              </w:rPr>
            </w:pPr>
            <w:r>
              <w:rPr>
                <w:rFonts w:ascii="Arial" w:cs="Arial" w:eastAsia="Arial" w:hAnsi="Arial"/>
                <w:sz w:val="18"/>
                <w:szCs w:val="18"/>
                <w:color w:val="auto"/>
                <w:w w:val="87"/>
              </w:rPr>
              <w:t>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center"/>
              <w:ind w:left="273"/>
              <w:spacing w:after="0"/>
              <w:rPr>
                <w:sz w:val="20"/>
                <w:szCs w:val="20"/>
                <w:color w:val="auto"/>
              </w:rPr>
            </w:pPr>
            <w:r>
              <w:rPr>
                <w:rFonts w:ascii="Arial" w:cs="Arial" w:eastAsia="Arial" w:hAnsi="Arial"/>
                <w:sz w:val="18"/>
                <w:szCs w:val="18"/>
                <w:color w:val="auto"/>
                <w:w w:val="87"/>
              </w:rPr>
              <w:t>9.8</w:t>
            </w:r>
          </w:p>
        </w:tc>
      </w:tr>
      <w:tr>
        <w:trPr>
          <w:trHeight w:val="225"/>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Book income tax benefit</w:t>
            </w:r>
          </w:p>
        </w:tc>
        <w:tc>
          <w:tcPr>
            <w:tcW w:w="7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1"/>
              </w:rPr>
              <w:t>(0.8)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left="335"/>
              <w:spacing w:after="0"/>
              <w:rPr>
                <w:sz w:val="20"/>
                <w:szCs w:val="20"/>
                <w:color w:val="auto"/>
              </w:rPr>
            </w:pPr>
            <w:r>
              <w:rPr>
                <w:rFonts w:ascii="Arial" w:cs="Arial" w:eastAsia="Arial" w:hAnsi="Arial"/>
                <w:sz w:val="18"/>
                <w:szCs w:val="18"/>
                <w:color w:val="auto"/>
                <w:w w:val="86"/>
              </w:rPr>
              <w:t>(0.9)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center"/>
              <w:ind w:left="233"/>
              <w:spacing w:after="0"/>
              <w:rPr>
                <w:sz w:val="20"/>
                <w:szCs w:val="20"/>
                <w:color w:val="auto"/>
              </w:rPr>
            </w:pPr>
            <w:r>
              <w:rPr>
                <w:rFonts w:ascii="Arial" w:cs="Arial" w:eastAsia="Arial" w:hAnsi="Arial"/>
                <w:sz w:val="18"/>
                <w:szCs w:val="18"/>
                <w:color w:val="auto"/>
                <w:w w:val="91"/>
              </w:rPr>
              <w:t>(2.4)</w:t>
            </w:r>
          </w:p>
        </w:tc>
      </w:tr>
      <w:tr>
        <w:trPr>
          <w:trHeight w:val="239"/>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 net of tax</w:t>
            </w:r>
          </w:p>
        </w:tc>
        <w:tc>
          <w:tcPr>
            <w:tcW w:w="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2.4</w:t>
            </w:r>
          </w:p>
        </w:tc>
        <w:tc>
          <w:tcPr>
            <w:tcW w:w="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center"/>
              <w:ind w:left="355"/>
              <w:spacing w:after="0"/>
              <w:rPr>
                <w:sz w:val="20"/>
                <w:szCs w:val="20"/>
                <w:color w:val="auto"/>
              </w:rPr>
            </w:pPr>
            <w:r>
              <w:rPr>
                <w:rFonts w:ascii="Arial" w:cs="Arial" w:eastAsia="Arial" w:hAnsi="Arial"/>
                <w:sz w:val="18"/>
                <w:szCs w:val="18"/>
                <w:color w:val="auto"/>
                <w:w w:val="87"/>
              </w:rPr>
              <w:t>2.7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center"/>
              <w:ind w:left="273"/>
              <w:spacing w:after="0"/>
              <w:rPr>
                <w:sz w:val="20"/>
                <w:szCs w:val="20"/>
                <w:color w:val="auto"/>
              </w:rPr>
            </w:pPr>
            <w:r>
              <w:rPr>
                <w:rFonts w:ascii="Arial" w:cs="Arial" w:eastAsia="Arial" w:hAnsi="Arial"/>
                <w:sz w:val="18"/>
                <w:szCs w:val="18"/>
                <w:color w:val="auto"/>
                <w:w w:val="87"/>
              </w:rPr>
              <w:t>7.4</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66"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As of September 30, 2021, total unrecognized compensation expense of $18.2 million related to restricted stock and restricted stock units and $3.4 million related to stock options are expected to be recognized over a weighted average period of 1.4 years for restricted stock and restricted stock units and 1.6 years for stock options.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Fair Value Assumptions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Company granted 95,891 stock options during the nine months ended September 30, 2021 for which the fair value was estimated using a Black-</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Scholes option pricing model. The following summarizes the weighted average assumptions used in the Black-Scholes model:</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4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r>
      <w:tr>
        <w:trPr>
          <w:trHeight w:val="225"/>
        </w:trPr>
        <w:tc>
          <w:tcPr>
            <w:tcW w:w="6400" w:type="dxa"/>
            <w:vAlign w:val="bottom"/>
          </w:tcPr>
          <w:p>
            <w:pPr>
              <w:ind w:left="20"/>
              <w:spacing w:after="0"/>
              <w:rPr>
                <w:sz w:val="20"/>
                <w:szCs w:val="20"/>
                <w:color w:val="auto"/>
              </w:rPr>
            </w:pPr>
            <w:r>
              <w:rPr>
                <w:rFonts w:ascii="Arial" w:cs="Arial" w:eastAsia="Arial" w:hAnsi="Arial"/>
                <w:sz w:val="18"/>
                <w:szCs w:val="18"/>
                <w:color w:val="auto"/>
              </w:rPr>
              <w:t>Historical volatility</w:t>
            </w:r>
          </w:p>
        </w:tc>
        <w:tc>
          <w:tcPr>
            <w:tcW w:w="4840" w:type="dxa"/>
            <w:vAlign w:val="bottom"/>
          </w:tcPr>
          <w:p>
            <w:pPr>
              <w:jc w:val="right"/>
              <w:spacing w:after="0"/>
              <w:rPr>
                <w:sz w:val="20"/>
                <w:szCs w:val="20"/>
                <w:color w:val="auto"/>
              </w:rPr>
            </w:pPr>
            <w:r>
              <w:rPr>
                <w:rFonts w:ascii="Arial" w:cs="Arial" w:eastAsia="Arial" w:hAnsi="Arial"/>
                <w:sz w:val="18"/>
                <w:szCs w:val="18"/>
                <w:color w:val="auto"/>
              </w:rPr>
              <w:t>67.7 %</w:t>
            </w:r>
          </w:p>
        </w:tc>
      </w:tr>
      <w:tr>
        <w:trPr>
          <w:trHeight w:val="22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4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5"/>
        </w:trPr>
        <w:tc>
          <w:tcPr>
            <w:tcW w:w="6400" w:type="dxa"/>
            <w:vAlign w:val="bottom"/>
          </w:tcPr>
          <w:p>
            <w:pPr>
              <w:ind w:left="20"/>
              <w:spacing w:after="0"/>
              <w:rPr>
                <w:sz w:val="20"/>
                <w:szCs w:val="20"/>
                <w:color w:val="auto"/>
              </w:rPr>
            </w:pPr>
            <w:r>
              <w:rPr>
                <w:rFonts w:ascii="Arial" w:cs="Arial" w:eastAsia="Arial" w:hAnsi="Arial"/>
                <w:sz w:val="18"/>
                <w:szCs w:val="18"/>
                <w:color w:val="auto"/>
              </w:rPr>
              <w:t>Expected years until exercise</w:t>
            </w:r>
          </w:p>
        </w:tc>
        <w:tc>
          <w:tcPr>
            <w:tcW w:w="48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2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options granted</w:t>
            </w:r>
          </w:p>
        </w:tc>
        <w:tc>
          <w:tcPr>
            <w:tcW w:w="4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1" w:name="page22"/>
    <w:bookmarkEnd w:id="2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Stock-Based Compensation (Continued)</w:t>
      </w:r>
    </w:p>
    <w:p>
      <w:pPr>
        <w:spacing w:after="0" w:line="200" w:lineRule="exact"/>
        <w:rPr>
          <w:sz w:val="20"/>
          <w:szCs w:val="20"/>
          <w:color w:val="auto"/>
        </w:rPr>
      </w:pPr>
    </w:p>
    <w:p>
      <w:pPr>
        <w:spacing w:after="0" w:line="3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Equity Classified Awards - Stock Options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Stock option balances at September 30, 2021, and activity for the nine months ended September 30, 2021 were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Weighted</w:t>
            </w: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Weighted Average</w:t>
            </w:r>
          </w:p>
        </w:tc>
        <w:tc>
          <w:tcPr>
            <w:tcW w:w="200" w:type="dxa"/>
            <w:vAlign w:val="bottom"/>
          </w:tcPr>
          <w:p>
            <w:pPr>
              <w:spacing w:after="0"/>
              <w:rPr>
                <w:sz w:val="16"/>
                <w:szCs w:val="16"/>
                <w:color w:val="auto"/>
              </w:rPr>
            </w:pPr>
          </w:p>
        </w:tc>
        <w:tc>
          <w:tcPr>
            <w:tcW w:w="1040" w:type="dxa"/>
            <w:vAlign w:val="bottom"/>
          </w:tcPr>
          <w:p>
            <w:pPr>
              <w:jc w:val="center"/>
              <w:ind w:right="97"/>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159"/>
        </w:trPr>
        <w:tc>
          <w:tcPr>
            <w:tcW w:w="5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280"/>
              <w:spacing w:after="0" w:line="159" w:lineRule="exact"/>
              <w:rPr>
                <w:sz w:val="20"/>
                <w:szCs w:val="20"/>
                <w:color w:val="auto"/>
              </w:rPr>
            </w:pPr>
            <w:r>
              <w:rPr>
                <w:rFonts w:ascii="Arial" w:cs="Arial" w:eastAsia="Arial" w:hAnsi="Arial"/>
                <w:sz w:val="16"/>
                <w:szCs w:val="16"/>
                <w:b w:val="1"/>
                <w:bCs w:val="1"/>
                <w:color w:val="auto"/>
                <w:w w:val="88"/>
              </w:rPr>
              <w:t>Average</w:t>
            </w:r>
          </w:p>
        </w:tc>
        <w:tc>
          <w:tcPr>
            <w:tcW w:w="1820" w:type="dxa"/>
            <w:vAlign w:val="bottom"/>
            <w:gridSpan w:val="2"/>
          </w:tcPr>
          <w:p>
            <w:pPr>
              <w:jc w:val="center"/>
              <w:ind w:right="80"/>
              <w:spacing w:after="0" w:line="159" w:lineRule="exact"/>
              <w:rPr>
                <w:sz w:val="20"/>
                <w:szCs w:val="20"/>
                <w:color w:val="auto"/>
              </w:rPr>
            </w:pPr>
            <w:r>
              <w:rPr>
                <w:rFonts w:ascii="Arial" w:cs="Arial" w:eastAsia="Arial" w:hAnsi="Arial"/>
                <w:sz w:val="16"/>
                <w:szCs w:val="16"/>
                <w:b w:val="1"/>
                <w:bCs w:val="1"/>
                <w:color w:val="auto"/>
                <w:w w:val="90"/>
              </w:rPr>
              <w:t>Remaining</w:t>
            </w:r>
          </w:p>
        </w:tc>
        <w:tc>
          <w:tcPr>
            <w:tcW w:w="200" w:type="dxa"/>
            <w:vAlign w:val="bottom"/>
          </w:tcPr>
          <w:p>
            <w:pPr>
              <w:spacing w:after="0"/>
              <w:rPr>
                <w:sz w:val="13"/>
                <w:szCs w:val="13"/>
                <w:color w:val="auto"/>
              </w:rPr>
            </w:pPr>
          </w:p>
        </w:tc>
        <w:tc>
          <w:tcPr>
            <w:tcW w:w="1040" w:type="dxa"/>
            <w:vAlign w:val="bottom"/>
          </w:tcPr>
          <w:p>
            <w:pPr>
              <w:jc w:val="center"/>
              <w:ind w:right="97"/>
              <w:spacing w:after="0" w:line="159" w:lineRule="exact"/>
              <w:rPr>
                <w:sz w:val="20"/>
                <w:szCs w:val="20"/>
                <w:color w:val="auto"/>
              </w:rPr>
            </w:pPr>
            <w:r>
              <w:rPr>
                <w:rFonts w:ascii="Arial" w:cs="Arial" w:eastAsia="Arial" w:hAnsi="Arial"/>
                <w:sz w:val="16"/>
                <w:szCs w:val="16"/>
                <w:b w:val="1"/>
                <w:bCs w:val="1"/>
                <w:color w:val="auto"/>
                <w:w w:val="93"/>
              </w:rPr>
              <w:t>Intrinsic</w:t>
            </w:r>
          </w:p>
        </w:tc>
        <w:tc>
          <w:tcPr>
            <w:tcW w:w="0" w:type="dxa"/>
            <w:vAlign w:val="bottom"/>
          </w:tcPr>
          <w:p>
            <w:pPr>
              <w:spacing w:after="0"/>
              <w:rPr>
                <w:sz w:val="1"/>
                <w:szCs w:val="1"/>
                <w:color w:val="auto"/>
              </w:rPr>
            </w:pPr>
          </w:p>
        </w:tc>
      </w:tr>
      <w:tr>
        <w:trPr>
          <w:trHeight w:val="159"/>
        </w:trPr>
        <w:tc>
          <w:tcPr>
            <w:tcW w:w="5680" w:type="dxa"/>
            <w:vAlign w:val="bottom"/>
          </w:tcPr>
          <w:p>
            <w:pPr>
              <w:spacing w:after="0"/>
              <w:rPr>
                <w:sz w:val="13"/>
                <w:szCs w:val="13"/>
                <w:color w:val="auto"/>
              </w:rPr>
            </w:pPr>
          </w:p>
        </w:tc>
        <w:tc>
          <w:tcPr>
            <w:tcW w:w="1180" w:type="dxa"/>
            <w:vAlign w:val="bottom"/>
            <w:vMerge w:val="restart"/>
          </w:tcPr>
          <w:p>
            <w:pPr>
              <w:jc w:val="right"/>
              <w:ind w:right="273"/>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260"/>
              <w:spacing w:after="0" w:line="159" w:lineRule="exact"/>
              <w:rPr>
                <w:sz w:val="20"/>
                <w:szCs w:val="20"/>
                <w:color w:val="auto"/>
              </w:rPr>
            </w:pPr>
            <w:r>
              <w:rPr>
                <w:rFonts w:ascii="Arial" w:cs="Arial" w:eastAsia="Arial" w:hAnsi="Arial"/>
                <w:sz w:val="16"/>
                <w:szCs w:val="16"/>
                <w:b w:val="1"/>
                <w:bCs w:val="1"/>
                <w:color w:val="auto"/>
                <w:w w:val="88"/>
              </w:rPr>
              <w:t>Exercise</w:t>
            </w:r>
          </w:p>
        </w:tc>
        <w:tc>
          <w:tcPr>
            <w:tcW w:w="1820" w:type="dxa"/>
            <w:vAlign w:val="bottom"/>
            <w:gridSpan w:val="2"/>
          </w:tcPr>
          <w:p>
            <w:pPr>
              <w:jc w:val="center"/>
              <w:ind w:right="80"/>
              <w:spacing w:after="0" w:line="159" w:lineRule="exact"/>
              <w:rPr>
                <w:sz w:val="20"/>
                <w:szCs w:val="20"/>
                <w:color w:val="auto"/>
              </w:rPr>
            </w:pPr>
            <w:r>
              <w:rPr>
                <w:rFonts w:ascii="Arial" w:cs="Arial" w:eastAsia="Arial" w:hAnsi="Arial"/>
                <w:sz w:val="16"/>
                <w:szCs w:val="16"/>
                <w:b w:val="1"/>
                <w:bCs w:val="1"/>
                <w:color w:val="auto"/>
                <w:w w:val="92"/>
              </w:rPr>
              <w:t>Contractual Term</w:t>
            </w:r>
          </w:p>
        </w:tc>
        <w:tc>
          <w:tcPr>
            <w:tcW w:w="200" w:type="dxa"/>
            <w:vAlign w:val="bottom"/>
          </w:tcPr>
          <w:p>
            <w:pPr>
              <w:spacing w:after="0"/>
              <w:rPr>
                <w:sz w:val="13"/>
                <w:szCs w:val="13"/>
                <w:color w:val="auto"/>
              </w:rPr>
            </w:pPr>
          </w:p>
        </w:tc>
        <w:tc>
          <w:tcPr>
            <w:tcW w:w="1040" w:type="dxa"/>
            <w:vAlign w:val="bottom"/>
          </w:tcPr>
          <w:p>
            <w:pPr>
              <w:jc w:val="center"/>
              <w:ind w:right="117"/>
              <w:spacing w:after="0" w:line="159" w:lineRule="exact"/>
              <w:rPr>
                <w:sz w:val="20"/>
                <w:szCs w:val="20"/>
                <w:color w:val="auto"/>
              </w:rPr>
            </w:pPr>
            <w:r>
              <w:rPr>
                <w:rFonts w:ascii="Arial" w:cs="Arial" w:eastAsia="Arial" w:hAnsi="Arial"/>
                <w:sz w:val="16"/>
                <w:szCs w:val="16"/>
                <w:b w:val="1"/>
                <w:bCs w:val="1"/>
                <w:color w:val="auto"/>
                <w:w w:val="89"/>
              </w:rPr>
              <w:t>Value (in</w:t>
            </w:r>
          </w:p>
        </w:tc>
        <w:tc>
          <w:tcPr>
            <w:tcW w:w="0" w:type="dxa"/>
            <w:vAlign w:val="bottom"/>
          </w:tcPr>
          <w:p>
            <w:pPr>
              <w:spacing w:after="0"/>
              <w:rPr>
                <w:sz w:val="1"/>
                <w:szCs w:val="1"/>
                <w:color w:val="auto"/>
              </w:rPr>
            </w:pPr>
          </w:p>
        </w:tc>
      </w:tr>
      <w:tr>
        <w:trPr>
          <w:trHeight w:val="210"/>
        </w:trPr>
        <w:tc>
          <w:tcPr>
            <w:tcW w:w="56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95"/>
              <w:spacing w:after="0"/>
              <w:rPr>
                <w:sz w:val="20"/>
                <w:szCs w:val="20"/>
                <w:color w:val="auto"/>
              </w:rPr>
            </w:pPr>
            <w:r>
              <w:rPr>
                <w:rFonts w:ascii="Arial" w:cs="Arial" w:eastAsia="Arial" w:hAnsi="Arial"/>
                <w:sz w:val="16"/>
                <w:szCs w:val="16"/>
                <w:b w:val="1"/>
                <w:bCs w:val="1"/>
                <w:color w:val="auto"/>
                <w:w w:val="91"/>
              </w:rPr>
              <w:t>Price</w:t>
            </w:r>
          </w:p>
        </w:tc>
        <w:tc>
          <w:tcPr>
            <w:tcW w:w="10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(in Years)</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97"/>
              <w:spacing w:after="0"/>
              <w:rPr>
                <w:sz w:val="20"/>
                <w:szCs w:val="20"/>
                <w:color w:val="auto"/>
              </w:rPr>
            </w:pPr>
            <w:r>
              <w:rPr>
                <w:rFonts w:ascii="Arial" w:cs="Arial" w:eastAsia="Arial" w:hAnsi="Arial"/>
                <w:sz w:val="16"/>
                <w:szCs w:val="16"/>
                <w:b w:val="1"/>
                <w:bCs w:val="1"/>
                <w:color w:val="auto"/>
                <w:w w:val="95"/>
              </w:rPr>
              <w:t>Millions)</w:t>
            </w:r>
          </w:p>
        </w:tc>
        <w:tc>
          <w:tcPr>
            <w:tcW w:w="0" w:type="dxa"/>
            <w:vAlign w:val="bottom"/>
          </w:tcPr>
          <w:p>
            <w:pPr>
              <w:spacing w:after="0"/>
              <w:rPr>
                <w:sz w:val="1"/>
                <w:szCs w:val="1"/>
                <w:color w:val="auto"/>
              </w:rPr>
            </w:pPr>
          </w:p>
        </w:tc>
      </w:tr>
      <w:tr>
        <w:trPr>
          <w:trHeight w:val="221"/>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1,014,670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64.16</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80" w:type="dxa"/>
            <w:vAlign w:val="bottom"/>
          </w:tcPr>
          <w:p>
            <w:pPr>
              <w:ind w:left="20"/>
              <w:spacing w:after="0"/>
              <w:rPr>
                <w:sz w:val="20"/>
                <w:szCs w:val="20"/>
                <w:color w:val="auto"/>
              </w:rPr>
            </w:pPr>
            <w:r>
              <w:rPr>
                <w:rFonts w:ascii="Arial" w:cs="Arial" w:eastAsia="Arial" w:hAnsi="Arial"/>
                <w:sz w:val="18"/>
                <w:szCs w:val="18"/>
                <w:color w:val="auto"/>
              </w:rPr>
              <w:t>Granted</w:t>
            </w:r>
          </w:p>
        </w:tc>
        <w:tc>
          <w:tcPr>
            <w:tcW w:w="1180" w:type="dxa"/>
            <w:vAlign w:val="bottom"/>
          </w:tcPr>
          <w:p>
            <w:pPr>
              <w:jc w:val="right"/>
              <w:spacing w:after="0"/>
              <w:rPr>
                <w:sz w:val="20"/>
                <w:szCs w:val="20"/>
                <w:color w:val="auto"/>
              </w:rPr>
            </w:pPr>
            <w:r>
              <w:rPr>
                <w:rFonts w:ascii="Arial" w:cs="Arial" w:eastAsia="Arial" w:hAnsi="Arial"/>
                <w:sz w:val="18"/>
                <w:szCs w:val="18"/>
                <w:color w:val="auto"/>
              </w:rPr>
              <w:t>95,891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75.28</w:t>
            </w: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(518,536)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48.74</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80" w:type="dxa"/>
            <w:vAlign w:val="bottom"/>
          </w:tcPr>
          <w:p>
            <w:pPr>
              <w:ind w:left="20"/>
              <w:spacing w:after="0"/>
              <w:rPr>
                <w:sz w:val="20"/>
                <w:szCs w:val="20"/>
                <w:color w:val="auto"/>
              </w:rPr>
            </w:pPr>
            <w:r>
              <w:rPr>
                <w:rFonts w:ascii="Arial" w:cs="Arial" w:eastAsia="Arial" w:hAnsi="Arial"/>
                <w:sz w:val="18"/>
                <w:szCs w:val="18"/>
                <w:color w:val="auto"/>
              </w:rPr>
              <w:t>Expired</w:t>
            </w:r>
          </w:p>
        </w:tc>
        <w:tc>
          <w:tcPr>
            <w:tcW w:w="1180" w:type="dxa"/>
            <w:vAlign w:val="bottom"/>
          </w:tcPr>
          <w:p>
            <w:pPr>
              <w:jc w:val="right"/>
              <w:spacing w:after="0"/>
              <w:rPr>
                <w:sz w:val="20"/>
                <w:szCs w:val="20"/>
                <w:color w:val="auto"/>
              </w:rPr>
            </w:pPr>
            <w:r>
              <w:rPr>
                <w:rFonts w:ascii="Arial" w:cs="Arial" w:eastAsia="Arial" w:hAnsi="Arial"/>
                <w:sz w:val="18"/>
                <w:szCs w:val="18"/>
                <w:color w:val="auto"/>
              </w:rPr>
              <w:t>(37,458)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100.56</w:t>
            </w: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88.41</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680" w:type="dxa"/>
            <w:vAlign w:val="bottom"/>
          </w:tcPr>
          <w:p>
            <w:pPr>
              <w:ind w:left="20"/>
              <w:spacing w:after="0"/>
              <w:rPr>
                <w:sz w:val="20"/>
                <w:szCs w:val="20"/>
                <w:color w:val="auto"/>
              </w:rPr>
            </w:pPr>
            <w:r>
              <w:rPr>
                <w:rFonts w:ascii="Arial" w:cs="Arial" w:eastAsia="Arial" w:hAnsi="Arial"/>
                <w:sz w:val="18"/>
                <w:szCs w:val="18"/>
                <w:color w:val="auto"/>
              </w:rPr>
              <w:t>Outstanding at September 30, 2021</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496,354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76.83</w:t>
            </w:r>
          </w:p>
        </w:tc>
        <w:tc>
          <w:tcPr>
            <w:tcW w:w="10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7"/>
              </w:rPr>
              <w:t>6.8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 at September 30, 2021 and Expected to Vest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478,581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76.73</w:t>
            </w:r>
          </w:p>
        </w:tc>
        <w:tc>
          <w:tcPr>
            <w:tcW w:w="1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6.7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680" w:type="dxa"/>
            <w:vAlign w:val="bottom"/>
          </w:tcPr>
          <w:p>
            <w:pPr>
              <w:ind w:left="20"/>
              <w:spacing w:after="0" w:line="198" w:lineRule="exact"/>
              <w:rPr>
                <w:sz w:val="20"/>
                <w:szCs w:val="20"/>
                <w:color w:val="auto"/>
              </w:rPr>
            </w:pPr>
            <w:r>
              <w:rPr>
                <w:rFonts w:ascii="Arial" w:cs="Arial" w:eastAsia="Arial" w:hAnsi="Arial"/>
                <w:sz w:val="18"/>
                <w:szCs w:val="18"/>
                <w:color w:val="auto"/>
              </w:rPr>
              <w:t>Exercisable at September 30, 2021</w:t>
            </w:r>
          </w:p>
        </w:tc>
        <w:tc>
          <w:tcPr>
            <w:tcW w:w="11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316,154</w:t>
            </w:r>
          </w:p>
        </w:tc>
        <w:tc>
          <w:tcPr>
            <w:tcW w:w="280" w:type="dxa"/>
            <w:vAlign w:val="bottom"/>
            <w:gridSpan w:val="2"/>
          </w:tcPr>
          <w:p>
            <w:pPr>
              <w:jc w:val="right"/>
              <w:ind w:right="60"/>
              <w:spacing w:after="0" w:line="198"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98" w:lineRule="exact"/>
              <w:rPr>
                <w:sz w:val="20"/>
                <w:szCs w:val="20"/>
                <w:color w:val="auto"/>
              </w:rPr>
            </w:pPr>
            <w:r>
              <w:rPr>
                <w:rFonts w:ascii="Arial" w:cs="Arial" w:eastAsia="Arial" w:hAnsi="Arial"/>
                <w:sz w:val="18"/>
                <w:szCs w:val="18"/>
                <w:color w:val="auto"/>
              </w:rPr>
              <w:t>73.73</w:t>
            </w:r>
          </w:p>
        </w:tc>
        <w:tc>
          <w:tcPr>
            <w:tcW w:w="100" w:type="dxa"/>
            <w:vAlign w:val="bottom"/>
          </w:tcPr>
          <w:p>
            <w:pPr>
              <w:spacing w:after="0"/>
              <w:rPr>
                <w:sz w:val="17"/>
                <w:szCs w:val="17"/>
                <w:color w:val="auto"/>
              </w:rPr>
            </w:pPr>
          </w:p>
        </w:tc>
        <w:tc>
          <w:tcPr>
            <w:tcW w:w="1720" w:type="dxa"/>
            <w:vAlign w:val="bottom"/>
          </w:tcPr>
          <w:p>
            <w:pPr>
              <w:jc w:val="center"/>
              <w:spacing w:after="0" w:line="198" w:lineRule="exact"/>
              <w:rPr>
                <w:sz w:val="20"/>
                <w:szCs w:val="20"/>
                <w:color w:val="auto"/>
              </w:rPr>
            </w:pPr>
            <w:r>
              <w:rPr>
                <w:rFonts w:ascii="Arial" w:cs="Arial" w:eastAsia="Arial" w:hAnsi="Arial"/>
                <w:sz w:val="18"/>
                <w:szCs w:val="18"/>
                <w:color w:val="auto"/>
                <w:w w:val="87"/>
              </w:rPr>
              <w:t>5.7</w:t>
            </w:r>
          </w:p>
        </w:tc>
        <w:tc>
          <w:tcPr>
            <w:tcW w:w="100" w:type="dxa"/>
            <w:vAlign w:val="bottom"/>
          </w:tcPr>
          <w:p>
            <w:pPr>
              <w:spacing w:after="0"/>
              <w:rPr>
                <w:sz w:val="17"/>
                <w:szCs w:val="17"/>
                <w:color w:val="auto"/>
              </w:rPr>
            </w:pPr>
          </w:p>
        </w:tc>
        <w:tc>
          <w:tcPr>
            <w:tcW w:w="200" w:type="dxa"/>
            <w:vAlign w:val="bottom"/>
          </w:tcPr>
          <w:p>
            <w:pPr>
              <w:jc w:val="right"/>
              <w:spacing w:after="0" w:line="198"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line="198"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2" w:lineRule="exact"/>
        <w:rPr>
          <w:sz w:val="20"/>
          <w:szCs w:val="20"/>
          <w:color w:val="auto"/>
        </w:rPr>
      </w:pPr>
    </w:p>
    <w:p>
      <w:pPr>
        <w:ind w:right="200" w:firstLine="318"/>
        <w:spacing w:after="0" w:line="271" w:lineRule="auto"/>
        <w:rPr>
          <w:sz w:val="20"/>
          <w:szCs w:val="20"/>
          <w:color w:val="auto"/>
        </w:rPr>
      </w:pPr>
      <w:r>
        <w:rPr>
          <w:rFonts w:ascii="Arial" w:cs="Arial" w:eastAsia="Arial" w:hAnsi="Arial"/>
          <w:sz w:val="17"/>
          <w:szCs w:val="17"/>
          <w:color w:val="auto"/>
        </w:rPr>
        <w:t>The aggregate intrinsic value in the table above represents the total pre-tax intrinsic value (the difference between the closing stock price of the Company’s common stock on the last trading day of the third quarter of 2021 and the exercise price, multiplied by the number of in-the-money options) that would have been received by the option holders had all option holders exercised their options on September 30, 2021. The aggregate intrinsic value will change based on the fair market value of the Company’s common stock and the number of in-the-money options.</w:t>
      </w:r>
    </w:p>
    <w:p>
      <w:pPr>
        <w:spacing w:after="0" w:line="19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Equity Classified Awards - Restricted Stock and Restricted Stock Units</w:t>
      </w:r>
    </w:p>
    <w:p>
      <w:pPr>
        <w:spacing w:after="0" w:line="217" w:lineRule="exact"/>
        <w:rPr>
          <w:sz w:val="20"/>
          <w:szCs w:val="20"/>
          <w:color w:val="auto"/>
        </w:rPr>
      </w:pPr>
    </w:p>
    <w:p>
      <w:pPr>
        <w:ind w:right="60" w:firstLine="318"/>
        <w:spacing w:after="0" w:line="264" w:lineRule="auto"/>
        <w:rPr>
          <w:sz w:val="20"/>
          <w:szCs w:val="20"/>
          <w:color w:val="auto"/>
        </w:rPr>
      </w:pPr>
      <w:r>
        <w:rPr>
          <w:rFonts w:ascii="Arial" w:cs="Arial" w:eastAsia="Arial" w:hAnsi="Arial"/>
          <w:sz w:val="18"/>
          <w:szCs w:val="18"/>
          <w:color w:val="auto"/>
        </w:rPr>
        <w:t>Outstanding balances as of September 30, 2021, and activity related to restricted stock and restricted stock units for the nine months ended September 30, 2021 were as follows:</w:t>
      </w:r>
    </w:p>
    <w:tbl>
      <w:tblPr>
        <w:tblLayout w:type="fixed"/>
        <w:tblInd w:w="0" w:type="dxa"/>
        <w:tblCellMar>
          <w:top w:w="0" w:type="dxa"/>
          <w:left w:w="0" w:type="dxa"/>
          <w:bottom w:w="0" w:type="dxa"/>
          <w:right w:w="0" w:type="dxa"/>
        </w:tblCellMar>
      </w:tblPr>
      <w:tr>
        <w:trPr>
          <w:trHeight w:val="167"/>
        </w:trPr>
        <w:tc>
          <w:tcPr>
            <w:tcW w:w="59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60"/>
              <w:spacing w:after="0" w:line="167" w:lineRule="exact"/>
              <w:rPr>
                <w:sz w:val="20"/>
                <w:szCs w:val="20"/>
                <w:color w:val="auto"/>
              </w:rPr>
            </w:pPr>
            <w:r>
              <w:rPr>
                <w:rFonts w:ascii="Arial" w:cs="Arial" w:eastAsia="Arial" w:hAnsi="Arial"/>
                <w:sz w:val="16"/>
                <w:szCs w:val="16"/>
                <w:b w:val="1"/>
                <w:bCs w:val="1"/>
                <w:color w:val="auto"/>
                <w:w w:val="91"/>
              </w:rPr>
              <w:t>Weighted</w:t>
            </w:r>
          </w:p>
        </w:tc>
        <w:tc>
          <w:tcPr>
            <w:tcW w:w="13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7"/>
              </w:rPr>
              <w:t>Stock-Settled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56"/>
              <w:spacing w:after="0" w:line="167" w:lineRule="exact"/>
              <w:rPr>
                <w:sz w:val="20"/>
                <w:szCs w:val="20"/>
                <w:color w:val="auto"/>
              </w:rPr>
            </w:pPr>
            <w:r>
              <w:rPr>
                <w:rFonts w:ascii="Arial" w:cs="Arial" w:eastAsia="Arial" w:hAnsi="Arial"/>
                <w:sz w:val="16"/>
                <w:szCs w:val="16"/>
                <w:b w:val="1"/>
                <w:bCs w:val="1"/>
                <w:color w:val="auto"/>
                <w:w w:val="88"/>
              </w:rPr>
              <w:t>Weighted</w:t>
            </w:r>
          </w:p>
        </w:tc>
        <w:tc>
          <w:tcPr>
            <w:tcW w:w="0" w:type="dxa"/>
            <w:vAlign w:val="bottom"/>
          </w:tcPr>
          <w:p>
            <w:pPr>
              <w:spacing w:after="0"/>
              <w:rPr>
                <w:sz w:val="1"/>
                <w:szCs w:val="1"/>
                <w:color w:val="auto"/>
              </w:rPr>
            </w:pPr>
          </w:p>
        </w:tc>
      </w:tr>
      <w:tr>
        <w:trPr>
          <w:trHeight w:val="159"/>
        </w:trPr>
        <w:tc>
          <w:tcPr>
            <w:tcW w:w="5940" w:type="dxa"/>
            <w:vAlign w:val="bottom"/>
          </w:tcPr>
          <w:p>
            <w:pPr>
              <w:spacing w:after="0"/>
              <w:rPr>
                <w:sz w:val="13"/>
                <w:szCs w:val="13"/>
                <w:color w:val="auto"/>
              </w:rPr>
            </w:pPr>
          </w:p>
        </w:tc>
        <w:tc>
          <w:tcPr>
            <w:tcW w:w="1320" w:type="dxa"/>
            <w:vAlign w:val="bottom"/>
            <w:vMerge w:val="restart"/>
          </w:tcPr>
          <w:p>
            <w:pPr>
              <w:ind w:left="300"/>
              <w:spacing w:after="0"/>
              <w:rPr>
                <w:sz w:val="20"/>
                <w:szCs w:val="20"/>
                <w:color w:val="auto"/>
              </w:rPr>
            </w:pPr>
            <w:r>
              <w:rPr>
                <w:rFonts w:ascii="Arial" w:cs="Arial" w:eastAsia="Arial" w:hAnsi="Arial"/>
                <w:sz w:val="16"/>
                <w:szCs w:val="16"/>
                <w:b w:val="1"/>
                <w:bCs w:val="1"/>
                <w:color w:val="auto"/>
              </w:rPr>
              <w:t>Restricted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260"/>
              <w:spacing w:after="0" w:line="159" w:lineRule="exact"/>
              <w:rPr>
                <w:sz w:val="20"/>
                <w:szCs w:val="20"/>
                <w:color w:val="auto"/>
              </w:rPr>
            </w:pPr>
            <w:r>
              <w:rPr>
                <w:rFonts w:ascii="Arial" w:cs="Arial" w:eastAsia="Arial" w:hAnsi="Arial"/>
                <w:sz w:val="16"/>
                <w:szCs w:val="16"/>
                <w:b w:val="1"/>
                <w:bCs w:val="1"/>
                <w:color w:val="auto"/>
                <w:w w:val="85"/>
              </w:rPr>
              <w:t>Average</w:t>
            </w:r>
          </w:p>
        </w:tc>
        <w:tc>
          <w:tcPr>
            <w:tcW w:w="13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center"/>
              <w:ind w:right="76"/>
              <w:spacing w:after="0" w:line="159" w:lineRule="exact"/>
              <w:rPr>
                <w:sz w:val="20"/>
                <w:szCs w:val="20"/>
                <w:color w:val="auto"/>
              </w:rPr>
            </w:pPr>
            <w:r>
              <w:rPr>
                <w:rFonts w:ascii="Arial" w:cs="Arial" w:eastAsia="Arial" w:hAnsi="Arial"/>
                <w:sz w:val="16"/>
                <w:szCs w:val="16"/>
                <w:b w:val="1"/>
                <w:bCs w:val="1"/>
                <w:color w:val="auto"/>
                <w:w w:val="85"/>
              </w:rPr>
              <w:t>Average</w:t>
            </w:r>
          </w:p>
        </w:tc>
        <w:tc>
          <w:tcPr>
            <w:tcW w:w="0" w:type="dxa"/>
            <w:vAlign w:val="bottom"/>
          </w:tcPr>
          <w:p>
            <w:pPr>
              <w:spacing w:after="0"/>
              <w:rPr>
                <w:sz w:val="1"/>
                <w:szCs w:val="1"/>
                <w:color w:val="auto"/>
              </w:rPr>
            </w:pPr>
          </w:p>
        </w:tc>
      </w:tr>
      <w:tr>
        <w:trPr>
          <w:trHeight w:val="159"/>
        </w:trPr>
        <w:tc>
          <w:tcPr>
            <w:tcW w:w="594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260"/>
              <w:spacing w:after="0" w:line="159" w:lineRule="exact"/>
              <w:rPr>
                <w:sz w:val="20"/>
                <w:szCs w:val="20"/>
                <w:color w:val="auto"/>
              </w:rPr>
            </w:pPr>
            <w:r>
              <w:rPr>
                <w:rFonts w:ascii="Arial" w:cs="Arial" w:eastAsia="Arial" w:hAnsi="Arial"/>
                <w:sz w:val="16"/>
                <w:szCs w:val="16"/>
                <w:b w:val="1"/>
                <w:bCs w:val="1"/>
                <w:color w:val="auto"/>
                <w:w w:val="95"/>
              </w:rPr>
              <w:t>Grant Date</w:t>
            </w:r>
          </w:p>
        </w:tc>
        <w:tc>
          <w:tcPr>
            <w:tcW w:w="132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6"/>
              </w:rPr>
              <w:t>Restricted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center"/>
              <w:ind w:right="76"/>
              <w:spacing w:after="0" w:line="159" w:lineRule="exact"/>
              <w:rPr>
                <w:sz w:val="20"/>
                <w:szCs w:val="20"/>
                <w:color w:val="auto"/>
              </w:rPr>
            </w:pPr>
            <w:r>
              <w:rPr>
                <w:rFonts w:ascii="Arial" w:cs="Arial" w:eastAsia="Arial" w:hAnsi="Arial"/>
                <w:sz w:val="16"/>
                <w:szCs w:val="16"/>
                <w:b w:val="1"/>
                <w:bCs w:val="1"/>
                <w:color w:val="auto"/>
                <w:w w:val="95"/>
              </w:rPr>
              <w:t>Grant Date</w:t>
            </w:r>
          </w:p>
        </w:tc>
        <w:tc>
          <w:tcPr>
            <w:tcW w:w="0" w:type="dxa"/>
            <w:vAlign w:val="bottom"/>
          </w:tcPr>
          <w:p>
            <w:pPr>
              <w:spacing w:after="0"/>
              <w:rPr>
                <w:sz w:val="1"/>
                <w:szCs w:val="1"/>
                <w:color w:val="auto"/>
              </w:rPr>
            </w:pPr>
          </w:p>
        </w:tc>
      </w:tr>
      <w:tr>
        <w:trPr>
          <w:trHeight w:val="210"/>
        </w:trPr>
        <w:tc>
          <w:tcPr>
            <w:tcW w:w="594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ind w:left="460"/>
              <w:spacing w:after="0"/>
              <w:rPr>
                <w:sz w:val="20"/>
                <w:szCs w:val="20"/>
                <w:color w:val="auto"/>
              </w:rPr>
            </w:pPr>
            <w:r>
              <w:rPr>
                <w:rFonts w:ascii="Arial" w:cs="Arial" w:eastAsia="Arial" w:hAnsi="Arial"/>
                <w:sz w:val="16"/>
                <w:szCs w:val="16"/>
                <w:b w:val="1"/>
                <w:bCs w:val="1"/>
                <w:color w:val="auto"/>
              </w:rPr>
              <w:t>Stock</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76"/>
              <w:spacing w:after="0"/>
              <w:rPr>
                <w:sz w:val="20"/>
                <w:szCs w:val="20"/>
                <w:color w:val="auto"/>
              </w:rPr>
            </w:pPr>
            <w:r>
              <w:rPr>
                <w:rFonts w:ascii="Arial" w:cs="Arial" w:eastAsia="Arial" w:hAnsi="Arial"/>
                <w:sz w:val="16"/>
                <w:szCs w:val="16"/>
                <w:b w:val="1"/>
                <w:bCs w:val="1"/>
                <w:color w:val="auto"/>
                <w:w w:val="91"/>
              </w:rPr>
              <w:t>Fair Value</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Stock Units</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76"/>
              <w:spacing w:after="0"/>
              <w:rPr>
                <w:sz w:val="20"/>
                <w:szCs w:val="20"/>
                <w:color w:val="auto"/>
              </w:rPr>
            </w:pPr>
            <w:r>
              <w:rPr>
                <w:rFonts w:ascii="Arial" w:cs="Arial" w:eastAsia="Arial" w:hAnsi="Arial"/>
                <w:sz w:val="16"/>
                <w:szCs w:val="16"/>
                <w:b w:val="1"/>
                <w:bCs w:val="1"/>
                <w:color w:val="auto"/>
                <w:w w:val="91"/>
              </w:rPr>
              <w:t>Fair Value</w:t>
            </w:r>
          </w:p>
        </w:tc>
        <w:tc>
          <w:tcPr>
            <w:tcW w:w="0" w:type="dxa"/>
            <w:vAlign w:val="bottom"/>
          </w:tcPr>
          <w:p>
            <w:pPr>
              <w:spacing w:after="0"/>
              <w:rPr>
                <w:sz w:val="1"/>
                <w:szCs w:val="1"/>
                <w:color w:val="auto"/>
              </w:rPr>
            </w:pPr>
          </w:p>
        </w:tc>
      </w:tr>
      <w:tr>
        <w:trPr>
          <w:trHeight w:val="221"/>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132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8"/>
              </w:rPr>
              <w:t>254,331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355,570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28.01</w:t>
            </w:r>
          </w:p>
        </w:tc>
        <w:tc>
          <w:tcPr>
            <w:tcW w:w="0" w:type="dxa"/>
            <w:vAlign w:val="bottom"/>
          </w:tcPr>
          <w:p>
            <w:pPr>
              <w:spacing w:after="0"/>
              <w:rPr>
                <w:sz w:val="1"/>
                <w:szCs w:val="1"/>
                <w:color w:val="auto"/>
              </w:rPr>
            </w:pPr>
          </w:p>
        </w:tc>
      </w:tr>
      <w:tr>
        <w:trPr>
          <w:trHeight w:val="225"/>
        </w:trPr>
        <w:tc>
          <w:tcPr>
            <w:tcW w:w="5940" w:type="dxa"/>
            <w:vAlign w:val="bottom"/>
          </w:tcPr>
          <w:p>
            <w:pPr>
              <w:ind w:left="20"/>
              <w:spacing w:after="0"/>
              <w:rPr>
                <w:sz w:val="20"/>
                <w:szCs w:val="20"/>
                <w:color w:val="auto"/>
              </w:rPr>
            </w:pPr>
            <w:r>
              <w:rPr>
                <w:rFonts w:ascii="Arial" w:cs="Arial" w:eastAsia="Arial" w:hAnsi="Arial"/>
                <w:sz w:val="18"/>
                <w:szCs w:val="18"/>
                <w:color w:val="auto"/>
              </w:rPr>
              <w:t>Granted</w:t>
            </w:r>
          </w:p>
        </w:tc>
        <w:tc>
          <w:tcPr>
            <w:tcW w:w="1320" w:type="dxa"/>
            <w:vAlign w:val="bottom"/>
          </w:tcPr>
          <w:p>
            <w:pPr>
              <w:ind w:left="660"/>
              <w:spacing w:after="0"/>
              <w:rPr>
                <w:sz w:val="20"/>
                <w:szCs w:val="20"/>
                <w:color w:val="auto"/>
              </w:rPr>
            </w:pPr>
            <w:r>
              <w:rPr>
                <w:rFonts w:ascii="Arial" w:cs="Arial" w:eastAsia="Arial" w:hAnsi="Arial"/>
                <w:sz w:val="18"/>
                <w:szCs w:val="18"/>
                <w:color w:val="auto"/>
                <w:w w:val="98"/>
              </w:rPr>
              <w:t>133,225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83.41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68,998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63.04</w:t>
            </w:r>
          </w:p>
        </w:tc>
        <w:tc>
          <w:tcPr>
            <w:tcW w:w="0" w:type="dxa"/>
            <w:vAlign w:val="bottom"/>
          </w:tcPr>
          <w:p>
            <w:pPr>
              <w:spacing w:after="0"/>
              <w:rPr>
                <w:sz w:val="1"/>
                <w:szCs w:val="1"/>
                <w:color w:val="auto"/>
              </w:rPr>
            </w:pPr>
          </w:p>
        </w:tc>
      </w:tr>
      <w:tr>
        <w:trPr>
          <w:trHeight w:val="226"/>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Released</w:t>
            </w:r>
          </w:p>
        </w:tc>
        <w:tc>
          <w:tcPr>
            <w:tcW w:w="132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(51,319)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(317,702)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w:t>
            </w:r>
          </w:p>
        </w:tc>
        <w:tc>
          <w:tcPr>
            <w:tcW w:w="0" w:type="dxa"/>
            <w:vAlign w:val="bottom"/>
          </w:tcPr>
          <w:p>
            <w:pPr>
              <w:spacing w:after="0"/>
              <w:rPr>
                <w:sz w:val="1"/>
                <w:szCs w:val="1"/>
                <w:color w:val="auto"/>
              </w:rPr>
            </w:pPr>
          </w:p>
        </w:tc>
      </w:tr>
      <w:tr>
        <w:trPr>
          <w:trHeight w:val="225"/>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32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w w:val="92"/>
              </w:rPr>
              <w:t>(49,469)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82.16</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September 30, 2021</w:t>
            </w:r>
          </w:p>
        </w:tc>
        <w:tc>
          <w:tcPr>
            <w:tcW w:w="13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98"/>
              </w:rPr>
              <w:t>286,768</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80.49</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106,866</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65.67</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Liability Classified Awards - Cash-settled Restricted Stock Units</w:t>
      </w:r>
    </w:p>
    <w:p>
      <w:pPr>
        <w:spacing w:after="0" w:line="244" w:lineRule="exact"/>
        <w:rPr>
          <w:sz w:val="20"/>
          <w:szCs w:val="20"/>
          <w:color w:val="auto"/>
        </w:rPr>
      </w:pPr>
    </w:p>
    <w:p>
      <w:pPr>
        <w:ind w:right="440" w:firstLine="318"/>
        <w:spacing w:after="0" w:line="264" w:lineRule="auto"/>
        <w:rPr>
          <w:sz w:val="20"/>
          <w:szCs w:val="20"/>
          <w:color w:val="auto"/>
        </w:rPr>
      </w:pPr>
      <w:r>
        <w:rPr>
          <w:rFonts w:ascii="Arial" w:cs="Arial" w:eastAsia="Arial" w:hAnsi="Arial"/>
          <w:sz w:val="18"/>
          <w:szCs w:val="18"/>
          <w:color w:val="auto"/>
        </w:rPr>
        <w:t>The Company has granted cash-settled restricted stock units to certain employees. These instruments are recorded as liabilities at fair value as of the respective period end.</w:t>
      </w:r>
    </w:p>
    <w:tbl>
      <w:tblPr>
        <w:tblLayout w:type="fixed"/>
        <w:tblInd w:w="420" w:type="dxa"/>
        <w:tblCellMar>
          <w:top w:w="0" w:type="dxa"/>
          <w:left w:w="0" w:type="dxa"/>
          <w:bottom w:w="0" w:type="dxa"/>
          <w:right w:w="0" w:type="dxa"/>
        </w:tblCellMar>
      </w:tblPr>
      <w:tr>
        <w:trPr>
          <w:trHeight w:val="167"/>
        </w:trPr>
        <w:tc>
          <w:tcPr>
            <w:tcW w:w="8420" w:type="dxa"/>
            <w:vAlign w:val="bottom"/>
          </w:tcPr>
          <w:p>
            <w:pPr>
              <w:spacing w:after="0"/>
              <w:rPr>
                <w:sz w:val="14"/>
                <w:szCs w:val="14"/>
                <w:color w:val="auto"/>
              </w:rPr>
            </w:pPr>
          </w:p>
        </w:tc>
        <w:tc>
          <w:tcPr>
            <w:tcW w:w="2300" w:type="dxa"/>
            <w:vAlign w:val="bottom"/>
          </w:tcPr>
          <w:p>
            <w:pPr>
              <w:jc w:val="right"/>
              <w:ind w:right="95"/>
              <w:spacing w:after="0" w:line="167" w:lineRule="exact"/>
              <w:rPr>
                <w:sz w:val="20"/>
                <w:szCs w:val="20"/>
                <w:color w:val="auto"/>
              </w:rPr>
            </w:pPr>
            <w:r>
              <w:rPr>
                <w:rFonts w:ascii="Arial" w:cs="Arial" w:eastAsia="Arial" w:hAnsi="Arial"/>
                <w:sz w:val="16"/>
                <w:szCs w:val="16"/>
                <w:b w:val="1"/>
                <w:bCs w:val="1"/>
                <w:color w:val="auto"/>
              </w:rPr>
              <w:t>Cash-Settled Restricted</w:t>
            </w:r>
          </w:p>
        </w:tc>
      </w:tr>
      <w:tr>
        <w:trPr>
          <w:trHeight w:val="210"/>
        </w:trPr>
        <w:tc>
          <w:tcPr>
            <w:tcW w:w="8420" w:type="dxa"/>
            <w:vAlign w:val="bottom"/>
            <w:tcBorders>
              <w:bottom w:val="single" w:sz="8" w:color="CCEEFF"/>
            </w:tcBorders>
          </w:tcPr>
          <w:p>
            <w:pPr>
              <w:spacing w:after="0"/>
              <w:rPr>
                <w:sz w:val="18"/>
                <w:szCs w:val="18"/>
                <w:color w:val="auto"/>
              </w:rPr>
            </w:pPr>
          </w:p>
        </w:tc>
        <w:tc>
          <w:tcPr>
            <w:tcW w:w="2300" w:type="dxa"/>
            <w:vAlign w:val="bottom"/>
            <w:tcBorders>
              <w:bottom w:val="single" w:sz="8" w:color="auto"/>
            </w:tcBorders>
          </w:tcPr>
          <w:p>
            <w:pPr>
              <w:jc w:val="right"/>
              <w:ind w:right="675"/>
              <w:spacing w:after="0"/>
              <w:rPr>
                <w:sz w:val="20"/>
                <w:szCs w:val="20"/>
                <w:color w:val="auto"/>
              </w:rPr>
            </w:pPr>
            <w:r>
              <w:rPr>
                <w:rFonts w:ascii="Arial" w:cs="Arial" w:eastAsia="Arial" w:hAnsi="Arial"/>
                <w:sz w:val="16"/>
                <w:szCs w:val="16"/>
                <w:b w:val="1"/>
                <w:bCs w:val="1"/>
                <w:color w:val="auto"/>
              </w:rPr>
              <w:t>Stock Units</w:t>
            </w:r>
          </w:p>
        </w:tc>
      </w:tr>
      <w:tr>
        <w:trPr>
          <w:trHeight w:val="221"/>
        </w:trPr>
        <w:tc>
          <w:tcPr>
            <w:tcW w:w="8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Outstanding at December 31, 2020</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52,956</w:t>
            </w:r>
          </w:p>
        </w:tc>
      </w:tr>
      <w:tr>
        <w:trPr>
          <w:trHeight w:val="225"/>
        </w:trPr>
        <w:tc>
          <w:tcPr>
            <w:tcW w:w="8420" w:type="dxa"/>
            <w:vAlign w:val="bottom"/>
          </w:tcPr>
          <w:p>
            <w:pPr>
              <w:ind w:left="340"/>
              <w:spacing w:after="0"/>
              <w:rPr>
                <w:sz w:val="20"/>
                <w:szCs w:val="20"/>
                <w:color w:val="auto"/>
              </w:rPr>
            </w:pPr>
            <w:r>
              <w:rPr>
                <w:rFonts w:ascii="Arial" w:cs="Arial" w:eastAsia="Arial" w:hAnsi="Arial"/>
                <w:sz w:val="18"/>
                <w:szCs w:val="18"/>
                <w:color w:val="auto"/>
              </w:rPr>
              <w:t>Released</w:t>
            </w:r>
          </w:p>
        </w:tc>
        <w:tc>
          <w:tcPr>
            <w:tcW w:w="2300" w:type="dxa"/>
            <w:vAlign w:val="bottom"/>
          </w:tcPr>
          <w:p>
            <w:pPr>
              <w:jc w:val="right"/>
              <w:spacing w:after="0"/>
              <w:rPr>
                <w:sz w:val="20"/>
                <w:szCs w:val="20"/>
                <w:color w:val="auto"/>
              </w:rPr>
            </w:pPr>
            <w:r>
              <w:rPr>
                <w:rFonts w:ascii="Arial" w:cs="Arial" w:eastAsia="Arial" w:hAnsi="Arial"/>
                <w:sz w:val="18"/>
                <w:szCs w:val="18"/>
                <w:color w:val="auto"/>
              </w:rPr>
              <w:t>(38,916)</w:t>
            </w:r>
          </w:p>
        </w:tc>
      </w:tr>
      <w:tr>
        <w:trPr>
          <w:trHeight w:val="225"/>
        </w:trPr>
        <w:tc>
          <w:tcPr>
            <w:tcW w:w="8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Forfeited</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w:t>
            </w:r>
          </w:p>
        </w:tc>
      </w:tr>
      <w:tr>
        <w:trPr>
          <w:trHeight w:val="219"/>
        </w:trPr>
        <w:tc>
          <w:tcPr>
            <w:tcW w:w="8420" w:type="dxa"/>
            <w:vAlign w:val="bottom"/>
          </w:tcPr>
          <w:p>
            <w:pPr>
              <w:ind w:left="340"/>
              <w:spacing w:after="0"/>
              <w:rPr>
                <w:sz w:val="20"/>
                <w:szCs w:val="20"/>
                <w:color w:val="auto"/>
              </w:rPr>
            </w:pPr>
            <w:r>
              <w:rPr>
                <w:rFonts w:ascii="Arial" w:cs="Arial" w:eastAsia="Arial" w:hAnsi="Arial"/>
                <w:sz w:val="18"/>
                <w:szCs w:val="18"/>
                <w:color w:val="auto"/>
              </w:rPr>
              <w:t>Outstanding at September 30, 2021</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12,864</w:t>
            </w:r>
          </w:p>
        </w:tc>
      </w:tr>
      <w:tr>
        <w:trPr>
          <w:trHeight w:val="20"/>
        </w:trPr>
        <w:tc>
          <w:tcPr>
            <w:tcW w:w="8420" w:type="dxa"/>
            <w:vAlign w:val="bottom"/>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ind w:right="40" w:firstLine="318"/>
        <w:spacing w:after="0" w:line="268" w:lineRule="auto"/>
        <w:rPr>
          <w:sz w:val="20"/>
          <w:szCs w:val="20"/>
          <w:color w:val="auto"/>
        </w:rPr>
      </w:pPr>
      <w:r>
        <w:rPr>
          <w:rFonts w:ascii="Arial" w:cs="Arial" w:eastAsia="Arial" w:hAnsi="Arial"/>
          <w:sz w:val="17"/>
          <w:szCs w:val="17"/>
          <w:color w:val="auto"/>
        </w:rPr>
        <w:t>For the three months ended September 30, 2021 and 2020, an expense of $0.1 million and $0.8 million, respectively, was included as stock-based compensation expense related to cash-settled restricted stock units. For the nine months ended September 30, 2021 and 2020, an expense of $1.5 million and a credit of $0.1 million, respectively, was included as stock-based compensation expense related to cash-settled restricted stock units. At September 30, 2021 and December 31, 2020, liabilities of $0.9 million and $2.5 million, respectively, related to cash-settled restricted stock units were included as part of accrued employee compensation and benefits in the Consolidated Balance Sheets.</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22" w:name="page23"/>
    <w:bookmarkEnd w:id="2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Stock-Based Compensation (Continued)</w:t>
      </w:r>
    </w:p>
    <w:p>
      <w:pPr>
        <w:spacing w:after="0" w:line="200" w:lineRule="exact"/>
        <w:rPr>
          <w:sz w:val="20"/>
          <w:szCs w:val="20"/>
          <w:color w:val="auto"/>
        </w:rPr>
      </w:pPr>
    </w:p>
    <w:p>
      <w:pPr>
        <w:spacing w:after="0" w:line="3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Liability Classified Awards - Long-Term Incentive Awards</w:t>
      </w:r>
    </w:p>
    <w:p>
      <w:pPr>
        <w:spacing w:after="0" w:line="151"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The Company has granted cash long-term incentive awards (“LTIP awards”) to certain employees. Annual LTIP awards vest over a three-year period and are determined using multipliers from 0% to 200% of the target award based on the total stockholder return of Dine Brands Global common stock compared to the total stockholder returns of a peer group of companies. The awards are considered stock-based compensation and are classified as liabilities measured at fair value as of the respective period end. For the three months ended September 30, 2021 and 2020, an expense of $0.2 million and $0.3 million, respectively, were included in total stock-based compensation expense related to LTIP awards. For the nine months ended September 30, 2021 and 2020, $0.7 million and $0.7 million, respectively, were included in total stock-based compensation expense related to LTIP awards. At September 30, 2021 and December 31, 2020, liabilities of $1.4 million and $2.1 million, respectively, related to LTIP awards were included as part of accrued employee compensation and benefits in the Consolidated Balance Sheets.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Income (Loss) per Share</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computation of the Company's basic and diluted net income (loss) per share is as follows: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20" w:type="dxa"/>
            <w:vAlign w:val="bottom"/>
            <w:gridSpan w:val="5"/>
          </w:tcPr>
          <w:p>
            <w:pPr>
              <w:ind w:left="140"/>
              <w:spacing w:after="0"/>
              <w:rPr>
                <w:sz w:val="20"/>
                <w:szCs w:val="20"/>
                <w:color w:val="auto"/>
              </w:rPr>
            </w:pPr>
            <w:r>
              <w:rPr>
                <w:rFonts w:ascii="Arial" w:cs="Arial" w:eastAsia="Arial" w:hAnsi="Arial"/>
                <w:sz w:val="17"/>
                <w:szCs w:val="17"/>
                <w:b w:val="1"/>
                <w:bCs w:val="1"/>
                <w:color w:val="auto"/>
              </w:rPr>
              <w:t>Three months ended</w:t>
            </w:r>
          </w:p>
        </w:tc>
        <w:tc>
          <w:tcPr>
            <w:tcW w:w="240" w:type="dxa"/>
            <w:vAlign w:val="bottom"/>
          </w:tcPr>
          <w:p>
            <w:pPr>
              <w:spacing w:after="0"/>
              <w:rPr>
                <w:sz w:val="16"/>
                <w:szCs w:val="16"/>
                <w:color w:val="auto"/>
              </w:rPr>
            </w:pPr>
          </w:p>
        </w:tc>
        <w:tc>
          <w:tcPr>
            <w:tcW w:w="1940" w:type="dxa"/>
            <w:vAlign w:val="bottom"/>
            <w:gridSpan w:val="4"/>
          </w:tcPr>
          <w:p>
            <w:pPr>
              <w:jc w:val="right"/>
              <w:ind w:right="312"/>
              <w:spacing w:after="0"/>
              <w:rPr>
                <w:sz w:val="20"/>
                <w:szCs w:val="20"/>
                <w:color w:val="auto"/>
              </w:rPr>
            </w:pPr>
            <w:r>
              <w:rPr>
                <w:rFonts w:ascii="Arial" w:cs="Arial" w:eastAsia="Arial" w:hAnsi="Arial"/>
                <w:sz w:val="17"/>
                <w:szCs w:val="17"/>
                <w:b w:val="1"/>
                <w:bCs w:val="1"/>
                <w:color w:val="auto"/>
                <w:w w:val="96"/>
              </w:rPr>
              <w:t>Nine months ended</w:t>
            </w:r>
          </w:p>
        </w:tc>
        <w:tc>
          <w:tcPr>
            <w:tcW w:w="0" w:type="dxa"/>
            <w:vAlign w:val="bottom"/>
          </w:tcPr>
          <w:p>
            <w:pPr>
              <w:spacing w:after="0"/>
              <w:rPr>
                <w:sz w:val="1"/>
                <w:szCs w:val="1"/>
                <w:color w:val="auto"/>
              </w:rPr>
            </w:pPr>
          </w:p>
        </w:tc>
      </w:tr>
      <w:tr>
        <w:trPr>
          <w:trHeight w:val="212"/>
        </w:trPr>
        <w:tc>
          <w:tcPr>
            <w:tcW w:w="6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20" w:type="dxa"/>
            <w:vAlign w:val="bottom"/>
            <w:gridSpan w:val="5"/>
          </w:tcPr>
          <w:p>
            <w:pPr>
              <w:ind w:left="380"/>
              <w:spacing w:after="0"/>
              <w:rPr>
                <w:sz w:val="20"/>
                <w:szCs w:val="20"/>
                <w:color w:val="auto"/>
              </w:rPr>
            </w:pPr>
            <w:r>
              <w:rPr>
                <w:rFonts w:ascii="Arial" w:cs="Arial" w:eastAsia="Arial" w:hAnsi="Arial"/>
                <w:sz w:val="17"/>
                <w:szCs w:val="17"/>
                <w:b w:val="1"/>
                <w:bCs w:val="1"/>
                <w:color w:val="auto"/>
              </w:rPr>
              <w:t>September 30,</w:t>
            </w:r>
          </w:p>
        </w:tc>
        <w:tc>
          <w:tcPr>
            <w:tcW w:w="240" w:type="dxa"/>
            <w:vAlign w:val="bottom"/>
          </w:tcPr>
          <w:p>
            <w:pPr>
              <w:spacing w:after="0"/>
              <w:rPr>
                <w:sz w:val="18"/>
                <w:szCs w:val="18"/>
                <w:color w:val="auto"/>
              </w:rPr>
            </w:pPr>
          </w:p>
        </w:tc>
        <w:tc>
          <w:tcPr>
            <w:tcW w:w="1940" w:type="dxa"/>
            <w:vAlign w:val="bottom"/>
            <w:gridSpan w:val="4"/>
          </w:tcPr>
          <w:p>
            <w:pPr>
              <w:jc w:val="right"/>
              <w:ind w:right="492"/>
              <w:spacing w:after="0"/>
              <w:rPr>
                <w:sz w:val="20"/>
                <w:szCs w:val="20"/>
                <w:color w:val="auto"/>
              </w:rPr>
            </w:pPr>
            <w:r>
              <w:rPr>
                <w:rFonts w:ascii="Arial" w:cs="Arial" w:eastAsia="Arial" w:hAnsi="Arial"/>
                <w:sz w:val="17"/>
                <w:szCs w:val="17"/>
                <w:b w:val="1"/>
                <w:bCs w:val="1"/>
                <w:color w:val="auto"/>
              </w:rPr>
              <w:t>September 30,</w:t>
            </w:r>
          </w:p>
        </w:tc>
        <w:tc>
          <w:tcPr>
            <w:tcW w:w="0" w:type="dxa"/>
            <w:vAlign w:val="bottom"/>
          </w:tcPr>
          <w:p>
            <w:pPr>
              <w:spacing w:after="0"/>
              <w:rPr>
                <w:sz w:val="1"/>
                <w:szCs w:val="1"/>
                <w:color w:val="auto"/>
              </w:rPr>
            </w:pPr>
          </w:p>
        </w:tc>
      </w:tr>
      <w:tr>
        <w:trPr>
          <w:trHeight w:val="203"/>
        </w:trPr>
        <w:tc>
          <w:tcPr>
            <w:tcW w:w="668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79"/>
        </w:trPr>
        <w:tc>
          <w:tcPr>
            <w:tcW w:w="6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380" w:type="dxa"/>
            <w:vAlign w:val="bottom"/>
            <w:gridSpan w:val="7"/>
          </w:tcPr>
          <w:p>
            <w:pPr>
              <w:jc w:val="right"/>
              <w:ind w:right="120"/>
              <w:spacing w:after="0"/>
              <w:rPr>
                <w:sz w:val="20"/>
                <w:szCs w:val="20"/>
                <w:color w:val="auto"/>
              </w:rPr>
            </w:pPr>
            <w:r>
              <w:rPr>
                <w:rFonts w:ascii="Arial" w:cs="Arial" w:eastAsia="Arial" w:hAnsi="Arial"/>
                <w:sz w:val="14"/>
                <w:szCs w:val="14"/>
                <w:b w:val="1"/>
                <w:bCs w:val="1"/>
                <w:color w:val="auto"/>
                <w:w w:val="90"/>
              </w:rPr>
              <w:t>(In thousands, except per share data)</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6680" w:type="dxa"/>
            <w:vAlign w:val="bottom"/>
          </w:tcPr>
          <w:p>
            <w:pPr>
              <w:ind w:left="20"/>
              <w:spacing w:after="0"/>
              <w:rPr>
                <w:sz w:val="20"/>
                <w:szCs w:val="20"/>
                <w:color w:val="auto"/>
              </w:rPr>
            </w:pPr>
            <w:r>
              <w:rPr>
                <w:rFonts w:ascii="Arial" w:cs="Arial" w:eastAsia="Arial" w:hAnsi="Arial"/>
                <w:sz w:val="18"/>
                <w:szCs w:val="18"/>
                <w:color w:val="auto"/>
              </w:rPr>
              <w:t>Numerator for basic and diluted income (loss) per common share:</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23,111</w:t>
            </w:r>
          </w:p>
        </w:tc>
        <w:tc>
          <w:tcPr>
            <w:tcW w:w="3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(102,433)</w:t>
            </w:r>
          </w:p>
        </w:tc>
        <w:tc>
          <w:tcPr>
            <w:tcW w:w="0" w:type="dxa"/>
            <w:vAlign w:val="bottom"/>
          </w:tcPr>
          <w:p>
            <w:pPr>
              <w:spacing w:after="0"/>
              <w:rPr>
                <w:sz w:val="1"/>
                <w:szCs w:val="1"/>
                <w:color w:val="auto"/>
              </w:rPr>
            </w:pPr>
          </w:p>
        </w:tc>
      </w:tr>
      <w:tr>
        <w:trPr>
          <w:trHeight w:val="225"/>
        </w:trPr>
        <w:tc>
          <w:tcPr>
            <w:tcW w:w="66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Less: Net income allocated to unvested participating restricted stock</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9"/>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available to common stockholders - basic</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(102,853)</w:t>
            </w:r>
          </w:p>
        </w:tc>
        <w:tc>
          <w:tcPr>
            <w:tcW w:w="0" w:type="dxa"/>
            <w:vAlign w:val="bottom"/>
          </w:tcPr>
          <w:p>
            <w:pPr>
              <w:spacing w:after="0"/>
              <w:rPr>
                <w:sz w:val="1"/>
                <w:szCs w:val="1"/>
                <w:color w:val="auto"/>
              </w:rPr>
            </w:pPr>
          </w:p>
        </w:tc>
      </w:tr>
      <w:tr>
        <w:trPr>
          <w:trHeight w:val="225"/>
        </w:trPr>
        <w:tc>
          <w:tcPr>
            <w:tcW w:w="66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Effect of unvested participating restricted stock in two-class calculation</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available to common stockholders - diluted</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22,611</w:t>
            </w:r>
          </w:p>
        </w:tc>
        <w:tc>
          <w:tcPr>
            <w:tcW w:w="3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76,169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(102,853)</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Denominator:</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6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outstanding shares of common stock - basic</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16,229</w:t>
            </w:r>
          </w:p>
        </w:tc>
        <w:tc>
          <w:tcPr>
            <w:tcW w:w="0" w:type="dxa"/>
            <w:vAlign w:val="bottom"/>
          </w:tcPr>
          <w:p>
            <w:pPr>
              <w:spacing w:after="0"/>
              <w:rPr>
                <w:sz w:val="1"/>
                <w:szCs w:val="1"/>
                <w:color w:val="auto"/>
              </w:rPr>
            </w:pPr>
          </w:p>
        </w:tc>
      </w:tr>
      <w:tr>
        <w:trPr>
          <w:trHeight w:val="225"/>
        </w:trPr>
        <w:tc>
          <w:tcPr>
            <w:tcW w:w="66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Dilutive effect of stock options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outstanding shares of common stock - diluted</w:t>
            </w: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16,971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16,283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16,229</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 (loss) per common share: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6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6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680" w:type="dxa"/>
            <w:vAlign w:val="bottom"/>
          </w:tcPr>
          <w:p>
            <w:pPr>
              <w:ind w:left="220"/>
              <w:spacing w:after="0" w:line="198" w:lineRule="exact"/>
              <w:rPr>
                <w:sz w:val="20"/>
                <w:szCs w:val="20"/>
                <w:color w:val="auto"/>
              </w:rPr>
            </w:pPr>
            <w:r>
              <w:rPr>
                <w:rFonts w:ascii="Arial" w:cs="Arial" w:eastAsia="Arial" w:hAnsi="Arial"/>
                <w:sz w:val="18"/>
                <w:szCs w:val="18"/>
                <w:color w:val="auto"/>
              </w:rPr>
              <w:t>Diluted</w:t>
            </w:r>
          </w:p>
        </w:tc>
        <w:tc>
          <w:tcPr>
            <w:tcW w:w="260" w:type="dxa"/>
            <w:vAlign w:val="bottom"/>
          </w:tcPr>
          <w:p>
            <w:pPr>
              <w:jc w:val="right"/>
              <w:ind w:right="52"/>
              <w:spacing w:after="0" w:line="198" w:lineRule="exact"/>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line="198" w:lineRule="exact"/>
              <w:rPr>
                <w:sz w:val="20"/>
                <w:szCs w:val="20"/>
                <w:color w:val="auto"/>
              </w:rPr>
            </w:pPr>
            <w:r>
              <w:rPr>
                <w:rFonts w:ascii="Arial" w:cs="Arial" w:eastAsia="Arial" w:hAnsi="Arial"/>
                <w:sz w:val="18"/>
                <w:szCs w:val="18"/>
                <w:color w:val="auto"/>
              </w:rPr>
              <w:t>1.33</w:t>
            </w:r>
          </w:p>
        </w:tc>
        <w:tc>
          <w:tcPr>
            <w:tcW w:w="340" w:type="dxa"/>
            <w:vAlign w:val="bottom"/>
            <w:gridSpan w:val="2"/>
          </w:tcPr>
          <w:p>
            <w:pPr>
              <w:jc w:val="right"/>
              <w:ind w:right="32"/>
              <w:spacing w:after="0" w:line="198"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98" w:lineRule="exact"/>
              <w:rPr>
                <w:sz w:val="20"/>
                <w:szCs w:val="20"/>
                <w:color w:val="auto"/>
              </w:rPr>
            </w:pPr>
            <w:r>
              <w:rPr>
                <w:rFonts w:ascii="Arial" w:cs="Arial" w:eastAsia="Arial" w:hAnsi="Arial"/>
                <w:sz w:val="18"/>
                <w:szCs w:val="18"/>
                <w:color w:val="auto"/>
              </w:rPr>
              <w:t>0.60</w:t>
            </w:r>
          </w:p>
        </w:tc>
        <w:tc>
          <w:tcPr>
            <w:tcW w:w="100" w:type="dxa"/>
            <w:vAlign w:val="bottom"/>
          </w:tcPr>
          <w:p>
            <w:pPr>
              <w:spacing w:after="0"/>
              <w:rPr>
                <w:sz w:val="17"/>
                <w:szCs w:val="17"/>
                <w:color w:val="auto"/>
              </w:rPr>
            </w:pPr>
          </w:p>
        </w:tc>
        <w:tc>
          <w:tcPr>
            <w:tcW w:w="240" w:type="dxa"/>
            <w:vAlign w:val="bottom"/>
          </w:tcPr>
          <w:p>
            <w:pPr>
              <w:jc w:val="right"/>
              <w:ind w:right="32"/>
              <w:spacing w:after="0" w:line="198"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line="198" w:lineRule="exact"/>
              <w:rPr>
                <w:sz w:val="20"/>
                <w:szCs w:val="20"/>
                <w:color w:val="auto"/>
              </w:rPr>
            </w:pPr>
            <w:r>
              <w:rPr>
                <w:rFonts w:ascii="Arial" w:cs="Arial" w:eastAsia="Arial" w:hAnsi="Arial"/>
                <w:sz w:val="18"/>
                <w:szCs w:val="18"/>
                <w:color w:val="auto"/>
              </w:rPr>
              <w:t>4.52</w:t>
            </w:r>
          </w:p>
        </w:tc>
        <w:tc>
          <w:tcPr>
            <w:tcW w:w="100" w:type="dxa"/>
            <w:vAlign w:val="bottom"/>
          </w:tcPr>
          <w:p>
            <w:pPr>
              <w:spacing w:after="0"/>
              <w:rPr>
                <w:sz w:val="17"/>
                <w:szCs w:val="17"/>
                <w:color w:val="auto"/>
              </w:rPr>
            </w:pPr>
          </w:p>
        </w:tc>
        <w:tc>
          <w:tcPr>
            <w:tcW w:w="220" w:type="dxa"/>
            <w:vAlign w:val="bottom"/>
          </w:tcPr>
          <w:p>
            <w:pPr>
              <w:jc w:val="right"/>
              <w:ind w:right="12"/>
              <w:spacing w:after="0" w:line="198" w:lineRule="exact"/>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line="198" w:lineRule="exact"/>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2" w:lineRule="exact"/>
        <w:rPr>
          <w:sz w:val="20"/>
          <w:szCs w:val="20"/>
          <w:color w:val="auto"/>
        </w:rPr>
      </w:pPr>
    </w:p>
    <w:p>
      <w:pPr>
        <w:ind w:right="620" w:firstLine="318"/>
        <w:spacing w:after="0" w:line="278" w:lineRule="auto"/>
        <w:rPr>
          <w:sz w:val="20"/>
          <w:szCs w:val="20"/>
          <w:color w:val="auto"/>
        </w:rPr>
      </w:pPr>
      <w:r>
        <w:rPr>
          <w:rFonts w:ascii="Arial" w:cs="Arial" w:eastAsia="Arial" w:hAnsi="Arial"/>
          <w:sz w:val="17"/>
          <w:szCs w:val="17"/>
          <w:color w:val="auto"/>
        </w:rPr>
        <w:t>For the nine months ended September 30, 2020, diluted loss per common share was computed using the basic weighted average number of shares outstanding during the period as the 86,000 shares from common stock equivalents would have been antidilutive.</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Segments</w:t>
      </w:r>
    </w:p>
    <w:p>
      <w:pPr>
        <w:spacing w:after="0" w:line="183" w:lineRule="exact"/>
        <w:rPr>
          <w:sz w:val="20"/>
          <w:szCs w:val="20"/>
          <w:color w:val="auto"/>
        </w:rPr>
      </w:pPr>
    </w:p>
    <w:p>
      <w:pPr>
        <w:ind w:right="200" w:firstLine="318"/>
        <w:spacing w:after="0" w:line="298" w:lineRule="auto"/>
        <w:rPr>
          <w:sz w:val="20"/>
          <w:szCs w:val="20"/>
          <w:color w:val="auto"/>
        </w:rPr>
      </w:pPr>
      <w:r>
        <w:rPr>
          <w:rFonts w:ascii="Arial" w:cs="Arial" w:eastAsia="Arial" w:hAnsi="Arial"/>
          <w:sz w:val="15"/>
          <w:szCs w:val="15"/>
          <w:color w:val="auto"/>
        </w:rPr>
        <w:t>The Company identifies its reporting segments based on the organizational units used by management to monitor performance and make operating decisions. The Company currently has five operating segments: Applebee's franchise operations, Applebee's company-operated restaurant operations, IHOP franchise operations, rental operations and financing operations. The Company has four reportable segments: franchise operations, (an aggregation of Applebee's and IHOP franchise operations), company-operated restaurant operations, rental operations and financing operations. The Company</w:t>
      </w:r>
    </w:p>
    <w:p>
      <w:pPr>
        <w:spacing w:after="0" w:line="3"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considers these to be its reportable segments, regardless of whether any segment exceeds 10% of consolidated revenues, income before income tax provision or total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3" w:name="page24"/>
    <w:bookmarkEnd w:id="2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jc w:val="center"/>
        <w:spacing w:after="0"/>
        <w:rPr>
          <w:sz w:val="20"/>
          <w:szCs w:val="20"/>
          <w:color w:val="auto"/>
        </w:rPr>
      </w:pPr>
      <w:r>
        <w:rPr>
          <w:rFonts w:ascii="Arial" w:cs="Arial" w:eastAsia="Arial" w:hAnsi="Arial"/>
          <w:sz w:val="18"/>
          <w:szCs w:val="18"/>
          <w:b w:val="1"/>
          <w:bCs w:val="1"/>
          <w:color w:val="auto"/>
        </w:rPr>
        <w:t>Dine Brand Global, Inc. and Subsidiaries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Segments (Continued)</w:t>
      </w:r>
    </w:p>
    <w:p>
      <w:pPr>
        <w:spacing w:after="0" w:line="200" w:lineRule="exact"/>
        <w:rPr>
          <w:sz w:val="20"/>
          <w:szCs w:val="20"/>
          <w:color w:val="auto"/>
        </w:rPr>
      </w:pPr>
    </w:p>
    <w:p>
      <w:pPr>
        <w:spacing w:after="0" w:line="307" w:lineRule="exact"/>
        <w:rPr>
          <w:sz w:val="20"/>
          <w:szCs w:val="20"/>
          <w:color w:val="auto"/>
        </w:rPr>
      </w:pPr>
    </w:p>
    <w:p>
      <w:pPr>
        <w:ind w:right="100" w:firstLine="352"/>
        <w:spacing w:after="0" w:line="267" w:lineRule="auto"/>
        <w:rPr>
          <w:sz w:val="20"/>
          <w:szCs w:val="20"/>
          <w:color w:val="auto"/>
        </w:rPr>
      </w:pPr>
      <w:r>
        <w:rPr>
          <w:rFonts w:ascii="Arial" w:cs="Arial" w:eastAsia="Arial" w:hAnsi="Arial"/>
          <w:sz w:val="17"/>
          <w:szCs w:val="17"/>
          <w:color w:val="auto"/>
        </w:rPr>
        <w:t>As of September 30, 2021, the franchise operations segment consisted of (i) 1,620 restaurants operated by Applebee’s franchisees in the United States, two U.S. territories and 11 countries outside the United States and (ii) 1,747 restaurants operated by IHOP franchisees and area licensees in the United States, two U.S. territories and seven countries outside the United States. Franchise operations revenue consists primarily of franchise royalty revenues, franchise advertising revenue, sales of proprietary products to franchisees (primarily pancake and waffle dry mixes for the IHOP restaurants), and franchise fees. Franchise operations expenses include advertising expenses, the cost of IHOP proprietary products, bad debt expense, franchisor contributions to marketing funds, pre-opening training expenses and other franchise-related costs.</w:t>
      </w:r>
    </w:p>
    <w:p>
      <w:pPr>
        <w:spacing w:after="0" w:line="206" w:lineRule="exact"/>
        <w:rPr>
          <w:sz w:val="20"/>
          <w:szCs w:val="20"/>
          <w:color w:val="auto"/>
        </w:rPr>
      </w:pPr>
    </w:p>
    <w:p>
      <w:pPr>
        <w:ind w:right="640" w:firstLine="318"/>
        <w:spacing w:after="0" w:line="252" w:lineRule="auto"/>
        <w:rPr>
          <w:sz w:val="20"/>
          <w:szCs w:val="20"/>
          <w:color w:val="auto"/>
        </w:rPr>
      </w:pPr>
      <w:r>
        <w:rPr>
          <w:rFonts w:ascii="Arial" w:cs="Arial" w:eastAsia="Arial" w:hAnsi="Arial"/>
          <w:sz w:val="18"/>
          <w:szCs w:val="18"/>
          <w:color w:val="auto"/>
        </w:rPr>
        <w:t>Company restaurant sales are retail sales at 69 Applebee's company-operated restaurants. Company restaurant expenses are operating expenses at company-operated restaurants and include food, labor, utilities, rent and other restaurant operating costs.</w:t>
      </w:r>
    </w:p>
    <w:p>
      <w:pPr>
        <w:spacing w:after="0" w:line="1" w:lineRule="exact"/>
        <w:rPr>
          <w:sz w:val="20"/>
          <w:szCs w:val="20"/>
          <w:color w:val="auto"/>
        </w:rPr>
      </w:pPr>
    </w:p>
    <w:p>
      <w:pPr>
        <w:ind w:right="300"/>
        <w:spacing w:after="0" w:line="245" w:lineRule="auto"/>
        <w:rPr>
          <w:sz w:val="20"/>
          <w:szCs w:val="20"/>
          <w:color w:val="auto"/>
        </w:rPr>
      </w:pPr>
      <w:r>
        <w:rPr>
          <w:rFonts w:ascii="Arial" w:cs="Arial" w:eastAsia="Arial" w:hAnsi="Arial"/>
          <w:sz w:val="18"/>
          <w:szCs w:val="18"/>
          <w:color w:val="auto"/>
        </w:rPr>
        <w:t>Rental operations revenue includes revenue from operating leases and interest income from direct financing leases. Rental operations expenses are costs of operating leases and interest expense from finance leases on which the Company is the lessee.</w:t>
      </w:r>
    </w:p>
    <w:p>
      <w:pPr>
        <w:spacing w:after="0" w:line="1" w:lineRule="exact"/>
        <w:rPr>
          <w:sz w:val="20"/>
          <w:szCs w:val="20"/>
          <w:color w:val="auto"/>
        </w:rPr>
      </w:pPr>
    </w:p>
    <w:p>
      <w:pPr>
        <w:ind w:right="260"/>
        <w:spacing w:after="0" w:line="251" w:lineRule="auto"/>
        <w:rPr>
          <w:sz w:val="20"/>
          <w:szCs w:val="20"/>
          <w:color w:val="auto"/>
        </w:rPr>
      </w:pPr>
      <w:r>
        <w:rPr>
          <w:rFonts w:ascii="Arial" w:cs="Arial" w:eastAsia="Arial" w:hAnsi="Arial"/>
          <w:sz w:val="18"/>
          <w:szCs w:val="18"/>
          <w:color w:val="auto"/>
        </w:rPr>
        <w:t>Financing revenues primarily consist of interest income from the financing of IHOP equipment leases and franchise fees and interest income on Applebee's notes receivable from franchisees. Financing expenses are the cost of taxes related to IHOP equipment leases.</w:t>
      </w:r>
    </w:p>
    <w:p>
      <w:pPr>
        <w:spacing w:after="0" w:line="21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Information on segments is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80" w:type="dxa"/>
            <w:vAlign w:val="bottom"/>
          </w:tcPr>
          <w:p>
            <w:pPr>
              <w:spacing w:after="0"/>
              <w:rPr>
                <w:sz w:val="18"/>
                <w:szCs w:val="18"/>
                <w:color w:val="auto"/>
              </w:rPr>
            </w:pPr>
          </w:p>
        </w:tc>
        <w:tc>
          <w:tcPr>
            <w:tcW w:w="3220" w:type="dxa"/>
            <w:vAlign w:val="bottom"/>
            <w:gridSpan w:val="6"/>
          </w:tcPr>
          <w:p>
            <w:pPr>
              <w:ind w:left="360"/>
              <w:spacing w:after="0"/>
              <w:rPr>
                <w:sz w:val="20"/>
                <w:szCs w:val="20"/>
                <w:color w:val="auto"/>
              </w:rPr>
            </w:pPr>
            <w:r>
              <w:rPr>
                <w:rFonts w:ascii="Arial" w:cs="Arial" w:eastAsia="Arial" w:hAnsi="Arial"/>
                <w:sz w:val="16"/>
                <w:szCs w:val="16"/>
                <w:b w:val="1"/>
                <w:bCs w:val="1"/>
                <w:color w:val="auto"/>
              </w:rPr>
              <w:t>Three months ended September 30,</w:t>
            </w:r>
          </w:p>
        </w:tc>
        <w:tc>
          <w:tcPr>
            <w:tcW w:w="320" w:type="dxa"/>
            <w:vAlign w:val="bottom"/>
          </w:tcPr>
          <w:p>
            <w:pPr>
              <w:spacing w:after="0"/>
              <w:rPr>
                <w:sz w:val="18"/>
                <w:szCs w:val="18"/>
                <w:color w:val="auto"/>
              </w:rPr>
            </w:pPr>
          </w:p>
        </w:tc>
        <w:tc>
          <w:tcPr>
            <w:tcW w:w="2720" w:type="dxa"/>
            <w:vAlign w:val="bottom"/>
            <w:gridSpan w:val="4"/>
          </w:tcPr>
          <w:p>
            <w:pPr>
              <w:jc w:val="right"/>
              <w:ind w:right="272"/>
              <w:spacing w:after="0"/>
              <w:rPr>
                <w:sz w:val="20"/>
                <w:szCs w:val="20"/>
                <w:color w:val="auto"/>
              </w:rPr>
            </w:pPr>
            <w:r>
              <w:rPr>
                <w:rFonts w:ascii="Arial" w:cs="Arial" w:eastAsia="Arial" w:hAnsi="Arial"/>
                <w:sz w:val="16"/>
                <w:szCs w:val="16"/>
                <w:b w:val="1"/>
                <w:bCs w:val="1"/>
                <w:color w:val="auto"/>
                <w:w w:val="89"/>
              </w:rPr>
              <w:t>Nine months ended September 30,</w:t>
            </w:r>
          </w:p>
        </w:tc>
        <w:tc>
          <w:tcPr>
            <w:tcW w:w="0" w:type="dxa"/>
            <w:vAlign w:val="bottom"/>
          </w:tcPr>
          <w:p>
            <w:pPr>
              <w:spacing w:after="0"/>
              <w:rPr>
                <w:sz w:val="1"/>
                <w:szCs w:val="1"/>
                <w:color w:val="auto"/>
              </w:rPr>
            </w:pPr>
          </w:p>
        </w:tc>
      </w:tr>
      <w:tr>
        <w:trPr>
          <w:trHeight w:val="206"/>
        </w:trPr>
        <w:tc>
          <w:tcPr>
            <w:tcW w:w="498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76"/>
        </w:trPr>
        <w:tc>
          <w:tcPr>
            <w:tcW w:w="49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b w:val="1"/>
                <w:bCs w:val="1"/>
                <w:color w:val="auto"/>
              </w:rPr>
              <w:t>Revenues from external customers:</w:t>
            </w: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Franchise operations</w:t>
            </w:r>
          </w:p>
        </w:tc>
        <w:tc>
          <w:tcPr>
            <w:tcW w:w="980" w:type="dxa"/>
            <w:vAlign w:val="bottom"/>
            <w:shd w:val="clear" w:color="auto" w:fill="CCEEFF"/>
          </w:tcPr>
          <w:p>
            <w:pPr>
              <w:jc w:val="right"/>
              <w:ind w:right="773"/>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469.1</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334.7</w:t>
            </w:r>
          </w:p>
        </w:tc>
        <w:tc>
          <w:tcPr>
            <w:tcW w:w="0" w:type="dxa"/>
            <w:vAlign w:val="bottom"/>
          </w:tcPr>
          <w:p>
            <w:pPr>
              <w:spacing w:after="0"/>
              <w:rPr>
                <w:sz w:val="1"/>
                <w:szCs w:val="1"/>
                <w:color w:val="auto"/>
              </w:rPr>
            </w:pPr>
          </w:p>
        </w:tc>
      </w:tr>
      <w:tr>
        <w:trPr>
          <w:trHeight w:val="225"/>
        </w:trPr>
        <w:tc>
          <w:tcPr>
            <w:tcW w:w="4980" w:type="dxa"/>
            <w:vAlign w:val="bottom"/>
          </w:tcPr>
          <w:p>
            <w:pPr>
              <w:ind w:left="20"/>
              <w:spacing w:after="0"/>
              <w:rPr>
                <w:sz w:val="20"/>
                <w:szCs w:val="20"/>
                <w:color w:val="auto"/>
              </w:rPr>
            </w:pPr>
            <w:r>
              <w:rPr>
                <w:rFonts w:ascii="Arial" w:cs="Arial" w:eastAsia="Arial" w:hAnsi="Arial"/>
                <w:sz w:val="18"/>
                <w:szCs w:val="18"/>
                <w:color w:val="auto"/>
              </w:rPr>
              <w:t>Rental operations</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84.8</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26"/>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Company restaurants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25"/>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Financing operations</w:t>
            </w: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4"/>
        </w:trPr>
        <w:tc>
          <w:tcPr>
            <w:tcW w:w="4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CEEFF"/>
          </w:tcPr>
          <w:p>
            <w:pPr>
              <w:jc w:val="right"/>
              <w:ind w:right="773"/>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228.7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666.5</w:t>
            </w:r>
          </w:p>
        </w:tc>
        <w:tc>
          <w:tcPr>
            <w:tcW w:w="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493.2</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Interest expense:</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80" w:type="dxa"/>
            <w:vAlign w:val="bottom"/>
            <w:vMerge w:val="continue"/>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Rental operations</w:t>
            </w:r>
          </w:p>
        </w:tc>
        <w:tc>
          <w:tcPr>
            <w:tcW w:w="980" w:type="dxa"/>
            <w:vAlign w:val="bottom"/>
            <w:shd w:val="clear" w:color="auto" w:fill="CCEEFF"/>
          </w:tcPr>
          <w:p>
            <w:pPr>
              <w:jc w:val="right"/>
              <w:ind w:right="773"/>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5"/>
        </w:trPr>
        <w:tc>
          <w:tcPr>
            <w:tcW w:w="4980" w:type="dxa"/>
            <w:vAlign w:val="bottom"/>
          </w:tcPr>
          <w:p>
            <w:pPr>
              <w:ind w:left="20"/>
              <w:spacing w:after="0"/>
              <w:rPr>
                <w:sz w:val="20"/>
                <w:szCs w:val="20"/>
                <w:color w:val="auto"/>
              </w:rPr>
            </w:pPr>
            <w:r>
              <w:rPr>
                <w:rFonts w:ascii="Arial" w:cs="Arial" w:eastAsia="Arial" w:hAnsi="Arial"/>
                <w:sz w:val="18"/>
                <w:szCs w:val="18"/>
                <w:color w:val="auto"/>
              </w:rPr>
              <w:t>Company restaurants</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5"/>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19"/>
        </w:trPr>
        <w:tc>
          <w:tcPr>
            <w:tcW w:w="4980" w:type="dxa"/>
            <w:vAlign w:val="bottom"/>
          </w:tcPr>
          <w:p>
            <w:pPr>
              <w:ind w:left="10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tcPr>
          <w:p>
            <w:pPr>
              <w:jc w:val="right"/>
              <w:ind w:right="773"/>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0"/>
        </w:trPr>
        <w:tc>
          <w:tcPr>
            <w:tcW w:w="49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980" w:type="dxa"/>
            <w:vAlign w:val="bottom"/>
            <w:vMerge w:val="continue"/>
          </w:tcPr>
          <w:p>
            <w:pPr>
              <w:spacing w:after="0"/>
              <w:rPr>
                <w:sz w:val="21"/>
                <w:szCs w:val="21"/>
                <w:color w:val="auto"/>
              </w:rPr>
            </w:pPr>
          </w:p>
        </w:tc>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Franchise operations</w:t>
            </w:r>
          </w:p>
        </w:tc>
        <w:tc>
          <w:tcPr>
            <w:tcW w:w="980" w:type="dxa"/>
            <w:vAlign w:val="bottom"/>
            <w:shd w:val="clear" w:color="auto" w:fill="CCEEFF"/>
          </w:tcPr>
          <w:p>
            <w:pPr>
              <w:jc w:val="right"/>
              <w:ind w:right="773"/>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5"/>
        </w:trPr>
        <w:tc>
          <w:tcPr>
            <w:tcW w:w="4980" w:type="dxa"/>
            <w:vAlign w:val="bottom"/>
          </w:tcPr>
          <w:p>
            <w:pPr>
              <w:ind w:left="20"/>
              <w:spacing w:after="0"/>
              <w:rPr>
                <w:sz w:val="20"/>
                <w:szCs w:val="20"/>
                <w:color w:val="auto"/>
              </w:rPr>
            </w:pPr>
            <w:r>
              <w:rPr>
                <w:rFonts w:ascii="Arial" w:cs="Arial" w:eastAsia="Arial" w:hAnsi="Arial"/>
                <w:sz w:val="18"/>
                <w:szCs w:val="18"/>
                <w:color w:val="auto"/>
              </w:rPr>
              <w:t>Rental operations</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6"/>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Company restaurants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5"/>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w:t>
            </w: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44"/>
        </w:trPr>
        <w:tc>
          <w:tcPr>
            <w:tcW w:w="4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CEEFF"/>
          </w:tcPr>
          <w:p>
            <w:pPr>
              <w:jc w:val="right"/>
              <w:ind w:right="773"/>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Gross profit (loss), by segment:</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80" w:type="dxa"/>
            <w:vAlign w:val="bottom"/>
            <w:vMerge w:val="continue"/>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Franchise operations</w:t>
            </w:r>
          </w:p>
        </w:tc>
        <w:tc>
          <w:tcPr>
            <w:tcW w:w="980" w:type="dxa"/>
            <w:vAlign w:val="bottom"/>
            <w:shd w:val="clear" w:color="auto" w:fill="CCEEFF"/>
          </w:tcPr>
          <w:p>
            <w:pPr>
              <w:jc w:val="right"/>
              <w:ind w:right="773"/>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0" w:type="dxa"/>
            <w:vAlign w:val="bottom"/>
          </w:tcPr>
          <w:p>
            <w:pPr>
              <w:spacing w:after="0"/>
              <w:rPr>
                <w:sz w:val="1"/>
                <w:szCs w:val="1"/>
                <w:color w:val="auto"/>
              </w:rPr>
            </w:pPr>
          </w:p>
        </w:tc>
      </w:tr>
      <w:tr>
        <w:trPr>
          <w:trHeight w:val="225"/>
        </w:trPr>
        <w:tc>
          <w:tcPr>
            <w:tcW w:w="4980" w:type="dxa"/>
            <w:vAlign w:val="bottom"/>
          </w:tcPr>
          <w:p>
            <w:pPr>
              <w:ind w:left="20"/>
              <w:spacing w:after="0"/>
              <w:rPr>
                <w:sz w:val="20"/>
                <w:szCs w:val="20"/>
                <w:color w:val="auto"/>
              </w:rPr>
            </w:pPr>
            <w:r>
              <w:rPr>
                <w:rFonts w:ascii="Arial" w:cs="Arial" w:eastAsia="Arial" w:hAnsi="Arial"/>
                <w:sz w:val="18"/>
                <w:szCs w:val="18"/>
                <w:color w:val="auto"/>
              </w:rPr>
              <w:t>Rental operations</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18.8</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6"/>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Company restaurants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5"/>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Financing operations</w:t>
            </w: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9"/>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gross profit</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0" w:type="dxa"/>
            <w:vAlign w:val="bottom"/>
          </w:tcPr>
          <w:p>
            <w:pPr>
              <w:spacing w:after="0"/>
              <w:rPr>
                <w:sz w:val="1"/>
                <w:szCs w:val="1"/>
                <w:color w:val="auto"/>
              </w:rPr>
            </w:pPr>
          </w:p>
        </w:tc>
      </w:tr>
      <w:tr>
        <w:trPr>
          <w:trHeight w:val="225"/>
        </w:trPr>
        <w:tc>
          <w:tcPr>
            <w:tcW w:w="49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Corporate and unallocated expenses, net</w:t>
            </w: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(185.4)</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(289.9)</w:t>
            </w:r>
          </w:p>
        </w:tc>
        <w:tc>
          <w:tcPr>
            <w:tcW w:w="0" w:type="dxa"/>
            <w:vAlign w:val="bottom"/>
          </w:tcPr>
          <w:p>
            <w:pPr>
              <w:spacing w:after="0"/>
              <w:rPr>
                <w:sz w:val="1"/>
                <w:szCs w:val="1"/>
                <w:color w:val="auto"/>
              </w:rPr>
            </w:pPr>
          </w:p>
        </w:tc>
      </w:tr>
      <w:tr>
        <w:trPr>
          <w:trHeight w:val="244"/>
        </w:trPr>
        <w:tc>
          <w:tcPr>
            <w:tcW w:w="4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(loss) before income taxes</w:t>
            </w:r>
          </w:p>
        </w:tc>
        <w:tc>
          <w:tcPr>
            <w:tcW w:w="980" w:type="dxa"/>
            <w:vAlign w:val="bottom"/>
            <w:tcBorders>
              <w:bottom w:val="single" w:sz="8" w:color="auto"/>
            </w:tcBorders>
            <w:shd w:val="clear" w:color="auto" w:fill="CCEEFF"/>
          </w:tcPr>
          <w:p>
            <w:pPr>
              <w:jc w:val="right"/>
              <w:ind w:right="773"/>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Closure and Impairment Charges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Closure and impairment charges for the three and nine months ended September 30, 2021 were as follows:</w:t>
      </w:r>
    </w:p>
    <w:p>
      <w:pPr>
        <w:spacing w:after="0" w:line="261"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4680" w:type="dxa"/>
            <w:vAlign w:val="bottom"/>
            <w:gridSpan w:val="2"/>
          </w:tcPr>
          <w:p>
            <w:pPr>
              <w:ind w:left="40"/>
              <w:spacing w:after="0"/>
              <w:rPr>
                <w:sz w:val="20"/>
                <w:szCs w:val="20"/>
                <w:color w:val="auto"/>
              </w:rPr>
            </w:pPr>
            <w:r>
              <w:rPr>
                <w:rFonts w:ascii="Arial" w:cs="Arial" w:eastAsia="Arial" w:hAnsi="Arial"/>
                <w:sz w:val="18"/>
                <w:szCs w:val="18"/>
                <w:b w:val="1"/>
                <w:bCs w:val="1"/>
                <w:color w:val="auto"/>
              </w:rPr>
              <w:t>Closure and Impairment Charges</w:t>
            </w:r>
          </w:p>
        </w:tc>
        <w:tc>
          <w:tcPr>
            <w:tcW w:w="460" w:type="dxa"/>
            <w:vAlign w:val="bottom"/>
          </w:tcPr>
          <w:p>
            <w:pPr>
              <w:spacing w:after="0"/>
              <w:rPr>
                <w:sz w:val="17"/>
                <w:szCs w:val="17"/>
                <w:color w:val="auto"/>
              </w:rPr>
            </w:pPr>
          </w:p>
        </w:tc>
        <w:tc>
          <w:tcPr>
            <w:tcW w:w="2720" w:type="dxa"/>
            <w:vAlign w:val="bottom"/>
            <w:gridSpan w:val="4"/>
          </w:tcPr>
          <w:p>
            <w:pPr>
              <w:ind w:left="40"/>
              <w:spacing w:after="0"/>
              <w:rPr>
                <w:sz w:val="20"/>
                <w:szCs w:val="20"/>
                <w:color w:val="auto"/>
              </w:rPr>
            </w:pPr>
            <w:r>
              <w:rPr>
                <w:rFonts w:ascii="Arial" w:cs="Arial" w:eastAsia="Arial" w:hAnsi="Arial"/>
                <w:sz w:val="16"/>
                <w:szCs w:val="16"/>
                <w:b w:val="1"/>
                <w:bCs w:val="1"/>
                <w:color w:val="auto"/>
                <w:w w:val="98"/>
              </w:rPr>
              <w:t>Three months ended September 30,</w:t>
            </w:r>
          </w:p>
        </w:tc>
        <w:tc>
          <w:tcPr>
            <w:tcW w:w="440" w:type="dxa"/>
            <w:vAlign w:val="bottom"/>
          </w:tcPr>
          <w:p>
            <w:pPr>
              <w:spacing w:after="0"/>
              <w:rPr>
                <w:sz w:val="17"/>
                <w:szCs w:val="17"/>
                <w:color w:val="auto"/>
              </w:rPr>
            </w:pPr>
          </w:p>
        </w:tc>
        <w:tc>
          <w:tcPr>
            <w:tcW w:w="2300" w:type="dxa"/>
            <w:vAlign w:val="bottom"/>
            <w:gridSpan w:val="3"/>
          </w:tcPr>
          <w:p>
            <w:pPr>
              <w:jc w:val="right"/>
              <w:spacing w:after="0"/>
              <w:rPr>
                <w:sz w:val="20"/>
                <w:szCs w:val="20"/>
                <w:color w:val="auto"/>
              </w:rPr>
            </w:pPr>
            <w:r>
              <w:rPr>
                <w:rFonts w:ascii="Arial" w:cs="Arial" w:eastAsia="Arial" w:hAnsi="Arial"/>
                <w:sz w:val="16"/>
                <w:szCs w:val="16"/>
                <w:b w:val="1"/>
                <w:bCs w:val="1"/>
                <w:color w:val="auto"/>
                <w:w w:val="88"/>
              </w:rPr>
              <w:t>Nine months ended September 30</w:t>
            </w:r>
          </w:p>
        </w:tc>
      </w:tr>
      <w:tr>
        <w:trPr>
          <w:trHeight w:val="20"/>
        </w:trPr>
        <w:tc>
          <w:tcPr>
            <w:tcW w:w="420" w:type="dxa"/>
            <w:vAlign w:val="bottom"/>
          </w:tcPr>
          <w:p>
            <w:pPr>
              <w:spacing w:after="0" w:line="20" w:lineRule="exact"/>
              <w:rPr>
                <w:sz w:val="1"/>
                <w:szCs w:val="1"/>
                <w:color w:val="auto"/>
              </w:rPr>
            </w:pPr>
          </w:p>
        </w:tc>
        <w:tc>
          <w:tcPr>
            <w:tcW w:w="2580" w:type="dxa"/>
            <w:vAlign w:val="bottom"/>
            <w:tcBorders>
              <w:top w:val="single" w:sz="8" w:color="auto"/>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03"/>
        </w:trPr>
        <w:tc>
          <w:tcPr>
            <w:tcW w:w="4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5"/>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6"/>
                <w:szCs w:val="16"/>
                <w:b w:val="1"/>
                <w:bCs w:val="1"/>
                <w:color w:val="auto"/>
              </w:rPr>
              <w:t>2020</w:t>
            </w:r>
          </w:p>
        </w:tc>
      </w:tr>
      <w:tr>
        <w:trPr>
          <w:trHeight w:val="180"/>
        </w:trPr>
        <w:tc>
          <w:tcPr>
            <w:tcW w:w="4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26"/>
        </w:trPr>
        <w:tc>
          <w:tcPr>
            <w:tcW w:w="51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Closure charges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0.4</w:t>
            </w:r>
          </w:p>
        </w:tc>
        <w:tc>
          <w:tcPr>
            <w:tcW w:w="4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3.3</w:t>
            </w:r>
          </w:p>
        </w:tc>
        <w:tc>
          <w:tcPr>
            <w:tcW w:w="4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25"/>
        </w:trPr>
        <w:tc>
          <w:tcPr>
            <w:tcW w:w="5100" w:type="dxa"/>
            <w:vAlign w:val="bottom"/>
            <w:gridSpan w:val="3"/>
          </w:tcPr>
          <w:p>
            <w:pPr>
              <w:ind w:left="420"/>
              <w:spacing w:after="0"/>
              <w:rPr>
                <w:sz w:val="20"/>
                <w:szCs w:val="20"/>
                <w:color w:val="auto"/>
              </w:rPr>
            </w:pPr>
            <w:r>
              <w:rPr>
                <w:rFonts w:ascii="Arial" w:cs="Arial" w:eastAsia="Arial" w:hAnsi="Arial"/>
                <w:sz w:val="18"/>
                <w:szCs w:val="18"/>
                <w:color w:val="auto"/>
              </w:rPr>
              <w:t>Long-lived tangible asset impairment</w:t>
            </w:r>
          </w:p>
        </w:tc>
        <w:tc>
          <w:tcPr>
            <w:tcW w:w="460" w:type="dxa"/>
            <w:vAlign w:val="bottom"/>
          </w:tcPr>
          <w:p>
            <w:pPr>
              <w:spacing w:after="0"/>
              <w:rPr>
                <w:sz w:val="19"/>
                <w:szCs w:val="19"/>
                <w:color w:val="auto"/>
              </w:rPr>
            </w:pPr>
          </w:p>
        </w:tc>
        <w:tc>
          <w:tcPr>
            <w:tcW w:w="1260" w:type="dxa"/>
            <w:vAlign w:val="bottom"/>
          </w:tcPr>
          <w:p>
            <w:pPr>
              <w:jc w:val="right"/>
              <w:ind w:right="154"/>
              <w:spacing w:after="0"/>
              <w:rPr>
                <w:sz w:val="20"/>
                <w:szCs w:val="20"/>
                <w:color w:val="auto"/>
              </w:rPr>
            </w:pPr>
            <w:r>
              <w:rPr>
                <w:rFonts w:ascii="Arial" w:cs="Arial" w:eastAsia="Arial" w:hAnsi="Arial"/>
                <w:sz w:val="18"/>
                <w:szCs w:val="18"/>
                <w:color w:val="auto"/>
              </w:rPr>
              <w:t>(0.0)</w:t>
            </w:r>
          </w:p>
        </w:tc>
        <w:tc>
          <w:tcPr>
            <w:tcW w:w="4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180" w:type="dxa"/>
            <w:vAlign w:val="bottom"/>
          </w:tcPr>
          <w:p>
            <w:pPr>
              <w:jc w:val="right"/>
              <w:ind w:right="174"/>
              <w:spacing w:after="0"/>
              <w:rPr>
                <w:sz w:val="20"/>
                <w:szCs w:val="20"/>
                <w:color w:val="auto"/>
              </w:rPr>
            </w:pPr>
            <w:r>
              <w:rPr>
                <w:rFonts w:ascii="Arial" w:cs="Arial" w:eastAsia="Arial" w:hAnsi="Arial"/>
                <w:sz w:val="18"/>
                <w:szCs w:val="18"/>
                <w:color w:val="auto"/>
              </w:rPr>
              <w:t>1.7</w:t>
            </w:r>
          </w:p>
        </w:tc>
        <w:tc>
          <w:tcPr>
            <w:tcW w:w="4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6"/>
        </w:trPr>
        <w:tc>
          <w:tcPr>
            <w:tcW w:w="51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Goodwill impairment</w:t>
            </w: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25"/>
        </w:trPr>
        <w:tc>
          <w:tcPr>
            <w:tcW w:w="5100" w:type="dxa"/>
            <w:vAlign w:val="bottom"/>
            <w:gridSpan w:val="3"/>
          </w:tcPr>
          <w:p>
            <w:pPr>
              <w:ind w:left="420"/>
              <w:spacing w:after="0"/>
              <w:rPr>
                <w:sz w:val="20"/>
                <w:szCs w:val="20"/>
                <w:color w:val="auto"/>
              </w:rPr>
            </w:pPr>
            <w:r>
              <w:rPr>
                <w:rFonts w:ascii="Arial" w:cs="Arial" w:eastAsia="Arial" w:hAnsi="Arial"/>
                <w:sz w:val="18"/>
                <w:szCs w:val="18"/>
                <w:color w:val="auto"/>
              </w:rPr>
              <w:t>Tradename impairment</w:t>
            </w:r>
          </w:p>
        </w:tc>
        <w:tc>
          <w:tcPr>
            <w:tcW w:w="460" w:type="dxa"/>
            <w:vAlign w:val="bottom"/>
          </w:tcPr>
          <w:p>
            <w:pPr>
              <w:spacing w:after="0"/>
              <w:rPr>
                <w:sz w:val="19"/>
                <w:szCs w:val="19"/>
                <w:color w:val="auto"/>
              </w:rPr>
            </w:pPr>
          </w:p>
        </w:tc>
        <w:tc>
          <w:tcPr>
            <w:tcW w:w="126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18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5"/>
        </w:trPr>
        <w:tc>
          <w:tcPr>
            <w:tcW w:w="51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Impairment of reacquired franchise rights</w:t>
            </w:r>
          </w:p>
        </w:tc>
        <w:tc>
          <w:tcPr>
            <w:tcW w:w="4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9"/>
        </w:trPr>
        <w:tc>
          <w:tcPr>
            <w:tcW w:w="5100" w:type="dxa"/>
            <w:vAlign w:val="bottom"/>
            <w:gridSpan w:val="3"/>
          </w:tcPr>
          <w:p>
            <w:pPr>
              <w:ind w:left="420"/>
              <w:spacing w:after="0"/>
              <w:rPr>
                <w:sz w:val="20"/>
                <w:szCs w:val="20"/>
                <w:color w:val="auto"/>
              </w:rPr>
            </w:pPr>
            <w:r>
              <w:rPr>
                <w:rFonts w:ascii="Arial" w:cs="Arial" w:eastAsia="Arial" w:hAnsi="Arial"/>
                <w:sz w:val="18"/>
                <w:szCs w:val="18"/>
                <w:color w:val="auto"/>
              </w:rPr>
              <w:t>Total impairment and closure charges</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0.4</w:t>
            </w:r>
          </w:p>
        </w:tc>
        <w:tc>
          <w:tcPr>
            <w:tcW w:w="4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5.0</w:t>
            </w:r>
          </w:p>
        </w:tc>
        <w:tc>
          <w:tcPr>
            <w:tcW w:w="4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r>
      <w:tr>
        <w:trPr>
          <w:trHeight w:val="20"/>
        </w:trPr>
        <w:tc>
          <w:tcPr>
            <w:tcW w:w="4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Closure Charges</w:t>
      </w:r>
    </w:p>
    <w:p>
      <w:pPr>
        <w:spacing w:after="0" w:line="230" w:lineRule="exact"/>
        <w:rPr>
          <w:sz w:val="20"/>
          <w:szCs w:val="20"/>
          <w:color w:val="auto"/>
        </w:rPr>
      </w:pPr>
    </w:p>
    <w:p>
      <w:pPr>
        <w:ind w:right="100" w:firstLine="318"/>
        <w:spacing w:after="0" w:line="237" w:lineRule="auto"/>
        <w:rPr>
          <w:sz w:val="20"/>
          <w:szCs w:val="20"/>
          <w:color w:val="auto"/>
        </w:rPr>
      </w:pPr>
      <w:r>
        <w:rPr>
          <w:rFonts w:ascii="Arial" w:cs="Arial" w:eastAsia="Arial" w:hAnsi="Arial"/>
          <w:sz w:val="18"/>
          <w:szCs w:val="18"/>
          <w:color w:val="auto"/>
        </w:rPr>
        <w:t>The closure charges for the three months ended September 30, 2021 related to revisions to existing closure reserves, including accretion, primarily for 52 IHOP restaurants closed prior to June 30, 2021. The closure charges for the nine months ended September 30, 2021 comprised $2.0 million related to 23 IHOP restaurants closed in 2021 and $1.3 million for revisions to existing closure reserves, including accretion, primarily for 29 IHOP restaurants closed prior to December 31, 2020.</w:t>
      </w:r>
    </w:p>
    <w:p>
      <w:pPr>
        <w:spacing w:after="0" w:line="21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Long-lived Tangible Asset Impairment</w:t>
      </w:r>
    </w:p>
    <w:p>
      <w:pPr>
        <w:spacing w:after="0" w:line="244" w:lineRule="exact"/>
        <w:rPr>
          <w:sz w:val="20"/>
          <w:szCs w:val="20"/>
          <w:color w:val="auto"/>
        </w:rPr>
      </w:pPr>
    </w:p>
    <w:p>
      <w:pPr>
        <w:ind w:right="280" w:firstLine="318"/>
        <w:spacing w:after="0" w:line="237" w:lineRule="auto"/>
        <w:rPr>
          <w:sz w:val="20"/>
          <w:szCs w:val="20"/>
          <w:color w:val="auto"/>
        </w:rPr>
      </w:pPr>
      <w:r>
        <w:rPr>
          <w:rFonts w:ascii="Arial" w:cs="Arial" w:eastAsia="Arial" w:hAnsi="Arial"/>
          <w:sz w:val="18"/>
          <w:szCs w:val="18"/>
          <w:color w:val="auto"/>
        </w:rPr>
        <w:t>The long-lived asset impairment of $1.7 million for the nine months ended September 30, 2021 related to four IHOP franchisee-operated restaurants for which the carrying amount exceeded the undiscounted cash flows. The impairment recorded represented the difference between the carrying value and the estimated fair value. The impairments related to operating lease right-of-use assets that had been recorded in 2019 upon adoption of new lease accounting guidance codified in Accounting Standards Codification Topic 842.</w:t>
      </w:r>
    </w:p>
    <w:p>
      <w:pPr>
        <w:spacing w:after="0" w:line="19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Goodwill and Intangible Assets</w:t>
      </w:r>
    </w:p>
    <w:p>
      <w:pPr>
        <w:spacing w:after="0" w:line="210" w:lineRule="exact"/>
        <w:rPr>
          <w:sz w:val="20"/>
          <w:szCs w:val="20"/>
          <w:color w:val="auto"/>
        </w:rPr>
      </w:pPr>
    </w:p>
    <w:p>
      <w:pPr>
        <w:ind w:right="840" w:firstLine="318"/>
        <w:spacing w:after="0" w:line="229" w:lineRule="auto"/>
        <w:rPr>
          <w:sz w:val="20"/>
          <w:szCs w:val="20"/>
          <w:color w:val="auto"/>
        </w:rPr>
      </w:pPr>
      <w:r>
        <w:rPr>
          <w:rFonts w:ascii="Arial" w:cs="Arial" w:eastAsia="Arial" w:hAnsi="Arial"/>
          <w:sz w:val="18"/>
          <w:szCs w:val="18"/>
          <w:color w:val="auto"/>
        </w:rPr>
        <w:t>For the three and nine months ended September 30, 2021, the Company determined that there were no indicators of impairment to goodwill and intangible assets.</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Impairments in 2020</w:t>
      </w:r>
    </w:p>
    <w:p>
      <w:pPr>
        <w:spacing w:after="0" w:line="350" w:lineRule="exact"/>
        <w:rPr>
          <w:sz w:val="20"/>
          <w:szCs w:val="20"/>
          <w:color w:val="auto"/>
        </w:rPr>
      </w:pPr>
    </w:p>
    <w:p>
      <w:pPr>
        <w:ind w:right="100" w:firstLine="318"/>
        <w:spacing w:after="0" w:line="250" w:lineRule="auto"/>
        <w:rPr>
          <w:sz w:val="20"/>
          <w:szCs w:val="20"/>
          <w:color w:val="auto"/>
        </w:rPr>
      </w:pPr>
      <w:r>
        <w:rPr>
          <w:rFonts w:ascii="Arial" w:cs="Arial" w:eastAsia="Arial" w:hAnsi="Arial"/>
          <w:sz w:val="18"/>
          <w:szCs w:val="18"/>
          <w:color w:val="auto"/>
        </w:rPr>
        <w:t>Most of the Company's goodwill and intangible assets arose from the November 29, 2007 acquisition of Applebee's. The Company evaluates its goodwill and the indefinite-lived Applebee's tradename for impairment annually in the fourth quarter of each year or on an interim basis if events or changes in circumstances between annual tests indicate a potential impairment. Definite-lived intangible assets and long-lived tangible assets are reviewed for impairment whenever events or changes in circumstances indicate that the carrying amount of an asset or asset group may not be recoverable based on estimated undiscounted future cash flows.</w:t>
      </w:r>
    </w:p>
    <w:p>
      <w:pPr>
        <w:spacing w:after="0" w:line="128" w:lineRule="exact"/>
        <w:rPr>
          <w:sz w:val="20"/>
          <w:szCs w:val="20"/>
          <w:color w:val="auto"/>
        </w:rPr>
      </w:pPr>
    </w:p>
    <w:p>
      <w:pPr>
        <w:ind w:right="120" w:firstLine="318"/>
        <w:spacing w:after="0" w:line="248" w:lineRule="auto"/>
        <w:rPr>
          <w:sz w:val="20"/>
          <w:szCs w:val="20"/>
          <w:color w:val="auto"/>
        </w:rPr>
      </w:pPr>
      <w:r>
        <w:rPr>
          <w:rFonts w:ascii="Arial" w:cs="Arial" w:eastAsia="Arial" w:hAnsi="Arial"/>
          <w:sz w:val="18"/>
          <w:szCs w:val="18"/>
          <w:color w:val="auto"/>
        </w:rPr>
        <w:t>In the second quarter of 2020, the Company noted that its common stock had recovered less of its early March 2020 (pre-pandemic) market value than the overall U.S. stock market had recovered. The Company also was able to assess several additional months of data as to the impact of the COVID-19 pandemic on its operations and, in turn, assess the impact that might have on the risk premium incorporated into its discount rate. Based on these developments, the Company determined that an interim quantitative test of goodwill and indefinite-lived intangible assets for impairment should be performed as of May 24, 2020. In determining fair value, the Company utilizes valuation techniques that maximize the use of observable inputs and minimize the use of unobservable inputs to the extent possible. The fair value technique used in this instance is classified as Level 3, where unobservable inputs are used when little or no market data is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Closure and Impairment Charges (Continued)</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20" w:firstLine="318"/>
        <w:spacing w:after="0" w:line="267" w:lineRule="auto"/>
        <w:rPr>
          <w:sz w:val="20"/>
          <w:szCs w:val="20"/>
          <w:color w:val="auto"/>
        </w:rPr>
      </w:pPr>
      <w:r>
        <w:rPr>
          <w:rFonts w:ascii="Arial" w:cs="Arial" w:eastAsia="Arial" w:hAnsi="Arial"/>
          <w:sz w:val="17"/>
          <w:szCs w:val="17"/>
          <w:color w:val="auto"/>
        </w:rPr>
        <w:t>In performing the quantitative test for impairment of goodwill, the Company used the income approach method of valuation that includes the discounted cash flow method and the market approach that includes the guideline public company method to determine the fair value of goodwill and intangible assets. Significant assumptions made by management in estimating fair value under the discounted cash flow model include future trends in sales, operating expenses, overhead expenses, depreciation, capital expenditures and changes in working capital, along with an appropriate discount rate based on the Company's estimated cost of equity capital and after-tax cost of debt. Significant assumptions used to determine fair value under the guideline public company method include the selection of guideline companies and the valuation multiples applied.</w:t>
      </w:r>
    </w:p>
    <w:p>
      <w:pPr>
        <w:spacing w:after="0" w:line="113" w:lineRule="exact"/>
        <w:rPr>
          <w:sz w:val="20"/>
          <w:szCs w:val="20"/>
          <w:color w:val="auto"/>
        </w:rPr>
      </w:pPr>
    </w:p>
    <w:p>
      <w:pPr>
        <w:jc w:val="both"/>
        <w:ind w:right="200" w:firstLine="318"/>
        <w:spacing w:after="0" w:line="255" w:lineRule="auto"/>
        <w:rPr>
          <w:sz w:val="20"/>
          <w:szCs w:val="20"/>
          <w:color w:val="auto"/>
        </w:rPr>
      </w:pPr>
      <w:r>
        <w:rPr>
          <w:rFonts w:ascii="Arial" w:cs="Arial" w:eastAsia="Arial" w:hAnsi="Arial"/>
          <w:sz w:val="18"/>
          <w:szCs w:val="18"/>
          <w:color w:val="auto"/>
        </w:rPr>
        <w:t>In performing the impairment review of the tradename, the Company used the relief of royalty method under the income approach method of valuation. Significant assumptions used to determine fair value under the relief of royalty method include future trends in sales, a royalty rate and a discount rate to be applied to the forecast revenue stream.</w:t>
      </w:r>
    </w:p>
    <w:p>
      <w:pPr>
        <w:spacing w:after="0" w:line="122" w:lineRule="exact"/>
        <w:rPr>
          <w:sz w:val="20"/>
          <w:szCs w:val="20"/>
          <w:color w:val="auto"/>
        </w:rPr>
      </w:pPr>
    </w:p>
    <w:p>
      <w:pPr>
        <w:jc w:val="both"/>
        <w:ind w:right="80" w:firstLine="318"/>
        <w:spacing w:after="0" w:line="255" w:lineRule="auto"/>
        <w:rPr>
          <w:sz w:val="20"/>
          <w:szCs w:val="20"/>
          <w:color w:val="auto"/>
        </w:rPr>
      </w:pPr>
      <w:r>
        <w:rPr>
          <w:rFonts w:ascii="Arial" w:cs="Arial" w:eastAsia="Arial" w:hAnsi="Arial"/>
          <w:sz w:val="18"/>
          <w:szCs w:val="18"/>
          <w:color w:val="auto"/>
        </w:rPr>
        <w:t>As a result of performing the quantitative test of impairment, the Company recognized an impairment of $92.2 million to the goodwill of the Applebee's franchise unit and an impairment of $11.0 million to Applebee's tradename during the three months ended June 30, 2020. The majority of the impairment was due to an increase in the assessed risk premium incorporated into the discount rate assumption.</w:t>
      </w:r>
    </w:p>
    <w:p>
      <w:pPr>
        <w:spacing w:after="0" w:line="109" w:lineRule="exact"/>
        <w:rPr>
          <w:sz w:val="20"/>
          <w:szCs w:val="20"/>
          <w:color w:val="auto"/>
        </w:rPr>
      </w:pPr>
    </w:p>
    <w:p>
      <w:pPr>
        <w:ind w:right="600" w:firstLine="318"/>
        <w:spacing w:after="0" w:line="264" w:lineRule="auto"/>
        <w:rPr>
          <w:sz w:val="20"/>
          <w:szCs w:val="20"/>
          <w:color w:val="auto"/>
        </w:rPr>
      </w:pPr>
      <w:r>
        <w:rPr>
          <w:rFonts w:ascii="Arial" w:cs="Arial" w:eastAsia="Arial" w:hAnsi="Arial"/>
          <w:sz w:val="18"/>
          <w:szCs w:val="18"/>
          <w:color w:val="auto"/>
        </w:rPr>
        <w:t>In addition, the Company reviewed its reacquired franchising rights and determined that the carrying amount exceeded the estimated fair value by $3.3 million and has recorded an impairment to that intangible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Fair Value Measurements</w:t>
      </w:r>
    </w:p>
    <w:p>
      <w:pPr>
        <w:spacing w:after="0" w:line="157" w:lineRule="exact"/>
        <w:rPr>
          <w:sz w:val="20"/>
          <w:szCs w:val="20"/>
          <w:color w:val="auto"/>
        </w:rPr>
      </w:pPr>
    </w:p>
    <w:p>
      <w:pPr>
        <w:ind w:right="60" w:firstLine="318"/>
        <w:spacing w:after="0" w:line="318" w:lineRule="auto"/>
        <w:rPr>
          <w:sz w:val="20"/>
          <w:szCs w:val="20"/>
          <w:color w:val="auto"/>
        </w:rPr>
      </w:pPr>
      <w:r>
        <w:rPr>
          <w:rFonts w:ascii="Arial" w:cs="Arial" w:eastAsia="Arial" w:hAnsi="Arial"/>
          <w:sz w:val="15"/>
          <w:szCs w:val="15"/>
          <w:color w:val="auto"/>
        </w:rPr>
        <w:t>The Company does not have a material amount of financial assets or liabilities that are required under U.S. GAAP to be measured on a recurring basis at fair value. The Company is not a party to any material derivative financial instruments. The Company does not have a material amount of non-financial assets or non-financial liabilities that are required under U.S. GAAP to be measured at fair value on a recurring basis. The Company has not elected to use the fair value measurement option, as permitted under U.S. GAAP, for any assets or liabilities for which fair value measurement is not presently required.</w:t>
      </w:r>
    </w:p>
    <w:p>
      <w:pPr>
        <w:spacing w:after="0" w:line="106"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Company believes the fair values of cash equivalents, accounts receivable and accounts payable approximate their carrying amounts due to their short duration.</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fair values of the Company's 2019 Class A-2 Notes at September 30, 2021 and December 31, 2020 were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September 30, 2021</w:t>
            </w: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w w:val="96"/>
              </w:rPr>
              <w:t>December 31, 2020</w:t>
            </w:r>
          </w:p>
        </w:tc>
        <w:tc>
          <w:tcPr>
            <w:tcW w:w="100" w:type="dxa"/>
            <w:vAlign w:val="bottom"/>
            <w:tcBorders>
              <w:bottom w:val="single" w:sz="8" w:color="auto"/>
            </w:tcBorders>
          </w:tcPr>
          <w:p>
            <w:pPr>
              <w:spacing w:after="0"/>
              <w:rPr>
                <w:sz w:val="16"/>
                <w:szCs w:val="16"/>
                <w:color w:val="auto"/>
              </w:rPr>
            </w:pPr>
          </w:p>
        </w:tc>
      </w:tr>
      <w:tr>
        <w:trPr>
          <w:trHeight w:val="183"/>
        </w:trPr>
        <w:tc>
          <w:tcPr>
            <w:tcW w:w="7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80" w:type="dxa"/>
            <w:vAlign w:val="bottom"/>
            <w:gridSpan w:val="4"/>
          </w:tcPr>
          <w:p>
            <w:pPr>
              <w:jc w:val="right"/>
              <w:ind w:right="1178"/>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r>
      <w:tr>
        <w:trPr>
          <w:trHeight w:val="251"/>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Face Value of Class A-2 Notes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1,287.0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1,296.8</w:t>
            </w:r>
          </w:p>
        </w:tc>
        <w:tc>
          <w:tcPr>
            <w:tcW w:w="100" w:type="dxa"/>
            <w:vAlign w:val="bottom"/>
          </w:tcPr>
          <w:p>
            <w:pPr>
              <w:spacing w:after="0"/>
              <w:rPr>
                <w:sz w:val="21"/>
                <w:szCs w:val="2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8"/>
        </w:trPr>
        <w:tc>
          <w:tcPr>
            <w:tcW w:w="7780" w:type="dxa"/>
            <w:vAlign w:val="bottom"/>
          </w:tcPr>
          <w:p>
            <w:pPr>
              <w:ind w:left="20"/>
              <w:spacing w:after="0" w:line="198" w:lineRule="exact"/>
              <w:rPr>
                <w:sz w:val="20"/>
                <w:szCs w:val="20"/>
                <w:color w:val="auto"/>
              </w:rPr>
            </w:pPr>
            <w:r>
              <w:rPr>
                <w:rFonts w:ascii="Arial" w:cs="Arial" w:eastAsia="Arial" w:hAnsi="Arial"/>
                <w:sz w:val="18"/>
                <w:szCs w:val="18"/>
                <w:color w:val="auto"/>
              </w:rPr>
              <w:t>Fair Value of Class A-2 Notes</w:t>
            </w:r>
          </w:p>
        </w:tc>
        <w:tc>
          <w:tcPr>
            <w:tcW w:w="1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ind w:right="1"/>
              <w:spacing w:after="0" w:line="198" w:lineRule="exact"/>
              <w:rPr>
                <w:sz w:val="20"/>
                <w:szCs w:val="20"/>
                <w:color w:val="auto"/>
              </w:rPr>
            </w:pPr>
            <w:r>
              <w:rPr>
                <w:rFonts w:ascii="Arial" w:cs="Arial" w:eastAsia="Arial" w:hAnsi="Arial"/>
                <w:sz w:val="18"/>
                <w:szCs w:val="18"/>
                <w:color w:val="auto"/>
              </w:rPr>
              <w:t>1,332.0</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1,259.5</w:t>
            </w:r>
          </w:p>
        </w:tc>
        <w:tc>
          <w:tcPr>
            <w:tcW w:w="100" w:type="dxa"/>
            <w:vAlign w:val="bottom"/>
          </w:tcPr>
          <w:p>
            <w:pPr>
              <w:spacing w:after="0"/>
              <w:rPr>
                <w:sz w:val="17"/>
                <w:szCs w:val="17"/>
                <w:color w:val="auto"/>
              </w:rPr>
            </w:pPr>
          </w:p>
        </w:tc>
      </w:tr>
      <w:tr>
        <w:trPr>
          <w:trHeight w:val="20"/>
        </w:trPr>
        <w:tc>
          <w:tcPr>
            <w:tcW w:w="7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6" w:lineRule="exact"/>
        <w:rPr>
          <w:sz w:val="20"/>
          <w:szCs w:val="20"/>
          <w:color w:val="auto"/>
        </w:rPr>
      </w:pPr>
    </w:p>
    <w:p>
      <w:pPr>
        <w:ind w:right="480" w:firstLine="318"/>
        <w:spacing w:after="0" w:line="264" w:lineRule="auto"/>
        <w:rPr>
          <w:sz w:val="20"/>
          <w:szCs w:val="20"/>
          <w:color w:val="auto"/>
        </w:rPr>
      </w:pPr>
      <w:r>
        <w:rPr>
          <w:rFonts w:ascii="Arial" w:cs="Arial" w:eastAsia="Arial" w:hAnsi="Arial"/>
          <w:sz w:val="18"/>
          <w:szCs w:val="18"/>
          <w:color w:val="auto"/>
        </w:rPr>
        <w:t>The fair values were determined based on Level 2 inputs, including information gathered from brokers who trade in the Company’s 2019 Class A-2 Notes, as well as information on notes that are similar to those of the Company.</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jc w:val="center"/>
        <w:ind w:right="100"/>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Litigation, Claims and Disputes</w:t>
      </w:r>
    </w:p>
    <w:p>
      <w:pPr>
        <w:spacing w:after="0" w:line="177" w:lineRule="exact"/>
        <w:rPr>
          <w:sz w:val="20"/>
          <w:szCs w:val="20"/>
          <w:color w:val="auto"/>
        </w:rPr>
      </w:pPr>
    </w:p>
    <w:p>
      <w:pPr>
        <w:ind w:right="240" w:firstLine="318"/>
        <w:spacing w:after="0" w:line="288" w:lineRule="auto"/>
        <w:rPr>
          <w:sz w:val="20"/>
          <w:szCs w:val="20"/>
          <w:color w:val="auto"/>
        </w:rPr>
      </w:pPr>
      <w:r>
        <w:rPr>
          <w:rFonts w:ascii="Arial" w:cs="Arial" w:eastAsia="Arial" w:hAnsi="Arial"/>
          <w:sz w:val="15"/>
          <w:szCs w:val="15"/>
          <w:color w:val="auto"/>
        </w:rPr>
        <w:t>The Company is subject to various lawsuits, administrative proceedings, audits and claims arising in the ordinary course of business. Some of these lawsuits purport to be class actions and/or seek substantial damages. The Company is required under U.S. GAAP to record an accrual for litigation loss contingencies that are both probable and reasonably estimable. Legal fees and expenses associated with the defense of all of the Company's litigation are expensed as such fees and expenses are incurred. Management regularly assesses the Company's insurance coverage, analyzes litigation information with the Company's attorneys and evaluates the Company's loss experience in connection with pending legal proceedings. While the Company does not presently believe that any of the legal proceedings to which it is currently a party will ultimately have a material adverse impact on the Company, there can be no assurance that the Company will prevail in all the proceedings the Company is party to, or that the Company will not incur material losses from them.</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Lease Guarantees</w:t>
      </w:r>
    </w:p>
    <w:p>
      <w:pPr>
        <w:spacing w:after="0" w:line="177" w:lineRule="exact"/>
        <w:rPr>
          <w:sz w:val="20"/>
          <w:szCs w:val="20"/>
          <w:color w:val="auto"/>
        </w:rPr>
      </w:pPr>
    </w:p>
    <w:p>
      <w:pPr>
        <w:ind w:right="120" w:firstLine="318"/>
        <w:spacing w:after="0" w:line="312" w:lineRule="auto"/>
        <w:rPr>
          <w:sz w:val="20"/>
          <w:szCs w:val="20"/>
          <w:color w:val="auto"/>
        </w:rPr>
      </w:pPr>
      <w:r>
        <w:rPr>
          <w:rFonts w:ascii="Arial" w:cs="Arial" w:eastAsia="Arial" w:hAnsi="Arial"/>
          <w:sz w:val="15"/>
          <w:szCs w:val="15"/>
          <w:color w:val="auto"/>
        </w:rPr>
        <w:t>In connection with the sale of Applebee’s restaurants to franchisees, the Company has, in certain cases, guaranteed or has potential continuing liability for lease payments totaling $229.3 million as of September 30, 2021. This amount represents the maximum potential liability for future payments under these leases. These leases have been assigned to the buyers and expire at the end of the respective lease terms, which range from 2021 through 2048. Excluding unexercised option periods, the Company's potential liability for future payments under these leases is $43.4 million. In the event of default, the indemnity and default clauses in the sale or assignment agreements govern the Company's ability to pursue and recover damages incurred.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Cash, Cash Equivalents and Restricted Cash</w:t>
      </w:r>
    </w:p>
    <w:p>
      <w:pPr>
        <w:spacing w:after="0" w:line="15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Cash and Cash Equivalents</w:t>
      </w:r>
    </w:p>
    <w:p>
      <w:pPr>
        <w:spacing w:after="0" w:line="138" w:lineRule="exact"/>
        <w:rPr>
          <w:sz w:val="20"/>
          <w:szCs w:val="20"/>
          <w:color w:val="auto"/>
        </w:rPr>
      </w:pPr>
    </w:p>
    <w:p>
      <w:pPr>
        <w:ind w:right="260" w:firstLine="318"/>
        <w:spacing w:after="0" w:line="255" w:lineRule="auto"/>
        <w:rPr>
          <w:sz w:val="20"/>
          <w:szCs w:val="20"/>
          <w:color w:val="auto"/>
        </w:rPr>
      </w:pPr>
      <w:r>
        <w:rPr>
          <w:rFonts w:ascii="Arial" w:cs="Arial" w:eastAsia="Arial" w:hAnsi="Arial"/>
          <w:sz w:val="18"/>
          <w:szCs w:val="18"/>
          <w:color w:val="auto"/>
        </w:rPr>
        <w:t>The Company considers all highly liquid investment securities with remaining maturities at the date of purchase of three months or less to be cash equivalents. These cash equivalents are stated at cost which approximates market value. Cash held related to IHOP advertising funds and the Company's gift card programs is not considered to be restricted cash as there are no restrictions on the use of these funds.</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cash and cash equivalents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4824730</wp:posOffset>
            </wp:positionH>
            <wp:positionV relativeFrom="paragraph">
              <wp:posOffset>120650</wp:posOffset>
            </wp:positionV>
            <wp:extent cx="23761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376170" cy="8255"/>
                    </a:xfrm>
                    <a:prstGeom prst="rect">
                      <a:avLst/>
                    </a:prstGeom>
                    <a:noFill/>
                  </pic:spPr>
                </pic:pic>
              </a:graphicData>
            </a:graphic>
          </wp:anchor>
        </w:drawing>
      </w:r>
    </w:p>
    <w:p>
      <w:pPr>
        <w:spacing w:after="0" w:line="359" w:lineRule="exact"/>
        <w:rPr>
          <w:sz w:val="20"/>
          <w:szCs w:val="20"/>
          <w:color w:val="auto"/>
        </w:rPr>
      </w:pPr>
    </w:p>
    <w:tbl>
      <w:tblPr>
        <w:tblLayout w:type="fixed"/>
        <w:tblInd w:w="320" w:type="dxa"/>
        <w:tblCellMar>
          <w:top w:w="0" w:type="dxa"/>
          <w:left w:w="0" w:type="dxa"/>
          <w:bottom w:w="0" w:type="dxa"/>
          <w:right w:w="0" w:type="dxa"/>
        </w:tblCellMar>
      </w:tblPr>
      <w:tr>
        <w:trPr>
          <w:trHeight w:val="189"/>
        </w:trPr>
        <w:tc>
          <w:tcPr>
            <w:tcW w:w="72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September 30, 2021</w:t>
            </w:r>
          </w:p>
        </w:tc>
        <w:tc>
          <w:tcPr>
            <w:tcW w:w="5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December 31, 2020</w:t>
            </w:r>
          </w:p>
        </w:tc>
      </w:tr>
      <w:tr>
        <w:trPr>
          <w:trHeight w:val="183"/>
        </w:trPr>
        <w:tc>
          <w:tcPr>
            <w:tcW w:w="7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80" w:type="dxa"/>
            <w:vAlign w:val="bottom"/>
          </w:tcPr>
          <w:p>
            <w:pPr>
              <w:spacing w:after="0"/>
              <w:rPr>
                <w:sz w:val="15"/>
                <w:szCs w:val="15"/>
                <w:color w:val="auto"/>
              </w:rPr>
            </w:pPr>
          </w:p>
        </w:tc>
      </w:tr>
      <w:tr>
        <w:trPr>
          <w:trHeight w:val="226"/>
        </w:trPr>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Money market funds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25"/>
        </w:trPr>
        <w:tc>
          <w:tcPr>
            <w:tcW w:w="7280" w:type="dxa"/>
            <w:vAlign w:val="bottom"/>
          </w:tcPr>
          <w:p>
            <w:pPr>
              <w:ind w:left="340"/>
              <w:spacing w:after="0"/>
              <w:rPr>
                <w:sz w:val="20"/>
                <w:szCs w:val="20"/>
                <w:color w:val="auto"/>
              </w:rPr>
            </w:pPr>
            <w:r>
              <w:rPr>
                <w:rFonts w:ascii="Arial" w:cs="Arial" w:eastAsia="Arial" w:hAnsi="Arial"/>
                <w:sz w:val="18"/>
                <w:szCs w:val="18"/>
                <w:color w:val="auto"/>
              </w:rPr>
              <w:t>IHOP advertising funds and gift card programs</w:t>
            </w: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75.7</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25"/>
        </w:trPr>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depository accounts</w:t>
            </w:r>
          </w:p>
        </w:tc>
        <w:tc>
          <w:tcPr>
            <w:tcW w:w="4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198.5</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19"/>
        </w:trPr>
        <w:tc>
          <w:tcPr>
            <w:tcW w:w="7280" w:type="dxa"/>
            <w:vAlign w:val="bottom"/>
          </w:tcPr>
          <w:p>
            <w:pPr>
              <w:ind w:left="340"/>
              <w:spacing w:after="0"/>
              <w:rPr>
                <w:sz w:val="20"/>
                <w:szCs w:val="20"/>
                <w:color w:val="auto"/>
              </w:rPr>
            </w:pPr>
            <w:r>
              <w:rPr>
                <w:rFonts w:ascii="Arial" w:cs="Arial" w:eastAsia="Arial" w:hAnsi="Arial"/>
                <w:sz w:val="18"/>
                <w:szCs w:val="18"/>
                <w:color w:val="auto"/>
              </w:rPr>
              <w:t>Total cash and cash equivalents</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304.2</w:t>
            </w: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w:t>
            </w:r>
          </w:p>
        </w:tc>
      </w:tr>
      <w:tr>
        <w:trPr>
          <w:trHeight w:val="20"/>
        </w:trPr>
        <w:tc>
          <w:tcPr>
            <w:tcW w:w="7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ind w:right="180" w:firstLine="318"/>
        <w:spacing w:after="0" w:line="264" w:lineRule="auto"/>
        <w:rPr>
          <w:sz w:val="20"/>
          <w:szCs w:val="20"/>
          <w:color w:val="auto"/>
        </w:rPr>
      </w:pPr>
      <w:r>
        <w:rPr>
          <w:rFonts w:ascii="Arial" w:cs="Arial" w:eastAsia="Arial" w:hAnsi="Arial"/>
          <w:sz w:val="18"/>
          <w:szCs w:val="18"/>
          <w:color w:val="auto"/>
        </w:rPr>
        <w:t>The decrease in money market funds between December 31, 2020 and September 30, 2021 was due to the repayment of $220.0 million previously drawn on the Company's Credit Facility.</w:t>
      </w:r>
    </w:p>
    <w:p>
      <w:pPr>
        <w:spacing w:after="0" w:line="11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Current Restricted Cash</w:t>
      </w:r>
    </w:p>
    <w:p>
      <w:pPr>
        <w:spacing w:after="0" w:line="138" w:lineRule="exact"/>
        <w:rPr>
          <w:sz w:val="20"/>
          <w:szCs w:val="20"/>
          <w:color w:val="auto"/>
        </w:rPr>
      </w:pPr>
    </w:p>
    <w:p>
      <w:pPr>
        <w:ind w:right="420" w:firstLine="318"/>
        <w:spacing w:after="0" w:line="255" w:lineRule="auto"/>
        <w:rPr>
          <w:sz w:val="20"/>
          <w:szCs w:val="20"/>
          <w:color w:val="auto"/>
        </w:rPr>
      </w:pPr>
      <w:r>
        <w:rPr>
          <w:rFonts w:ascii="Arial" w:cs="Arial" w:eastAsia="Arial" w:hAnsi="Arial"/>
          <w:sz w:val="18"/>
          <w:szCs w:val="18"/>
          <w:color w:val="auto"/>
        </w:rPr>
        <w:t>Current restricted cash primarily consisted of funds required to be held in trust in connection with the Company's securitized debt and funds from Applebee's franchisees pursuant to franchise agreements, usage of which was restricted to advertising activities. The components of current restricted cash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4883785</wp:posOffset>
            </wp:positionH>
            <wp:positionV relativeFrom="paragraph">
              <wp:posOffset>102235</wp:posOffset>
            </wp:positionV>
            <wp:extent cx="23171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317115" cy="8255"/>
                    </a:xfrm>
                    <a:prstGeom prst="rect">
                      <a:avLst/>
                    </a:prstGeom>
                    <a:noFill/>
                  </pic:spPr>
                </pic:pic>
              </a:graphicData>
            </a:graphic>
          </wp:anchor>
        </w:drawing>
      </w:r>
    </w:p>
    <w:p>
      <w:pPr>
        <w:spacing w:after="0" w:line="330" w:lineRule="exact"/>
        <w:rPr>
          <w:sz w:val="20"/>
          <w:szCs w:val="20"/>
          <w:color w:val="auto"/>
        </w:rPr>
      </w:pPr>
    </w:p>
    <w:tbl>
      <w:tblPr>
        <w:tblLayout w:type="fixed"/>
        <w:tblInd w:w="320" w:type="dxa"/>
        <w:tblCellMar>
          <w:top w:w="0" w:type="dxa"/>
          <w:left w:w="0" w:type="dxa"/>
          <w:bottom w:w="0" w:type="dxa"/>
          <w:right w:w="0" w:type="dxa"/>
        </w:tblCellMar>
      </w:tblPr>
      <w:tr>
        <w:trPr>
          <w:trHeight w:val="189"/>
        </w:trPr>
        <w:tc>
          <w:tcPr>
            <w:tcW w:w="73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September 30, 2021</w:t>
            </w:r>
          </w:p>
        </w:tc>
        <w:tc>
          <w:tcPr>
            <w:tcW w:w="4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December 31, 2020</w:t>
            </w:r>
          </w:p>
        </w:tc>
      </w:tr>
      <w:tr>
        <w:trPr>
          <w:trHeight w:val="183"/>
        </w:trPr>
        <w:tc>
          <w:tcPr>
            <w:tcW w:w="7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15"/>
                <w:szCs w:val="15"/>
                <w:color w:val="auto"/>
              </w:rPr>
            </w:pPr>
          </w:p>
        </w:tc>
      </w:tr>
      <w:tr>
        <w:trPr>
          <w:trHeight w:val="226"/>
        </w:trPr>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Securitized debt reserves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5"/>
        </w:trPr>
        <w:tc>
          <w:tcPr>
            <w:tcW w:w="7380" w:type="dxa"/>
            <w:vAlign w:val="bottom"/>
          </w:tcPr>
          <w:p>
            <w:pPr>
              <w:ind w:left="340"/>
              <w:spacing w:after="0"/>
              <w:rPr>
                <w:sz w:val="20"/>
                <w:szCs w:val="20"/>
                <w:color w:val="auto"/>
              </w:rPr>
            </w:pPr>
            <w:r>
              <w:rPr>
                <w:rFonts w:ascii="Arial" w:cs="Arial" w:eastAsia="Arial" w:hAnsi="Arial"/>
                <w:sz w:val="18"/>
                <w:szCs w:val="18"/>
                <w:color w:val="auto"/>
              </w:rPr>
              <w:t>Applebee's advertising funds</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5"/>
        </w:trPr>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9"/>
        </w:trPr>
        <w:tc>
          <w:tcPr>
            <w:tcW w:w="7380" w:type="dxa"/>
            <w:vAlign w:val="bottom"/>
          </w:tcPr>
          <w:p>
            <w:pPr>
              <w:ind w:left="340"/>
              <w:spacing w:after="0"/>
              <w:rPr>
                <w:sz w:val="20"/>
                <w:szCs w:val="20"/>
                <w:color w:val="auto"/>
              </w:rPr>
            </w:pPr>
            <w:r>
              <w:rPr>
                <w:rFonts w:ascii="Arial" w:cs="Arial" w:eastAsia="Arial" w:hAnsi="Arial"/>
                <w:sz w:val="18"/>
                <w:szCs w:val="18"/>
                <w:color w:val="auto"/>
              </w:rPr>
              <w:t>Total current restricted cash</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73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320" w:top="116" w:right="2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16" w:right="239" w:bottom="1440" w:gutter="0" w:footer="0" w:header="0"/>
          <w:type w:val="continuous"/>
        </w:sectPr>
      </w:pPr>
    </w:p>
    <w:bookmarkStart w:id="27" w:name="page28"/>
    <w:bookmarkEnd w:id="2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jc w:val="center"/>
        <w:ind w:right="-1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Cash, Cash Equivalents and Restricted Cash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Non-current Restricted Cash</w:t>
      </w:r>
    </w:p>
    <w:p>
      <w:pPr>
        <w:spacing w:after="0" w:line="151"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Non-current restricted cash was $16.4 million and $32.8 million at September 30, 2021 and December 31, 2020, respectively, and represents interest reserves required to be set aside for the duration of the Company's securitized debt. The minimum reserve is approximately one quarter's interest payment on the Company's securitized debt, currently approximately $16 million. The Company voluntarily increased the amount held in the reserve account to twice the minimum amount during the year ended December 31, 2020. During the nine months ended September 30, 2021, the Company reduced the reserve back to the minimum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157" w:lineRule="exact"/>
        <w:rPr>
          <w:sz w:val="20"/>
          <w:szCs w:val="20"/>
          <w:color w:val="auto"/>
        </w:rPr>
      </w:pPr>
    </w:p>
    <w:p>
      <w:pPr>
        <w:ind w:right="60" w:firstLine="318"/>
        <w:spacing w:after="0" w:line="252" w:lineRule="auto"/>
        <w:rPr>
          <w:sz w:val="20"/>
          <w:szCs w:val="20"/>
          <w:color w:val="auto"/>
        </w:rPr>
      </w:pPr>
      <w:r>
        <w:rPr>
          <w:rFonts w:ascii="Arial" w:cs="Arial" w:eastAsia="Arial" w:hAnsi="Arial"/>
          <w:sz w:val="18"/>
          <w:szCs w:val="18"/>
          <w:color w:val="auto"/>
        </w:rPr>
        <w:t>On October 28, 2021, the Company's Board of Directors declared a fourth quarter 2021 cash dividend of $0.40 per common share, payable to shareholders of record as of December 20, 2021 on January 7, 2022. On October 29, 2021, the Company announced it intends to resume repurchases of its common stock under its 2019 Repurchase Program. As of September 30, 2021, $70.2 million of the $200 million purchase authorization remains available for repurchases.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0" w:lineRule="exact"/>
        <w:rPr>
          <w:sz w:val="20"/>
          <w:szCs w:val="20"/>
          <w:color w:val="auto"/>
        </w:rPr>
      </w:pPr>
    </w:p>
    <w:p>
      <w:pPr>
        <w:ind w:right="120" w:firstLine="318"/>
        <w:spacing w:after="0" w:line="252" w:lineRule="auto"/>
        <w:rPr>
          <w:sz w:val="20"/>
          <w:szCs w:val="20"/>
          <w:color w:val="auto"/>
        </w:rPr>
      </w:pPr>
      <w:r>
        <w:rPr>
          <w:rFonts w:ascii="Arial" w:cs="Arial" w:eastAsia="Arial" w:hAnsi="Arial"/>
          <w:sz w:val="18"/>
          <w:szCs w:val="18"/>
          <w:color w:val="auto"/>
        </w:rPr>
        <w:t>You should read the following Management's Discussion and Analysis of Financial Condition and Results of Operations (“MD&amp;A”) in conjunction with the consolidated financial statements and the related notes that appear elsewhere in this report. Statements contained in this report may constitute forward-looking statements within the meaning of the Private Securities Litigation Reform Act of 1995. Please refer to the section of this report under the heading “Cautionary Statement Regarding Forward-Looking Statements” for more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3"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The following discussion and analysis provides information which we believe is relevant to an assessment and understanding of our consolidated results of operations and financial condition. The discussion should be read in conjunction with the consolidated financial statements and the notes thereto included in Item 1 of Part I of this Quarterly Report and the audited consolidated financial statements and notes thereto and the MD&amp;A contained in the Company’s Annual Report on Form 10-K for the fiscal year ended December 31, 2020. Except where the context indicates otherwise, the words “we,” “us,” “our,” “Dine Brands Global” and the “Company” refer to Dine Brands Global, Inc., together with its subsidiaries that are consolidated in accordance with United States generally accepted accounting principles (“U.S. GAAP”).</w:t>
      </w:r>
    </w:p>
    <w:p>
      <w:pPr>
        <w:spacing w:after="0" w:line="188" w:lineRule="exact"/>
        <w:rPr>
          <w:sz w:val="20"/>
          <w:szCs w:val="20"/>
          <w:color w:val="auto"/>
        </w:rPr>
      </w:pPr>
    </w:p>
    <w:p>
      <w:pPr>
        <w:ind w:right="100" w:firstLine="318"/>
        <w:spacing w:after="0" w:line="232" w:lineRule="auto"/>
        <w:rPr>
          <w:sz w:val="20"/>
          <w:szCs w:val="20"/>
          <w:color w:val="auto"/>
        </w:rPr>
      </w:pPr>
      <w:r>
        <w:rPr>
          <w:rFonts w:ascii="Arial" w:cs="Arial" w:eastAsia="Arial" w:hAnsi="Arial"/>
          <w:sz w:val="17"/>
          <w:szCs w:val="17"/>
          <w:color w:val="auto"/>
        </w:rPr>
        <w:t>Through various subsidiaries, we own, franchise and operate the Applebee's Neighborhood Grill &amp; Bar</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(“Applebee's”) concept in the bar and grill segment within the casual dining category of the restaurant industry and we own and franchise the International House of Pancakes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(“IHOP”) concept in the family dining category of the restaurant industry. References herein to Applebee's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and IHOP</w:t>
      </w:r>
      <w:r>
        <w:rPr>
          <w:rFonts w:ascii="Arial" w:cs="Arial" w:eastAsia="Arial" w:hAnsi="Arial"/>
          <w:sz w:val="21"/>
          <w:szCs w:val="21"/>
          <w:color w:val="auto"/>
          <w:vertAlign w:val="superscript"/>
        </w:rPr>
        <w:t>®</w:t>
      </w:r>
      <w:r>
        <w:rPr>
          <w:rFonts w:ascii="Arial" w:cs="Arial" w:eastAsia="Arial" w:hAnsi="Arial"/>
          <w:sz w:val="17"/>
          <w:szCs w:val="17"/>
          <w:color w:val="auto"/>
        </w:rPr>
        <w:t xml:space="preserve"> restaurants are to these two restaurant concepts, whether operated by franchisees, area licensees and their sub-licensees (collectively, “area licensees”) or by us. With 3,439 restaurants combined, 98% of which are franchised, we believe we are one of the largest full-service restaurant companies in the world.</w:t>
      </w:r>
    </w:p>
    <w:p>
      <w:pPr>
        <w:spacing w:after="0" w:line="227" w:lineRule="exact"/>
        <w:rPr>
          <w:sz w:val="20"/>
          <w:szCs w:val="20"/>
          <w:color w:val="auto"/>
        </w:rPr>
      </w:pPr>
    </w:p>
    <w:p>
      <w:pPr>
        <w:ind w:right="160" w:firstLine="318"/>
        <w:spacing w:after="0" w:line="312" w:lineRule="auto"/>
        <w:rPr>
          <w:sz w:val="20"/>
          <w:szCs w:val="20"/>
          <w:color w:val="auto"/>
        </w:rPr>
      </w:pPr>
      <w:r>
        <w:rPr>
          <w:rFonts w:ascii="Arial" w:cs="Arial" w:eastAsia="Arial" w:hAnsi="Arial"/>
          <w:sz w:val="15"/>
          <w:szCs w:val="15"/>
          <w:color w:val="auto"/>
        </w:rPr>
        <w:t>We identify our business segments based on the organizational units used by management to monitor performance and make operating decisions. We currently have five operating segments: Applebee's franchise operations, Applebee's company-operated restaurant operations, IHOP franchise operations, rental operations and financing operations. We have four reportable segments: franchise operations (an aggregation of Applebee's and IHOP franchise operations), company-operated restaurant operations, rental operations and financing operations. We consider these to be our reportable segments, regardless of whether any segment exceeds 10% of consolidated revenues, income before income tax provision or total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Impacting Comparability of Financial Information</w:t>
      </w:r>
    </w:p>
    <w:p>
      <w:pPr>
        <w:spacing w:after="0" w:line="250" w:lineRule="exact"/>
        <w:rPr>
          <w:sz w:val="20"/>
          <w:szCs w:val="20"/>
          <w:color w:val="auto"/>
        </w:rPr>
      </w:pPr>
    </w:p>
    <w:p>
      <w:pPr>
        <w:ind w:right="40" w:firstLine="318"/>
        <w:spacing w:after="0" w:line="305" w:lineRule="auto"/>
        <w:rPr>
          <w:sz w:val="20"/>
          <w:szCs w:val="20"/>
          <w:color w:val="auto"/>
        </w:rPr>
      </w:pPr>
      <w:r>
        <w:rPr>
          <w:rFonts w:ascii="Arial" w:cs="Arial" w:eastAsia="Arial" w:hAnsi="Arial"/>
          <w:sz w:val="15"/>
          <w:szCs w:val="15"/>
          <w:color w:val="auto"/>
        </w:rPr>
        <w:t>Comparisons of financial results for the three and nine months ended September 30, 2021 with those for the three and nine months ended September 30, 2020 were significantly impacted by the extent of restrictions in place on restaurant operations during the respective periods. In March 2020, the World Health Organization declared a global pandemic related to the outbreak of a novel strain of coronavirus, designated “COVID-19.” Initially, federal, state, local and international governments reacted to the COVID-19 pandemic by encouraging or requiring social distancing, instituting shelter-in-place orders, and requiring, in varying degrees, reduced operating hours, restaurant dine-in and/or indoor dining limitations, capacity limitations or other restrictions. For the most part, these restrictions largely limited our restaurants to off-premise sales (take-out and delivery) from approximately the second week of March 2020 until May 2020. In May 2020, governmental entities slowly began to relax restrictions as infection rates from the initial outbreak declined, but restaurants allowed to re-open were largely limited to occupancy of 50% or less of capacity during the period from May 2020 to September 30, 2020.</w:t>
      </w:r>
    </w:p>
    <w:p>
      <w:pPr>
        <w:spacing w:after="0" w:line="181" w:lineRule="exact"/>
        <w:rPr>
          <w:sz w:val="20"/>
          <w:szCs w:val="20"/>
          <w:color w:val="auto"/>
        </w:rPr>
      </w:pPr>
    </w:p>
    <w:p>
      <w:pPr>
        <w:ind w:right="220" w:firstLine="318"/>
        <w:spacing w:after="0" w:line="250" w:lineRule="auto"/>
        <w:rPr>
          <w:sz w:val="20"/>
          <w:szCs w:val="20"/>
          <w:color w:val="auto"/>
        </w:rPr>
      </w:pPr>
      <w:r>
        <w:rPr>
          <w:rFonts w:ascii="Arial" w:cs="Arial" w:eastAsia="Arial" w:hAnsi="Arial"/>
          <w:sz w:val="18"/>
          <w:szCs w:val="18"/>
          <w:color w:val="auto"/>
        </w:rPr>
        <w:t>The operating status of our restaurants was fluid during the three and nine months ended September 30, 2021 and subject to change. Restrictions on restaurant operations were relaxed, removed or increased in response to changes in the number of COVID-19 infections, the availability and acceptance of vaccines and an increase in vaccination rates within the respective governmental jurisdictions. Generally speaking, during the second quarter of 2021, many federal, state and local governments began to relax or remove the restrictive protocols noted above, while most international governments maintained the restrictions, the degree of which varied by country.</w:t>
      </w:r>
    </w:p>
    <w:p>
      <w:pPr>
        <w:spacing w:after="0" w:line="220" w:lineRule="exact"/>
        <w:rPr>
          <w:sz w:val="20"/>
          <w:szCs w:val="20"/>
          <w:color w:val="auto"/>
        </w:rPr>
      </w:pPr>
    </w:p>
    <w:p>
      <w:pPr>
        <w:ind w:right="160" w:firstLine="318"/>
        <w:spacing w:after="0" w:line="268" w:lineRule="auto"/>
        <w:rPr>
          <w:sz w:val="20"/>
          <w:szCs w:val="20"/>
          <w:color w:val="auto"/>
        </w:rPr>
      </w:pPr>
      <w:r>
        <w:rPr>
          <w:rFonts w:ascii="Arial" w:cs="Arial" w:eastAsia="Arial" w:hAnsi="Arial"/>
          <w:sz w:val="17"/>
          <w:szCs w:val="17"/>
          <w:color w:val="auto"/>
        </w:rPr>
        <w:t>As of September 30, 2021, 99% of domestic Applebee's and IHOP restaurants were open and operating without government-mandated restrictions. This represents a slight improvement from June 30, 2021 and a significant improvement from March 31, 2021, at which time approximately 23% of domestic Applebee's restaurants and 11% of domestic IHOP restaurants were operating without government-mandated restrictions. Internationally, government-mandated restrictions vary by country, with most international restaurants still under restrictions. Generally speaking, restaurants in Mexico, Canada and Puerto Rico have a lower level of restriction than other countries in which we operate.</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40" w:firstLine="318"/>
        <w:spacing w:after="0" w:line="250" w:lineRule="auto"/>
        <w:rPr>
          <w:sz w:val="20"/>
          <w:szCs w:val="20"/>
          <w:color w:val="auto"/>
        </w:rPr>
      </w:pPr>
      <w:r>
        <w:rPr>
          <w:rFonts w:ascii="Arial" w:cs="Arial" w:eastAsia="Arial" w:hAnsi="Arial"/>
          <w:sz w:val="18"/>
          <w:szCs w:val="18"/>
          <w:color w:val="auto"/>
        </w:rPr>
        <w:t>Government-mandated restrictions notwithstanding, more than half of IHOP restaurants that operated 24 hours a day for all or parts of a week prior to the pandemic are currently closed during overnight hours. As of September 30, 2021, approximately 440 IHOP restaurants were operating 24 hours a day, seven days a week, with approximately 60 restaurants operating 24 hours a day for some portion of the week. As of December 31, 2019, the last reporting period prior to the pandemic, approximately 845 IHOP restaurants were operating 24 hours a day, seven days a week, with approximately 245 restaurants operating 24 hours a day for some portion of the week.</w:t>
      </w:r>
    </w:p>
    <w:p>
      <w:pPr>
        <w:spacing w:after="0" w:line="220" w:lineRule="exact"/>
        <w:rPr>
          <w:sz w:val="20"/>
          <w:szCs w:val="20"/>
          <w:color w:val="auto"/>
        </w:rPr>
      </w:pPr>
    </w:p>
    <w:p>
      <w:pPr>
        <w:ind w:right="120" w:firstLine="318"/>
        <w:spacing w:after="0" w:line="250" w:lineRule="auto"/>
        <w:rPr>
          <w:sz w:val="20"/>
          <w:szCs w:val="20"/>
          <w:color w:val="auto"/>
        </w:rPr>
      </w:pPr>
      <w:r>
        <w:rPr>
          <w:rFonts w:ascii="Arial" w:cs="Arial" w:eastAsia="Arial" w:hAnsi="Arial"/>
          <w:sz w:val="17"/>
          <w:szCs w:val="17"/>
          <w:color w:val="auto"/>
        </w:rPr>
        <w:t>We have experienced a number of temporary and permanent closures of our restaurants during the COVID-19 pandemic. These closures occurred for a variety of reasons, and all closures were not necessarily related to the impact of the COVID-19 pandemic or related restrictions. We cannot predict how long the COVID-19 pandemic and its impact on our operations will last, including recurrences of the virus and the emergence of new variants of the virus, the acceptance of vaccines worldwide and the availability of vaccines internationally, restrictions on in-restaurant dining that may be imposed or re-imposed, the timing and extent of customer re-engagement with our brands and, in general, what the short- and long-term impact on consumer discretionary spending the COVID-19 pandemic might have on our operations and the restaurant industry as a whole.</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Update on Key COVID-19 Pandemic Actions</w:t>
      </w:r>
    </w:p>
    <w:p>
      <w:pPr>
        <w:spacing w:after="0" w:line="25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Updates regarding several actions taken over the past 15 months to mitigate the effects of the COVID-19 pandemic on the Company, its operations and its franchisees, are discussed below:</w:t>
      </w:r>
    </w:p>
    <w:p>
      <w:pPr>
        <w:spacing w:after="0" w:line="207" w:lineRule="exact"/>
        <w:rPr>
          <w:sz w:val="20"/>
          <w:szCs w:val="20"/>
          <w:color w:val="auto"/>
        </w:rPr>
      </w:pPr>
    </w:p>
    <w:p>
      <w:pPr>
        <w:ind w:left="560" w:right="80" w:hanging="316"/>
        <w:spacing w:after="0" w:line="297" w:lineRule="auto"/>
        <w:tabs>
          <w:tab w:leader="none" w:pos="556" w:val="left"/>
        </w:tabs>
        <w:numPr>
          <w:ilvl w:val="0"/>
          <w:numId w:val="9"/>
        </w:numPr>
        <w:rPr>
          <w:rFonts w:ascii="Arial" w:cs="Arial" w:eastAsia="Arial" w:hAnsi="Arial"/>
          <w:sz w:val="15"/>
          <w:szCs w:val="15"/>
          <w:color w:val="auto"/>
        </w:rPr>
      </w:pPr>
      <w:r>
        <w:rPr>
          <w:rFonts w:ascii="Arial" w:cs="Arial" w:eastAsia="Arial" w:hAnsi="Arial"/>
          <w:sz w:val="15"/>
          <w:szCs w:val="15"/>
          <w:color w:val="auto"/>
        </w:rPr>
        <w:t>We suspended our repurchasing of common stock and the declaration of dividends on our common stock after the first quarter of 2020. After evaluating repurchases of common stock and dividend payments on common stock within the context of our overall capital allocation strategy, giving consideration to our current and forecast earnings, financial condition, cash requirements and other factors, we intend to resume repurchases of the Company's common stock under our existing $200 million stock repurchase program approved by the Board of Directors in 2019 (the “2019 Repurchase Program”). As of September 30, 2021, $70.2 million of the $200 million remains available for repurchases. Additionally, on October 28, 2021, our Board of Directors declared a fourth quarter 2021 cash dividend of $0.40 per common share, payable January 7, 2022.</w:t>
      </w:r>
    </w:p>
    <w:p>
      <w:pPr>
        <w:spacing w:after="0" w:line="2" w:lineRule="exact"/>
        <w:rPr>
          <w:rFonts w:ascii="Arial" w:cs="Arial" w:eastAsia="Arial" w:hAnsi="Arial"/>
          <w:sz w:val="15"/>
          <w:szCs w:val="15"/>
          <w:color w:val="auto"/>
        </w:rPr>
      </w:pPr>
    </w:p>
    <w:p>
      <w:pPr>
        <w:ind w:left="560" w:right="120" w:hanging="316"/>
        <w:spacing w:after="0" w:line="294" w:lineRule="auto"/>
        <w:tabs>
          <w:tab w:leader="none" w:pos="556" w:val="left"/>
        </w:tabs>
        <w:numPr>
          <w:ilvl w:val="0"/>
          <w:numId w:val="9"/>
        </w:numPr>
        <w:rPr>
          <w:rFonts w:ascii="Arial" w:cs="Arial" w:eastAsia="Arial" w:hAnsi="Arial"/>
          <w:sz w:val="15"/>
          <w:szCs w:val="15"/>
          <w:color w:val="auto"/>
        </w:rPr>
      </w:pPr>
      <w:r>
        <w:rPr>
          <w:rFonts w:ascii="Arial" w:cs="Arial" w:eastAsia="Arial" w:hAnsi="Arial"/>
          <w:sz w:val="15"/>
          <w:szCs w:val="15"/>
          <w:color w:val="auto"/>
        </w:rPr>
        <w:t xml:space="preserve">In March 2021, we repaid $220 million of borrowings outstanding under our revolving credit facility (“Credit Facility”) that initially had been drawn in March 2020. At the time of the initial draw, we had no immediate need for additional liquidity, but in light of then-current market conditions and significant uncertainty related to the COVID-19 pandemic, we drew on the revolving facility to maximize our financial flexibility. As of September 30, 2021, our borrowing capacity under the Credit Facility was $221.7 million. See </w:t>
      </w:r>
      <w:r>
        <w:rPr>
          <w:rFonts w:ascii="Arial" w:cs="Arial" w:eastAsia="Arial" w:hAnsi="Arial"/>
          <w:sz w:val="15"/>
          <w:szCs w:val="15"/>
          <w:i w:val="1"/>
          <w:iCs w:val="1"/>
          <w:color w:val="auto"/>
        </w:rPr>
        <w:t>“Liquidity and Capital Resources”</w:t>
      </w:r>
      <w:r>
        <w:rPr>
          <w:rFonts w:ascii="Arial" w:cs="Arial" w:eastAsia="Arial" w:hAnsi="Arial"/>
          <w:sz w:val="15"/>
          <w:szCs w:val="15"/>
          <w:color w:val="auto"/>
        </w:rPr>
        <w:t xml:space="preserve"> below for more information.</w:t>
      </w:r>
    </w:p>
    <w:p>
      <w:pPr>
        <w:spacing w:after="0" w:line="2" w:lineRule="exact"/>
        <w:rPr>
          <w:rFonts w:ascii="Arial" w:cs="Arial" w:eastAsia="Arial" w:hAnsi="Arial"/>
          <w:sz w:val="15"/>
          <w:szCs w:val="15"/>
          <w:color w:val="auto"/>
        </w:rPr>
      </w:pPr>
    </w:p>
    <w:p>
      <w:pPr>
        <w:ind w:left="560" w:right="20" w:hanging="316"/>
        <w:spacing w:after="0" w:line="245" w:lineRule="auto"/>
        <w:tabs>
          <w:tab w:leader="none" w:pos="556"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offered Applebee's franchisees the opportunity to defer payment of their royalty, advertising and other fees, primarily amounts due for the months of March and April 2020. A total of 30 franchisees representing 94% of Applebee’s restaurants deferred payments totaling $33.4 million. Repayment of deferred amounts, scheduled over up to nine months, began in the third quarter of 2020. As of September 30, 2021, most of the deferred amounts have been collected. Approximately $0.7 million and $13.3 million was collected during the three and nine months ended September 30, 2021, respectively. Collection of these amounts had a favorable impact on cash provided by operating activities during the nine months ended September 30, 2021.</w:t>
      </w:r>
    </w:p>
    <w:p>
      <w:pPr>
        <w:spacing w:after="0" w:line="4" w:lineRule="exact"/>
        <w:rPr>
          <w:rFonts w:ascii="Arial" w:cs="Arial" w:eastAsia="Arial" w:hAnsi="Arial"/>
          <w:sz w:val="18"/>
          <w:szCs w:val="18"/>
          <w:color w:val="auto"/>
        </w:rPr>
      </w:pPr>
    </w:p>
    <w:p>
      <w:pPr>
        <w:ind w:left="560" w:right="20" w:hanging="316"/>
        <w:spacing w:after="0" w:line="294" w:lineRule="auto"/>
        <w:tabs>
          <w:tab w:leader="none" w:pos="556" w:val="left"/>
        </w:tabs>
        <w:numPr>
          <w:ilvl w:val="0"/>
          <w:numId w:val="9"/>
        </w:numPr>
        <w:rPr>
          <w:rFonts w:ascii="Arial" w:cs="Arial" w:eastAsia="Arial" w:hAnsi="Arial"/>
          <w:sz w:val="15"/>
          <w:szCs w:val="15"/>
          <w:color w:val="auto"/>
        </w:rPr>
      </w:pPr>
      <w:r>
        <w:rPr>
          <w:rFonts w:ascii="Arial" w:cs="Arial" w:eastAsia="Arial" w:hAnsi="Arial"/>
          <w:sz w:val="15"/>
          <w:szCs w:val="15"/>
          <w:color w:val="auto"/>
        </w:rPr>
        <w:t>We offered IHOP franchisees the opportunity to defer their royalty, advertising, equipment rent and sublease rent payments, primarily amounts due for the months of March and April 2020. Initially, 193 franchisees representing 58% of IHOP restaurants deferred payments totaling $24.1 million. Including subsequent deferrals made on a case-by case basis, the deferral program totaled $28.6 million. Repayment of deferred amounts, scheduled over up to 36 weeks, began in the third quarter of 2020. In certain instances, repayments were temporarily paused for up to 60 days. As of September 30, 2021, the outstanding balance of these deferrals was $0.8 million, with approximately $2.8 million and $15.6 million collected during the three months and nine months ended September 30, 2021, respectively. A total of 149 franchisees have repaid their deferred balances in full. Collection of these balances had a favorable impact on cash provided by operating activities during the nine months ended September 30, 2021.</w:t>
      </w:r>
    </w:p>
    <w:p>
      <w:pPr>
        <w:spacing w:after="0" w:line="4" w:lineRule="exact"/>
        <w:rPr>
          <w:rFonts w:ascii="Arial" w:cs="Arial" w:eastAsia="Arial" w:hAnsi="Arial"/>
          <w:sz w:val="15"/>
          <w:szCs w:val="15"/>
          <w:color w:val="auto"/>
        </w:rPr>
      </w:pPr>
    </w:p>
    <w:p>
      <w:pPr>
        <w:ind w:left="560" w:right="180" w:hanging="316"/>
        <w:spacing w:after="0" w:line="294" w:lineRule="auto"/>
        <w:tabs>
          <w:tab w:leader="none" w:pos="556" w:val="left"/>
        </w:tabs>
        <w:numPr>
          <w:ilvl w:val="0"/>
          <w:numId w:val="9"/>
        </w:numPr>
        <w:rPr>
          <w:rFonts w:ascii="Arial" w:cs="Arial" w:eastAsia="Arial" w:hAnsi="Arial"/>
          <w:sz w:val="15"/>
          <w:szCs w:val="15"/>
          <w:color w:val="auto"/>
        </w:rPr>
      </w:pPr>
      <w:r>
        <w:rPr>
          <w:rFonts w:ascii="Arial" w:cs="Arial" w:eastAsia="Arial" w:hAnsi="Arial"/>
          <w:sz w:val="15"/>
          <w:szCs w:val="15"/>
          <w:color w:val="auto"/>
        </w:rPr>
        <w:t>We received rent deferrals and abatements on properties we lease of approximately $11 million during fiscal 2020, primarily related to rent deferrals for properties on which IHOP restaurants are located. As of September 30, 2021, the outstanding balance of those deferrals was $0.4 million, with approximately $0.5 million and $4.6 million paid during the three and nine months ended September 30, 2021, respectively. Payment of these deferrals reduced our cash provided by operating activities during the nine months ended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Results</w:t>
      </w:r>
    </w:p>
    <w:p>
      <w:pPr>
        <w:spacing w:after="0" w:line="250" w:lineRule="exact"/>
        <w:rPr>
          <w:sz w:val="20"/>
          <w:szCs w:val="20"/>
          <w:color w:val="auto"/>
        </w:rPr>
      </w:pPr>
    </w:p>
    <w:p>
      <w:pPr>
        <w:ind w:right="140" w:firstLine="318"/>
        <w:spacing w:after="0" w:line="264" w:lineRule="auto"/>
        <w:rPr>
          <w:sz w:val="20"/>
          <w:szCs w:val="20"/>
          <w:color w:val="auto"/>
        </w:rPr>
      </w:pPr>
      <w:r>
        <w:rPr>
          <w:rFonts w:ascii="Arial" w:cs="Arial" w:eastAsia="Arial" w:hAnsi="Arial"/>
          <w:sz w:val="18"/>
          <w:szCs w:val="18"/>
          <w:color w:val="auto"/>
        </w:rPr>
        <w:t>The financial tables appearing in MD&amp;A present amounts in millions of dollars that are rounded from our consolidated financial statements presented in thousands of dollars. As a result, the tables may not foot or crossfoot due to rounding.</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00" w:type="dxa"/>
            <w:vAlign w:val="bottom"/>
            <w:gridSpan w:val="5"/>
          </w:tcPr>
          <w:p>
            <w:pPr>
              <w:ind w:left="20"/>
              <w:spacing w:after="0"/>
              <w:rPr>
                <w:sz w:val="20"/>
                <w:szCs w:val="20"/>
                <w:color w:val="auto"/>
              </w:rPr>
            </w:pPr>
            <w:r>
              <w:rPr>
                <w:rFonts w:ascii="Arial" w:cs="Arial" w:eastAsia="Arial" w:hAnsi="Arial"/>
                <w:sz w:val="16"/>
                <w:szCs w:val="16"/>
                <w:b w:val="1"/>
                <w:bCs w:val="1"/>
                <w:color w:val="auto"/>
                <w:w w:val="98"/>
              </w:rPr>
              <w:t>Three months ended September 30,</w:t>
            </w:r>
          </w:p>
        </w:tc>
        <w:tc>
          <w:tcPr>
            <w:tcW w:w="1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Favorable</w:t>
            </w:r>
          </w:p>
        </w:tc>
        <w:tc>
          <w:tcPr>
            <w:tcW w:w="140" w:type="dxa"/>
            <w:vAlign w:val="bottom"/>
          </w:tcPr>
          <w:p>
            <w:pPr>
              <w:spacing w:after="0"/>
              <w:rPr>
                <w:sz w:val="16"/>
                <w:szCs w:val="16"/>
                <w:color w:val="auto"/>
              </w:rPr>
            </w:pPr>
          </w:p>
        </w:tc>
        <w:tc>
          <w:tcPr>
            <w:tcW w:w="2620" w:type="dxa"/>
            <w:vAlign w:val="bottom"/>
            <w:gridSpan w:val="5"/>
          </w:tcPr>
          <w:p>
            <w:pPr>
              <w:ind w:left="20"/>
              <w:spacing w:after="0"/>
              <w:rPr>
                <w:sz w:val="20"/>
                <w:szCs w:val="20"/>
                <w:color w:val="auto"/>
              </w:rPr>
            </w:pPr>
            <w:r>
              <w:rPr>
                <w:rFonts w:ascii="Arial" w:cs="Arial" w:eastAsia="Arial" w:hAnsi="Arial"/>
                <w:sz w:val="16"/>
                <w:szCs w:val="16"/>
                <w:b w:val="1"/>
                <w:bCs w:val="1"/>
                <w:color w:val="auto"/>
                <w:w w:val="98"/>
              </w:rPr>
              <w:t>Nine months ended September 30,</w:t>
            </w:r>
          </w:p>
        </w:tc>
        <w:tc>
          <w:tcPr>
            <w:tcW w:w="180" w:type="dxa"/>
            <w:vAlign w:val="bottom"/>
          </w:tcPr>
          <w:p>
            <w:pPr>
              <w:spacing w:after="0"/>
              <w:rPr>
                <w:sz w:val="16"/>
                <w:szCs w:val="16"/>
                <w:color w:val="auto"/>
              </w:rPr>
            </w:pPr>
          </w:p>
        </w:tc>
        <w:tc>
          <w:tcPr>
            <w:tcW w:w="1160" w:type="dxa"/>
            <w:vAlign w:val="bottom"/>
          </w:tcPr>
          <w:p>
            <w:pPr>
              <w:jc w:val="center"/>
              <w:ind w:right="103"/>
              <w:spacing w:after="0"/>
              <w:rPr>
                <w:sz w:val="20"/>
                <w:szCs w:val="20"/>
                <w:color w:val="auto"/>
              </w:rPr>
            </w:pPr>
            <w:r>
              <w:rPr>
                <w:rFonts w:ascii="Arial" w:cs="Arial" w:eastAsia="Arial" w:hAnsi="Arial"/>
                <w:sz w:val="14"/>
                <w:szCs w:val="14"/>
                <w:b w:val="1"/>
                <w:bCs w:val="1"/>
                <w:color w:val="auto"/>
                <w:w w:val="93"/>
              </w:rPr>
              <w:t>Favorable</w:t>
            </w:r>
          </w:p>
        </w:tc>
      </w:tr>
      <w:tr>
        <w:trPr>
          <w:trHeight w:val="53"/>
        </w:trPr>
        <w:tc>
          <w:tcPr>
            <w:tcW w:w="29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gridSpan w:val="2"/>
          </w:tcPr>
          <w:p>
            <w:pPr>
              <w:jc w:val="center"/>
              <w:ind w:right="280"/>
              <w:spacing w:after="0" w:line="53" w:lineRule="exact"/>
              <w:rPr>
                <w:sz w:val="20"/>
                <w:szCs w:val="20"/>
                <w:color w:val="auto"/>
              </w:rPr>
            </w:pPr>
            <w:r>
              <w:rPr>
                <w:rFonts w:ascii="Arial" w:cs="Arial" w:eastAsia="Arial" w:hAnsi="Arial"/>
                <w:sz w:val="6"/>
                <w:szCs w:val="6"/>
                <w:b w:val="1"/>
                <w:bCs w:val="1"/>
                <w:color w:val="auto"/>
              </w:rPr>
              <w:t>(Unfavorable)</w:t>
            </w:r>
          </w:p>
        </w:tc>
        <w:tc>
          <w:tcPr>
            <w:tcW w:w="1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jc w:val="center"/>
              <w:ind w:right="103"/>
              <w:spacing w:after="0" w:line="53" w:lineRule="exact"/>
              <w:rPr>
                <w:sz w:val="20"/>
                <w:szCs w:val="20"/>
                <w:color w:val="auto"/>
              </w:rPr>
            </w:pPr>
            <w:r>
              <w:rPr>
                <w:rFonts w:ascii="Arial" w:cs="Arial" w:eastAsia="Arial" w:hAnsi="Arial"/>
                <w:sz w:val="6"/>
                <w:szCs w:val="6"/>
                <w:b w:val="1"/>
                <w:bCs w:val="1"/>
                <w:color w:val="auto"/>
              </w:rPr>
              <w:t>(Unfavorable)</w:t>
            </w:r>
          </w:p>
        </w:tc>
      </w:tr>
      <w:tr>
        <w:trPr>
          <w:trHeight w:val="204"/>
        </w:trPr>
        <w:tc>
          <w:tcPr>
            <w:tcW w:w="29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2"/>
              </w:rPr>
              <w:t>Variance</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w w:val="92"/>
              </w:rPr>
              <w:t>Variance</w:t>
            </w:r>
          </w:p>
        </w:tc>
      </w:tr>
      <w:tr>
        <w:trPr>
          <w:trHeight w:val="254"/>
        </w:trPr>
        <w:tc>
          <w:tcPr>
            <w:tcW w:w="2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20" w:type="dxa"/>
            <w:vAlign w:val="bottom"/>
            <w:gridSpan w:val="5"/>
          </w:tcPr>
          <w:p>
            <w:pPr>
              <w:ind w:left="120"/>
              <w:spacing w:after="0"/>
              <w:rPr>
                <w:sz w:val="20"/>
                <w:szCs w:val="20"/>
                <w:color w:val="auto"/>
              </w:rPr>
            </w:pPr>
            <w:r>
              <w:rPr>
                <w:rFonts w:ascii="Arial" w:cs="Arial" w:eastAsia="Arial" w:hAnsi="Arial"/>
                <w:sz w:val="14"/>
                <w:szCs w:val="14"/>
                <w:b w:val="1"/>
                <w:bCs w:val="1"/>
                <w:color w:val="auto"/>
              </w:rPr>
              <w:t>(In millions, except per share data)</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31"/>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30.8</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23"/>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93.4</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(108.6)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43"/>
              <w:spacing w:after="0"/>
              <w:rPr>
                <w:sz w:val="20"/>
                <w:szCs w:val="20"/>
                <w:color w:val="auto"/>
              </w:rPr>
            </w:pPr>
            <w:r>
              <w:rPr>
                <w:rFonts w:ascii="Arial" w:cs="Arial" w:eastAsia="Arial" w:hAnsi="Arial"/>
                <w:sz w:val="18"/>
                <w:szCs w:val="18"/>
                <w:color w:val="auto"/>
              </w:rPr>
              <w:t>202.0</w:t>
            </w:r>
          </w:p>
        </w:tc>
      </w:tr>
      <w:tr>
        <w:trPr>
          <w:trHeight w:val="225"/>
        </w:trPr>
        <w:tc>
          <w:tcPr>
            <w:tcW w:w="2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(provision) benefit</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83"/>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(21.5)</w:t>
            </w:r>
          </w:p>
        </w:tc>
      </w:tr>
      <w:tr>
        <w:trPr>
          <w:trHeight w:val="218"/>
        </w:trPr>
        <w:tc>
          <w:tcPr>
            <w:tcW w:w="2900" w:type="dxa"/>
            <w:vAlign w:val="bottom"/>
            <w:tcBorders>
              <w:bottom w:val="single" w:sz="8" w:color="CCEEFF"/>
            </w:tcBorders>
            <w:shd w:val="clear" w:color="auto" w:fill="CCEEFF"/>
          </w:tcPr>
          <w:p>
            <w:pPr>
              <w:ind w:left="20"/>
              <w:spacing w:after="0" w:line="193" w:lineRule="exact"/>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ind w:left="620"/>
              <w:spacing w:after="0" w:line="193" w:lineRule="exact"/>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92"/>
              <w:spacing w:after="0" w:line="193"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3"/>
              <w:spacing w:after="0" w:line="193" w:lineRule="exact"/>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23"/>
              <w:spacing w:after="0" w:line="193" w:lineRule="exact"/>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ind w:left="600"/>
              <w:spacing w:after="0" w:line="193" w:lineRule="exact"/>
              <w:rPr>
                <w:sz w:val="20"/>
                <w:szCs w:val="20"/>
                <w:color w:val="auto"/>
              </w:rPr>
            </w:pPr>
            <w:r>
              <w:rPr>
                <w:rFonts w:ascii="Arial" w:cs="Arial" w:eastAsia="Arial" w:hAnsi="Arial"/>
                <w:sz w:val="18"/>
                <w:szCs w:val="18"/>
                <w:color w:val="auto"/>
              </w:rPr>
              <w:t>78.1</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2"/>
              <w:spacing w:after="0" w:line="19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93"/>
              <w:spacing w:after="0" w:line="193" w:lineRule="exact"/>
              <w:rPr>
                <w:sz w:val="20"/>
                <w:szCs w:val="20"/>
                <w:color w:val="auto"/>
              </w:rPr>
            </w:pPr>
            <w:r>
              <w:rPr>
                <w:rFonts w:ascii="Arial" w:cs="Arial" w:eastAsia="Arial" w:hAnsi="Arial"/>
                <w:sz w:val="18"/>
                <w:szCs w:val="18"/>
                <w:color w:val="auto"/>
              </w:rPr>
              <w:t>(102.4)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43"/>
              <w:spacing w:after="0" w:line="193" w:lineRule="exact"/>
              <w:rPr>
                <w:sz w:val="20"/>
                <w:szCs w:val="20"/>
                <w:color w:val="auto"/>
              </w:rPr>
            </w:pPr>
            <w:r>
              <w:rPr>
                <w:rFonts w:ascii="Arial" w:cs="Arial" w:eastAsia="Arial" w:hAnsi="Arial"/>
                <w:sz w:val="18"/>
                <w:szCs w:val="18"/>
                <w:color w:val="auto"/>
              </w:rPr>
              <w:t>180.5</w:t>
            </w: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53"/>
        </w:trPr>
        <w:tc>
          <w:tcPr>
            <w:tcW w:w="2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50"/>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1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92"/>
              </w:rPr>
              <w:t>24.9 %</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89"/>
              </w:rPr>
              <w:t>16.4 %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91"/>
              </w:rPr>
              <w:t>(10.8)%</w:t>
            </w: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53"/>
        </w:trPr>
        <w:tc>
          <w:tcPr>
            <w:tcW w:w="2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50"/>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per diluted share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0.60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8"/>
                <w:szCs w:val="18"/>
                <w:color w:val="auto"/>
              </w:rPr>
              <w:t>0.73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4.52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(6.34)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8"/>
                <w:szCs w:val="18"/>
                <w:color w:val="auto"/>
              </w:rPr>
              <w:t>10.86</w:t>
            </w: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r>
        <w:trPr>
          <w:trHeight w:val="158"/>
        </w:trPr>
        <w:tc>
          <w:tcPr>
            <w:tcW w:w="290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CCEEFF"/>
            </w:tcBorders>
          </w:tcPr>
          <w:p>
            <w:pPr>
              <w:spacing w:after="0"/>
              <w:rPr>
                <w:sz w:val="13"/>
                <w:szCs w:val="13"/>
                <w:color w:val="auto"/>
              </w:rPr>
            </w:pPr>
          </w:p>
        </w:tc>
        <w:tc>
          <w:tcPr>
            <w:tcW w:w="1160" w:type="dxa"/>
            <w:vAlign w:val="bottom"/>
            <w:tcBorders>
              <w:top w:val="single" w:sz="8" w:color="auto"/>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300" w:type="dxa"/>
            <w:vAlign w:val="bottom"/>
            <w:tcBorders>
              <w:top w:val="single" w:sz="8" w:color="auto"/>
              <w:bottom w:val="single" w:sz="8" w:color="CCEEFF"/>
            </w:tcBorders>
          </w:tcPr>
          <w:p>
            <w:pPr>
              <w:spacing w:after="0"/>
              <w:rPr>
                <w:sz w:val="13"/>
                <w:szCs w:val="13"/>
                <w:color w:val="auto"/>
              </w:rPr>
            </w:pPr>
          </w:p>
        </w:tc>
        <w:tc>
          <w:tcPr>
            <w:tcW w:w="1020" w:type="dxa"/>
            <w:vAlign w:val="bottom"/>
            <w:tcBorders>
              <w:top w:val="single" w:sz="8" w:color="auto"/>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center"/>
              <w:ind w:right="63"/>
              <w:spacing w:after="0" w:line="158" w:lineRule="exact"/>
              <w:rPr>
                <w:sz w:val="20"/>
                <w:szCs w:val="20"/>
                <w:color w:val="auto"/>
              </w:rPr>
            </w:pPr>
            <w:r>
              <w:rPr>
                <w:rFonts w:ascii="Arial" w:cs="Arial" w:eastAsia="Arial" w:hAnsi="Arial"/>
                <w:sz w:val="14"/>
                <w:szCs w:val="14"/>
                <w:b w:val="1"/>
                <w:bCs w:val="1"/>
                <w:color w:val="auto"/>
                <w:w w:val="90"/>
              </w:rPr>
              <w:t>% increase</w:t>
            </w:r>
          </w:p>
        </w:tc>
        <w:tc>
          <w:tcPr>
            <w:tcW w:w="12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CCEEFF"/>
            </w:tcBorders>
          </w:tcPr>
          <w:p>
            <w:pPr>
              <w:spacing w:after="0"/>
              <w:rPr>
                <w:sz w:val="13"/>
                <w:szCs w:val="13"/>
                <w:color w:val="auto"/>
              </w:rPr>
            </w:pPr>
          </w:p>
        </w:tc>
        <w:tc>
          <w:tcPr>
            <w:tcW w:w="1120" w:type="dxa"/>
            <w:vAlign w:val="bottom"/>
            <w:tcBorders>
              <w:top w:val="single" w:sz="8" w:color="auto"/>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CCEEFF"/>
            </w:tcBorders>
          </w:tcPr>
          <w:p>
            <w:pPr>
              <w:spacing w:after="0"/>
              <w:rPr>
                <w:sz w:val="13"/>
                <w:szCs w:val="13"/>
                <w:color w:val="auto"/>
              </w:rPr>
            </w:pPr>
          </w:p>
        </w:tc>
        <w:tc>
          <w:tcPr>
            <w:tcW w:w="1000" w:type="dxa"/>
            <w:vAlign w:val="bottom"/>
            <w:tcBorders>
              <w:top w:val="single" w:sz="8" w:color="auto"/>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center"/>
              <w:ind w:right="103"/>
              <w:spacing w:after="0" w:line="158" w:lineRule="exact"/>
              <w:rPr>
                <w:sz w:val="20"/>
                <w:szCs w:val="20"/>
                <w:color w:val="auto"/>
              </w:rPr>
            </w:pPr>
            <w:r>
              <w:rPr>
                <w:rFonts w:ascii="Arial" w:cs="Arial" w:eastAsia="Arial" w:hAnsi="Arial"/>
                <w:sz w:val="14"/>
                <w:szCs w:val="14"/>
                <w:b w:val="1"/>
                <w:bCs w:val="1"/>
                <w:color w:val="auto"/>
                <w:w w:val="90"/>
              </w:rPr>
              <w:t>% increase</w:t>
            </w:r>
          </w:p>
        </w:tc>
      </w:tr>
      <w:tr>
        <w:trPr>
          <w:trHeight w:val="244"/>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diluted shares</w:t>
            </w:r>
          </w:p>
        </w:tc>
        <w:tc>
          <w:tcPr>
            <w:tcW w:w="1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3.9 %</w:t>
            </w: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firstLine="318"/>
        <w:spacing w:after="0" w:line="312" w:lineRule="auto"/>
        <w:rPr>
          <w:sz w:val="20"/>
          <w:szCs w:val="20"/>
          <w:color w:val="auto"/>
        </w:rPr>
      </w:pPr>
      <w:r>
        <w:rPr>
          <w:rFonts w:ascii="Arial" w:cs="Arial" w:eastAsia="Arial" w:hAnsi="Arial"/>
          <w:sz w:val="15"/>
          <w:szCs w:val="15"/>
          <w:color w:val="auto"/>
        </w:rPr>
        <w:t>Our effective tax rate for the three months ended September 30, 2021 was significantly different than the rate of the prior comparable period primarily due to the release of unrecognized tax benefits in the third quarter of 2020. Our effective tax rate for the nine months ended September 30, 2021 was significantly different than the rate of the prior comparable period and the statutory federal tax rate of 21% primarily due to the one-time recognition of excess tax benefits on stock-based compensation related to the departure of our previous chief executive officer in the first quarter of 2021 and the impairment of goodwill in the second quarter of 2020, which was not deductible for income tax purposes and therefore had no associated tax benefit.</w:t>
      </w:r>
    </w:p>
    <w:p>
      <w:pPr>
        <w:spacing w:after="0" w:line="177" w:lineRule="exact"/>
        <w:rPr>
          <w:sz w:val="20"/>
          <w:szCs w:val="20"/>
          <w:color w:val="auto"/>
        </w:rPr>
      </w:pPr>
    </w:p>
    <w:p>
      <w:pPr>
        <w:ind w:right="60" w:firstLine="318"/>
        <w:spacing w:after="0" w:line="262" w:lineRule="auto"/>
        <w:rPr>
          <w:sz w:val="20"/>
          <w:szCs w:val="20"/>
          <w:color w:val="auto"/>
        </w:rPr>
      </w:pPr>
      <w:r>
        <w:rPr>
          <w:rFonts w:ascii="Arial" w:cs="Arial" w:eastAsia="Arial" w:hAnsi="Arial"/>
          <w:sz w:val="18"/>
          <w:szCs w:val="18"/>
          <w:color w:val="auto"/>
        </w:rPr>
        <w:t>The following table highlights the primary components of the increase in our income before income taxes for the three and nine months ended September 30, 2021, compared to our income before income taxes for the three and nine months ended September 30, 2020:</w:t>
      </w:r>
    </w:p>
    <w:p>
      <w:pPr>
        <w:jc w:val="center"/>
        <w:ind w:left="6300"/>
        <w:spacing w:after="0" w:line="223" w:lineRule="auto"/>
        <w:rPr>
          <w:sz w:val="20"/>
          <w:szCs w:val="20"/>
          <w:color w:val="auto"/>
        </w:rPr>
      </w:pPr>
      <w:r>
        <w:rPr>
          <w:rFonts w:ascii="Arial" w:cs="Arial" w:eastAsia="Arial" w:hAnsi="Arial"/>
          <w:sz w:val="14"/>
          <w:szCs w:val="14"/>
          <w:b w:val="1"/>
          <w:bCs w:val="1"/>
          <w:color w:val="auto"/>
        </w:rPr>
        <w:t>Favorable</w:t>
      </w:r>
    </w:p>
    <w:p>
      <w:pPr>
        <w:spacing w:after="0" w:line="1" w:lineRule="exact"/>
        <w:rPr>
          <w:sz w:val="20"/>
          <w:szCs w:val="20"/>
          <w:color w:val="auto"/>
        </w:rPr>
      </w:pPr>
    </w:p>
    <w:p>
      <w:pPr>
        <w:jc w:val="center"/>
        <w:ind w:left="6300"/>
        <w:spacing w:after="0"/>
        <w:rPr>
          <w:sz w:val="20"/>
          <w:szCs w:val="20"/>
          <w:color w:val="auto"/>
        </w:rPr>
      </w:pPr>
      <w:r>
        <w:rPr>
          <w:rFonts w:ascii="Arial" w:cs="Arial" w:eastAsia="Arial" w:hAnsi="Arial"/>
          <w:sz w:val="14"/>
          <w:szCs w:val="14"/>
          <w:b w:val="1"/>
          <w:bCs w:val="1"/>
          <w:color w:val="auto"/>
        </w:rPr>
        <w:t>(Unfavorable) Variance</w:t>
      </w:r>
    </w:p>
    <w:p>
      <w:pPr>
        <w:spacing w:after="0" w:line="7" w:lineRule="exact"/>
        <w:rPr>
          <w:sz w:val="20"/>
          <w:szCs w:val="20"/>
          <w:color w:val="auto"/>
        </w:rPr>
      </w:pPr>
    </w:p>
    <w:tbl>
      <w:tblPr>
        <w:tblLayout w:type="fixed"/>
        <w:tblInd w:w="380" w:type="dxa"/>
        <w:tblCellMar>
          <w:top w:w="0" w:type="dxa"/>
          <w:left w:w="0" w:type="dxa"/>
          <w:bottom w:w="0" w:type="dxa"/>
          <w:right w:w="0" w:type="dxa"/>
        </w:tblCellMar>
      </w:tblPr>
      <w:tr>
        <w:trPr>
          <w:trHeight w:val="163"/>
        </w:trPr>
        <w:tc>
          <w:tcPr>
            <w:tcW w:w="63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860" w:type="dxa"/>
            <w:vAlign w:val="bottom"/>
            <w:tcBorders>
              <w:top w:val="single" w:sz="8" w:color="auto"/>
            </w:tcBorders>
            <w:gridSpan w:val="2"/>
          </w:tcPr>
          <w:p>
            <w:pPr>
              <w:jc w:val="center"/>
              <w:ind w:right="300"/>
              <w:spacing w:after="0" w:line="163" w:lineRule="exact"/>
              <w:rPr>
                <w:sz w:val="20"/>
                <w:szCs w:val="20"/>
                <w:color w:val="auto"/>
              </w:rPr>
            </w:pPr>
            <w:r>
              <w:rPr>
                <w:rFonts w:ascii="Arial" w:cs="Arial" w:eastAsia="Arial" w:hAnsi="Arial"/>
                <w:sz w:val="16"/>
                <w:szCs w:val="16"/>
                <w:b w:val="1"/>
                <w:bCs w:val="1"/>
                <w:color w:val="auto"/>
                <w:w w:val="88"/>
              </w:rPr>
              <w:t>Three months ended</w:t>
            </w:r>
          </w:p>
        </w:tc>
        <w:tc>
          <w:tcPr>
            <w:tcW w:w="2160" w:type="dxa"/>
            <w:vAlign w:val="bottom"/>
            <w:tcBorders>
              <w:top w:val="single" w:sz="8" w:color="auto"/>
            </w:tcBorders>
            <w:gridSpan w:val="2"/>
          </w:tcPr>
          <w:p>
            <w:pPr>
              <w:jc w:val="right"/>
              <w:spacing w:after="0" w:line="163" w:lineRule="exact"/>
              <w:rPr>
                <w:sz w:val="20"/>
                <w:szCs w:val="20"/>
                <w:color w:val="auto"/>
              </w:rPr>
            </w:pPr>
            <w:r>
              <w:rPr>
                <w:rFonts w:ascii="Arial" w:cs="Arial" w:eastAsia="Arial" w:hAnsi="Arial"/>
                <w:sz w:val="16"/>
                <w:szCs w:val="16"/>
                <w:b w:val="1"/>
                <w:bCs w:val="1"/>
                <w:color w:val="auto"/>
                <w:w w:val="89"/>
              </w:rPr>
              <w:t>Nine months ended September</w:t>
            </w:r>
          </w:p>
        </w:tc>
      </w:tr>
      <w:tr>
        <w:trPr>
          <w:trHeight w:val="210"/>
        </w:trPr>
        <w:tc>
          <w:tcPr>
            <w:tcW w:w="63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88"/>
              </w:rPr>
              <w:t>September 30, 2021</w:t>
            </w:r>
          </w:p>
        </w:tc>
        <w:tc>
          <w:tcPr>
            <w:tcW w:w="6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33"/>
              <w:spacing w:after="0"/>
              <w:rPr>
                <w:sz w:val="20"/>
                <w:szCs w:val="20"/>
                <w:color w:val="auto"/>
              </w:rPr>
            </w:pPr>
            <w:r>
              <w:rPr>
                <w:rFonts w:ascii="Arial" w:cs="Arial" w:eastAsia="Arial" w:hAnsi="Arial"/>
                <w:sz w:val="16"/>
                <w:szCs w:val="16"/>
                <w:b w:val="1"/>
                <w:bCs w:val="1"/>
                <w:color w:val="auto"/>
              </w:rPr>
              <w:t>30, 2021</w:t>
            </w:r>
          </w:p>
        </w:tc>
      </w:tr>
      <w:tr>
        <w:trPr>
          <w:trHeight w:val="181"/>
        </w:trPr>
        <w:tc>
          <w:tcPr>
            <w:tcW w:w="6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80" w:type="dxa"/>
            <w:vAlign w:val="bottom"/>
            <w:gridSpan w:val="3"/>
            <w:shd w:val="clear" w:color="auto" w:fill="CCEEFF"/>
          </w:tcPr>
          <w:p>
            <w:pPr>
              <w:jc w:val="center"/>
              <w:ind w:left="1255"/>
              <w:spacing w:after="0"/>
              <w:rPr>
                <w:sz w:val="20"/>
                <w:szCs w:val="20"/>
                <w:color w:val="auto"/>
              </w:rPr>
            </w:pPr>
            <w:r>
              <w:rPr>
                <w:rFonts w:ascii="Arial" w:cs="Arial" w:eastAsia="Arial" w:hAnsi="Arial"/>
                <w:sz w:val="14"/>
                <w:szCs w:val="14"/>
                <w:b w:val="1"/>
                <w:bCs w:val="1"/>
                <w:color w:val="auto"/>
                <w:w w:val="94"/>
              </w:rPr>
              <w:t>(In millions)</w:t>
            </w:r>
          </w:p>
        </w:tc>
        <w:tc>
          <w:tcPr>
            <w:tcW w:w="1540" w:type="dxa"/>
            <w:vAlign w:val="bottom"/>
            <w:shd w:val="clear" w:color="auto" w:fill="CCEEFF"/>
          </w:tcPr>
          <w:p>
            <w:pPr>
              <w:spacing w:after="0"/>
              <w:rPr>
                <w:sz w:val="15"/>
                <w:szCs w:val="15"/>
                <w:color w:val="auto"/>
              </w:rPr>
            </w:pPr>
          </w:p>
        </w:tc>
      </w:tr>
      <w:tr>
        <w:trPr>
          <w:trHeight w:val="225"/>
        </w:trPr>
        <w:tc>
          <w:tcPr>
            <w:tcW w:w="6300" w:type="dxa"/>
            <w:vAlign w:val="bottom"/>
          </w:tcPr>
          <w:p>
            <w:pPr>
              <w:ind w:left="20"/>
              <w:spacing w:after="0"/>
              <w:rPr>
                <w:sz w:val="20"/>
                <w:szCs w:val="20"/>
                <w:color w:val="auto"/>
              </w:rPr>
            </w:pPr>
            <w:r>
              <w:rPr>
                <w:rFonts w:ascii="Arial" w:cs="Arial" w:eastAsia="Arial" w:hAnsi="Arial"/>
                <w:sz w:val="18"/>
                <w:szCs w:val="18"/>
                <w:color w:val="auto"/>
              </w:rPr>
              <w:t>Increase in gross profit:</w:t>
            </w:r>
          </w:p>
        </w:tc>
        <w:tc>
          <w:tcPr>
            <w:tcW w:w="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6"/>
        </w:trPr>
        <w:tc>
          <w:tcPr>
            <w:tcW w:w="6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Applebee's franchise operations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center"/>
              <w:ind w:right="435"/>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r>
      <w:tr>
        <w:trPr>
          <w:trHeight w:val="225"/>
        </w:trPr>
        <w:tc>
          <w:tcPr>
            <w:tcW w:w="6300" w:type="dxa"/>
            <w:vAlign w:val="bottom"/>
          </w:tcPr>
          <w:p>
            <w:pPr>
              <w:ind w:left="260"/>
              <w:spacing w:after="0"/>
              <w:rPr>
                <w:sz w:val="20"/>
                <w:szCs w:val="20"/>
                <w:color w:val="auto"/>
              </w:rPr>
            </w:pPr>
            <w:r>
              <w:rPr>
                <w:rFonts w:ascii="Arial" w:cs="Arial" w:eastAsia="Arial" w:hAnsi="Arial"/>
                <w:sz w:val="18"/>
                <w:szCs w:val="18"/>
                <w:color w:val="auto"/>
              </w:rPr>
              <w:t>IHOP franchise operations</w:t>
            </w: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40.1</w:t>
            </w:r>
          </w:p>
        </w:tc>
      </w:tr>
      <w:tr>
        <w:trPr>
          <w:trHeight w:val="226"/>
        </w:trPr>
        <w:tc>
          <w:tcPr>
            <w:tcW w:w="6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Company restaurant operations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25"/>
        </w:trPr>
        <w:tc>
          <w:tcPr>
            <w:tcW w:w="63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Rental and financing operations</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19"/>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increase in gross profit</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r>
      <w:tr>
        <w:trPr>
          <w:trHeight w:val="225"/>
        </w:trPr>
        <w:tc>
          <w:tcPr>
            <w:tcW w:w="6300" w:type="dxa"/>
            <w:vAlign w:val="bottom"/>
          </w:tcPr>
          <w:p>
            <w:pPr>
              <w:ind w:left="20"/>
              <w:spacing w:after="0"/>
              <w:rPr>
                <w:sz w:val="20"/>
                <w:szCs w:val="20"/>
                <w:color w:val="auto"/>
              </w:rPr>
            </w:pPr>
            <w:r>
              <w:rPr>
                <w:rFonts w:ascii="Arial" w:cs="Arial" w:eastAsia="Arial" w:hAnsi="Arial"/>
                <w:sz w:val="18"/>
                <w:szCs w:val="18"/>
                <w:color w:val="auto"/>
              </w:rPr>
              <w:t>Closure and impairment charges</w:t>
            </w: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119.5</w:t>
            </w:r>
          </w:p>
        </w:tc>
      </w:tr>
      <w:tr>
        <w:trPr>
          <w:trHeight w:val="226"/>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G&amp;A expenses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25"/>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44"/>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Increase in income before income taxes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center"/>
              <w:ind w:right="435"/>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ind w:right="180" w:firstLine="318"/>
        <w:spacing w:after="0" w:line="239" w:lineRule="auto"/>
        <w:rPr>
          <w:sz w:val="20"/>
          <w:szCs w:val="20"/>
          <w:color w:val="auto"/>
        </w:rPr>
      </w:pPr>
      <w:r>
        <w:rPr>
          <w:rFonts w:ascii="Arial" w:cs="Arial" w:eastAsia="Arial" w:hAnsi="Arial"/>
          <w:sz w:val="18"/>
          <w:szCs w:val="18"/>
          <w:color w:val="252525"/>
        </w:rPr>
        <w:t xml:space="preserve">As discussed above under </w:t>
      </w:r>
      <w:r>
        <w:rPr>
          <w:rFonts w:ascii="Arial" w:cs="Arial" w:eastAsia="Arial" w:hAnsi="Arial"/>
          <w:sz w:val="18"/>
          <w:szCs w:val="18"/>
          <w:i w:val="1"/>
          <w:iCs w:val="1"/>
          <w:color w:val="000000"/>
        </w:rPr>
        <w:t>“Events Impacting the Comparability of Financial Information,”</w:t>
      </w:r>
      <w:r>
        <w:rPr>
          <w:rFonts w:ascii="Arial" w:cs="Arial" w:eastAsia="Arial" w:hAnsi="Arial"/>
          <w:sz w:val="18"/>
          <w:szCs w:val="18"/>
          <w:color w:val="252525"/>
        </w:rPr>
        <w:t xml:space="preserve"> </w:t>
      </w:r>
      <w:r>
        <w:rPr>
          <w:rFonts w:ascii="Arial" w:cs="Arial" w:eastAsia="Arial" w:hAnsi="Arial"/>
          <w:sz w:val="18"/>
          <w:szCs w:val="18"/>
          <w:color w:val="000000"/>
        </w:rPr>
        <w:t>the imposition and subsequent relaxation or removal of</w:t>
      </w:r>
      <w:r>
        <w:rPr>
          <w:rFonts w:ascii="Arial" w:cs="Arial" w:eastAsia="Arial" w:hAnsi="Arial"/>
          <w:sz w:val="18"/>
          <w:szCs w:val="18"/>
          <w:color w:val="252525"/>
        </w:rPr>
        <w:t xml:space="preserve"> </w:t>
      </w:r>
      <w:r>
        <w:rPr>
          <w:rFonts w:ascii="Arial" w:cs="Arial" w:eastAsia="Arial" w:hAnsi="Arial"/>
          <w:sz w:val="18"/>
          <w:szCs w:val="18"/>
          <w:color w:val="000000"/>
        </w:rPr>
        <w:t>restrictions imposed on in-restaurant dining in response to the COVID-19 pandemic had a significant impact on comparisons of our gross profit between the three and nine months ended September 30, 2021 and the same periods of 2020.</w:t>
      </w:r>
    </w:p>
    <w:p>
      <w:pPr>
        <w:spacing w:after="0" w:line="216" w:lineRule="exact"/>
        <w:rPr>
          <w:sz w:val="20"/>
          <w:szCs w:val="20"/>
          <w:color w:val="auto"/>
        </w:rPr>
      </w:pPr>
    </w:p>
    <w:p>
      <w:pPr>
        <w:ind w:right="240" w:firstLine="318"/>
        <w:spacing w:after="0" w:line="250" w:lineRule="auto"/>
        <w:rPr>
          <w:sz w:val="20"/>
          <w:szCs w:val="20"/>
          <w:color w:val="auto"/>
        </w:rPr>
      </w:pPr>
      <w:r>
        <w:rPr>
          <w:rFonts w:ascii="Arial" w:cs="Arial" w:eastAsia="Arial" w:hAnsi="Arial"/>
          <w:sz w:val="18"/>
          <w:szCs w:val="18"/>
          <w:color w:val="auto"/>
        </w:rPr>
        <w:t>The significant impacts of the COVID-19 pandemic resulted in our performing impairment assessments of our long-lived assets, goodwill and other intangible assets during the nine months ended September 30, 2020. As a result of these assessments, we recorded an impairment to Applebee's goodwill of $92.2 million, an impairment to Applebee's intangible assets of $14.3 million and impairments to long-lived assets of both brands totaling approximately $17.2 million in the second quarter of 2020. There were no impairments of goodwill or other intangible assets during the three and nine months ended September 30, 2021.</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60" w:firstLine="318"/>
        <w:spacing w:after="0" w:line="252" w:lineRule="auto"/>
        <w:rPr>
          <w:sz w:val="20"/>
          <w:szCs w:val="20"/>
          <w:color w:val="auto"/>
        </w:rPr>
      </w:pPr>
      <w:r>
        <w:rPr>
          <w:rFonts w:ascii="Arial" w:cs="Arial" w:eastAsia="Arial" w:hAnsi="Arial"/>
          <w:sz w:val="18"/>
          <w:szCs w:val="18"/>
          <w:color w:val="auto"/>
        </w:rPr>
        <w:t>Increases in commodity, labor and other restaurant operating costs experienced at restaurants owned and operated by our franchisees could impact us to the extent our franchisees are adversely impacted by a sustained decline in their operating margins. At company operated restaurants, increases in commodity, labor and other restaurant operating costs impact us directly. As of September 30, 2021, we operate 69 Applebee’s restaurants, representing 2% of the 3,439 restaurants comprising our system.</w:t>
      </w:r>
    </w:p>
    <w:p>
      <w:pPr>
        <w:spacing w:after="0" w:line="217" w:lineRule="exact"/>
        <w:rPr>
          <w:sz w:val="20"/>
          <w:szCs w:val="20"/>
          <w:color w:val="auto"/>
        </w:rPr>
      </w:pPr>
    </w:p>
    <w:p>
      <w:pPr>
        <w:ind w:right="60" w:firstLine="318"/>
        <w:spacing w:after="0" w:line="264"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“Consolidated Results of Operations - Comparison of</w:t>
      </w:r>
      <w:r>
        <w:rPr>
          <w:rFonts w:ascii="Arial" w:cs="Arial" w:eastAsia="Arial" w:hAnsi="Arial"/>
          <w:sz w:val="18"/>
          <w:szCs w:val="18"/>
          <w:color w:val="auto"/>
        </w:rPr>
        <w:t xml:space="preserve"> the </w:t>
      </w:r>
      <w:r>
        <w:rPr>
          <w:rFonts w:ascii="Arial" w:cs="Arial" w:eastAsia="Arial" w:hAnsi="Arial"/>
          <w:sz w:val="18"/>
          <w:szCs w:val="18"/>
          <w:i w:val="1"/>
          <w:iCs w:val="1"/>
          <w:color w:val="auto"/>
        </w:rPr>
        <w:t>Three and Nine Months ended September 30, 2021 and September 30, 2020”</w:t>
      </w:r>
      <w:r>
        <w:rPr>
          <w:rFonts w:ascii="Arial" w:cs="Arial" w:eastAsia="Arial" w:hAnsi="Arial"/>
          <w:sz w:val="18"/>
          <w:szCs w:val="18"/>
          <w:color w:val="auto"/>
        </w:rPr>
        <w:t xml:space="preserve"> for additional discussion of the changes shown above.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223" w:lineRule="exact"/>
        <w:rPr>
          <w:sz w:val="20"/>
          <w:szCs w:val="20"/>
          <w:color w:val="auto"/>
        </w:rPr>
      </w:pPr>
    </w:p>
    <w:p>
      <w:pPr>
        <w:ind w:right="100" w:firstLine="318"/>
        <w:spacing w:after="0" w:line="268" w:lineRule="auto"/>
        <w:rPr>
          <w:sz w:val="20"/>
          <w:szCs w:val="20"/>
          <w:color w:val="auto"/>
        </w:rPr>
      </w:pPr>
      <w:r>
        <w:rPr>
          <w:rFonts w:ascii="Arial" w:cs="Arial" w:eastAsia="Arial" w:hAnsi="Arial"/>
          <w:sz w:val="17"/>
          <w:szCs w:val="17"/>
          <w:color w:val="auto"/>
        </w:rPr>
        <w:t>In evaluating the performance of each restaurant concept, we consider the key performance indicators to be the system-wide sales percentage change, the percentage change in domestic system-wide same-restaurant sales (“domestic same-restaurant sales”), net franchise restaurant development and the change in effective restaurants. Changes in both domestic same-restaurant sales and in the number of Applebee's and IHOP restaurants will impact our system-wide retail sales that drive franchise royalty revenues. Restaurant development also impacts franchise revenues in the form of initial franchise fees and, in the case of IHOP restaurants, sales of proprietary pancake and waffle dry mix.</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Our key performance indicators for the three and nine months ended September 30, 2021 were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40" w:type="dxa"/>
            <w:vAlign w:val="bottom"/>
          </w:tcPr>
          <w:p>
            <w:pPr>
              <w:spacing w:after="0"/>
              <w:rPr>
                <w:sz w:val="16"/>
                <w:szCs w:val="16"/>
                <w:color w:val="auto"/>
              </w:rPr>
            </w:pPr>
          </w:p>
        </w:tc>
        <w:tc>
          <w:tcPr>
            <w:tcW w:w="2660" w:type="dxa"/>
            <w:vAlign w:val="bottom"/>
            <w:gridSpan w:val="7"/>
          </w:tcPr>
          <w:p>
            <w:pPr>
              <w:ind w:left="80"/>
              <w:spacing w:after="0"/>
              <w:rPr>
                <w:sz w:val="20"/>
                <w:szCs w:val="20"/>
                <w:color w:val="auto"/>
              </w:rPr>
            </w:pPr>
            <w:r>
              <w:rPr>
                <w:rFonts w:ascii="Arial" w:cs="Arial" w:eastAsia="Arial" w:hAnsi="Arial"/>
                <w:sz w:val="16"/>
                <w:szCs w:val="16"/>
                <w:b w:val="1"/>
                <w:bCs w:val="1"/>
                <w:color w:val="auto"/>
                <w:w w:val="94"/>
              </w:rPr>
              <w:t>Three months ended September 30,</w:t>
            </w:r>
          </w:p>
        </w:tc>
        <w:tc>
          <w:tcPr>
            <w:tcW w:w="2340" w:type="dxa"/>
            <w:vAlign w:val="bottom"/>
            <w:gridSpan w:val="6"/>
          </w:tcPr>
          <w:p>
            <w:pPr>
              <w:jc w:val="right"/>
              <w:ind w:right="140"/>
              <w:spacing w:after="0"/>
              <w:rPr>
                <w:sz w:val="20"/>
                <w:szCs w:val="20"/>
                <w:color w:val="auto"/>
              </w:rPr>
            </w:pPr>
            <w:r>
              <w:rPr>
                <w:rFonts w:ascii="Arial" w:cs="Arial" w:eastAsia="Arial" w:hAnsi="Arial"/>
                <w:sz w:val="16"/>
                <w:szCs w:val="16"/>
                <w:b w:val="1"/>
                <w:bCs w:val="1"/>
                <w:color w:val="auto"/>
                <w:w w:val="92"/>
              </w:rPr>
              <w:t>Nine months ended September</w:t>
            </w:r>
          </w:p>
        </w:tc>
      </w:tr>
      <w:tr>
        <w:trPr>
          <w:trHeight w:val="210"/>
        </w:trPr>
        <w:tc>
          <w:tcPr>
            <w:tcW w:w="6240" w:type="dxa"/>
            <w:vAlign w:val="bottom"/>
          </w:tcPr>
          <w:p>
            <w:pPr>
              <w:spacing w:after="0"/>
              <w:rPr>
                <w:sz w:val="18"/>
                <w:szCs w:val="18"/>
                <w:color w:val="auto"/>
              </w:rPr>
            </w:pPr>
          </w:p>
        </w:tc>
        <w:tc>
          <w:tcPr>
            <w:tcW w:w="166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6"/>
                <w:szCs w:val="16"/>
                <w:b w:val="1"/>
                <w:bCs w:val="1"/>
                <w:color w:val="auto"/>
              </w:rPr>
              <w:t>30, 2021</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r>
      <w:tr>
        <w:trPr>
          <w:trHeight w:val="168"/>
        </w:trPr>
        <w:tc>
          <w:tcPr>
            <w:tcW w:w="6240" w:type="dxa"/>
            <w:vAlign w:val="bottom"/>
          </w:tcPr>
          <w:p>
            <w:pPr>
              <w:spacing w:after="0"/>
              <w:rPr>
                <w:sz w:val="14"/>
                <w:szCs w:val="14"/>
                <w:color w:val="auto"/>
              </w:rPr>
            </w:pPr>
          </w:p>
        </w:tc>
        <w:tc>
          <w:tcPr>
            <w:tcW w:w="1660" w:type="dxa"/>
            <w:vAlign w:val="bottom"/>
            <w:gridSpan w:val="3"/>
          </w:tcPr>
          <w:p>
            <w:pPr>
              <w:jc w:val="right"/>
              <w:ind w:right="620"/>
              <w:spacing w:after="0" w:line="168" w:lineRule="exact"/>
              <w:rPr>
                <w:sz w:val="20"/>
                <w:szCs w:val="20"/>
                <w:color w:val="auto"/>
              </w:rPr>
            </w:pPr>
            <w:r>
              <w:rPr>
                <w:rFonts w:ascii="Arial" w:cs="Arial" w:eastAsia="Arial" w:hAnsi="Arial"/>
                <w:sz w:val="16"/>
                <w:szCs w:val="16"/>
                <w:b w:val="1"/>
                <w:bCs w:val="1"/>
                <w:color w:val="auto"/>
              </w:rPr>
              <w:t>Applebee's</w:t>
            </w:r>
          </w:p>
        </w:tc>
        <w:tc>
          <w:tcPr>
            <w:tcW w:w="900" w:type="dxa"/>
            <w:vAlign w:val="bottom"/>
            <w:gridSpan w:val="3"/>
          </w:tcPr>
          <w:p>
            <w:pPr>
              <w:jc w:val="right"/>
              <w:ind w:right="280"/>
              <w:spacing w:after="0" w:line="168" w:lineRule="exact"/>
              <w:rPr>
                <w:sz w:val="20"/>
                <w:szCs w:val="20"/>
                <w:color w:val="auto"/>
              </w:rPr>
            </w:pPr>
            <w:r>
              <w:rPr>
                <w:rFonts w:ascii="Arial" w:cs="Arial" w:eastAsia="Arial" w:hAnsi="Arial"/>
                <w:sz w:val="16"/>
                <w:szCs w:val="16"/>
                <w:b w:val="1"/>
                <w:bCs w:val="1"/>
                <w:color w:val="auto"/>
              </w:rPr>
              <w:t>IHOP</w:t>
            </w:r>
          </w:p>
        </w:tc>
        <w:tc>
          <w:tcPr>
            <w:tcW w:w="100" w:type="dxa"/>
            <w:vAlign w:val="bottom"/>
          </w:tcPr>
          <w:p>
            <w:pPr>
              <w:spacing w:after="0"/>
              <w:rPr>
                <w:sz w:val="14"/>
                <w:szCs w:val="14"/>
                <w:color w:val="auto"/>
              </w:rPr>
            </w:pPr>
          </w:p>
        </w:tc>
        <w:tc>
          <w:tcPr>
            <w:tcW w:w="1580" w:type="dxa"/>
            <w:vAlign w:val="bottom"/>
            <w:gridSpan w:val="3"/>
          </w:tcPr>
          <w:p>
            <w:pPr>
              <w:jc w:val="right"/>
              <w:ind w:right="600"/>
              <w:spacing w:after="0" w:line="168" w:lineRule="exact"/>
              <w:rPr>
                <w:sz w:val="20"/>
                <w:szCs w:val="20"/>
                <w:color w:val="auto"/>
              </w:rPr>
            </w:pPr>
            <w:r>
              <w:rPr>
                <w:rFonts w:ascii="Arial" w:cs="Arial" w:eastAsia="Arial" w:hAnsi="Arial"/>
                <w:sz w:val="16"/>
                <w:szCs w:val="16"/>
                <w:b w:val="1"/>
                <w:bCs w:val="1"/>
                <w:color w:val="auto"/>
              </w:rPr>
              <w:t>Applebee's</w:t>
            </w:r>
          </w:p>
        </w:tc>
        <w:tc>
          <w:tcPr>
            <w:tcW w:w="760" w:type="dxa"/>
            <w:vAlign w:val="bottom"/>
            <w:gridSpan w:val="3"/>
          </w:tcPr>
          <w:p>
            <w:pPr>
              <w:jc w:val="right"/>
              <w:ind w:right="240"/>
              <w:spacing w:after="0" w:line="168" w:lineRule="exact"/>
              <w:rPr>
                <w:sz w:val="20"/>
                <w:szCs w:val="20"/>
                <w:color w:val="auto"/>
              </w:rPr>
            </w:pPr>
            <w:r>
              <w:rPr>
                <w:rFonts w:ascii="Arial" w:cs="Arial" w:eastAsia="Arial" w:hAnsi="Arial"/>
                <w:sz w:val="16"/>
                <w:szCs w:val="16"/>
                <w:b w:val="1"/>
                <w:bCs w:val="1"/>
                <w:color w:val="auto"/>
              </w:rPr>
              <w:t>IHOP</w:t>
            </w:r>
          </w:p>
        </w:tc>
      </w:tr>
      <w:tr>
        <w:trPr>
          <w:trHeight w:val="30"/>
        </w:trPr>
        <w:tc>
          <w:tcPr>
            <w:tcW w:w="6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r>
      <w:tr>
        <w:trPr>
          <w:trHeight w:val="235"/>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percentage increase in reported retail sales - 2021 vs. 2020</w:t>
            </w:r>
          </w:p>
        </w:tc>
        <w:tc>
          <w:tcPr>
            <w:tcW w:w="3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30.2 %</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46.1 %</w:t>
            </w:r>
          </w:p>
        </w:tc>
        <w:tc>
          <w:tcPr>
            <w:tcW w:w="100" w:type="dxa"/>
            <w:vAlign w:val="bottom"/>
            <w:shd w:val="clear" w:color="auto" w:fill="CCEEFF"/>
          </w:tcPr>
          <w:p>
            <w:pPr>
              <w:spacing w:after="0"/>
              <w:rPr>
                <w:sz w:val="20"/>
                <w:szCs w:val="20"/>
                <w:color w:val="auto"/>
              </w:rPr>
            </w:pPr>
          </w:p>
        </w:tc>
        <w:tc>
          <w:tcPr>
            <w:tcW w:w="15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38.6 %</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41.6 %</w:t>
            </w:r>
          </w:p>
        </w:tc>
      </w:tr>
      <w:tr>
        <w:trPr>
          <w:trHeight w:val="225"/>
        </w:trPr>
        <w:tc>
          <w:tcPr>
            <w:tcW w:w="6240" w:type="dxa"/>
            <w:vAlign w:val="bottom"/>
          </w:tcPr>
          <w:p>
            <w:pPr>
              <w:ind w:left="20"/>
              <w:spacing w:after="0"/>
              <w:rPr>
                <w:sz w:val="20"/>
                <w:szCs w:val="20"/>
                <w:color w:val="auto"/>
              </w:rPr>
            </w:pPr>
            <w:r>
              <w:rPr>
                <w:rFonts w:ascii="Arial" w:cs="Arial" w:eastAsia="Arial" w:hAnsi="Arial"/>
                <w:sz w:val="18"/>
                <w:szCs w:val="18"/>
                <w:color w:val="auto"/>
              </w:rPr>
              <w:t>% increase in domestic system-wide same-restaurant sales - 2021 vs. 2020</w:t>
            </w:r>
          </w:p>
        </w:tc>
        <w:tc>
          <w:tcPr>
            <w:tcW w:w="1660" w:type="dxa"/>
            <w:vAlign w:val="bottom"/>
            <w:gridSpan w:val="3"/>
          </w:tcPr>
          <w:p>
            <w:pPr>
              <w:jc w:val="right"/>
              <w:ind w:right="340"/>
              <w:spacing w:after="0"/>
              <w:rPr>
                <w:sz w:val="20"/>
                <w:szCs w:val="20"/>
                <w:color w:val="auto"/>
              </w:rPr>
            </w:pPr>
            <w:r>
              <w:rPr>
                <w:rFonts w:ascii="Arial" w:cs="Arial" w:eastAsia="Arial" w:hAnsi="Arial"/>
                <w:sz w:val="18"/>
                <w:szCs w:val="18"/>
                <w:color w:val="auto"/>
              </w:rPr>
              <w:t>27.7 %</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40.1 %</w:t>
            </w:r>
          </w:p>
        </w:tc>
        <w:tc>
          <w:tcPr>
            <w:tcW w:w="100" w:type="dxa"/>
            <w:vAlign w:val="bottom"/>
          </w:tcPr>
          <w:p>
            <w:pPr>
              <w:spacing w:after="0"/>
              <w:rPr>
                <w:sz w:val="19"/>
                <w:szCs w:val="19"/>
                <w:color w:val="auto"/>
              </w:rPr>
            </w:pPr>
          </w:p>
        </w:tc>
        <w:tc>
          <w:tcPr>
            <w:tcW w:w="1580" w:type="dxa"/>
            <w:vAlign w:val="bottom"/>
            <w:gridSpan w:val="3"/>
          </w:tcPr>
          <w:p>
            <w:pPr>
              <w:jc w:val="right"/>
              <w:ind w:right="400"/>
              <w:spacing w:after="0"/>
              <w:rPr>
                <w:sz w:val="20"/>
                <w:szCs w:val="20"/>
                <w:color w:val="auto"/>
              </w:rPr>
            </w:pPr>
            <w:r>
              <w:rPr>
                <w:rFonts w:ascii="Arial" w:cs="Arial" w:eastAsia="Arial" w:hAnsi="Arial"/>
                <w:sz w:val="18"/>
                <w:szCs w:val="18"/>
                <w:color w:val="auto"/>
              </w:rPr>
              <w:t>39.5 %</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40.5 %</w:t>
            </w:r>
          </w:p>
        </w:tc>
      </w:tr>
      <w:tr>
        <w:trPr>
          <w:trHeight w:val="226"/>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 increase (decrease) in domestic system-wide same-restaurant sales - 2021 vs. 2019</w:t>
            </w:r>
          </w:p>
        </w:tc>
        <w:tc>
          <w:tcPr>
            <w:tcW w:w="16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12.5 %</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5.3 %</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(8.4)%</w:t>
            </w:r>
          </w:p>
        </w:tc>
      </w:tr>
      <w:tr>
        <w:trPr>
          <w:trHeight w:val="225"/>
        </w:trPr>
        <w:tc>
          <w:tcPr>
            <w:tcW w:w="6240" w:type="dxa"/>
            <w:vAlign w:val="bottom"/>
          </w:tcPr>
          <w:p>
            <w:pPr>
              <w:ind w:left="20"/>
              <w:spacing w:after="0"/>
              <w:rPr>
                <w:sz w:val="20"/>
                <w:szCs w:val="20"/>
                <w:color w:val="auto"/>
              </w:rPr>
            </w:pPr>
            <w:r>
              <w:rPr>
                <w:rFonts w:ascii="Arial" w:cs="Arial" w:eastAsia="Arial" w:hAnsi="Arial"/>
                <w:sz w:val="18"/>
                <w:szCs w:val="18"/>
                <w:color w:val="auto"/>
              </w:rPr>
              <w:t xml:space="preserve">Net franchise restaurant (reduction) increase </w:t>
            </w:r>
            <w:r>
              <w:rPr>
                <w:rFonts w:ascii="Arial" w:cs="Arial" w:eastAsia="Arial" w:hAnsi="Arial"/>
                <w:sz w:val="10"/>
                <w:szCs w:val="10"/>
                <w:color w:val="auto"/>
              </w:rPr>
              <w:t>(1)</w:t>
            </w:r>
          </w:p>
        </w:tc>
        <w:tc>
          <w:tcPr>
            <w:tcW w:w="1660" w:type="dxa"/>
            <w:vAlign w:val="bottom"/>
            <w:gridSpan w:val="3"/>
          </w:tcPr>
          <w:p>
            <w:pPr>
              <w:jc w:val="right"/>
              <w:ind w:right="500"/>
              <w:spacing w:after="0"/>
              <w:rPr>
                <w:sz w:val="20"/>
                <w:szCs w:val="20"/>
                <w:color w:val="auto"/>
              </w:rPr>
            </w:pPr>
            <w:r>
              <w:rPr>
                <w:rFonts w:ascii="Arial" w:cs="Arial" w:eastAsia="Arial" w:hAnsi="Arial"/>
                <w:sz w:val="18"/>
                <w:szCs w:val="18"/>
                <w:color w:val="auto"/>
              </w:rPr>
              <w:t>(7)</w:t>
            </w: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580" w:type="dxa"/>
            <w:vAlign w:val="bottom"/>
            <w:gridSpan w:val="3"/>
          </w:tcPr>
          <w:p>
            <w:pPr>
              <w:jc w:val="right"/>
              <w:ind w:right="540"/>
              <w:spacing w:after="0"/>
              <w:rPr>
                <w:sz w:val="20"/>
                <w:szCs w:val="20"/>
                <w:color w:val="auto"/>
              </w:rPr>
            </w:pPr>
            <w:r>
              <w:rPr>
                <w:rFonts w:ascii="Arial" w:cs="Arial" w:eastAsia="Arial" w:hAnsi="Arial"/>
                <w:sz w:val="18"/>
                <w:szCs w:val="18"/>
                <w:color w:val="auto"/>
              </w:rPr>
              <w:t>(20)</w:t>
            </w: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(22)</w:t>
            </w:r>
          </w:p>
        </w:tc>
      </w:tr>
      <w:tr>
        <w:trPr>
          <w:trHeight w:val="226"/>
        </w:trPr>
        <w:tc>
          <w:tcPr>
            <w:tcW w:w="624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 xml:space="preserve">Net (decrease) increase in total effective restaurants </w:t>
            </w:r>
            <w:r>
              <w:rPr>
                <w:rFonts w:ascii="Arial" w:cs="Arial" w:eastAsia="Arial" w:hAnsi="Arial"/>
                <w:sz w:val="22"/>
                <w:szCs w:val="22"/>
                <w:color w:val="auto"/>
                <w:vertAlign w:val="superscript"/>
              </w:rPr>
              <w:t>(2)</w:t>
            </w:r>
          </w:p>
        </w:tc>
        <w:tc>
          <w:tcPr>
            <w:tcW w:w="16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(17)</w:t>
            </w: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4</w:t>
            </w: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54</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w:t>
      </w:r>
    </w:p>
    <w:p>
      <w:pPr>
        <w:ind w:left="160" w:hanging="154"/>
        <w:spacing w:after="0" w:line="186" w:lineRule="auto"/>
        <w:tabs>
          <w:tab w:leader="none" w:pos="160" w:val="left"/>
        </w:tabs>
        <w:numPr>
          <w:ilvl w:val="0"/>
          <w:numId w:val="10"/>
        </w:numPr>
        <w:rPr>
          <w:rFonts w:ascii="Arial" w:cs="Arial" w:eastAsia="Arial" w:hAnsi="Arial"/>
          <w:sz w:val="17"/>
          <w:szCs w:val="17"/>
          <w:color w:val="auto"/>
          <w:vertAlign w:val="superscript"/>
        </w:rPr>
      </w:pPr>
      <w:r>
        <w:rPr>
          <w:rFonts w:ascii="Arial" w:cs="Arial" w:eastAsia="Arial" w:hAnsi="Arial"/>
          <w:sz w:val="12"/>
          <w:szCs w:val="12"/>
          <w:color w:val="auto"/>
        </w:rPr>
        <w:t>Franchise and area license restaurant closings, net of openings, during the three and nine months ended September 30, 2021.</w:t>
      </w:r>
    </w:p>
    <w:p>
      <w:pPr>
        <w:ind w:left="160" w:right="120" w:hanging="154"/>
        <w:spacing w:after="0" w:line="216" w:lineRule="auto"/>
        <w:tabs>
          <w:tab w:leader="none" w:pos="152" w:val="left"/>
        </w:tabs>
        <w:numPr>
          <w:ilvl w:val="0"/>
          <w:numId w:val="10"/>
        </w:numPr>
        <w:rPr>
          <w:rFonts w:ascii="Arial" w:cs="Arial" w:eastAsia="Arial" w:hAnsi="Arial"/>
          <w:sz w:val="17"/>
          <w:szCs w:val="17"/>
          <w:color w:val="auto"/>
          <w:vertAlign w:val="superscript"/>
        </w:rPr>
      </w:pPr>
      <w:r>
        <w:rPr>
          <w:rFonts w:ascii="Arial" w:cs="Arial" w:eastAsia="Arial" w:hAnsi="Arial"/>
          <w:sz w:val="12"/>
          <w:szCs w:val="12"/>
          <w:color w:val="auto"/>
        </w:rPr>
        <w:t>Change in the weighted average number of franchise, area license and company-operated restaurants open during the three and nine months ended September 30, 2021, compared to the weighted average number of those open during the same periods of 2020.</w:t>
      </w:r>
    </w:p>
    <w:p>
      <w:pPr>
        <w:spacing w:after="0" w:line="211" w:lineRule="exact"/>
        <w:rPr>
          <w:sz w:val="20"/>
          <w:szCs w:val="20"/>
          <w:color w:val="auto"/>
        </w:rPr>
      </w:pPr>
    </w:p>
    <w:p>
      <w:pPr>
        <w:ind w:right="160" w:firstLine="318"/>
        <w:spacing w:after="0" w:line="330" w:lineRule="auto"/>
        <w:rPr>
          <w:sz w:val="20"/>
          <w:szCs w:val="20"/>
          <w:color w:val="auto"/>
        </w:rPr>
      </w:pPr>
      <w:r>
        <w:rPr>
          <w:rFonts w:ascii="Arial" w:cs="Arial" w:eastAsia="Arial" w:hAnsi="Arial"/>
          <w:sz w:val="15"/>
          <w:szCs w:val="15"/>
          <w:color w:val="auto"/>
        </w:rPr>
        <w:t xml:space="preserve">The changes in sales percentage and domestic same-restaurant sales of both brands were impacted by the varying degrees of restrictions on in-restaurant dining in effect during each period as discussed </w:t>
      </w:r>
      <w:r>
        <w:rPr>
          <w:rFonts w:ascii="Arial" w:cs="Arial" w:eastAsia="Arial" w:hAnsi="Arial"/>
          <w:sz w:val="15"/>
          <w:szCs w:val="15"/>
          <w:color w:val="252525"/>
        </w:rPr>
        <w:t>under</w:t>
      </w:r>
      <w:r>
        <w:rPr>
          <w:rFonts w:ascii="Arial" w:cs="Arial" w:eastAsia="Arial" w:hAnsi="Arial"/>
          <w:sz w:val="15"/>
          <w:szCs w:val="15"/>
          <w:color w:val="auto"/>
        </w:rPr>
        <w:t xml:space="preserve"> </w:t>
      </w:r>
      <w:r>
        <w:rPr>
          <w:rFonts w:ascii="Arial" w:cs="Arial" w:eastAsia="Arial" w:hAnsi="Arial"/>
          <w:sz w:val="15"/>
          <w:szCs w:val="15"/>
          <w:i w:val="1"/>
          <w:iCs w:val="1"/>
          <w:color w:val="auto"/>
        </w:rPr>
        <w:t>“Events Impacting the Comparability of Financial Information.”</w:t>
      </w:r>
      <w:r>
        <w:rPr>
          <w:rFonts w:ascii="Arial" w:cs="Arial" w:eastAsia="Arial" w:hAnsi="Arial"/>
          <w:sz w:val="15"/>
          <w:szCs w:val="15"/>
          <w:color w:val="auto"/>
        </w:rPr>
        <w:t xml:space="preserve"> Additionally, the calculation of the percentage change in domestic same-restaurant sales was also impacted by a shift in the weeks of comparison because of a 53rd week in fiscal 2020.</w:t>
      </w:r>
    </w:p>
    <w:p>
      <w:pPr>
        <w:spacing w:after="0" w:line="163"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color w:val="auto"/>
        </w:rPr>
        <w:t>The change in total effective restaurants for each brand reflects both permanent closures, net of openings, over the past 12 months as well as the weighted effect of restaurants temporarily closed during the three and nine months ended September 30, 2021 and 2020. Even though the absolute number of franchise restaurants may decrease, the number of effective restaurants can increase because of the re-opening of restaurants that had been temporarily closed during the respective 2020 comparative periods.</w:t>
      </w:r>
    </w:p>
    <w:p>
      <w:pPr>
        <w:spacing w:after="0" w:line="217" w:lineRule="exact"/>
        <w:rPr>
          <w:sz w:val="20"/>
          <w:szCs w:val="20"/>
          <w:color w:val="auto"/>
        </w:rPr>
      </w:pPr>
    </w:p>
    <w:p>
      <w:pPr>
        <w:ind w:right="240" w:firstLine="318"/>
        <w:spacing w:after="0" w:line="252" w:lineRule="auto"/>
        <w:rPr>
          <w:sz w:val="20"/>
          <w:szCs w:val="20"/>
          <w:color w:val="auto"/>
        </w:rPr>
      </w:pPr>
      <w:r>
        <w:rPr>
          <w:rFonts w:ascii="Arial" w:cs="Arial" w:eastAsia="Arial" w:hAnsi="Arial"/>
          <w:sz w:val="18"/>
          <w:szCs w:val="18"/>
          <w:color w:val="auto"/>
        </w:rPr>
        <w:t>In light of the distortion caused by the pandemic and a 53rd week in fiscal 2020 on the changes in sales percentage and domestic same-restaurant sales, we believe a comparison of average weekly unit sales, a function of reported retail sales and the number of effective restaurants, for the nine individual months of 2021, 2020 and 2019, provides additional insight into each brand's performance during the three and nine months ended September 30, 2021 as compared to the same periods of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428625</wp:posOffset>
            </wp:positionV>
            <wp:extent cx="5056505" cy="64363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056505" cy="643636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bookmarkStart w:id="33" w:name="page34"/>
    <w:bookmarkEnd w:id="33"/>
    <w:p>
      <w:pPr>
        <w:ind w:left="10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Domestic Same-Restaurant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166370</wp:posOffset>
            </wp:positionV>
            <wp:extent cx="5258435" cy="27343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258435" cy="273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60" w:right="40" w:firstLine="238"/>
        <w:spacing w:after="0" w:line="264" w:lineRule="auto"/>
        <w:rPr>
          <w:sz w:val="20"/>
          <w:szCs w:val="20"/>
          <w:color w:val="auto"/>
        </w:rPr>
      </w:pPr>
      <w:r>
        <w:rPr>
          <w:rFonts w:ascii="Arial" w:cs="Arial" w:eastAsia="Arial" w:hAnsi="Arial"/>
          <w:sz w:val="17"/>
          <w:szCs w:val="17"/>
          <w:color w:val="auto"/>
        </w:rPr>
        <w:t xml:space="preserve">Applebee’s system-wide domestic same-restaurant sales increased 27.7% for the three months ended September 30, 2021and 39.5% for the nine months ended September 30, 2021 as compared to the same periods of 2020. The increase in both periods was due to a substantial increase in customer traffic as well as increase in average check. The increase in customer traffic primarily was due to the positive changes in restaurant operating status as discussed under </w:t>
      </w:r>
      <w:r>
        <w:rPr>
          <w:rFonts w:ascii="Arial" w:cs="Arial" w:eastAsia="Arial" w:hAnsi="Arial"/>
          <w:sz w:val="17"/>
          <w:szCs w:val="17"/>
          <w:i w:val="1"/>
          <w:iCs w:val="1"/>
          <w:color w:val="auto"/>
        </w:rPr>
        <w:t>“Events Impacting the Comparability of Financial Information,”</w:t>
      </w:r>
      <w:r>
        <w:rPr>
          <w:rFonts w:ascii="Arial" w:cs="Arial" w:eastAsia="Arial" w:hAnsi="Arial"/>
          <w:sz w:val="17"/>
          <w:szCs w:val="17"/>
          <w:color w:val="auto"/>
        </w:rPr>
        <w:t xml:space="preserve"> as well as increased consumer desire to patronize restaurants after the relaxation of pandemic restrictions. The increase in average check was primarily due to favorable mix shifts related to a reduction in core menu items, successful promotional food and beverage offerings and a larger number of items purchased with off-premise orders, as well as menu price increases by franchisees. Applebee’s system-wide domestic same-restaurant sales increased 12.5% for the three months ended September 30, 2021 and 5.3% for the nine months ended September 30, 2021 as compared to the same periods of 2019. The increase in both periods was due to an increase in customer check partially offset by a decrease in traffic.</w:t>
      </w:r>
    </w:p>
    <w:tbl>
      <w:tblPr>
        <w:tblLayout w:type="fixed"/>
        <w:tblInd w:w="0" w:type="dxa"/>
        <w:tblCellMar>
          <w:top w:w="0" w:type="dxa"/>
          <w:left w:w="0" w:type="dxa"/>
          <w:bottom w:w="0" w:type="dxa"/>
          <w:right w:w="0" w:type="dxa"/>
        </w:tblCellMar>
      </w:tblPr>
      <w:tr>
        <w:trPr>
          <w:trHeight w:val="197"/>
        </w:trPr>
        <w:tc>
          <w:tcPr>
            <w:tcW w:w="4120" w:type="dxa"/>
            <w:vAlign w:val="bottom"/>
            <w:gridSpan w:val="2"/>
          </w:tcPr>
          <w:p>
            <w:pPr>
              <w:spacing w:after="0" w:line="197" w:lineRule="exact"/>
              <w:rPr>
                <w:sz w:val="20"/>
                <w:szCs w:val="20"/>
                <w:color w:val="auto"/>
              </w:rPr>
            </w:pPr>
            <w:r>
              <w:rPr>
                <w:rFonts w:ascii="Arial" w:cs="Arial" w:eastAsia="Arial" w:hAnsi="Arial"/>
                <w:sz w:val="18"/>
                <w:szCs w:val="18"/>
                <w:b w:val="1"/>
                <w:bCs w:val="1"/>
                <w:color w:val="auto"/>
              </w:rPr>
              <w:t>Applebee's Off-premise Sales Data</w:t>
            </w:r>
          </w:p>
        </w:tc>
        <w:tc>
          <w:tcPr>
            <w:tcW w:w="1680" w:type="dxa"/>
            <w:vAlign w:val="bottom"/>
          </w:tcPr>
          <w:p>
            <w:pPr>
              <w:spacing w:after="0"/>
              <w:rPr>
                <w:sz w:val="17"/>
                <w:szCs w:val="17"/>
                <w:color w:val="auto"/>
              </w:rPr>
            </w:pPr>
          </w:p>
        </w:tc>
        <w:tc>
          <w:tcPr>
            <w:tcW w:w="2540" w:type="dxa"/>
            <w:vAlign w:val="bottom"/>
            <w:gridSpan w:val="6"/>
          </w:tcPr>
          <w:p>
            <w:pPr>
              <w:jc w:val="right"/>
              <w:ind w:right="120"/>
              <w:spacing w:after="0"/>
              <w:rPr>
                <w:sz w:val="20"/>
                <w:szCs w:val="20"/>
                <w:color w:val="auto"/>
              </w:rPr>
            </w:pPr>
            <w:r>
              <w:rPr>
                <w:rFonts w:ascii="Arial" w:cs="Arial" w:eastAsia="Arial" w:hAnsi="Arial"/>
                <w:sz w:val="16"/>
                <w:szCs w:val="16"/>
                <w:b w:val="1"/>
                <w:bCs w:val="1"/>
                <w:color w:val="auto"/>
                <w:w w:val="88"/>
              </w:rPr>
              <w:t>Three months ended September 30,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00" w:type="dxa"/>
            <w:vAlign w:val="bottom"/>
            <w:gridSpan w:val="7"/>
          </w:tcPr>
          <w:p>
            <w:pPr>
              <w:jc w:val="right"/>
              <w:ind w:right="160"/>
              <w:spacing w:after="0"/>
              <w:rPr>
                <w:sz w:val="20"/>
                <w:szCs w:val="20"/>
                <w:color w:val="auto"/>
              </w:rPr>
            </w:pPr>
            <w:r>
              <w:rPr>
                <w:rFonts w:ascii="Arial" w:cs="Arial" w:eastAsia="Arial" w:hAnsi="Arial"/>
                <w:sz w:val="16"/>
                <w:szCs w:val="16"/>
                <w:b w:val="1"/>
                <w:bCs w:val="1"/>
                <w:color w:val="auto"/>
                <w:w w:val="88"/>
              </w:rPr>
              <w:t>Nine months ended September 30,</w:t>
            </w:r>
          </w:p>
        </w:tc>
        <w:tc>
          <w:tcPr>
            <w:tcW w:w="0" w:type="dxa"/>
            <w:vAlign w:val="bottom"/>
          </w:tcPr>
          <w:p>
            <w:pPr>
              <w:spacing w:after="0"/>
              <w:rPr>
                <w:sz w:val="1"/>
                <w:szCs w:val="1"/>
                <w:color w:val="auto"/>
              </w:rPr>
            </w:pPr>
          </w:p>
        </w:tc>
      </w:tr>
      <w:tr>
        <w:trPr>
          <w:trHeight w:val="20"/>
        </w:trPr>
        <w:tc>
          <w:tcPr>
            <w:tcW w:w="2580" w:type="dxa"/>
            <w:vAlign w:val="bottom"/>
            <w:tcBorders>
              <w:top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12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Off-premise sales (in millions) </w:t>
            </w:r>
            <w:r>
              <w:rPr>
                <w:rFonts w:ascii="Arial" w:cs="Arial" w:eastAsia="Arial" w:hAnsi="Arial"/>
                <w:sz w:val="22"/>
                <w:szCs w:val="22"/>
                <w:color w:val="auto"/>
                <w:vertAlign w:val="superscript"/>
              </w:rPr>
              <w:t>(1)</w:t>
            </w:r>
          </w:p>
        </w:tc>
        <w:tc>
          <w:tcPr>
            <w:tcW w:w="1680" w:type="dxa"/>
            <w:vAlign w:val="bottom"/>
          </w:tcPr>
          <w:p>
            <w:pPr>
              <w:spacing w:after="0"/>
              <w:rPr>
                <w:sz w:val="14"/>
                <w:szCs w:val="14"/>
                <w:color w:val="auto"/>
              </w:rPr>
            </w:pPr>
          </w:p>
        </w:tc>
        <w:tc>
          <w:tcPr>
            <w:tcW w:w="700" w:type="dxa"/>
            <w:vAlign w:val="bottom"/>
            <w:gridSpan w:val="2"/>
          </w:tcPr>
          <w:p>
            <w:pPr>
              <w:jc w:val="right"/>
              <w:spacing w:after="0" w:line="165" w:lineRule="exact"/>
              <w:rPr>
                <w:sz w:val="20"/>
                <w:szCs w:val="20"/>
                <w:color w:val="auto"/>
              </w:rPr>
            </w:pPr>
            <w:r>
              <w:rPr>
                <w:rFonts w:ascii="Arial" w:cs="Arial" w:eastAsia="Arial" w:hAnsi="Arial"/>
                <w:sz w:val="16"/>
                <w:szCs w:val="16"/>
                <w:b w:val="1"/>
                <w:bCs w:val="1"/>
                <w:color w:val="auto"/>
              </w:rPr>
              <w:t>2021</w:t>
            </w:r>
          </w:p>
        </w:tc>
        <w:tc>
          <w:tcPr>
            <w:tcW w:w="900" w:type="dxa"/>
            <w:vAlign w:val="bottom"/>
          </w:tcPr>
          <w:p>
            <w:pPr>
              <w:spacing w:after="0"/>
              <w:rPr>
                <w:sz w:val="14"/>
                <w:szCs w:val="14"/>
                <w:color w:val="auto"/>
              </w:rPr>
            </w:pPr>
          </w:p>
        </w:tc>
        <w:tc>
          <w:tcPr>
            <w:tcW w:w="600" w:type="dxa"/>
            <w:vAlign w:val="bottom"/>
            <w:gridSpan w:val="2"/>
          </w:tcPr>
          <w:p>
            <w:pPr>
              <w:jc w:val="right"/>
              <w:spacing w:after="0" w:line="165" w:lineRule="exact"/>
              <w:rPr>
                <w:sz w:val="20"/>
                <w:szCs w:val="20"/>
                <w:color w:val="auto"/>
              </w:rPr>
            </w:pPr>
            <w:r>
              <w:rPr>
                <w:rFonts w:ascii="Arial" w:cs="Arial" w:eastAsia="Arial" w:hAnsi="Arial"/>
                <w:sz w:val="16"/>
                <w:szCs w:val="16"/>
                <w:b w:val="1"/>
                <w:bCs w:val="1"/>
                <w:color w:val="auto"/>
              </w:rPr>
              <w:t>2020</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2"/>
          </w:tcPr>
          <w:p>
            <w:pPr>
              <w:jc w:val="right"/>
              <w:spacing w:after="0" w:line="165" w:lineRule="exact"/>
              <w:rPr>
                <w:sz w:val="20"/>
                <w:szCs w:val="20"/>
                <w:color w:val="auto"/>
              </w:rPr>
            </w:pPr>
            <w:r>
              <w:rPr>
                <w:rFonts w:ascii="Arial" w:cs="Arial" w:eastAsia="Arial" w:hAnsi="Arial"/>
                <w:sz w:val="16"/>
                <w:szCs w:val="16"/>
                <w:b w:val="1"/>
                <w:bCs w:val="1"/>
                <w:color w:val="auto"/>
              </w:rPr>
              <w:t>2021</w:t>
            </w:r>
          </w:p>
        </w:tc>
        <w:tc>
          <w:tcPr>
            <w:tcW w:w="840" w:type="dxa"/>
            <w:vAlign w:val="bottom"/>
          </w:tcPr>
          <w:p>
            <w:pPr>
              <w:spacing w:after="0"/>
              <w:rPr>
                <w:sz w:val="14"/>
                <w:szCs w:val="14"/>
                <w:color w:val="auto"/>
              </w:rPr>
            </w:pPr>
          </w:p>
        </w:tc>
        <w:tc>
          <w:tcPr>
            <w:tcW w:w="600" w:type="dxa"/>
            <w:vAlign w:val="bottom"/>
            <w:gridSpan w:val="2"/>
          </w:tcPr>
          <w:p>
            <w:pPr>
              <w:jc w:val="right"/>
              <w:spacing w:after="0" w:line="165" w:lineRule="exact"/>
              <w:rPr>
                <w:sz w:val="20"/>
                <w:szCs w:val="20"/>
                <w:color w:val="auto"/>
              </w:rPr>
            </w:pPr>
            <w:r>
              <w:rPr>
                <w:rFonts w:ascii="Arial" w:cs="Arial" w:eastAsia="Arial" w:hAnsi="Arial"/>
                <w:sz w:val="16"/>
                <w:szCs w:val="16"/>
                <w:b w:val="1"/>
                <w:bCs w:val="1"/>
                <w:color w:val="auto"/>
              </w:rPr>
              <w:t>2020</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20" w:type="dxa"/>
            <w:vAlign w:val="bottom"/>
            <w:gridSpan w:val="2"/>
            <w:vMerge w:val="continu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120" w:type="dxa"/>
            <w:vAlign w:val="bottom"/>
            <w:gridSpan w:val="2"/>
            <w:vMerge w:val="continue"/>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232"/>
              <w:spacing w:after="0"/>
              <w:rPr>
                <w:sz w:val="20"/>
                <w:szCs w:val="20"/>
                <w:color w:val="auto"/>
              </w:rPr>
            </w:pPr>
            <w:r>
              <w:rPr>
                <w:rFonts w:ascii="Arial" w:cs="Arial" w:eastAsia="Arial" w:hAnsi="Arial"/>
                <w:sz w:val="18"/>
                <w:szCs w:val="18"/>
                <w:color w:val="auto"/>
                <w:w w:val="93"/>
              </w:rPr>
              <w:t>282.9 $</w:t>
            </w:r>
          </w:p>
        </w:tc>
        <w:tc>
          <w:tcPr>
            <w:tcW w:w="30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273.8</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540" w:type="dxa"/>
            <w:vAlign w:val="bottom"/>
            <w:gridSpan w:val="4"/>
          </w:tcPr>
          <w:p>
            <w:pPr>
              <w:jc w:val="right"/>
              <w:ind w:right="280"/>
              <w:spacing w:after="0"/>
              <w:rPr>
                <w:sz w:val="20"/>
                <w:szCs w:val="20"/>
                <w:color w:val="auto"/>
              </w:rPr>
            </w:pPr>
            <w:r>
              <w:rPr>
                <w:rFonts w:ascii="Arial" w:cs="Arial" w:eastAsia="Arial" w:hAnsi="Arial"/>
                <w:sz w:val="18"/>
                <w:szCs w:val="18"/>
                <w:color w:val="auto"/>
              </w:rPr>
              <w:t>945.5 $</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720.9</w:t>
            </w:r>
          </w:p>
        </w:tc>
        <w:tc>
          <w:tcPr>
            <w:tcW w:w="0" w:type="dxa"/>
            <w:vAlign w:val="bottom"/>
          </w:tcPr>
          <w:p>
            <w:pPr>
              <w:spacing w:after="0"/>
              <w:rPr>
                <w:sz w:val="1"/>
                <w:szCs w:val="1"/>
                <w:color w:val="auto"/>
              </w:rPr>
            </w:pPr>
          </w:p>
        </w:tc>
      </w:tr>
      <w:tr>
        <w:trPr>
          <w:trHeight w:val="224"/>
        </w:trPr>
        <w:tc>
          <w:tcPr>
            <w:tcW w:w="4120" w:type="dxa"/>
            <w:vAlign w:val="bottom"/>
            <w:gridSpan w:val="2"/>
          </w:tcPr>
          <w:p>
            <w:pPr>
              <w:spacing w:after="0"/>
              <w:rPr>
                <w:sz w:val="20"/>
                <w:szCs w:val="20"/>
                <w:color w:val="auto"/>
              </w:rPr>
            </w:pPr>
            <w:r>
              <w:rPr>
                <w:rFonts w:ascii="Arial" w:cs="Arial" w:eastAsia="Arial" w:hAnsi="Arial"/>
                <w:sz w:val="18"/>
                <w:szCs w:val="18"/>
                <w:color w:val="auto"/>
              </w:rPr>
              <w:t>% sales mix</w:t>
            </w:r>
          </w:p>
        </w:tc>
        <w:tc>
          <w:tcPr>
            <w:tcW w:w="1680" w:type="dxa"/>
            <w:vAlign w:val="bottom"/>
          </w:tcPr>
          <w:p>
            <w:pPr>
              <w:spacing w:after="0"/>
              <w:rPr>
                <w:sz w:val="19"/>
                <w:szCs w:val="19"/>
                <w:color w:val="auto"/>
              </w:rPr>
            </w:pPr>
          </w:p>
        </w:tc>
        <w:tc>
          <w:tcPr>
            <w:tcW w:w="1600" w:type="dxa"/>
            <w:vAlign w:val="bottom"/>
            <w:gridSpan w:val="3"/>
          </w:tcPr>
          <w:p>
            <w:pPr>
              <w:jc w:val="right"/>
              <w:ind w:right="292"/>
              <w:spacing w:after="0"/>
              <w:rPr>
                <w:sz w:val="20"/>
                <w:szCs w:val="20"/>
                <w:color w:val="auto"/>
              </w:rPr>
            </w:pPr>
            <w:r>
              <w:rPr>
                <w:rFonts w:ascii="Arial" w:cs="Arial" w:eastAsia="Arial" w:hAnsi="Arial"/>
                <w:sz w:val="18"/>
                <w:szCs w:val="18"/>
                <w:color w:val="auto"/>
              </w:rPr>
              <w:t>27.%5</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34.%0</w:t>
            </w:r>
          </w:p>
        </w:tc>
        <w:tc>
          <w:tcPr>
            <w:tcW w:w="80" w:type="dxa"/>
            <w:vAlign w:val="bottom"/>
          </w:tcPr>
          <w:p>
            <w:pPr>
              <w:spacing w:after="0"/>
              <w:rPr>
                <w:sz w:val="19"/>
                <w:szCs w:val="19"/>
                <w:color w:val="auto"/>
              </w:rPr>
            </w:pPr>
          </w:p>
        </w:tc>
        <w:tc>
          <w:tcPr>
            <w:tcW w:w="1540" w:type="dxa"/>
            <w:vAlign w:val="bottom"/>
            <w:gridSpan w:val="4"/>
          </w:tcPr>
          <w:p>
            <w:pPr>
              <w:jc w:val="right"/>
              <w:ind w:right="360"/>
              <w:spacing w:after="0"/>
              <w:rPr>
                <w:sz w:val="20"/>
                <w:szCs w:val="20"/>
                <w:color w:val="auto"/>
              </w:rPr>
            </w:pPr>
            <w:r>
              <w:rPr>
                <w:rFonts w:ascii="Arial" w:cs="Arial" w:eastAsia="Arial" w:hAnsi="Arial"/>
                <w:sz w:val="18"/>
                <w:szCs w:val="18"/>
                <w:color w:val="auto"/>
              </w:rPr>
              <w:t>31.%3</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-285115</wp:posOffset>
            </wp:positionV>
            <wp:extent cx="6907530" cy="142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07530" cy="142875"/>
                    </a:xfrm>
                    <a:prstGeom prst="rect">
                      <a:avLst/>
                    </a:prstGeom>
                    <a:noFill/>
                  </pic:spPr>
                </pic:pic>
              </a:graphicData>
            </a:graphic>
          </wp:anchor>
        </w:drawing>
      </w:r>
    </w:p>
    <w:p>
      <w:pPr>
        <w:spacing w:after="0" w:line="13" w:lineRule="exact"/>
        <w:rPr>
          <w:sz w:val="20"/>
          <w:szCs w:val="20"/>
          <w:color w:val="auto"/>
        </w:rPr>
      </w:pPr>
    </w:p>
    <w:p>
      <w:pPr>
        <w:ind w:left="340" w:hanging="234"/>
        <w:spacing w:after="0"/>
        <w:tabs>
          <w:tab w:leader="none" w:pos="340"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Primarily to-go, delivery and catering sales.</w:t>
      </w:r>
    </w:p>
    <w:p>
      <w:pPr>
        <w:spacing w:after="0" w:line="218" w:lineRule="exact"/>
        <w:rPr>
          <w:sz w:val="20"/>
          <w:szCs w:val="20"/>
          <w:color w:val="auto"/>
        </w:rPr>
      </w:pPr>
    </w:p>
    <w:p>
      <w:pPr>
        <w:ind w:left="260" w:firstLine="238"/>
        <w:spacing w:after="0" w:line="255" w:lineRule="auto"/>
        <w:rPr>
          <w:sz w:val="20"/>
          <w:szCs w:val="20"/>
          <w:color w:val="auto"/>
        </w:rPr>
      </w:pPr>
      <w:r>
        <w:rPr>
          <w:rFonts w:ascii="Arial" w:cs="Arial" w:eastAsia="Arial" w:hAnsi="Arial"/>
          <w:sz w:val="18"/>
          <w:szCs w:val="18"/>
          <w:color w:val="auto"/>
        </w:rPr>
        <w:t>Based on data from Black Box Intelligence, a restaurant sales reporting firm (“Black Box”), Applebee's increase in same-restaurant sales for both the three and nine months ended September 30, 2021 outperformed the casual dining segment of the restaurant industry (excluding Applebee's) during the same periods of 2019.</w:t>
      </w:r>
    </w:p>
    <w:p>
      <w:pPr>
        <w:spacing w:after="0" w:line="200" w:lineRule="exact"/>
        <w:rPr>
          <w:sz w:val="20"/>
          <w:szCs w:val="20"/>
          <w:color w:val="auto"/>
        </w:rPr>
      </w:pPr>
    </w:p>
    <w:p>
      <w:pPr>
        <w:spacing w:after="0" w:line="35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65405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00"/>
          </w:cols>
          <w:pgMar w:left="220" w:top="121" w:right="379" w:bottom="1440" w:gutter="0" w:footer="0" w:header="0"/>
        </w:sectPr>
      </w:pPr>
    </w:p>
    <w:bookmarkStart w:id="34" w:name="page35"/>
    <w:bookmarkEnd w:id="34"/>
    <w:p>
      <w:pPr>
        <w:ind w:left="10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414020</wp:posOffset>
            </wp:positionV>
            <wp:extent cx="5258435" cy="27343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258435" cy="273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00" w:right="160" w:firstLine="318"/>
        <w:spacing w:after="0" w:line="247" w:lineRule="auto"/>
        <w:rPr>
          <w:sz w:val="20"/>
          <w:szCs w:val="20"/>
          <w:color w:val="auto"/>
        </w:rPr>
      </w:pPr>
      <w:r>
        <w:rPr>
          <w:rFonts w:ascii="Arial" w:cs="Arial" w:eastAsia="Arial" w:hAnsi="Arial"/>
          <w:sz w:val="17"/>
          <w:szCs w:val="17"/>
          <w:color w:val="auto"/>
        </w:rPr>
        <w:t xml:space="preserve">IHOP's system-wide domestic same-restaurant sales increased 40.1% for the three months ended September 30, 2021 and 40.5% for the nine months ended September 30, 2021 as compared to the same periods of 2020. Most of the improvement in both periods was due to a significant increase in customer traffic as well an increase in average check. The increase in customer traffic was primarily due to the positive changes in restaurant operating status as discussed under </w:t>
      </w:r>
      <w:r>
        <w:rPr>
          <w:rFonts w:ascii="Arial" w:cs="Arial" w:eastAsia="Arial" w:hAnsi="Arial"/>
          <w:sz w:val="17"/>
          <w:szCs w:val="17"/>
          <w:i w:val="1"/>
          <w:iCs w:val="1"/>
          <w:color w:val="auto"/>
        </w:rPr>
        <w:t>“Events Impacting the Comparability of Financial Information,”</w:t>
      </w:r>
      <w:r>
        <w:rPr>
          <w:rFonts w:ascii="Arial" w:cs="Arial" w:eastAsia="Arial" w:hAnsi="Arial"/>
          <w:sz w:val="17"/>
          <w:szCs w:val="17"/>
          <w:color w:val="auto"/>
        </w:rPr>
        <w:t xml:space="preserve"> as well as increased consumer desire to patronize restaurants after the relaxation of pandemic restrictions. The increase in average check was primarily due to an increase in menu prices as well as a general increase in consumer spending due to larger party sizes and greater spending per person. IHOP’s system-wide domestic same-restaurant sales decreased 0.4% for the three months ended September 30, 2021 and 8.4% for the nine months ended September 30, 2021 as compared to the same periods of 2019. The decrease in both periods was due to a decrease in traffic partially offset by an increase in customer check. As also noted under </w:t>
      </w:r>
      <w:r>
        <w:rPr>
          <w:rFonts w:ascii="Arial" w:cs="Arial" w:eastAsia="Arial" w:hAnsi="Arial"/>
          <w:sz w:val="17"/>
          <w:szCs w:val="17"/>
          <w:i w:val="1"/>
          <w:iCs w:val="1"/>
          <w:color w:val="auto"/>
        </w:rPr>
        <w:t>“Events Impacting the Comparability of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Information,” </w:t>
      </w:r>
      <w:r>
        <w:rPr>
          <w:rFonts w:ascii="Arial" w:cs="Arial" w:eastAsia="Arial" w:hAnsi="Arial"/>
          <w:sz w:val="17"/>
          <w:szCs w:val="17"/>
          <w:color w:val="auto"/>
        </w:rPr>
        <w:t>more than half of IHOP restaurants that operated 24 hours a day for all or parts of a week prior to the pandemic are currently closed during</w:t>
      </w:r>
      <w:r>
        <w:rPr>
          <w:rFonts w:ascii="Arial" w:cs="Arial" w:eastAsia="Arial" w:hAnsi="Arial"/>
          <w:sz w:val="17"/>
          <w:szCs w:val="17"/>
          <w:i w:val="1"/>
          <w:iCs w:val="1"/>
          <w:color w:val="auto"/>
        </w:rPr>
        <w:t xml:space="preserve"> </w:t>
      </w:r>
      <w:r>
        <w:rPr>
          <w:rFonts w:ascii="Arial" w:cs="Arial" w:eastAsia="Arial" w:hAnsi="Arial"/>
          <w:sz w:val="17"/>
          <w:szCs w:val="17"/>
          <w:color w:val="auto"/>
        </w:rPr>
        <w:t>overnight hours.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80" w:type="dxa"/>
            <w:vAlign w:val="bottom"/>
            <w:gridSpan w:val="5"/>
          </w:tcPr>
          <w:p>
            <w:pPr>
              <w:ind w:left="40"/>
              <w:spacing w:after="0"/>
              <w:rPr>
                <w:sz w:val="20"/>
                <w:szCs w:val="20"/>
                <w:color w:val="auto"/>
              </w:rPr>
            </w:pPr>
            <w:r>
              <w:rPr>
                <w:rFonts w:ascii="Arial" w:cs="Arial" w:eastAsia="Arial" w:hAnsi="Arial"/>
                <w:sz w:val="18"/>
                <w:szCs w:val="18"/>
                <w:b w:val="1"/>
                <w:bCs w:val="1"/>
                <w:color w:val="auto"/>
              </w:rPr>
              <w:t>HOP Off-premise Sales Data</w:t>
            </w:r>
          </w:p>
        </w:tc>
        <w:tc>
          <w:tcPr>
            <w:tcW w:w="1820" w:type="dxa"/>
            <w:vAlign w:val="bottom"/>
          </w:tcPr>
          <w:p>
            <w:pPr>
              <w:spacing w:after="0"/>
              <w:rPr>
                <w:sz w:val="18"/>
                <w:szCs w:val="18"/>
                <w:color w:val="auto"/>
              </w:rPr>
            </w:pPr>
          </w:p>
        </w:tc>
        <w:tc>
          <w:tcPr>
            <w:tcW w:w="2540" w:type="dxa"/>
            <w:vAlign w:val="bottom"/>
            <w:gridSpan w:val="6"/>
          </w:tcPr>
          <w:p>
            <w:pPr>
              <w:jc w:val="right"/>
              <w:ind w:right="120"/>
              <w:spacing w:after="0"/>
              <w:rPr>
                <w:sz w:val="20"/>
                <w:szCs w:val="20"/>
                <w:color w:val="auto"/>
              </w:rPr>
            </w:pPr>
            <w:r>
              <w:rPr>
                <w:rFonts w:ascii="Arial" w:cs="Arial" w:eastAsia="Arial" w:hAnsi="Arial"/>
                <w:sz w:val="16"/>
                <w:szCs w:val="16"/>
                <w:b w:val="1"/>
                <w:bCs w:val="1"/>
                <w:color w:val="auto"/>
                <w:w w:val="88"/>
              </w:rPr>
              <w:t>Three months ended September 30,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00" w:type="dxa"/>
            <w:vAlign w:val="bottom"/>
            <w:gridSpan w:val="7"/>
          </w:tcPr>
          <w:p>
            <w:pPr>
              <w:jc w:val="right"/>
              <w:ind w:right="160"/>
              <w:spacing w:after="0"/>
              <w:rPr>
                <w:sz w:val="20"/>
                <w:szCs w:val="20"/>
                <w:color w:val="auto"/>
              </w:rPr>
            </w:pPr>
            <w:r>
              <w:rPr>
                <w:rFonts w:ascii="Arial" w:cs="Arial" w:eastAsia="Arial" w:hAnsi="Arial"/>
                <w:sz w:val="16"/>
                <w:szCs w:val="16"/>
                <w:b w:val="1"/>
                <w:bCs w:val="1"/>
                <w:color w:val="auto"/>
                <w:w w:val="88"/>
              </w:rPr>
              <w:t>Nine months ended September 30,</w:t>
            </w:r>
          </w:p>
        </w:tc>
        <w:tc>
          <w:tcPr>
            <w:tcW w:w="0" w:type="dxa"/>
            <w:vAlign w:val="bottom"/>
          </w:tcPr>
          <w:p>
            <w:pPr>
              <w:spacing w:after="0"/>
              <w:rPr>
                <w:sz w:val="1"/>
                <w:szCs w:val="1"/>
                <w:color w:val="auto"/>
              </w:rPr>
            </w:pPr>
          </w:p>
        </w:tc>
      </w:tr>
      <w:tr>
        <w:trPr>
          <w:trHeight w:val="20"/>
        </w:trPr>
        <w:tc>
          <w:tcPr>
            <w:tcW w:w="120" w:type="dxa"/>
            <w:vAlign w:val="bottom"/>
            <w:tcBorders>
              <w:top w:val="single" w:sz="8" w:color="auto"/>
            </w:tcBorders>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980" w:type="dxa"/>
            <w:vAlign w:val="bottom"/>
            <w:gridSpan w:val="5"/>
            <w:vMerge w:val="restart"/>
          </w:tcPr>
          <w:p>
            <w:pPr>
              <w:spacing w:after="0"/>
              <w:rPr>
                <w:sz w:val="20"/>
                <w:szCs w:val="20"/>
                <w:color w:val="auto"/>
              </w:rPr>
            </w:pPr>
            <w:r>
              <w:rPr>
                <w:rFonts w:ascii="Arial" w:cs="Arial" w:eastAsia="Arial" w:hAnsi="Arial"/>
                <w:sz w:val="18"/>
                <w:szCs w:val="18"/>
                <w:color w:val="auto"/>
              </w:rPr>
              <w:t xml:space="preserve">Off-premise sales (in millions) </w:t>
            </w:r>
            <w:r>
              <w:rPr>
                <w:rFonts w:ascii="Arial" w:cs="Arial" w:eastAsia="Arial" w:hAnsi="Arial"/>
                <w:sz w:val="22"/>
                <w:szCs w:val="22"/>
                <w:color w:val="auto"/>
                <w:vertAlign w:val="superscript"/>
              </w:rPr>
              <w:t>(1)</w:t>
            </w:r>
          </w:p>
        </w:tc>
        <w:tc>
          <w:tcPr>
            <w:tcW w:w="1820" w:type="dxa"/>
            <w:vAlign w:val="bottom"/>
          </w:tcPr>
          <w:p>
            <w:pPr>
              <w:spacing w:after="0"/>
              <w:rPr>
                <w:sz w:val="14"/>
                <w:szCs w:val="14"/>
                <w:color w:val="auto"/>
              </w:rPr>
            </w:pPr>
          </w:p>
        </w:tc>
        <w:tc>
          <w:tcPr>
            <w:tcW w:w="700" w:type="dxa"/>
            <w:vAlign w:val="bottom"/>
            <w:gridSpan w:val="2"/>
          </w:tcPr>
          <w:p>
            <w:pPr>
              <w:jc w:val="right"/>
              <w:spacing w:after="0" w:line="165" w:lineRule="exact"/>
              <w:rPr>
                <w:sz w:val="20"/>
                <w:szCs w:val="20"/>
                <w:color w:val="auto"/>
              </w:rPr>
            </w:pPr>
            <w:r>
              <w:rPr>
                <w:rFonts w:ascii="Arial" w:cs="Arial" w:eastAsia="Arial" w:hAnsi="Arial"/>
                <w:sz w:val="16"/>
                <w:szCs w:val="16"/>
                <w:b w:val="1"/>
                <w:bCs w:val="1"/>
                <w:color w:val="auto"/>
              </w:rPr>
              <w:t>2021</w:t>
            </w:r>
          </w:p>
        </w:tc>
        <w:tc>
          <w:tcPr>
            <w:tcW w:w="900" w:type="dxa"/>
            <w:vAlign w:val="bottom"/>
          </w:tcPr>
          <w:p>
            <w:pPr>
              <w:spacing w:after="0"/>
              <w:rPr>
                <w:sz w:val="14"/>
                <w:szCs w:val="14"/>
                <w:color w:val="auto"/>
              </w:rPr>
            </w:pPr>
          </w:p>
        </w:tc>
        <w:tc>
          <w:tcPr>
            <w:tcW w:w="600" w:type="dxa"/>
            <w:vAlign w:val="bottom"/>
            <w:gridSpan w:val="2"/>
          </w:tcPr>
          <w:p>
            <w:pPr>
              <w:jc w:val="right"/>
              <w:spacing w:after="0" w:line="165" w:lineRule="exact"/>
              <w:rPr>
                <w:sz w:val="20"/>
                <w:szCs w:val="20"/>
                <w:color w:val="auto"/>
              </w:rPr>
            </w:pPr>
            <w:r>
              <w:rPr>
                <w:rFonts w:ascii="Arial" w:cs="Arial" w:eastAsia="Arial" w:hAnsi="Arial"/>
                <w:sz w:val="16"/>
                <w:szCs w:val="16"/>
                <w:b w:val="1"/>
                <w:bCs w:val="1"/>
                <w:color w:val="auto"/>
              </w:rPr>
              <w:t>2020</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2"/>
          </w:tcPr>
          <w:p>
            <w:pPr>
              <w:jc w:val="right"/>
              <w:spacing w:after="0" w:line="165" w:lineRule="exact"/>
              <w:rPr>
                <w:sz w:val="20"/>
                <w:szCs w:val="20"/>
                <w:color w:val="auto"/>
              </w:rPr>
            </w:pPr>
            <w:r>
              <w:rPr>
                <w:rFonts w:ascii="Arial" w:cs="Arial" w:eastAsia="Arial" w:hAnsi="Arial"/>
                <w:sz w:val="16"/>
                <w:szCs w:val="16"/>
                <w:b w:val="1"/>
                <w:bCs w:val="1"/>
                <w:color w:val="auto"/>
              </w:rPr>
              <w:t>2021</w:t>
            </w:r>
          </w:p>
        </w:tc>
        <w:tc>
          <w:tcPr>
            <w:tcW w:w="840" w:type="dxa"/>
            <w:vAlign w:val="bottom"/>
          </w:tcPr>
          <w:p>
            <w:pPr>
              <w:spacing w:after="0"/>
              <w:rPr>
                <w:sz w:val="14"/>
                <w:szCs w:val="14"/>
                <w:color w:val="auto"/>
              </w:rPr>
            </w:pPr>
          </w:p>
        </w:tc>
        <w:tc>
          <w:tcPr>
            <w:tcW w:w="600" w:type="dxa"/>
            <w:vAlign w:val="bottom"/>
            <w:gridSpan w:val="2"/>
          </w:tcPr>
          <w:p>
            <w:pPr>
              <w:jc w:val="right"/>
              <w:spacing w:after="0" w:line="165" w:lineRule="exact"/>
              <w:rPr>
                <w:sz w:val="20"/>
                <w:szCs w:val="20"/>
                <w:color w:val="auto"/>
              </w:rPr>
            </w:pPr>
            <w:r>
              <w:rPr>
                <w:rFonts w:ascii="Arial" w:cs="Arial" w:eastAsia="Arial" w:hAnsi="Arial"/>
                <w:sz w:val="16"/>
                <w:szCs w:val="16"/>
                <w:b w:val="1"/>
                <w:bCs w:val="1"/>
                <w:color w:val="auto"/>
              </w:rPr>
              <w:t>2020</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80" w:type="dxa"/>
            <w:vAlign w:val="bottom"/>
            <w:gridSpan w:val="5"/>
            <w:vMerge w:val="continu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3980" w:type="dxa"/>
            <w:vAlign w:val="bottom"/>
            <w:gridSpan w:val="5"/>
            <w:vMerge w:val="continue"/>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232"/>
              <w:spacing w:after="0"/>
              <w:rPr>
                <w:sz w:val="20"/>
                <w:szCs w:val="20"/>
                <w:color w:val="auto"/>
              </w:rPr>
            </w:pPr>
            <w:r>
              <w:rPr>
                <w:rFonts w:ascii="Arial" w:cs="Arial" w:eastAsia="Arial" w:hAnsi="Arial"/>
                <w:sz w:val="18"/>
                <w:szCs w:val="18"/>
                <w:color w:val="auto"/>
                <w:w w:val="93"/>
              </w:rPr>
              <w:t>157.3 $</w:t>
            </w:r>
          </w:p>
        </w:tc>
        <w:tc>
          <w:tcPr>
            <w:tcW w:w="30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163.0</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540" w:type="dxa"/>
            <w:vAlign w:val="bottom"/>
            <w:gridSpan w:val="4"/>
          </w:tcPr>
          <w:p>
            <w:pPr>
              <w:jc w:val="right"/>
              <w:ind w:right="280"/>
              <w:spacing w:after="0"/>
              <w:rPr>
                <w:sz w:val="20"/>
                <w:szCs w:val="20"/>
                <w:color w:val="auto"/>
              </w:rPr>
            </w:pPr>
            <w:r>
              <w:rPr>
                <w:rFonts w:ascii="Arial" w:cs="Arial" w:eastAsia="Arial" w:hAnsi="Arial"/>
                <w:sz w:val="18"/>
                <w:szCs w:val="18"/>
                <w:color w:val="auto"/>
              </w:rPr>
              <w:t>507.6 $</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395.9</w:t>
            </w:r>
          </w:p>
        </w:tc>
        <w:tc>
          <w:tcPr>
            <w:tcW w:w="0" w:type="dxa"/>
            <w:vAlign w:val="bottom"/>
          </w:tcPr>
          <w:p>
            <w:pPr>
              <w:spacing w:after="0"/>
              <w:rPr>
                <w:sz w:val="1"/>
                <w:szCs w:val="1"/>
                <w:color w:val="auto"/>
              </w:rPr>
            </w:pPr>
          </w:p>
        </w:tc>
      </w:tr>
      <w:tr>
        <w:trPr>
          <w:trHeight w:val="225"/>
        </w:trPr>
        <w:tc>
          <w:tcPr>
            <w:tcW w:w="3980" w:type="dxa"/>
            <w:vAlign w:val="bottom"/>
            <w:gridSpan w:val="5"/>
          </w:tcPr>
          <w:p>
            <w:pPr>
              <w:spacing w:after="0"/>
              <w:rPr>
                <w:sz w:val="20"/>
                <w:szCs w:val="20"/>
                <w:color w:val="auto"/>
              </w:rPr>
            </w:pPr>
            <w:r>
              <w:rPr>
                <w:rFonts w:ascii="Arial" w:cs="Arial" w:eastAsia="Arial" w:hAnsi="Arial"/>
                <w:sz w:val="18"/>
                <w:szCs w:val="18"/>
                <w:color w:val="auto"/>
              </w:rPr>
              <w:t>% sales mix</w:t>
            </w:r>
          </w:p>
        </w:tc>
        <w:tc>
          <w:tcPr>
            <w:tcW w:w="1820" w:type="dxa"/>
            <w:vAlign w:val="bottom"/>
          </w:tcPr>
          <w:p>
            <w:pPr>
              <w:spacing w:after="0"/>
              <w:rPr>
                <w:sz w:val="19"/>
                <w:szCs w:val="19"/>
                <w:color w:val="auto"/>
              </w:rPr>
            </w:pPr>
          </w:p>
        </w:tc>
        <w:tc>
          <w:tcPr>
            <w:tcW w:w="1600" w:type="dxa"/>
            <w:vAlign w:val="bottom"/>
            <w:gridSpan w:val="3"/>
          </w:tcPr>
          <w:p>
            <w:pPr>
              <w:jc w:val="right"/>
              <w:ind w:right="292"/>
              <w:spacing w:after="0"/>
              <w:rPr>
                <w:sz w:val="20"/>
                <w:szCs w:val="20"/>
                <w:color w:val="auto"/>
              </w:rPr>
            </w:pPr>
            <w:r>
              <w:rPr>
                <w:rFonts w:ascii="Arial" w:cs="Arial" w:eastAsia="Arial" w:hAnsi="Arial"/>
                <w:sz w:val="18"/>
                <w:szCs w:val="18"/>
                <w:color w:val="auto"/>
              </w:rPr>
              <w:t>23.%3</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34.%1</w:t>
            </w:r>
          </w:p>
        </w:tc>
        <w:tc>
          <w:tcPr>
            <w:tcW w:w="80" w:type="dxa"/>
            <w:vAlign w:val="bottom"/>
          </w:tcPr>
          <w:p>
            <w:pPr>
              <w:spacing w:after="0"/>
              <w:rPr>
                <w:sz w:val="19"/>
                <w:szCs w:val="19"/>
                <w:color w:val="auto"/>
              </w:rPr>
            </w:pPr>
          </w:p>
        </w:tc>
        <w:tc>
          <w:tcPr>
            <w:tcW w:w="1540" w:type="dxa"/>
            <w:vAlign w:val="bottom"/>
            <w:gridSpan w:val="4"/>
          </w:tcPr>
          <w:p>
            <w:pPr>
              <w:jc w:val="right"/>
              <w:ind w:right="360"/>
              <w:spacing w:after="0"/>
              <w:rPr>
                <w:sz w:val="20"/>
                <w:szCs w:val="20"/>
                <w:color w:val="auto"/>
              </w:rPr>
            </w:pPr>
            <w:r>
              <w:rPr>
                <w:rFonts w:ascii="Arial" w:cs="Arial" w:eastAsia="Arial" w:hAnsi="Arial"/>
                <w:sz w:val="18"/>
                <w:szCs w:val="18"/>
                <w:color w:val="auto"/>
              </w:rPr>
              <w:t>27.%2</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-294005</wp:posOffset>
            </wp:positionV>
            <wp:extent cx="6907530" cy="142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07530" cy="142875"/>
                    </a:xfrm>
                    <a:prstGeom prst="rect">
                      <a:avLst/>
                    </a:prstGeom>
                    <a:noFill/>
                  </pic:spPr>
                </pic:pic>
              </a:graphicData>
            </a:graphic>
          </wp:anchor>
        </w:drawing>
        <w:drawing>
          <wp:anchor simplePos="0" relativeHeight="251657728" behindDoc="1" locked="0" layoutInCell="0" allowOverlap="1">
            <wp:simplePos x="0" y="0"/>
            <wp:positionH relativeFrom="column">
              <wp:posOffset>869315</wp:posOffset>
            </wp:positionH>
            <wp:positionV relativeFrom="paragraph">
              <wp:posOffset>-504190</wp:posOffset>
            </wp:positionV>
            <wp:extent cx="184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415" cy="8255"/>
                    </a:xfrm>
                    <a:prstGeom prst="rect">
                      <a:avLst/>
                    </a:prstGeom>
                    <a:noFill/>
                  </pic:spPr>
                </pic:pic>
              </a:graphicData>
            </a:graphic>
          </wp:anchor>
        </w:drawing>
      </w:r>
    </w:p>
    <w:p>
      <w:pPr>
        <w:ind w:left="340" w:hanging="234"/>
        <w:spacing w:after="0"/>
        <w:tabs>
          <w:tab w:leader="none" w:pos="340"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Primarily to-go, delivery and catering sales.</w:t>
      </w:r>
    </w:p>
    <w:p>
      <w:pPr>
        <w:spacing w:after="0" w:line="218" w:lineRule="exact"/>
        <w:rPr>
          <w:sz w:val="20"/>
          <w:szCs w:val="20"/>
          <w:color w:val="auto"/>
        </w:rPr>
      </w:pPr>
    </w:p>
    <w:p>
      <w:pPr>
        <w:ind w:left="100" w:right="120" w:firstLine="318"/>
        <w:spacing w:after="0" w:line="311" w:lineRule="auto"/>
        <w:rPr>
          <w:sz w:val="20"/>
          <w:szCs w:val="20"/>
          <w:color w:val="auto"/>
        </w:rPr>
      </w:pPr>
      <w:r>
        <w:rPr>
          <w:rFonts w:ascii="Arial" w:cs="Arial" w:eastAsia="Arial" w:hAnsi="Arial"/>
          <w:sz w:val="15"/>
          <w:szCs w:val="15"/>
          <w:color w:val="auto"/>
        </w:rPr>
        <w:t>Based on data from Black Box, IHOP's increase in same-restaurant sales for the three months ended September 30, 2021 outperformed the family dining segment of the restaurant industry (excluding IHOP) during that same period of 2019. IHOP's increase in same-restaurant sales for the nine months ended September 30, 2021 underperformed the family dining segment of the restaurant industry (excluding IHOP) during that same period of 2019.</w:t>
      </w:r>
    </w:p>
    <w:p>
      <w:pPr>
        <w:spacing w:after="0" w:line="15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Restaurant Data</w:t>
      </w:r>
    </w:p>
    <w:p>
      <w:pPr>
        <w:spacing w:after="0" w:line="210" w:lineRule="exact"/>
        <w:rPr>
          <w:sz w:val="20"/>
          <w:szCs w:val="20"/>
          <w:color w:val="auto"/>
        </w:rPr>
      </w:pPr>
    </w:p>
    <w:p>
      <w:pPr>
        <w:ind w:left="100" w:firstLine="318"/>
        <w:spacing w:after="0" w:line="309" w:lineRule="auto"/>
        <w:rPr>
          <w:sz w:val="20"/>
          <w:szCs w:val="20"/>
          <w:color w:val="auto"/>
        </w:rPr>
      </w:pPr>
      <w:r>
        <w:rPr>
          <w:rFonts w:ascii="Arial" w:cs="Arial" w:eastAsia="Arial" w:hAnsi="Arial"/>
          <w:sz w:val="15"/>
          <w:szCs w:val="15"/>
          <w:color w:val="auto"/>
        </w:rPr>
        <w:t>The following table sets forth the number of “Effective Restaurants” in the Applebee’s and IHOP systems and information regarding the percentage change in sales at those restaurants compared to the same periods of the prior year. Sales at restaurants that are owned by franchisees and area licensees are not attributable to the Company and, as such, the percentage change in sales at Effective Restaurants is based on non-GAAP sales data. However, we believe that presentation of this information is useful in analyzing our revenues because franchisees and area licensees pay us royalties and advertising fees that are based on a percentage of their sales, and, where applicable, rental payments under leases that partially may be based on a percentage of their sales. Management also uses this information to make decisions about plans for future development of additional restaurants as well as evaluation of current operations.</w:t>
      </w:r>
    </w:p>
    <w:p>
      <w:pPr>
        <w:spacing w:after="0" w:line="200" w:lineRule="exact"/>
        <w:rPr>
          <w:sz w:val="20"/>
          <w:szCs w:val="20"/>
          <w:color w:val="auto"/>
        </w:rPr>
      </w:pP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65405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220" w:top="121" w:right="339" w:bottom="1440" w:gutter="0" w:footer="0" w:header="0"/>
        </w:sectPr>
      </w:pPr>
    </w:p>
    <w:bookmarkStart w:id="35" w:name="page36"/>
    <w:bookmarkEnd w:id="35"/>
    <w:p>
      <w:pPr>
        <w:ind w:left="10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18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0" w:type="dxa"/>
            <w:vAlign w:val="bottom"/>
            <w:gridSpan w:val="5"/>
          </w:tcPr>
          <w:p>
            <w:pPr>
              <w:ind w:left="60"/>
              <w:spacing w:after="0"/>
              <w:rPr>
                <w:sz w:val="20"/>
                <w:szCs w:val="20"/>
                <w:color w:val="auto"/>
              </w:rPr>
            </w:pPr>
            <w:r>
              <w:rPr>
                <w:rFonts w:ascii="Arial" w:cs="Arial" w:eastAsia="Arial" w:hAnsi="Arial"/>
                <w:sz w:val="16"/>
                <w:szCs w:val="16"/>
                <w:b w:val="1"/>
                <w:bCs w:val="1"/>
                <w:color w:val="auto"/>
              </w:rPr>
              <w:t>Three months ended September 30,</w:t>
            </w:r>
          </w:p>
        </w:tc>
        <w:tc>
          <w:tcPr>
            <w:tcW w:w="200" w:type="dxa"/>
            <w:vAlign w:val="bottom"/>
          </w:tcPr>
          <w:p>
            <w:pPr>
              <w:spacing w:after="0"/>
              <w:rPr>
                <w:sz w:val="18"/>
                <w:szCs w:val="18"/>
                <w:color w:val="auto"/>
              </w:rPr>
            </w:pPr>
          </w:p>
        </w:tc>
        <w:tc>
          <w:tcPr>
            <w:tcW w:w="2660" w:type="dxa"/>
            <w:vAlign w:val="bottom"/>
            <w:gridSpan w:val="4"/>
          </w:tcPr>
          <w:p>
            <w:pPr>
              <w:jc w:val="right"/>
              <w:ind w:right="172"/>
              <w:spacing w:after="0"/>
              <w:rPr>
                <w:sz w:val="20"/>
                <w:szCs w:val="20"/>
                <w:color w:val="auto"/>
              </w:rPr>
            </w:pPr>
            <w:r>
              <w:rPr>
                <w:rFonts w:ascii="Arial" w:cs="Arial" w:eastAsia="Arial" w:hAnsi="Arial"/>
                <w:sz w:val="16"/>
                <w:szCs w:val="16"/>
                <w:b w:val="1"/>
                <w:bCs w:val="1"/>
                <w:color w:val="auto"/>
                <w:w w:val="90"/>
              </w:rPr>
              <w:t>Nine months ended September 30,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Applebee's Restaurant Data</w:t>
            </w:r>
          </w:p>
        </w:tc>
        <w:tc>
          <w:tcPr>
            <w:tcW w:w="1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1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80" w:type="dxa"/>
            <w:vAlign w:val="bottom"/>
            <w:gridSpan w:val="5"/>
          </w:tcPr>
          <w:p>
            <w:pPr>
              <w:ind w:left="760"/>
              <w:spacing w:after="0"/>
              <w:rPr>
                <w:sz w:val="20"/>
                <w:szCs w:val="20"/>
                <w:color w:val="auto"/>
              </w:rPr>
            </w:pPr>
            <w:r>
              <w:rPr>
                <w:rFonts w:ascii="Arial" w:cs="Arial" w:eastAsia="Arial" w:hAnsi="Arial"/>
                <w:sz w:val="14"/>
                <w:szCs w:val="14"/>
                <w:b w:val="1"/>
                <w:bCs w:val="1"/>
                <w:color w:val="auto"/>
              </w:rPr>
              <w:t>(Unaudited)</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120" w:type="dxa"/>
            <w:vAlign w:val="bottom"/>
            <w:tcBorders>
              <w:top w:val="single" w:sz="8" w:color="auto"/>
            </w:tcBorders>
            <w:gridSpan w:val="2"/>
          </w:tcPr>
          <w:p>
            <w:pPr>
              <w:spacing w:after="0" w:line="245" w:lineRule="exact"/>
              <w:rPr>
                <w:sz w:val="20"/>
                <w:szCs w:val="20"/>
                <w:color w:val="auto"/>
              </w:rPr>
            </w:pPr>
            <w:r>
              <w:rPr>
                <w:rFonts w:ascii="Arial" w:cs="Arial" w:eastAsia="Arial" w:hAnsi="Arial"/>
                <w:sz w:val="18"/>
                <w:szCs w:val="18"/>
                <w:b w:val="1"/>
                <w:bCs w:val="1"/>
                <w:color w:val="auto"/>
              </w:rPr>
              <w:t>Effective Restaurants</w:t>
            </w:r>
            <w:r>
              <w:rPr>
                <w:rFonts w:ascii="Arial" w:cs="Arial" w:eastAsia="Arial" w:hAnsi="Arial"/>
                <w:sz w:val="22"/>
                <w:szCs w:val="22"/>
                <w:b w:val="1"/>
                <w:bCs w:val="1"/>
                <w:color w:val="auto"/>
                <w:vertAlign w:val="superscript"/>
              </w:rPr>
              <w:t>(a)</w:t>
            </w:r>
          </w:p>
        </w:tc>
        <w:tc>
          <w:tcPr>
            <w:tcW w:w="3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1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Franchise</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1,619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1,636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1,623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1,620</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5160" w:type="dxa"/>
            <w:vAlign w:val="bottom"/>
            <w:tcBorders>
              <w:bottom w:val="single" w:sz="8" w:color="CCEEFF"/>
            </w:tcBorders>
            <w:gridSpan w:val="3"/>
          </w:tcPr>
          <w:p>
            <w:pPr>
              <w:ind w:left="200"/>
              <w:spacing w:after="0"/>
              <w:rPr>
                <w:sz w:val="20"/>
                <w:szCs w:val="20"/>
                <w:color w:val="auto"/>
              </w:rPr>
            </w:pPr>
            <w:r>
              <w:rPr>
                <w:rFonts w:ascii="Arial" w:cs="Arial" w:eastAsia="Arial" w:hAnsi="Arial"/>
                <w:sz w:val="18"/>
                <w:szCs w:val="18"/>
                <w:color w:val="auto"/>
              </w:rPr>
              <w:t>Company</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373"/>
              <w:spacing w:after="0"/>
              <w:rPr>
                <w:sz w:val="20"/>
                <w:szCs w:val="20"/>
                <w:color w:val="auto"/>
              </w:rPr>
            </w:pPr>
            <w:r>
              <w:rPr>
                <w:rFonts w:ascii="Arial" w:cs="Arial" w:eastAsia="Arial" w:hAnsi="Arial"/>
                <w:sz w:val="18"/>
                <w:szCs w:val="18"/>
                <w:color w:val="auto"/>
                <w:w w:val="89"/>
              </w:rPr>
              <w:t>69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8"/>
        </w:trPr>
        <w:tc>
          <w:tcPr>
            <w:tcW w:w="20" w:type="dxa"/>
            <w:vAlign w:val="bottom"/>
            <w:tcBorders>
              <w:bottom w:val="single" w:sz="8" w:color="CCEEFF"/>
            </w:tcBorders>
            <w:shd w:val="clear" w:color="auto" w:fill="CCEEFF"/>
          </w:tcPr>
          <w:p>
            <w:pPr>
              <w:spacing w:after="0"/>
              <w:rPr>
                <w:sz w:val="18"/>
                <w:szCs w:val="18"/>
                <w:color w:val="auto"/>
              </w:rPr>
            </w:pPr>
          </w:p>
        </w:tc>
        <w:tc>
          <w:tcPr>
            <w:tcW w:w="5160" w:type="dxa"/>
            <w:vAlign w:val="bottom"/>
            <w:tcBorders>
              <w:bottom w:val="single" w:sz="8" w:color="CCEEFF"/>
            </w:tcBorders>
            <w:gridSpan w:val="3"/>
            <w:shd w:val="clear" w:color="auto" w:fill="CCEEFF"/>
          </w:tcPr>
          <w:p>
            <w:pPr>
              <w:ind w:left="440"/>
              <w:spacing w:after="0" w:line="193" w:lineRule="exact"/>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32"/>
              <w:spacing w:after="0" w:line="193" w:lineRule="exact"/>
              <w:rPr>
                <w:sz w:val="20"/>
                <w:szCs w:val="20"/>
                <w:color w:val="auto"/>
              </w:rPr>
            </w:pPr>
            <w:r>
              <w:rPr>
                <w:rFonts w:ascii="Arial" w:cs="Arial" w:eastAsia="Arial" w:hAnsi="Arial"/>
                <w:sz w:val="18"/>
                <w:szCs w:val="18"/>
                <w:b w:val="1"/>
                <w:bCs w:val="1"/>
                <w:color w:val="auto"/>
              </w:rPr>
              <w:t>1,688</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33"/>
              <w:spacing w:after="0" w:line="193" w:lineRule="exact"/>
              <w:rPr>
                <w:sz w:val="20"/>
                <w:szCs w:val="20"/>
                <w:color w:val="auto"/>
              </w:rPr>
            </w:pPr>
            <w:r>
              <w:rPr>
                <w:rFonts w:ascii="Arial" w:cs="Arial" w:eastAsia="Arial" w:hAnsi="Arial"/>
                <w:sz w:val="18"/>
                <w:szCs w:val="18"/>
                <w:b w:val="1"/>
                <w:bCs w:val="1"/>
                <w:color w:val="auto"/>
              </w:rPr>
              <w:t>1,705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32"/>
              <w:spacing w:after="0" w:line="193" w:lineRule="exact"/>
              <w:rPr>
                <w:sz w:val="20"/>
                <w:szCs w:val="20"/>
                <w:color w:val="auto"/>
              </w:rPr>
            </w:pPr>
            <w:r>
              <w:rPr>
                <w:rFonts w:ascii="Arial" w:cs="Arial" w:eastAsia="Arial" w:hAnsi="Arial"/>
                <w:sz w:val="18"/>
                <w:szCs w:val="18"/>
                <w:b w:val="1"/>
                <w:bCs w:val="1"/>
                <w:color w:val="auto"/>
              </w:rPr>
              <w:t>1,692</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12"/>
              <w:spacing w:after="0" w:line="193" w:lineRule="exact"/>
              <w:rPr>
                <w:sz w:val="20"/>
                <w:szCs w:val="20"/>
                <w:color w:val="auto"/>
              </w:rPr>
            </w:pPr>
            <w:r>
              <w:rPr>
                <w:rFonts w:ascii="Arial" w:cs="Arial" w:eastAsia="Arial" w:hAnsi="Arial"/>
                <w:sz w:val="18"/>
                <w:szCs w:val="18"/>
                <w:b w:val="1"/>
                <w:bCs w:val="1"/>
                <w:color w:val="auto"/>
              </w:rPr>
              <w:t>1,688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160" w:type="dxa"/>
            <w:vAlign w:val="bottom"/>
            <w:tcBorders>
              <w:top w:val="single" w:sz="8" w:color="CCEEFF"/>
              <w:bottom w:val="single" w:sz="8" w:color="CCEEFF"/>
            </w:tcBorders>
            <w:gridSpan w:val="3"/>
            <w:vMerge w:val="restart"/>
          </w:tcPr>
          <w:p>
            <w:pPr>
              <w:spacing w:after="0" w:line="239" w:lineRule="exact"/>
              <w:rPr>
                <w:sz w:val="20"/>
                <w:szCs w:val="20"/>
                <w:color w:val="auto"/>
              </w:rPr>
            </w:pPr>
            <w:r>
              <w:rPr>
                <w:rFonts w:ascii="Arial" w:cs="Arial" w:eastAsia="Arial" w:hAnsi="Arial"/>
                <w:sz w:val="18"/>
                <w:szCs w:val="18"/>
                <w:b w:val="1"/>
                <w:bCs w:val="1"/>
                <w:color w:val="auto"/>
              </w:rPr>
              <w:t>System-wide</w:t>
            </w:r>
            <w:r>
              <w:rPr>
                <w:rFonts w:ascii="Arial" w:cs="Arial" w:eastAsia="Arial" w:hAnsi="Arial"/>
                <w:sz w:val="22"/>
                <w:szCs w:val="22"/>
                <w:b w:val="1"/>
                <w:bCs w:val="1"/>
                <w:color w:val="auto"/>
                <w:vertAlign w:val="superscript"/>
              </w:rPr>
              <w:t>(b)</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516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160" w:type="dxa"/>
            <w:vAlign w:val="bottom"/>
            <w:gridSpan w:val="3"/>
            <w:shd w:val="clear" w:color="auto" w:fill="CCEEFF"/>
          </w:tcPr>
          <w:p>
            <w:pPr>
              <w:ind w:left="200"/>
              <w:spacing w:after="0" w:line="225" w:lineRule="exact"/>
              <w:rPr>
                <w:sz w:val="20"/>
                <w:szCs w:val="20"/>
                <w:color w:val="auto"/>
              </w:rPr>
            </w:pPr>
            <w:r>
              <w:rPr>
                <w:rFonts w:ascii="Arial" w:cs="Arial" w:eastAsia="Arial" w:hAnsi="Arial"/>
                <w:sz w:val="18"/>
                <w:szCs w:val="18"/>
                <w:color w:val="auto"/>
              </w:rPr>
              <w:t>Domestic sales percentage change</w:t>
            </w:r>
            <w:r>
              <w:rPr>
                <w:rFonts w:ascii="Arial" w:cs="Arial" w:eastAsia="Arial" w:hAnsi="Arial"/>
                <w:sz w:val="22"/>
                <w:szCs w:val="22"/>
                <w:color w:val="auto"/>
                <w:vertAlign w:val="superscript"/>
              </w:rPr>
              <w:t>(c)</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373"/>
              <w:spacing w:after="0"/>
              <w:rPr>
                <w:sz w:val="20"/>
                <w:szCs w:val="20"/>
                <w:color w:val="auto"/>
              </w:rPr>
            </w:pPr>
            <w:r>
              <w:rPr>
                <w:rFonts w:ascii="Arial" w:cs="Arial" w:eastAsia="Arial" w:hAnsi="Arial"/>
                <w:sz w:val="18"/>
                <w:szCs w:val="18"/>
                <w:color w:val="auto"/>
                <w:w w:val="91"/>
              </w:rPr>
              <w:t>(16.7)%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60" w:type="dxa"/>
            <w:vAlign w:val="bottom"/>
            <w:gridSpan w:val="3"/>
          </w:tcPr>
          <w:p>
            <w:pPr>
              <w:ind w:left="200"/>
              <w:spacing w:after="0" w:line="217" w:lineRule="exact"/>
              <w:rPr>
                <w:sz w:val="20"/>
                <w:szCs w:val="20"/>
                <w:color w:val="auto"/>
              </w:rPr>
            </w:pPr>
            <w:r>
              <w:rPr>
                <w:rFonts w:ascii="Arial" w:cs="Arial" w:eastAsia="Arial" w:hAnsi="Arial"/>
                <w:sz w:val="18"/>
                <w:szCs w:val="18"/>
                <w:color w:val="auto"/>
              </w:rPr>
              <w:t>Domestic same-restaurant sales percentage change</w:t>
            </w:r>
            <w:r>
              <w:rPr>
                <w:rFonts w:ascii="Arial" w:cs="Arial" w:eastAsia="Arial" w:hAnsi="Arial"/>
                <w:sz w:val="22"/>
                <w:szCs w:val="22"/>
                <w:color w:val="auto"/>
                <w:vertAlign w:val="superscript"/>
              </w:rPr>
              <w:t>(d)</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27.7 %</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center"/>
              <w:ind w:left="373"/>
              <w:spacing w:after="0"/>
              <w:rPr>
                <w:sz w:val="20"/>
                <w:szCs w:val="20"/>
                <w:color w:val="auto"/>
              </w:rPr>
            </w:pPr>
            <w:r>
              <w:rPr>
                <w:rFonts w:ascii="Arial" w:cs="Arial" w:eastAsia="Arial" w:hAnsi="Arial"/>
                <w:sz w:val="18"/>
                <w:szCs w:val="18"/>
                <w:color w:val="auto"/>
                <w:w w:val="91"/>
              </w:rPr>
              <w:t>(13.3)%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39.5 %</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160" w:type="dxa"/>
            <w:vAlign w:val="bottom"/>
            <w:gridSpan w:val="3"/>
          </w:tcPr>
          <w:p>
            <w:pPr>
              <w:spacing w:after="0" w:line="233" w:lineRule="exact"/>
              <w:rPr>
                <w:sz w:val="20"/>
                <w:szCs w:val="20"/>
                <w:color w:val="auto"/>
              </w:rPr>
            </w:pPr>
            <w:r>
              <w:rPr>
                <w:rFonts w:ascii="Arial" w:cs="Arial" w:eastAsia="Arial" w:hAnsi="Arial"/>
                <w:sz w:val="18"/>
                <w:szCs w:val="18"/>
                <w:b w:val="1"/>
                <w:bCs w:val="1"/>
                <w:color w:val="auto"/>
              </w:rPr>
              <w:t>Franchise</w:t>
            </w:r>
            <w:r>
              <w:rPr>
                <w:rFonts w:ascii="Arial" w:cs="Arial" w:eastAsia="Arial" w:hAnsi="Arial"/>
                <w:sz w:val="22"/>
                <w:szCs w:val="22"/>
                <w:b w:val="1"/>
                <w:bCs w:val="1"/>
                <w:color w:val="auto"/>
                <w:vertAlign w:val="superscript"/>
              </w:rPr>
              <w:t>(b)</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160" w:type="dxa"/>
            <w:vAlign w:val="bottom"/>
            <w:gridSpan w:val="3"/>
            <w:shd w:val="clear" w:color="auto" w:fill="CCEEFF"/>
          </w:tcPr>
          <w:p>
            <w:pPr>
              <w:ind w:left="200"/>
              <w:spacing w:after="0" w:line="225" w:lineRule="exact"/>
              <w:rPr>
                <w:sz w:val="20"/>
                <w:szCs w:val="20"/>
                <w:color w:val="auto"/>
              </w:rPr>
            </w:pPr>
            <w:r>
              <w:rPr>
                <w:rFonts w:ascii="Arial" w:cs="Arial" w:eastAsia="Arial" w:hAnsi="Arial"/>
                <w:sz w:val="18"/>
                <w:szCs w:val="18"/>
                <w:color w:val="auto"/>
              </w:rPr>
              <w:t>Domestic sales percentage change</w:t>
            </w:r>
            <w:r>
              <w:rPr>
                <w:rFonts w:ascii="Arial" w:cs="Arial" w:eastAsia="Arial" w:hAnsi="Arial"/>
                <w:sz w:val="22"/>
                <w:szCs w:val="22"/>
                <w:color w:val="auto"/>
                <w:vertAlign w:val="superscript"/>
              </w:rPr>
              <w:t>(c)</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373"/>
              <w:spacing w:after="0"/>
              <w:rPr>
                <w:sz w:val="20"/>
                <w:szCs w:val="20"/>
                <w:color w:val="auto"/>
              </w:rPr>
            </w:pPr>
            <w:r>
              <w:rPr>
                <w:rFonts w:ascii="Arial" w:cs="Arial" w:eastAsia="Arial" w:hAnsi="Arial"/>
                <w:sz w:val="18"/>
                <w:szCs w:val="18"/>
                <w:color w:val="auto"/>
                <w:w w:val="91"/>
              </w:rPr>
              <w:t>(16.9)%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160" w:type="dxa"/>
            <w:vAlign w:val="bottom"/>
            <w:gridSpan w:val="3"/>
          </w:tcPr>
          <w:p>
            <w:pPr>
              <w:ind w:left="200"/>
              <w:spacing w:after="0" w:line="225" w:lineRule="exact"/>
              <w:rPr>
                <w:sz w:val="20"/>
                <w:szCs w:val="20"/>
                <w:color w:val="auto"/>
              </w:rPr>
            </w:pPr>
            <w:r>
              <w:rPr>
                <w:rFonts w:ascii="Arial" w:cs="Arial" w:eastAsia="Arial" w:hAnsi="Arial"/>
                <w:sz w:val="18"/>
                <w:szCs w:val="18"/>
                <w:color w:val="auto"/>
              </w:rPr>
              <w:t>Domestic same-restaurant sales percentage change</w:t>
            </w:r>
            <w:r>
              <w:rPr>
                <w:rFonts w:ascii="Arial" w:cs="Arial" w:eastAsia="Arial" w:hAnsi="Arial"/>
                <w:sz w:val="22"/>
                <w:szCs w:val="22"/>
                <w:color w:val="auto"/>
                <w:vertAlign w:val="superscript"/>
              </w:rPr>
              <w:t>(d)</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27.8 %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center"/>
              <w:ind w:left="373"/>
              <w:spacing w:after="0"/>
              <w:rPr>
                <w:sz w:val="20"/>
                <w:szCs w:val="20"/>
                <w:color w:val="auto"/>
              </w:rPr>
            </w:pPr>
            <w:r>
              <w:rPr>
                <w:rFonts w:ascii="Arial" w:cs="Arial" w:eastAsia="Arial" w:hAnsi="Arial"/>
                <w:sz w:val="18"/>
                <w:szCs w:val="18"/>
                <w:color w:val="auto"/>
                <w:w w:val="91"/>
              </w:rPr>
              <w:t>(13.4)%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39.3 %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1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Average weekly domestic unit sales (in thousands)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50.6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160" w:type="dxa"/>
            <w:vAlign w:val="bottom"/>
            <w:gridSpan w:val="3"/>
          </w:tcPr>
          <w:p>
            <w:pPr>
              <w:spacing w:after="0"/>
              <w:rPr>
                <w:sz w:val="20"/>
                <w:szCs w:val="20"/>
                <w:color w:val="auto"/>
              </w:rPr>
            </w:pPr>
            <w:r>
              <w:rPr>
                <w:rFonts w:ascii="Arial" w:cs="Arial" w:eastAsia="Arial" w:hAnsi="Arial"/>
                <w:sz w:val="18"/>
                <w:szCs w:val="18"/>
                <w:b w:val="1"/>
                <w:bCs w:val="1"/>
                <w:color w:val="auto"/>
              </w:rPr>
              <w:t>IHOP Restaurant Data</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5160" w:type="dxa"/>
            <w:vAlign w:val="bottom"/>
            <w:gridSpan w:val="3"/>
          </w:tcPr>
          <w:p>
            <w:pPr>
              <w:spacing w:after="0" w:line="245" w:lineRule="exact"/>
              <w:rPr>
                <w:sz w:val="20"/>
                <w:szCs w:val="20"/>
                <w:color w:val="auto"/>
              </w:rPr>
            </w:pPr>
            <w:r>
              <w:rPr>
                <w:rFonts w:ascii="Arial" w:cs="Arial" w:eastAsia="Arial" w:hAnsi="Arial"/>
                <w:sz w:val="18"/>
                <w:szCs w:val="18"/>
                <w:b w:val="1"/>
                <w:bCs w:val="1"/>
                <w:color w:val="auto"/>
              </w:rPr>
              <w:t>Effective Restaurants</w:t>
            </w:r>
            <w:r>
              <w:rPr>
                <w:rFonts w:ascii="Arial" w:cs="Arial" w:eastAsia="Arial" w:hAnsi="Arial"/>
                <w:sz w:val="22"/>
                <w:szCs w:val="22"/>
                <w:b w:val="1"/>
                <w:bCs w:val="1"/>
                <w:color w:val="auto"/>
                <w:vertAlign w:val="superscript"/>
              </w:rPr>
              <w:t>(a)</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1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Franchise</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1,573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1,530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5160" w:type="dxa"/>
            <w:vAlign w:val="bottom"/>
            <w:tcBorders>
              <w:bottom w:val="single" w:sz="8" w:color="CCEEFF"/>
            </w:tcBorders>
            <w:gridSpan w:val="3"/>
          </w:tcPr>
          <w:p>
            <w:pPr>
              <w:ind w:left="200"/>
              <w:spacing w:after="0"/>
              <w:rPr>
                <w:sz w:val="20"/>
                <w:szCs w:val="20"/>
                <w:color w:val="auto"/>
              </w:rPr>
            </w:pPr>
            <w:r>
              <w:rPr>
                <w:rFonts w:ascii="Arial" w:cs="Arial" w:eastAsia="Arial" w:hAnsi="Arial"/>
                <w:sz w:val="18"/>
                <w:szCs w:val="18"/>
                <w:color w:val="auto"/>
              </w:rPr>
              <w:t>Area license</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0"/>
                <w:szCs w:val="20"/>
                <w:color w:val="auto"/>
              </w:rPr>
            </w:pPr>
          </w:p>
        </w:tc>
        <w:tc>
          <w:tcPr>
            <w:tcW w:w="5160" w:type="dxa"/>
            <w:vAlign w:val="bottom"/>
            <w:tcBorders>
              <w:bottom w:val="single" w:sz="8" w:color="CCEEFF"/>
            </w:tcBorders>
            <w:gridSpan w:val="3"/>
            <w:shd w:val="clear" w:color="auto" w:fill="CCEEFF"/>
          </w:tcPr>
          <w:p>
            <w:pPr>
              <w:ind w:left="440"/>
              <w:spacing w:after="0" w:line="205" w:lineRule="exact"/>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1,729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b w:val="1"/>
                <w:bCs w:val="1"/>
                <w:color w:val="auto"/>
              </w:rPr>
              <w:t>1,687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1,724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1,670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16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System-wide</w:t>
            </w:r>
            <w:r>
              <w:rPr>
                <w:rFonts w:ascii="Arial" w:cs="Arial" w:eastAsia="Arial" w:hAnsi="Arial"/>
                <w:sz w:val="22"/>
                <w:szCs w:val="22"/>
                <w:b w:val="1"/>
                <w:bCs w:val="1"/>
                <w:color w:val="auto"/>
                <w:vertAlign w:val="superscript"/>
              </w:rPr>
              <w:t>(b)</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5160" w:type="dxa"/>
            <w:vAlign w:val="bottom"/>
            <w:gridSpan w:val="3"/>
            <w:vMerge w:val="continue"/>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160" w:type="dxa"/>
            <w:vAlign w:val="bottom"/>
            <w:gridSpan w:val="3"/>
            <w:shd w:val="clear" w:color="auto" w:fill="CCEEFF"/>
          </w:tcPr>
          <w:p>
            <w:pPr>
              <w:ind w:left="200"/>
              <w:spacing w:after="0" w:line="225" w:lineRule="exact"/>
              <w:rPr>
                <w:sz w:val="20"/>
                <w:szCs w:val="20"/>
                <w:color w:val="auto"/>
              </w:rPr>
            </w:pPr>
            <w:r>
              <w:rPr>
                <w:rFonts w:ascii="Arial" w:cs="Arial" w:eastAsia="Arial" w:hAnsi="Arial"/>
                <w:sz w:val="18"/>
                <w:szCs w:val="18"/>
                <w:color w:val="auto"/>
              </w:rPr>
              <w:t>Sales percentage change</w:t>
            </w:r>
            <w:r>
              <w:rPr>
                <w:rFonts w:ascii="Arial" w:cs="Arial" w:eastAsia="Arial" w:hAnsi="Arial"/>
                <w:sz w:val="22"/>
                <w:szCs w:val="22"/>
                <w:color w:val="auto"/>
                <w:vertAlign w:val="superscript"/>
              </w:rPr>
              <w:t>(c)</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373"/>
              <w:spacing w:after="0"/>
              <w:rPr>
                <w:sz w:val="20"/>
                <w:szCs w:val="20"/>
                <w:color w:val="auto"/>
              </w:rPr>
            </w:pPr>
            <w:r>
              <w:rPr>
                <w:rFonts w:ascii="Arial" w:cs="Arial" w:eastAsia="Arial" w:hAnsi="Arial"/>
                <w:sz w:val="18"/>
                <w:szCs w:val="18"/>
                <w:color w:val="auto"/>
                <w:w w:val="91"/>
              </w:rPr>
              <w:t>(34.4)%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160" w:type="dxa"/>
            <w:vAlign w:val="bottom"/>
            <w:gridSpan w:val="3"/>
          </w:tcPr>
          <w:p>
            <w:pPr>
              <w:ind w:left="200"/>
              <w:spacing w:after="0" w:line="172" w:lineRule="exact"/>
              <w:rPr>
                <w:sz w:val="20"/>
                <w:szCs w:val="20"/>
                <w:color w:val="auto"/>
              </w:rPr>
            </w:pPr>
            <w:r>
              <w:rPr>
                <w:rFonts w:ascii="Arial" w:cs="Arial" w:eastAsia="Arial" w:hAnsi="Arial"/>
                <w:sz w:val="18"/>
                <w:szCs w:val="18"/>
                <w:color w:val="auto"/>
                <w:w w:val="91"/>
              </w:rPr>
              <w:t>Domestic same-restaurant sales percentage change, including area</w:t>
            </w:r>
          </w:p>
        </w:tc>
        <w:tc>
          <w:tcPr>
            <w:tcW w:w="18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40.1 %</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vMerge w:val="restart"/>
          </w:tcPr>
          <w:p>
            <w:pPr>
              <w:jc w:val="center"/>
              <w:ind w:left="373"/>
              <w:spacing w:after="0"/>
              <w:rPr>
                <w:sz w:val="20"/>
                <w:szCs w:val="20"/>
                <w:color w:val="auto"/>
              </w:rPr>
            </w:pPr>
            <w:r>
              <w:rPr>
                <w:rFonts w:ascii="Arial" w:cs="Arial" w:eastAsia="Arial" w:hAnsi="Arial"/>
                <w:sz w:val="18"/>
                <w:szCs w:val="18"/>
                <w:color w:val="auto"/>
                <w:w w:val="91"/>
              </w:rPr>
              <w:t>(30.2)%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40.5 %</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60" w:type="dxa"/>
            <w:vAlign w:val="bottom"/>
            <w:gridSpan w:val="3"/>
          </w:tcPr>
          <w:p>
            <w:pPr>
              <w:ind w:left="200"/>
              <w:spacing w:after="0" w:line="217" w:lineRule="exact"/>
              <w:rPr>
                <w:sz w:val="20"/>
                <w:szCs w:val="20"/>
                <w:color w:val="auto"/>
              </w:rPr>
            </w:pPr>
            <w:r>
              <w:rPr>
                <w:rFonts w:ascii="Arial" w:cs="Arial" w:eastAsia="Arial" w:hAnsi="Arial"/>
                <w:sz w:val="18"/>
                <w:szCs w:val="18"/>
                <w:color w:val="auto"/>
              </w:rPr>
              <w:t>license restaurants</w:t>
            </w:r>
            <w:r>
              <w:rPr>
                <w:rFonts w:ascii="Arial" w:cs="Arial" w:eastAsia="Arial" w:hAnsi="Arial"/>
                <w:sz w:val="22"/>
                <w:szCs w:val="22"/>
                <w:color w:val="auto"/>
                <w:vertAlign w:val="superscript"/>
              </w:rPr>
              <w:t>(d)</w:t>
            </w:r>
          </w:p>
        </w:tc>
        <w:tc>
          <w:tcPr>
            <w:tcW w:w="18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160" w:type="dxa"/>
            <w:vAlign w:val="bottom"/>
            <w:gridSpan w:val="3"/>
          </w:tcPr>
          <w:p>
            <w:pPr>
              <w:spacing w:after="0" w:line="233" w:lineRule="exact"/>
              <w:rPr>
                <w:sz w:val="20"/>
                <w:szCs w:val="20"/>
                <w:color w:val="auto"/>
              </w:rPr>
            </w:pPr>
            <w:r>
              <w:rPr>
                <w:rFonts w:ascii="Arial" w:cs="Arial" w:eastAsia="Arial" w:hAnsi="Arial"/>
                <w:sz w:val="18"/>
                <w:szCs w:val="18"/>
                <w:b w:val="1"/>
                <w:bCs w:val="1"/>
                <w:color w:val="auto"/>
              </w:rPr>
              <w:t>Franchise</w:t>
            </w:r>
            <w:r>
              <w:rPr>
                <w:rFonts w:ascii="Arial" w:cs="Arial" w:eastAsia="Arial" w:hAnsi="Arial"/>
                <w:sz w:val="22"/>
                <w:szCs w:val="22"/>
                <w:b w:val="1"/>
                <w:bCs w:val="1"/>
                <w:color w:val="auto"/>
                <w:vertAlign w:val="superscript"/>
              </w:rPr>
              <w:t>(b)</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160" w:type="dxa"/>
            <w:vAlign w:val="bottom"/>
            <w:gridSpan w:val="3"/>
            <w:shd w:val="clear" w:color="auto" w:fill="CCEEFF"/>
          </w:tcPr>
          <w:p>
            <w:pPr>
              <w:ind w:left="200"/>
              <w:spacing w:after="0" w:line="225" w:lineRule="exact"/>
              <w:rPr>
                <w:sz w:val="20"/>
                <w:szCs w:val="20"/>
                <w:color w:val="auto"/>
              </w:rPr>
            </w:pPr>
            <w:r>
              <w:rPr>
                <w:rFonts w:ascii="Arial" w:cs="Arial" w:eastAsia="Arial" w:hAnsi="Arial"/>
                <w:sz w:val="18"/>
                <w:szCs w:val="18"/>
                <w:color w:val="auto"/>
              </w:rPr>
              <w:t>Sales percentage change</w:t>
            </w:r>
            <w:r>
              <w:rPr>
                <w:rFonts w:ascii="Arial" w:cs="Arial" w:eastAsia="Arial" w:hAnsi="Arial"/>
                <w:sz w:val="22"/>
                <w:szCs w:val="22"/>
                <w:color w:val="auto"/>
                <w:vertAlign w:val="superscript"/>
              </w:rPr>
              <w:t>(c)</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373"/>
              <w:spacing w:after="0"/>
              <w:rPr>
                <w:sz w:val="20"/>
                <w:szCs w:val="20"/>
                <w:color w:val="auto"/>
              </w:rPr>
            </w:pPr>
            <w:r>
              <w:rPr>
                <w:rFonts w:ascii="Arial" w:cs="Arial" w:eastAsia="Arial" w:hAnsi="Arial"/>
                <w:sz w:val="18"/>
                <w:szCs w:val="18"/>
                <w:color w:val="auto"/>
                <w:w w:val="91"/>
              </w:rPr>
              <w:t>(34.3)%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160" w:type="dxa"/>
            <w:vAlign w:val="bottom"/>
            <w:gridSpan w:val="3"/>
          </w:tcPr>
          <w:p>
            <w:pPr>
              <w:ind w:left="200"/>
              <w:spacing w:after="0" w:line="225" w:lineRule="exact"/>
              <w:rPr>
                <w:sz w:val="20"/>
                <w:szCs w:val="20"/>
                <w:color w:val="auto"/>
              </w:rPr>
            </w:pPr>
            <w:r>
              <w:rPr>
                <w:rFonts w:ascii="Arial" w:cs="Arial" w:eastAsia="Arial" w:hAnsi="Arial"/>
                <w:sz w:val="18"/>
                <w:szCs w:val="18"/>
                <w:color w:val="auto"/>
              </w:rPr>
              <w:t>Domestic same-restaurant sales percentage change</w:t>
            </w:r>
            <w:r>
              <w:rPr>
                <w:rFonts w:ascii="Arial" w:cs="Arial" w:eastAsia="Arial" w:hAnsi="Arial"/>
                <w:sz w:val="22"/>
                <w:szCs w:val="22"/>
                <w:color w:val="auto"/>
                <w:vertAlign w:val="superscript"/>
              </w:rPr>
              <w:t>(d)</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39.4 %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center"/>
              <w:ind w:left="373"/>
              <w:spacing w:after="0"/>
              <w:rPr>
                <w:sz w:val="20"/>
                <w:szCs w:val="20"/>
                <w:color w:val="auto"/>
              </w:rPr>
            </w:pPr>
            <w:r>
              <w:rPr>
                <w:rFonts w:ascii="Arial" w:cs="Arial" w:eastAsia="Arial" w:hAnsi="Arial"/>
                <w:sz w:val="18"/>
                <w:szCs w:val="18"/>
                <w:color w:val="auto"/>
                <w:w w:val="91"/>
              </w:rPr>
              <w:t>(29.9)%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39.4 %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1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Average weekly unit sales (in thousands)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36.2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34.0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160" w:type="dxa"/>
            <w:vAlign w:val="bottom"/>
            <w:gridSpan w:val="3"/>
          </w:tcPr>
          <w:p>
            <w:pPr>
              <w:spacing w:after="0" w:line="225" w:lineRule="exact"/>
              <w:rPr>
                <w:sz w:val="20"/>
                <w:szCs w:val="20"/>
                <w:color w:val="auto"/>
              </w:rPr>
            </w:pPr>
            <w:r>
              <w:rPr>
                <w:rFonts w:ascii="Arial" w:cs="Arial" w:eastAsia="Arial" w:hAnsi="Arial"/>
                <w:sz w:val="18"/>
                <w:szCs w:val="18"/>
                <w:b w:val="1"/>
                <w:bCs w:val="1"/>
                <w:color w:val="auto"/>
              </w:rPr>
              <w:t>Area License</w:t>
            </w:r>
            <w:r>
              <w:rPr>
                <w:rFonts w:ascii="Arial" w:cs="Arial" w:eastAsia="Arial" w:hAnsi="Arial"/>
                <w:sz w:val="22"/>
                <w:szCs w:val="22"/>
                <w:b w:val="1"/>
                <w:bCs w:val="1"/>
                <w:color w:val="auto"/>
                <w:vertAlign w:val="superscript"/>
              </w:rPr>
              <w:t>(b)</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160" w:type="dxa"/>
            <w:vAlign w:val="bottom"/>
            <w:gridSpan w:val="3"/>
            <w:shd w:val="clear" w:color="auto" w:fill="CCEEFF"/>
          </w:tcPr>
          <w:p>
            <w:pPr>
              <w:ind w:left="200"/>
              <w:spacing w:after="0" w:line="225" w:lineRule="exact"/>
              <w:rPr>
                <w:sz w:val="20"/>
                <w:szCs w:val="20"/>
                <w:color w:val="auto"/>
              </w:rPr>
            </w:pPr>
            <w:r>
              <w:rPr>
                <w:rFonts w:ascii="Arial" w:cs="Arial" w:eastAsia="Arial" w:hAnsi="Arial"/>
                <w:sz w:val="18"/>
                <w:szCs w:val="18"/>
                <w:color w:val="auto"/>
              </w:rPr>
              <w:t>Sales percentage change</w:t>
            </w:r>
            <w:r>
              <w:rPr>
                <w:rFonts w:ascii="Arial" w:cs="Arial" w:eastAsia="Arial" w:hAnsi="Arial"/>
                <w:sz w:val="22"/>
                <w:szCs w:val="22"/>
                <w:color w:val="auto"/>
                <w:vertAlign w:val="superscript"/>
              </w:rPr>
              <w:t>(c)</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373"/>
              <w:spacing w:after="0"/>
              <w:rPr>
                <w:sz w:val="20"/>
                <w:szCs w:val="20"/>
                <w:color w:val="auto"/>
              </w:rPr>
            </w:pPr>
            <w:r>
              <w:rPr>
                <w:rFonts w:ascii="Arial" w:cs="Arial" w:eastAsia="Arial" w:hAnsi="Arial"/>
                <w:sz w:val="18"/>
                <w:szCs w:val="18"/>
                <w:color w:val="auto"/>
                <w:w w:val="91"/>
              </w:rPr>
              <w:t>(35.0)%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420" w:hanging="270"/>
        <w:spacing w:after="0" w:line="250" w:lineRule="auto"/>
        <w:tabs>
          <w:tab w:leader="none" w:pos="442" w:val="left"/>
        </w:tabs>
        <w:numPr>
          <w:ilvl w:val="1"/>
          <w:numId w:val="13"/>
        </w:numPr>
        <w:rPr>
          <w:rFonts w:ascii="Arial" w:cs="Arial" w:eastAsia="Arial" w:hAnsi="Arial"/>
          <w:sz w:val="16"/>
          <w:szCs w:val="16"/>
          <w:color w:val="auto"/>
        </w:rPr>
      </w:pPr>
      <w:r>
        <w:rPr>
          <w:rFonts w:ascii="Arial" w:cs="Arial" w:eastAsia="Arial" w:hAnsi="Arial"/>
          <w:sz w:val="16"/>
          <w:szCs w:val="16"/>
          <w:color w:val="auto"/>
        </w:rPr>
        <w:t>“Effective Restaurants” are the weighted average number of restaurants open in each fiscal period, adjusted to account for restaurants open for only a portion of the period. Information is presented for all Effective Restaurants in the Applebee’s and IHOP systems, which consist of restaurants owned by franchisees and area licensees as well as those owned by the Company. Effective Restaurants do not include units operated as ghost kitchens (small kitchens with no store-front presence, used to fill off-premise orders).</w:t>
      </w:r>
    </w:p>
    <w:p>
      <w:pPr>
        <w:spacing w:after="0" w:line="2" w:lineRule="exact"/>
        <w:rPr>
          <w:rFonts w:ascii="Arial" w:cs="Arial" w:eastAsia="Arial" w:hAnsi="Arial"/>
          <w:sz w:val="16"/>
          <w:szCs w:val="16"/>
          <w:color w:val="auto"/>
        </w:rPr>
      </w:pPr>
    </w:p>
    <w:p>
      <w:pPr>
        <w:ind w:left="420" w:right="160" w:hanging="314"/>
        <w:spacing w:after="0" w:line="287" w:lineRule="auto"/>
        <w:tabs>
          <w:tab w:leader="none" w:pos="407" w:val="left"/>
        </w:tabs>
        <w:numPr>
          <w:ilvl w:val="0"/>
          <w:numId w:val="14"/>
        </w:numPr>
        <w:rPr>
          <w:rFonts w:ascii="Arial" w:cs="Arial" w:eastAsia="Arial" w:hAnsi="Arial"/>
          <w:sz w:val="14"/>
          <w:szCs w:val="14"/>
          <w:color w:val="auto"/>
        </w:rPr>
      </w:pPr>
      <w:r>
        <w:rPr>
          <w:rFonts w:ascii="Arial" w:cs="Arial" w:eastAsia="Arial" w:hAnsi="Arial"/>
          <w:sz w:val="14"/>
          <w:szCs w:val="14"/>
          <w:color w:val="auto"/>
        </w:rPr>
        <w:t>“System-wide sales” are retail sales at Applebee’s restaurants operated by franchisees and IHOP restaurants operated by franchisees and area licensees, as reported to the Company, in addition to retail sales at company-operated Applebee's restaurants. System-wide sales do not include retail sales of ghost kitchens. Sales at restaurants that are owned by franchisees and area licensees are not attributable to the Company. An increase in franchisees' reported sales will result in a corresponding increase in our royalty revenue, while a decrease in franchisees' reported sales will result in a corresponding decrease in our royalty revenue. Unaudited reported sales for Applebee's domestic franchise restaurants, Applebee's company-operated restaurants, IHOP franchise restaurants and IHOP area license restaurants were as follows: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4320" w:type="dxa"/>
            <w:vAlign w:val="bottom"/>
            <w:gridSpan w:val="5"/>
          </w:tcPr>
          <w:p>
            <w:pPr>
              <w:jc w:val="right"/>
              <w:ind w:right="182"/>
              <w:spacing w:after="0"/>
              <w:rPr>
                <w:sz w:val="20"/>
                <w:szCs w:val="20"/>
                <w:color w:val="auto"/>
              </w:rPr>
            </w:pPr>
            <w:r>
              <w:rPr>
                <w:rFonts w:ascii="Arial" w:cs="Arial" w:eastAsia="Arial" w:hAnsi="Arial"/>
                <w:sz w:val="14"/>
                <w:szCs w:val="14"/>
                <w:b w:val="1"/>
                <w:bCs w:val="1"/>
                <w:color w:val="auto"/>
              </w:rPr>
              <w:t>Three months ended September 30,</w:t>
            </w:r>
          </w:p>
        </w:tc>
        <w:tc>
          <w:tcPr>
            <w:tcW w:w="2240" w:type="dxa"/>
            <w:vAlign w:val="bottom"/>
            <w:gridSpan w:val="5"/>
          </w:tcPr>
          <w:p>
            <w:pPr>
              <w:jc w:val="right"/>
              <w:ind w:right="101"/>
              <w:spacing w:after="0"/>
              <w:rPr>
                <w:sz w:val="20"/>
                <w:szCs w:val="20"/>
                <w:color w:val="auto"/>
              </w:rPr>
            </w:pPr>
            <w:r>
              <w:rPr>
                <w:rFonts w:ascii="Arial" w:cs="Arial" w:eastAsia="Arial" w:hAnsi="Arial"/>
                <w:sz w:val="14"/>
                <w:szCs w:val="14"/>
                <w:b w:val="1"/>
                <w:bCs w:val="1"/>
                <w:color w:val="auto"/>
                <w:w w:val="88"/>
              </w:rPr>
              <w:t>Nine months ended September 30,</w:t>
            </w:r>
          </w:p>
        </w:tc>
      </w:tr>
      <w:tr>
        <w:trPr>
          <w:trHeight w:val="206"/>
        </w:trPr>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6"/>
                <w:szCs w:val="16"/>
                <w:b w:val="1"/>
                <w:bCs w:val="1"/>
                <w:color w:val="auto"/>
              </w:rPr>
              <w:t>2020</w:t>
            </w:r>
          </w:p>
        </w:tc>
        <w:tc>
          <w:tcPr>
            <w:tcW w:w="40" w:type="dxa"/>
            <w:vAlign w:val="bottom"/>
            <w:tcBorders>
              <w:top w:val="single" w:sz="8" w:color="auto"/>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2020</w:t>
            </w:r>
          </w:p>
        </w:tc>
      </w:tr>
      <w:tr>
        <w:trPr>
          <w:trHeight w:val="157"/>
        </w:trPr>
        <w:tc>
          <w:tcPr>
            <w:tcW w:w="4460" w:type="dxa"/>
            <w:vAlign w:val="bottom"/>
            <w:gridSpan w:val="3"/>
          </w:tcPr>
          <w:p>
            <w:pPr>
              <w:spacing w:after="0" w:line="157" w:lineRule="exact"/>
              <w:rPr>
                <w:sz w:val="20"/>
                <w:szCs w:val="20"/>
                <w:color w:val="auto"/>
              </w:rPr>
            </w:pPr>
            <w:r>
              <w:rPr>
                <w:rFonts w:ascii="Arial" w:cs="Arial" w:eastAsia="Arial" w:hAnsi="Arial"/>
                <w:sz w:val="16"/>
                <w:szCs w:val="16"/>
                <w:b w:val="1"/>
                <w:bCs w:val="1"/>
                <w:color w:val="auto"/>
              </w:rPr>
              <w:t>ported sales (in millions)</w:t>
            </w:r>
          </w:p>
        </w:tc>
        <w:tc>
          <w:tcPr>
            <w:tcW w:w="19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40" w:type="dxa"/>
            <w:vAlign w:val="bottom"/>
            <w:gridSpan w:val="5"/>
          </w:tcPr>
          <w:p>
            <w:pPr>
              <w:ind w:left="520"/>
              <w:spacing w:after="0" w:line="157" w:lineRule="exact"/>
              <w:rPr>
                <w:sz w:val="20"/>
                <w:szCs w:val="20"/>
                <w:color w:val="auto"/>
              </w:rPr>
            </w:pPr>
            <w:r>
              <w:rPr>
                <w:rFonts w:ascii="Arial" w:cs="Arial" w:eastAsia="Arial" w:hAnsi="Arial"/>
                <w:sz w:val="14"/>
                <w:szCs w:val="14"/>
                <w:b w:val="1"/>
                <w:bCs w:val="1"/>
                <w:color w:val="auto"/>
              </w:rPr>
              <w:t>(Unaudited)</w:t>
            </w:r>
          </w:p>
        </w:tc>
        <w:tc>
          <w:tcPr>
            <w:tcW w:w="920" w:type="dxa"/>
            <w:vAlign w:val="bottom"/>
          </w:tcPr>
          <w:p>
            <w:pPr>
              <w:spacing w:after="0"/>
              <w:rPr>
                <w:sz w:val="13"/>
                <w:szCs w:val="13"/>
                <w:color w:val="auto"/>
              </w:rPr>
            </w:pPr>
          </w:p>
        </w:tc>
      </w:tr>
      <w:tr>
        <w:trPr>
          <w:trHeight w:val="232"/>
        </w:trPr>
        <w:tc>
          <w:tcPr>
            <w:tcW w:w="1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28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12"/>
        </w:trPr>
        <w:tc>
          <w:tcPr>
            <w:tcW w:w="10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pplebee's domestic franchise restaurant sales</w:t>
            </w:r>
          </w:p>
        </w:tc>
        <w:tc>
          <w:tcPr>
            <w:tcW w:w="1920" w:type="dxa"/>
            <w:vAlign w:val="bottom"/>
            <w:shd w:val="clear" w:color="auto" w:fill="CCEEFF"/>
          </w:tcPr>
          <w:p>
            <w:pPr>
              <w:jc w:val="right"/>
              <w:ind w:right="143"/>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7"/>
              </w:rPr>
              <w:t>1,013$.3</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778$.2</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3,000$.8</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2,168.4</w:t>
            </w:r>
          </w:p>
        </w:tc>
      </w:tr>
      <w:tr>
        <w:trPr>
          <w:trHeight w:val="207"/>
        </w:trPr>
        <w:tc>
          <w:tcPr>
            <w:tcW w:w="4460" w:type="dxa"/>
            <w:vAlign w:val="bottom"/>
            <w:gridSpan w:val="3"/>
          </w:tcPr>
          <w:p>
            <w:pPr>
              <w:spacing w:after="0"/>
              <w:rPr>
                <w:sz w:val="20"/>
                <w:szCs w:val="20"/>
                <w:color w:val="auto"/>
              </w:rPr>
            </w:pPr>
            <w:r>
              <w:rPr>
                <w:rFonts w:ascii="Arial" w:cs="Arial" w:eastAsia="Arial" w:hAnsi="Arial"/>
                <w:sz w:val="16"/>
                <w:szCs w:val="16"/>
                <w:color w:val="auto"/>
              </w:rPr>
              <w:t>pplebee's company-operated restaurants</w:t>
            </w:r>
          </w:p>
        </w:tc>
        <w:tc>
          <w:tcPr>
            <w:tcW w:w="1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35.2</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27.4</w:t>
            </w:r>
          </w:p>
        </w:tc>
        <w:tc>
          <w:tcPr>
            <w:tcW w:w="1220" w:type="dxa"/>
            <w:vAlign w:val="bottom"/>
            <w:gridSpan w:val="3"/>
          </w:tcPr>
          <w:p>
            <w:pPr>
              <w:jc w:val="right"/>
              <w:spacing w:after="0"/>
              <w:rPr>
                <w:sz w:val="20"/>
                <w:szCs w:val="20"/>
                <w:color w:val="auto"/>
              </w:rPr>
            </w:pPr>
            <w:r>
              <w:rPr>
                <w:rFonts w:ascii="Arial" w:cs="Arial" w:eastAsia="Arial" w:hAnsi="Arial"/>
                <w:sz w:val="16"/>
                <w:szCs w:val="16"/>
                <w:color w:val="auto"/>
              </w:rPr>
              <w:t>109.4</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75.4</w:t>
            </w:r>
          </w:p>
        </w:tc>
      </w:tr>
      <w:tr>
        <w:trPr>
          <w:trHeight w:val="229"/>
        </w:trPr>
        <w:tc>
          <w:tcPr>
            <w:tcW w:w="4460" w:type="dxa"/>
            <w:vAlign w:val="bottom"/>
            <w:gridSpan w:val="3"/>
          </w:tcPr>
          <w:p>
            <w:pPr>
              <w:ind w:left="60"/>
              <w:spacing w:after="0"/>
              <w:rPr>
                <w:sz w:val="20"/>
                <w:szCs w:val="20"/>
                <w:color w:val="auto"/>
              </w:rPr>
            </w:pPr>
            <w:r>
              <w:rPr>
                <w:rFonts w:ascii="Arial" w:cs="Arial" w:eastAsia="Arial" w:hAnsi="Arial"/>
                <w:sz w:val="16"/>
                <w:szCs w:val="16"/>
                <w:color w:val="auto"/>
              </w:rPr>
              <w:t>OP franchise restaurant sales</w:t>
            </w:r>
          </w:p>
        </w:tc>
        <w:tc>
          <w:tcPr>
            <w:tcW w:w="1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740.4</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508.3</w:t>
            </w:r>
          </w:p>
        </w:tc>
        <w:tc>
          <w:tcPr>
            <w:tcW w:w="1220" w:type="dxa"/>
            <w:vAlign w:val="bottom"/>
            <w:gridSpan w:val="3"/>
          </w:tcPr>
          <w:p>
            <w:pPr>
              <w:jc w:val="right"/>
              <w:spacing w:after="0"/>
              <w:rPr>
                <w:sz w:val="20"/>
                <w:szCs w:val="20"/>
                <w:color w:val="auto"/>
              </w:rPr>
            </w:pPr>
            <w:r>
              <w:rPr>
                <w:rFonts w:ascii="Arial" w:cs="Arial" w:eastAsia="Arial" w:hAnsi="Arial"/>
                <w:sz w:val="16"/>
                <w:szCs w:val="16"/>
                <w:color w:val="auto"/>
              </w:rPr>
              <w:t>2,079.2</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1,475.2</w:t>
            </w:r>
          </w:p>
        </w:tc>
      </w:tr>
      <w:tr>
        <w:trPr>
          <w:trHeight w:val="210"/>
        </w:trPr>
        <w:tc>
          <w:tcPr>
            <w:tcW w:w="4460" w:type="dxa"/>
            <w:vAlign w:val="bottom"/>
            <w:gridSpan w:val="3"/>
          </w:tcPr>
          <w:p>
            <w:pPr>
              <w:ind w:left="60"/>
              <w:spacing w:after="0"/>
              <w:rPr>
                <w:sz w:val="20"/>
                <w:szCs w:val="20"/>
                <w:color w:val="auto"/>
              </w:rPr>
            </w:pPr>
            <w:r>
              <w:rPr>
                <w:rFonts w:ascii="Arial" w:cs="Arial" w:eastAsia="Arial" w:hAnsi="Arial"/>
                <w:sz w:val="16"/>
                <w:szCs w:val="16"/>
                <w:color w:val="auto"/>
              </w:rPr>
              <w:t>OP area license restaurant sales</w:t>
            </w:r>
          </w:p>
        </w:tc>
        <w:tc>
          <w:tcPr>
            <w:tcW w:w="1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69.8</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46.2</w:t>
            </w:r>
          </w:p>
        </w:tc>
        <w:tc>
          <w:tcPr>
            <w:tcW w:w="1220" w:type="dxa"/>
            <w:vAlign w:val="bottom"/>
            <w:gridSpan w:val="3"/>
          </w:tcPr>
          <w:p>
            <w:pPr>
              <w:jc w:val="right"/>
              <w:spacing w:after="0"/>
              <w:rPr>
                <w:sz w:val="20"/>
                <w:szCs w:val="20"/>
                <w:color w:val="auto"/>
              </w:rPr>
            </w:pPr>
            <w:r>
              <w:rPr>
                <w:rFonts w:ascii="Arial" w:cs="Arial" w:eastAsia="Arial" w:hAnsi="Arial"/>
                <w:sz w:val="16"/>
                <w:szCs w:val="16"/>
                <w:color w:val="auto"/>
              </w:rPr>
              <w:t>202.4</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136.6</w:t>
            </w:r>
          </w:p>
        </w:tc>
      </w:tr>
      <w:tr>
        <w:trPr>
          <w:trHeight w:val="228"/>
        </w:trPr>
        <w:tc>
          <w:tcPr>
            <w:tcW w:w="100" w:type="dxa"/>
            <w:vAlign w:val="bottom"/>
          </w:tcPr>
          <w:p>
            <w:pPr>
              <w:spacing w:after="0"/>
              <w:rPr>
                <w:sz w:val="19"/>
                <w:szCs w:val="19"/>
                <w:color w:val="auto"/>
              </w:rPr>
            </w:pPr>
          </w:p>
        </w:tc>
        <w:tc>
          <w:tcPr>
            <w:tcW w:w="436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1920" w:type="dxa"/>
            <w:vAlign w:val="bottom"/>
            <w:tcBorders>
              <w:top w:val="single" w:sz="8" w:color="CCEEFF"/>
            </w:tcBorders>
            <w:shd w:val="clear" w:color="auto" w:fill="CCEEFF"/>
          </w:tcPr>
          <w:p>
            <w:pPr>
              <w:jc w:val="right"/>
              <w:ind w:right="143"/>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7"/>
              </w:rPr>
              <w:t>1,858$.7</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1,360$.1</w:t>
            </w:r>
          </w:p>
        </w:tc>
        <w:tc>
          <w:tcPr>
            <w:tcW w:w="12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5,391$.8</w:t>
            </w:r>
          </w:p>
        </w:tc>
        <w:tc>
          <w:tcPr>
            <w:tcW w:w="1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3,855.6</w:t>
            </w:r>
          </w:p>
        </w:tc>
      </w:tr>
      <w:tr>
        <w:trPr>
          <w:trHeight w:val="20"/>
        </w:trPr>
        <w:tc>
          <w:tcPr>
            <w:tcW w:w="100" w:type="dxa"/>
            <w:vAlign w:val="bottom"/>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-453390</wp:posOffset>
            </wp:positionV>
            <wp:extent cx="6932930" cy="1428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32930" cy="142875"/>
                    </a:xfrm>
                    <a:prstGeom prst="rect">
                      <a:avLst/>
                    </a:prstGeom>
                    <a:noFill/>
                  </pic:spPr>
                </pic:pic>
              </a:graphicData>
            </a:graphic>
          </wp:anchor>
        </w:drawing>
      </w:r>
    </w:p>
    <w:p>
      <w:pPr>
        <w:spacing w:after="0" w:line="262" w:lineRule="exact"/>
        <w:rPr>
          <w:sz w:val="20"/>
          <w:szCs w:val="20"/>
          <w:color w:val="auto"/>
        </w:rPr>
      </w:pPr>
    </w:p>
    <w:p>
      <w:pPr>
        <w:ind w:left="420" w:right="320" w:hanging="314"/>
        <w:spacing w:after="0" w:line="251" w:lineRule="auto"/>
        <w:tabs>
          <w:tab w:leader="none" w:pos="398" w:val="left"/>
        </w:tabs>
        <w:numPr>
          <w:ilvl w:val="0"/>
          <w:numId w:val="15"/>
        </w:numPr>
        <w:rPr>
          <w:rFonts w:ascii="Arial" w:cs="Arial" w:eastAsia="Arial" w:hAnsi="Arial"/>
          <w:sz w:val="16"/>
          <w:szCs w:val="16"/>
          <w:color w:val="auto"/>
        </w:rPr>
      </w:pPr>
      <w:r>
        <w:rPr>
          <w:rFonts w:ascii="Arial" w:cs="Arial" w:eastAsia="Arial" w:hAnsi="Arial"/>
          <w:sz w:val="16"/>
          <w:szCs w:val="16"/>
          <w:color w:val="auto"/>
        </w:rPr>
        <w:t>“Sales percentage change” reflects, for each category of restaurants, the percentage change in sales in any given fiscal period compared to the prior fiscal period for all restaurants in that category.</w:t>
      </w:r>
    </w:p>
    <w:p>
      <w:pPr>
        <w:jc w:val="both"/>
        <w:ind w:left="420" w:hanging="314"/>
        <w:spacing w:after="0" w:line="297" w:lineRule="auto"/>
        <w:tabs>
          <w:tab w:leader="none" w:pos="451" w:val="left"/>
        </w:tabs>
        <w:numPr>
          <w:ilvl w:val="0"/>
          <w:numId w:val="15"/>
        </w:numPr>
        <w:rPr>
          <w:rFonts w:ascii="Arial" w:cs="Arial" w:eastAsia="Arial" w:hAnsi="Arial"/>
          <w:sz w:val="14"/>
          <w:szCs w:val="14"/>
          <w:color w:val="auto"/>
        </w:rPr>
      </w:pPr>
      <w:r>
        <w:rPr>
          <w:rFonts w:ascii="Arial" w:cs="Arial" w:eastAsia="Arial" w:hAnsi="Arial"/>
          <w:sz w:val="14"/>
          <w:szCs w:val="14"/>
          <w:color w:val="auto"/>
        </w:rPr>
        <w:t>“Domestic same-restaurant sales percentage change” reflects the percentage change in sales in any given fiscal period, compared to the same weeks in the prior fiscal period, for domestic restaurants that have been operated during both fiscal periods that are being compared and have been open for at least 18 months. Because of new restaurant openings and restaurant closures, the domestic restaurants open throughout both fiscal periods being compared may be different from period to period.</w:t>
      </w:r>
    </w:p>
    <w:p>
      <w:pPr>
        <w:spacing w:after="0" w:line="200" w:lineRule="exact"/>
        <w:rPr>
          <w:sz w:val="20"/>
          <w:szCs w:val="20"/>
          <w:color w:val="auto"/>
        </w:rPr>
      </w:pPr>
    </w:p>
    <w:p>
      <w:pPr>
        <w:spacing w:after="0" w:line="3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65405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220" w:top="121" w:right="339" w:bottom="1440" w:gutter="0" w:footer="0" w:header="0"/>
        </w:sectPr>
      </w:pPr>
    </w:p>
    <w:bookmarkStart w:id="36" w:name="page37"/>
    <w:bookmarkEnd w:id="36"/>
    <w:p>
      <w:pPr>
        <w:ind w:left="10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gridSpan w:val="4"/>
          </w:tcPr>
          <w:p>
            <w:pPr>
              <w:spacing w:after="0"/>
              <w:rPr>
                <w:sz w:val="20"/>
                <w:szCs w:val="20"/>
                <w:color w:val="auto"/>
              </w:rPr>
            </w:pPr>
            <w:r>
              <w:rPr>
                <w:rFonts w:ascii="Arial" w:cs="Arial" w:eastAsia="Arial" w:hAnsi="Arial"/>
                <w:sz w:val="18"/>
                <w:szCs w:val="18"/>
                <w:b w:val="1"/>
                <w:bCs w:val="1"/>
                <w:color w:val="auto"/>
              </w:rPr>
              <w:t>estaurant Development Activity</w:t>
            </w:r>
          </w:p>
        </w:tc>
        <w:tc>
          <w:tcPr>
            <w:tcW w:w="3460" w:type="dxa"/>
            <w:vAlign w:val="bottom"/>
            <w:gridSpan w:val="7"/>
          </w:tcPr>
          <w:p>
            <w:pPr>
              <w:jc w:val="right"/>
              <w:ind w:right="213"/>
              <w:spacing w:after="0"/>
              <w:rPr>
                <w:sz w:val="20"/>
                <w:szCs w:val="20"/>
                <w:color w:val="auto"/>
              </w:rPr>
            </w:pPr>
            <w:r>
              <w:rPr>
                <w:rFonts w:ascii="Arial" w:cs="Arial" w:eastAsia="Arial" w:hAnsi="Arial"/>
                <w:sz w:val="16"/>
                <w:szCs w:val="16"/>
                <w:b w:val="1"/>
                <w:bCs w:val="1"/>
                <w:color w:val="auto"/>
              </w:rPr>
              <w:t>Three months ended September 30,</w:t>
            </w:r>
          </w:p>
        </w:tc>
        <w:tc>
          <w:tcPr>
            <w:tcW w:w="2520" w:type="dxa"/>
            <w:vAlign w:val="bottom"/>
            <w:gridSpan w:val="8"/>
          </w:tcPr>
          <w:p>
            <w:pPr>
              <w:jc w:val="right"/>
              <w:ind w:right="112"/>
              <w:spacing w:after="0"/>
              <w:rPr>
                <w:sz w:val="20"/>
                <w:szCs w:val="20"/>
                <w:color w:val="auto"/>
              </w:rPr>
            </w:pPr>
            <w:r>
              <w:rPr>
                <w:rFonts w:ascii="Arial" w:cs="Arial" w:eastAsia="Arial" w:hAnsi="Arial"/>
                <w:sz w:val="16"/>
                <w:szCs w:val="16"/>
                <w:b w:val="1"/>
                <w:bCs w:val="1"/>
                <w:color w:val="auto"/>
                <w:w w:val="87"/>
              </w:rPr>
              <w:t>Nine months ended September 30,</w:t>
            </w:r>
          </w:p>
        </w:tc>
        <w:tc>
          <w:tcPr>
            <w:tcW w:w="0" w:type="dxa"/>
            <w:vAlign w:val="bottom"/>
          </w:tcPr>
          <w:p>
            <w:pPr>
              <w:spacing w:after="0"/>
              <w:rPr>
                <w:sz w:val="1"/>
                <w:szCs w:val="1"/>
                <w:color w:val="auto"/>
              </w:rPr>
            </w:pPr>
          </w:p>
        </w:tc>
      </w:tr>
      <w:tr>
        <w:trPr>
          <w:trHeight w:val="204"/>
        </w:trPr>
        <w:tc>
          <w:tcPr>
            <w:tcW w:w="5040" w:type="dxa"/>
            <w:vAlign w:val="bottom"/>
            <w:gridSpan w:val="4"/>
            <w:vMerge w:val="restart"/>
          </w:tcPr>
          <w:p>
            <w:pPr>
              <w:ind w:left="40"/>
              <w:spacing w:after="0"/>
              <w:rPr>
                <w:sz w:val="20"/>
                <w:szCs w:val="20"/>
                <w:color w:val="auto"/>
              </w:rPr>
            </w:pPr>
            <w:r>
              <w:rPr>
                <w:rFonts w:ascii="Arial" w:cs="Arial" w:eastAsia="Arial" w:hAnsi="Arial"/>
                <w:sz w:val="18"/>
                <w:szCs w:val="18"/>
                <w:b w:val="1"/>
                <w:bCs w:val="1"/>
                <w:color w:val="auto"/>
              </w:rPr>
              <w:t>plebee's</w:t>
            </w:r>
          </w:p>
        </w:tc>
        <w:tc>
          <w:tcPr>
            <w:tcW w:w="760" w:type="dxa"/>
            <w:vAlign w:val="bottom"/>
          </w:tcPr>
          <w:p>
            <w:pPr>
              <w:spacing w:after="0"/>
              <w:rPr>
                <w:sz w:val="17"/>
                <w:szCs w:val="17"/>
                <w:color w:val="auto"/>
              </w:rPr>
            </w:pPr>
          </w:p>
        </w:tc>
        <w:tc>
          <w:tcPr>
            <w:tcW w:w="1320" w:type="dxa"/>
            <w:vAlign w:val="bottom"/>
            <w:tcBorders>
              <w:top w:val="single" w:sz="8" w:color="auto"/>
              <w:bottom w:val="single" w:sz="8" w:color="auto"/>
            </w:tcBorders>
            <w:gridSpan w:val="2"/>
          </w:tcPr>
          <w:p>
            <w:pPr>
              <w:jc w:val="right"/>
              <w:ind w:right="572"/>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gridSpan w:val="2"/>
          </w:tcPr>
          <w:p>
            <w:pPr>
              <w:jc w:val="right"/>
              <w:ind w:right="533"/>
              <w:spacing w:after="0"/>
              <w:rPr>
                <w:sz w:val="20"/>
                <w:szCs w:val="20"/>
                <w:color w:val="auto"/>
              </w:rPr>
            </w:pPr>
            <w:r>
              <w:rPr>
                <w:rFonts w:ascii="Arial" w:cs="Arial" w:eastAsia="Arial" w:hAnsi="Arial"/>
                <w:sz w:val="16"/>
                <w:szCs w:val="16"/>
                <w:b w:val="1"/>
                <w:bCs w:val="1"/>
                <w:color w:val="auto"/>
              </w:rPr>
              <w:t>2020</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gridSpan w:val="2"/>
          </w:tcPr>
          <w:p>
            <w:pPr>
              <w:jc w:val="right"/>
              <w:ind w:right="492"/>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gridSpan w:val="2"/>
          </w:tcPr>
          <w:p>
            <w:pPr>
              <w:jc w:val="right"/>
              <w:ind w:right="49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68"/>
        </w:trPr>
        <w:tc>
          <w:tcPr>
            <w:tcW w:w="5040" w:type="dxa"/>
            <w:vAlign w:val="bottom"/>
            <w:gridSpan w:val="4"/>
            <w:vMerge w:val="continue"/>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0" w:type="dxa"/>
            <w:vAlign w:val="bottom"/>
            <w:gridSpan w:val="7"/>
          </w:tcPr>
          <w:p>
            <w:pPr>
              <w:ind w:left="620"/>
              <w:spacing w:after="0"/>
              <w:rPr>
                <w:sz w:val="20"/>
                <w:szCs w:val="20"/>
                <w:color w:val="auto"/>
              </w:rPr>
            </w:pPr>
            <w:r>
              <w:rPr>
                <w:rFonts w:ascii="Arial" w:cs="Arial" w:eastAsia="Arial" w:hAnsi="Arial"/>
                <w:sz w:val="14"/>
                <w:szCs w:val="14"/>
                <w:b w:val="1"/>
                <w:bCs w:val="1"/>
                <w:color w:val="auto"/>
              </w:rPr>
              <w:t>(Unaudited)</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040" w:type="dxa"/>
            <w:vAlign w:val="bottom"/>
            <w:gridSpan w:val="4"/>
          </w:tcPr>
          <w:p>
            <w:pPr>
              <w:spacing w:after="0"/>
              <w:rPr>
                <w:sz w:val="20"/>
                <w:szCs w:val="20"/>
                <w:color w:val="auto"/>
              </w:rPr>
            </w:pPr>
            <w:r>
              <w:rPr>
                <w:rFonts w:ascii="Arial" w:cs="Arial" w:eastAsia="Arial" w:hAnsi="Arial"/>
                <w:sz w:val="18"/>
                <w:szCs w:val="18"/>
                <w:b w:val="1"/>
                <w:bCs w:val="1"/>
                <w:color w:val="auto"/>
              </w:rPr>
              <w:t>mmary - beginning of period:</w:t>
            </w: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Franchise</w:t>
            </w:r>
          </w:p>
        </w:tc>
        <w:tc>
          <w:tcPr>
            <w:tcW w:w="2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0" w:type="dxa"/>
            <w:vAlign w:val="bottom"/>
          </w:tcPr>
          <w:p>
            <w:pPr>
              <w:spacing w:after="0"/>
              <w:rPr>
                <w:sz w:val="1"/>
                <w:szCs w:val="1"/>
                <w:color w:val="auto"/>
              </w:rPr>
            </w:pPr>
          </w:p>
        </w:tc>
      </w:tr>
      <w:tr>
        <w:trPr>
          <w:trHeight w:val="225"/>
        </w:trPr>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780" w:type="dxa"/>
            <w:vAlign w:val="bottom"/>
            <w:gridSpan w:val="2"/>
          </w:tcPr>
          <w:p>
            <w:pPr>
              <w:ind w:left="100"/>
              <w:spacing w:after="0"/>
              <w:rPr>
                <w:sz w:val="20"/>
                <w:szCs w:val="20"/>
                <w:color w:val="auto"/>
              </w:rPr>
            </w:pPr>
            <w:r>
              <w:rPr>
                <w:rFonts w:ascii="Arial" w:cs="Arial" w:eastAsia="Arial" w:hAnsi="Arial"/>
                <w:sz w:val="18"/>
                <w:szCs w:val="18"/>
                <w:color w:val="auto"/>
              </w:rPr>
              <w:t>Company</w:t>
            </w:r>
          </w:p>
        </w:tc>
        <w:tc>
          <w:tcPr>
            <w:tcW w:w="2080" w:type="dxa"/>
            <w:vAlign w:val="bottom"/>
            <w:gridSpan w:val="3"/>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49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ginning of period</w:t>
            </w:r>
          </w:p>
        </w:tc>
        <w:tc>
          <w:tcPr>
            <w:tcW w:w="76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1,696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1,749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1,709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1,787</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4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040" w:type="dxa"/>
            <w:vAlign w:val="bottom"/>
            <w:gridSpan w:val="4"/>
            <w:vMerge w:val="restart"/>
          </w:tcPr>
          <w:p>
            <w:pPr>
              <w:spacing w:after="0"/>
              <w:rPr>
                <w:sz w:val="20"/>
                <w:szCs w:val="20"/>
                <w:color w:val="auto"/>
              </w:rPr>
            </w:pPr>
            <w:r>
              <w:rPr>
                <w:rFonts w:ascii="Arial" w:cs="Arial" w:eastAsia="Arial" w:hAnsi="Arial"/>
                <w:sz w:val="18"/>
                <w:szCs w:val="18"/>
                <w:color w:val="auto"/>
              </w:rPr>
              <w:t>anchise restaurants opened:</w:t>
            </w:r>
          </w:p>
        </w:tc>
        <w:tc>
          <w:tcPr>
            <w:tcW w:w="7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40" w:type="dxa"/>
            <w:vAlign w:val="bottom"/>
            <w:gridSpan w:val="4"/>
            <w:vMerge w:val="continue"/>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00" w:type="dxa"/>
            <w:vAlign w:val="bottom"/>
          </w:tcPr>
          <w:p>
            <w:pPr>
              <w:spacing w:after="0"/>
              <w:rPr>
                <w:sz w:val="19"/>
                <w:szCs w:val="19"/>
                <w:color w:val="auto"/>
              </w:rPr>
            </w:pPr>
          </w:p>
        </w:tc>
        <w:tc>
          <w:tcPr>
            <w:tcW w:w="4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Domestic</w:t>
            </w:r>
          </w:p>
        </w:tc>
        <w:tc>
          <w:tcPr>
            <w:tcW w:w="2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5"/>
        </w:trPr>
        <w:tc>
          <w:tcPr>
            <w:tcW w:w="5040" w:type="dxa"/>
            <w:vAlign w:val="bottom"/>
            <w:gridSpan w:val="4"/>
          </w:tcPr>
          <w:p>
            <w:pPr>
              <w:spacing w:after="0"/>
              <w:rPr>
                <w:sz w:val="20"/>
                <w:szCs w:val="20"/>
                <w:color w:val="auto"/>
              </w:rPr>
            </w:pPr>
            <w:r>
              <w:rPr>
                <w:rFonts w:ascii="Arial" w:cs="Arial" w:eastAsia="Arial" w:hAnsi="Arial"/>
                <w:sz w:val="18"/>
                <w:szCs w:val="18"/>
                <w:color w:val="auto"/>
              </w:rPr>
              <w:t>International</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494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franchise restaurants opened</w:t>
            </w:r>
          </w:p>
        </w:tc>
        <w:tc>
          <w:tcPr>
            <w:tcW w:w="76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tcBorders>
            <w:gridSpan w:val="2"/>
            <w:shd w:val="clear" w:color="auto" w:fill="CCEEFF"/>
          </w:tcPr>
          <w:p>
            <w:pPr>
              <w:spacing w:after="0"/>
              <w:rPr>
                <w:sz w:val="19"/>
                <w:szCs w:val="19"/>
                <w:color w:val="auto"/>
              </w:rPr>
            </w:pP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8"/>
        </w:trPr>
        <w:tc>
          <w:tcPr>
            <w:tcW w:w="5040" w:type="dxa"/>
            <w:vAlign w:val="bottom"/>
            <w:gridSpan w:val="4"/>
          </w:tcPr>
          <w:p>
            <w:pPr>
              <w:spacing w:after="0"/>
              <w:rPr>
                <w:sz w:val="20"/>
                <w:szCs w:val="20"/>
                <w:color w:val="auto"/>
              </w:rPr>
            </w:pPr>
            <w:r>
              <w:rPr>
                <w:rFonts w:ascii="Arial" w:cs="Arial" w:eastAsia="Arial" w:hAnsi="Arial"/>
                <w:sz w:val="18"/>
                <w:szCs w:val="18"/>
                <w:color w:val="auto"/>
              </w:rPr>
              <w:t>anchise restaurants permanently closed:</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00" w:type="dxa"/>
            <w:vAlign w:val="bottom"/>
          </w:tcPr>
          <w:p>
            <w:pPr>
              <w:spacing w:after="0"/>
              <w:rPr>
                <w:sz w:val="19"/>
                <w:szCs w:val="19"/>
                <w:color w:val="auto"/>
              </w:rPr>
            </w:pPr>
          </w:p>
        </w:tc>
        <w:tc>
          <w:tcPr>
            <w:tcW w:w="4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Domestic</w:t>
            </w:r>
          </w:p>
        </w:tc>
        <w:tc>
          <w:tcPr>
            <w:tcW w:w="2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5"/>
        </w:trPr>
        <w:tc>
          <w:tcPr>
            <w:tcW w:w="5040" w:type="dxa"/>
            <w:vAlign w:val="bottom"/>
            <w:gridSpan w:val="4"/>
          </w:tcPr>
          <w:p>
            <w:pPr>
              <w:spacing w:after="0"/>
              <w:rPr>
                <w:sz w:val="20"/>
                <w:szCs w:val="20"/>
                <w:color w:val="auto"/>
              </w:rPr>
            </w:pPr>
            <w:r>
              <w:rPr>
                <w:rFonts w:ascii="Arial" w:cs="Arial" w:eastAsia="Arial" w:hAnsi="Arial"/>
                <w:sz w:val="18"/>
                <w:szCs w:val="18"/>
                <w:color w:val="auto"/>
              </w:rPr>
              <w:t>International</w:t>
            </w:r>
          </w:p>
        </w:tc>
        <w:tc>
          <w:tcPr>
            <w:tcW w:w="208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494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franchise restaurants permanently closed</w:t>
            </w:r>
          </w:p>
        </w:tc>
        <w:tc>
          <w:tcPr>
            <w:tcW w:w="76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top w:val="single" w:sz="8" w:color="CCEEFF"/>
            </w:tcBorders>
            <w:gridSpan w:val="2"/>
            <w:shd w:val="clear" w:color="auto" w:fill="CCEEFF"/>
          </w:tcPr>
          <w:p>
            <w:pPr>
              <w:spacing w:after="0"/>
              <w:rPr>
                <w:sz w:val="19"/>
                <w:szCs w:val="19"/>
                <w:color w:val="auto"/>
              </w:rPr>
            </w:pP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2"/>
        </w:trPr>
        <w:tc>
          <w:tcPr>
            <w:tcW w:w="5040" w:type="dxa"/>
            <w:vAlign w:val="bottom"/>
            <w:gridSpan w:val="4"/>
          </w:tcPr>
          <w:p>
            <w:pPr>
              <w:ind w:left="20"/>
              <w:spacing w:after="0" w:line="192" w:lineRule="exact"/>
              <w:rPr>
                <w:sz w:val="20"/>
                <w:szCs w:val="20"/>
                <w:color w:val="auto"/>
              </w:rPr>
            </w:pPr>
            <w:r>
              <w:rPr>
                <w:rFonts w:ascii="Arial" w:cs="Arial" w:eastAsia="Arial" w:hAnsi="Arial"/>
                <w:sz w:val="18"/>
                <w:szCs w:val="18"/>
                <w:b w:val="1"/>
                <w:bCs w:val="1"/>
                <w:color w:val="auto"/>
              </w:rPr>
              <w:t>t franchise restaurant reduction</w:t>
            </w:r>
          </w:p>
        </w:tc>
        <w:tc>
          <w:tcPr>
            <w:tcW w:w="760" w:type="dxa"/>
            <w:vAlign w:val="bottom"/>
          </w:tcPr>
          <w:p>
            <w:pPr>
              <w:spacing w:after="0"/>
              <w:rPr>
                <w:sz w:val="16"/>
                <w:szCs w:val="16"/>
                <w:color w:val="auto"/>
              </w:rPr>
            </w:pPr>
          </w:p>
        </w:tc>
        <w:tc>
          <w:tcPr>
            <w:tcW w:w="1320" w:type="dxa"/>
            <w:vAlign w:val="bottom"/>
            <w:tcBorders>
              <w:bottom w:val="single" w:sz="8" w:color="auto"/>
            </w:tcBorders>
            <w:gridSpan w:val="2"/>
          </w:tcPr>
          <w:p>
            <w:pPr>
              <w:jc w:val="right"/>
              <w:spacing w:after="0" w:line="192" w:lineRule="exact"/>
              <w:rPr>
                <w:sz w:val="20"/>
                <w:szCs w:val="20"/>
                <w:color w:val="auto"/>
              </w:rPr>
            </w:pPr>
            <w:r>
              <w:rPr>
                <w:rFonts w:ascii="Arial" w:cs="Arial" w:eastAsia="Arial" w:hAnsi="Arial"/>
                <w:sz w:val="18"/>
                <w:szCs w:val="18"/>
                <w:b w:val="1"/>
                <w:bCs w:val="1"/>
                <w:color w:val="auto"/>
              </w:rPr>
              <w:t>(7)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bottom w:val="single" w:sz="8" w:color="auto"/>
            </w:tcBorders>
            <w:gridSpan w:val="2"/>
          </w:tcPr>
          <w:p>
            <w:pPr>
              <w:jc w:val="right"/>
              <w:spacing w:after="0" w:line="192" w:lineRule="exact"/>
              <w:rPr>
                <w:sz w:val="20"/>
                <w:szCs w:val="20"/>
                <w:color w:val="auto"/>
              </w:rPr>
            </w:pPr>
            <w:r>
              <w:rPr>
                <w:rFonts w:ascii="Arial" w:cs="Arial" w:eastAsia="Arial" w:hAnsi="Arial"/>
                <w:sz w:val="18"/>
                <w:szCs w:val="18"/>
                <w:b w:val="1"/>
                <w:bCs w:val="1"/>
                <w:color w:val="auto"/>
              </w:rPr>
              <w:t>(21)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gridSpan w:val="2"/>
          </w:tcPr>
          <w:p>
            <w:pPr>
              <w:jc w:val="right"/>
              <w:spacing w:after="0" w:line="192" w:lineRule="exact"/>
              <w:rPr>
                <w:sz w:val="20"/>
                <w:szCs w:val="20"/>
                <w:color w:val="auto"/>
              </w:rPr>
            </w:pPr>
            <w:r>
              <w:rPr>
                <w:rFonts w:ascii="Arial" w:cs="Arial" w:eastAsia="Arial" w:hAnsi="Arial"/>
                <w:sz w:val="18"/>
                <w:szCs w:val="18"/>
                <w:b w:val="1"/>
                <w:bCs w:val="1"/>
                <w:color w:val="auto"/>
              </w:rPr>
              <w:t>(20)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tcBorders>
              <w:bottom w:val="single" w:sz="8" w:color="auto"/>
            </w:tcBorders>
            <w:gridSpan w:val="2"/>
          </w:tcPr>
          <w:p>
            <w:pPr>
              <w:jc w:val="right"/>
              <w:spacing w:after="0" w:line="192" w:lineRule="exact"/>
              <w:rPr>
                <w:sz w:val="20"/>
                <w:szCs w:val="20"/>
                <w:color w:val="auto"/>
              </w:rPr>
            </w:pPr>
            <w:r>
              <w:rPr>
                <w:rFonts w:ascii="Arial" w:cs="Arial" w:eastAsia="Arial" w:hAnsi="Arial"/>
                <w:sz w:val="18"/>
                <w:szCs w:val="18"/>
                <w:b w:val="1"/>
                <w:bCs w:val="1"/>
                <w:color w:val="auto"/>
              </w:rPr>
              <w:t>(59)</w:t>
            </w:r>
          </w:p>
        </w:tc>
        <w:tc>
          <w:tcPr>
            <w:tcW w:w="0" w:type="dxa"/>
            <w:vAlign w:val="bottom"/>
          </w:tcPr>
          <w:p>
            <w:pPr>
              <w:spacing w:after="0"/>
              <w:rPr>
                <w:sz w:val="1"/>
                <w:szCs w:val="1"/>
                <w:color w:val="auto"/>
              </w:rPr>
            </w:pPr>
          </w:p>
        </w:tc>
      </w:tr>
      <w:tr>
        <w:trPr>
          <w:trHeight w:val="84"/>
        </w:trPr>
        <w:tc>
          <w:tcPr>
            <w:tcW w:w="100" w:type="dxa"/>
            <w:vAlign w:val="bottom"/>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360" w:type="dxa"/>
            <w:vAlign w:val="bottom"/>
            <w:tcBorders>
              <w:bottom w:val="single" w:sz="8" w:color="CCEEFF"/>
            </w:tcBorders>
          </w:tcPr>
          <w:p>
            <w:pPr>
              <w:spacing w:after="0"/>
              <w:rPr>
                <w:sz w:val="6"/>
                <w:szCs w:val="6"/>
                <w:color w:val="auto"/>
              </w:rPr>
            </w:pPr>
          </w:p>
        </w:tc>
        <w:tc>
          <w:tcPr>
            <w:tcW w:w="4420" w:type="dxa"/>
            <w:vAlign w:val="bottom"/>
            <w:tcBorders>
              <w:bottom w:val="single" w:sz="8" w:color="CCEEFF"/>
            </w:tcBorders>
          </w:tcPr>
          <w:p>
            <w:pPr>
              <w:spacing w:after="0"/>
              <w:rPr>
                <w:sz w:val="6"/>
                <w:szCs w:val="6"/>
                <w:color w:val="auto"/>
              </w:rPr>
            </w:pPr>
          </w:p>
        </w:tc>
        <w:tc>
          <w:tcPr>
            <w:tcW w:w="76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100" w:type="dxa"/>
            <w:vAlign w:val="bottom"/>
          </w:tcPr>
          <w:p>
            <w:pPr>
              <w:spacing w:after="0"/>
              <w:rPr>
                <w:sz w:val="19"/>
                <w:szCs w:val="19"/>
                <w:color w:val="auto"/>
              </w:rPr>
            </w:pPr>
          </w:p>
        </w:tc>
        <w:tc>
          <w:tcPr>
            <w:tcW w:w="4940" w:type="dxa"/>
            <w:vAlign w:val="bottom"/>
            <w:tcBorders>
              <w:top w:val="single" w:sz="8" w:color="CCEEFF"/>
            </w:tcBorders>
            <w:gridSpan w:val="3"/>
          </w:tcPr>
          <w:p>
            <w:pPr>
              <w:spacing w:after="0"/>
              <w:rPr>
                <w:sz w:val="20"/>
                <w:szCs w:val="20"/>
                <w:color w:val="auto"/>
              </w:rPr>
            </w:pPr>
            <w:r>
              <w:rPr>
                <w:rFonts w:ascii="Arial" w:cs="Arial" w:eastAsia="Arial" w:hAnsi="Arial"/>
                <w:sz w:val="18"/>
                <w:szCs w:val="18"/>
                <w:b w:val="1"/>
                <w:bCs w:val="1"/>
                <w:color w:val="auto"/>
              </w:rPr>
              <w:t>mmary - end of period:</w:t>
            </w:r>
          </w:p>
        </w:tc>
        <w:tc>
          <w:tcPr>
            <w:tcW w:w="7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3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1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Franchise</w:t>
            </w:r>
          </w:p>
        </w:tc>
        <w:tc>
          <w:tcPr>
            <w:tcW w:w="2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1,620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1,659</w:t>
            </w: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1,620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1,659</w:t>
            </w:r>
          </w:p>
        </w:tc>
        <w:tc>
          <w:tcPr>
            <w:tcW w:w="0" w:type="dxa"/>
            <w:vAlign w:val="bottom"/>
          </w:tcPr>
          <w:p>
            <w:pPr>
              <w:spacing w:after="0"/>
              <w:rPr>
                <w:sz w:val="1"/>
                <w:szCs w:val="1"/>
                <w:color w:val="auto"/>
              </w:rPr>
            </w:pPr>
          </w:p>
        </w:tc>
      </w:tr>
      <w:tr>
        <w:trPr>
          <w:trHeight w:val="225"/>
        </w:trPr>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780" w:type="dxa"/>
            <w:vAlign w:val="bottom"/>
            <w:gridSpan w:val="2"/>
          </w:tcPr>
          <w:p>
            <w:pPr>
              <w:ind w:left="100"/>
              <w:spacing w:after="0"/>
              <w:rPr>
                <w:sz w:val="20"/>
                <w:szCs w:val="20"/>
                <w:color w:val="auto"/>
              </w:rPr>
            </w:pPr>
            <w:r>
              <w:rPr>
                <w:rFonts w:ascii="Arial" w:cs="Arial" w:eastAsia="Arial" w:hAnsi="Arial"/>
                <w:sz w:val="18"/>
                <w:szCs w:val="18"/>
                <w:color w:val="auto"/>
              </w:rPr>
              <w:t>Company</w:t>
            </w:r>
          </w:p>
        </w:tc>
        <w:tc>
          <w:tcPr>
            <w:tcW w:w="2080" w:type="dxa"/>
            <w:vAlign w:val="bottom"/>
            <w:gridSpan w:val="3"/>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52"/>
        </w:trPr>
        <w:tc>
          <w:tcPr>
            <w:tcW w:w="5040" w:type="dxa"/>
            <w:vAlign w:val="bottom"/>
            <w:gridSpan w:val="4"/>
          </w:tcPr>
          <w:p>
            <w:pPr>
              <w:spacing w:after="0"/>
              <w:rPr>
                <w:sz w:val="20"/>
                <w:szCs w:val="20"/>
                <w:color w:val="auto"/>
              </w:rPr>
            </w:pPr>
            <w:r>
              <w:rPr>
                <w:rFonts w:ascii="Arial" w:cs="Arial" w:eastAsia="Arial" w:hAnsi="Arial"/>
                <w:sz w:val="18"/>
                <w:szCs w:val="18"/>
                <w:b w:val="1"/>
                <w:bCs w:val="1"/>
                <w:color w:val="auto"/>
              </w:rPr>
              <w:t>tal Applebee's restaurants, end of period</w:t>
            </w:r>
          </w:p>
        </w:tc>
        <w:tc>
          <w:tcPr>
            <w:tcW w:w="760" w:type="dxa"/>
            <w:vAlign w:val="bottom"/>
          </w:tcPr>
          <w:p>
            <w:pPr>
              <w:spacing w:after="0"/>
              <w:rPr>
                <w:sz w:val="21"/>
                <w:szCs w:val="21"/>
                <w:color w:val="auto"/>
              </w:rPr>
            </w:pPr>
          </w:p>
        </w:tc>
        <w:tc>
          <w:tcPr>
            <w:tcW w:w="13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1,689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1,728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1,689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1,728</w:t>
            </w: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gridSpan w:val="2"/>
          </w:tcPr>
          <w:p>
            <w:pPr>
              <w:ind w:left="180"/>
              <w:spacing w:after="0"/>
              <w:rPr>
                <w:sz w:val="20"/>
                <w:szCs w:val="20"/>
                <w:color w:val="auto"/>
              </w:rPr>
            </w:pPr>
            <w:r>
              <w:rPr>
                <w:rFonts w:ascii="Arial" w:cs="Arial" w:eastAsia="Arial" w:hAnsi="Arial"/>
                <w:sz w:val="16"/>
                <w:szCs w:val="16"/>
                <w:color w:val="auto"/>
              </w:rPr>
              <w:t>Domestic</w:t>
            </w:r>
          </w:p>
        </w:tc>
        <w:tc>
          <w:tcPr>
            <w:tcW w:w="2080" w:type="dxa"/>
            <w:vAlign w:val="bottom"/>
            <w:gridSpan w:val="3"/>
          </w:tcPr>
          <w:p>
            <w:pPr>
              <w:jc w:val="right"/>
              <w:spacing w:after="0"/>
              <w:rPr>
                <w:sz w:val="20"/>
                <w:szCs w:val="20"/>
                <w:color w:val="auto"/>
              </w:rPr>
            </w:pPr>
            <w:r>
              <w:rPr>
                <w:rFonts w:ascii="Arial" w:cs="Arial" w:eastAsia="Arial" w:hAnsi="Arial"/>
                <w:sz w:val="16"/>
                <w:szCs w:val="16"/>
                <w:color w:val="auto"/>
              </w:rPr>
              <w:t>1,587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1,614</w:t>
            </w:r>
          </w:p>
        </w:tc>
        <w:tc>
          <w:tcPr>
            <w:tcW w:w="1260" w:type="dxa"/>
            <w:vAlign w:val="bottom"/>
            <w:gridSpan w:val="4"/>
          </w:tcPr>
          <w:p>
            <w:pPr>
              <w:jc w:val="right"/>
              <w:spacing w:after="0"/>
              <w:rPr>
                <w:sz w:val="20"/>
                <w:szCs w:val="20"/>
                <w:color w:val="auto"/>
              </w:rPr>
            </w:pPr>
            <w:r>
              <w:rPr>
                <w:rFonts w:ascii="Arial" w:cs="Arial" w:eastAsia="Arial" w:hAnsi="Arial"/>
                <w:sz w:val="16"/>
                <w:szCs w:val="16"/>
                <w:color w:val="auto"/>
              </w:rPr>
              <w:t>1,587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1,614</w:t>
            </w: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International</w:t>
            </w:r>
          </w:p>
        </w:tc>
        <w:tc>
          <w:tcPr>
            <w:tcW w:w="20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305"/>
        </w:trPr>
        <w:tc>
          <w:tcPr>
            <w:tcW w:w="2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4"/>
              </w:rPr>
              <w:t>OP</w:t>
            </w:r>
          </w:p>
        </w:tc>
        <w:tc>
          <w:tcPr>
            <w:tcW w:w="4780" w:type="dxa"/>
            <w:vAlign w:val="bottom"/>
            <w:gridSpan w:val="2"/>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040" w:type="dxa"/>
            <w:vAlign w:val="bottom"/>
            <w:gridSpan w:val="4"/>
          </w:tcPr>
          <w:p>
            <w:pPr>
              <w:spacing w:after="0"/>
              <w:rPr>
                <w:sz w:val="20"/>
                <w:szCs w:val="20"/>
                <w:color w:val="auto"/>
              </w:rPr>
            </w:pPr>
            <w:r>
              <w:rPr>
                <w:rFonts w:ascii="Arial" w:cs="Arial" w:eastAsia="Arial" w:hAnsi="Arial"/>
                <w:sz w:val="18"/>
                <w:szCs w:val="18"/>
                <w:b w:val="1"/>
                <w:bCs w:val="1"/>
                <w:color w:val="auto"/>
              </w:rPr>
              <w:t>mmary - beginning of period:</w:t>
            </w: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Franchise</w:t>
            </w:r>
          </w:p>
        </w:tc>
        <w:tc>
          <w:tcPr>
            <w:tcW w:w="2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134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1,611</w:t>
            </w:r>
          </w:p>
        </w:tc>
        <w:tc>
          <w:tcPr>
            <w:tcW w:w="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0" w:type="dxa"/>
            <w:vAlign w:val="bottom"/>
          </w:tcPr>
          <w:p>
            <w:pPr>
              <w:spacing w:after="0"/>
              <w:rPr>
                <w:sz w:val="1"/>
                <w:szCs w:val="1"/>
                <w:color w:val="auto"/>
              </w:rPr>
            </w:pPr>
          </w:p>
        </w:tc>
      </w:tr>
      <w:tr>
        <w:trPr>
          <w:trHeight w:val="225"/>
        </w:trPr>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780" w:type="dxa"/>
            <w:vAlign w:val="bottom"/>
            <w:gridSpan w:val="2"/>
          </w:tcPr>
          <w:p>
            <w:pPr>
              <w:ind w:left="180"/>
              <w:spacing w:after="0"/>
              <w:rPr>
                <w:sz w:val="20"/>
                <w:szCs w:val="20"/>
                <w:color w:val="auto"/>
              </w:rPr>
            </w:pPr>
            <w:r>
              <w:rPr>
                <w:rFonts w:ascii="Arial" w:cs="Arial" w:eastAsia="Arial" w:hAnsi="Arial"/>
                <w:sz w:val="18"/>
                <w:szCs w:val="18"/>
                <w:color w:val="auto"/>
              </w:rPr>
              <w:t>Area license</w:t>
            </w:r>
          </w:p>
        </w:tc>
        <w:tc>
          <w:tcPr>
            <w:tcW w:w="2080" w:type="dxa"/>
            <w:vAlign w:val="bottom"/>
            <w:gridSpan w:val="3"/>
          </w:tcPr>
          <w:p>
            <w:pPr>
              <w:jc w:val="right"/>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157</w:t>
            </w:r>
          </w:p>
        </w:tc>
        <w:tc>
          <w:tcPr>
            <w:tcW w:w="1340" w:type="dxa"/>
            <w:vAlign w:val="bottom"/>
            <w:gridSpan w:val="5"/>
          </w:tcPr>
          <w:p>
            <w:pPr>
              <w:jc w:val="right"/>
              <w:ind w:right="80"/>
              <w:spacing w:after="0"/>
              <w:rPr>
                <w:sz w:val="20"/>
                <w:szCs w:val="20"/>
                <w:color w:val="auto"/>
              </w:rPr>
            </w:pPr>
            <w:r>
              <w:rPr>
                <w:rFonts w:ascii="Arial" w:cs="Arial" w:eastAsia="Arial" w:hAnsi="Arial"/>
                <w:sz w:val="18"/>
                <w:szCs w:val="18"/>
                <w:color w:val="auto"/>
              </w:rPr>
              <w:t>158</w:t>
            </w:r>
          </w:p>
        </w:tc>
        <w:tc>
          <w:tcPr>
            <w:tcW w:w="2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26"/>
        </w:trPr>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Company</w:t>
            </w:r>
          </w:p>
        </w:tc>
        <w:tc>
          <w:tcPr>
            <w:tcW w:w="2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5040" w:type="dxa"/>
            <w:vAlign w:val="bottom"/>
            <w:gridSpan w:val="4"/>
          </w:tcPr>
          <w:p>
            <w:pPr>
              <w:spacing w:after="0"/>
              <w:rPr>
                <w:sz w:val="20"/>
                <w:szCs w:val="20"/>
                <w:color w:val="auto"/>
              </w:rPr>
            </w:pPr>
            <w:r>
              <w:rPr>
                <w:rFonts w:ascii="Arial" w:cs="Arial" w:eastAsia="Arial" w:hAnsi="Arial"/>
                <w:sz w:val="18"/>
                <w:szCs w:val="18"/>
                <w:b w:val="1"/>
                <w:bCs w:val="1"/>
                <w:color w:val="auto"/>
              </w:rPr>
              <w:t>tal IHOP restaurants, beginning of period</w:t>
            </w:r>
          </w:p>
        </w:tc>
        <w:tc>
          <w:tcPr>
            <w:tcW w:w="780" w:type="dxa"/>
            <w:vAlign w:val="bottom"/>
            <w:gridSpan w:val="2"/>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1,747</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1,823</w:t>
            </w: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gridSpan w:val="2"/>
          </w:tcPr>
          <w:p>
            <w:pPr>
              <w:spacing w:after="0"/>
              <w:rPr>
                <w:sz w:val="19"/>
                <w:szCs w:val="19"/>
                <w:color w:val="auto"/>
              </w:rPr>
            </w:pPr>
          </w:p>
        </w:tc>
        <w:tc>
          <w:tcPr>
            <w:tcW w:w="120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1,772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1,841</w:t>
            </w:r>
          </w:p>
        </w:tc>
        <w:tc>
          <w:tcPr>
            <w:tcW w:w="0" w:type="dxa"/>
            <w:vAlign w:val="bottom"/>
          </w:tcPr>
          <w:p>
            <w:pPr>
              <w:spacing w:after="0"/>
              <w:rPr>
                <w:sz w:val="1"/>
                <w:szCs w:val="1"/>
                <w:color w:val="auto"/>
              </w:rPr>
            </w:pPr>
          </w:p>
        </w:tc>
      </w:tr>
      <w:tr>
        <w:trPr>
          <w:trHeight w:val="20"/>
        </w:trPr>
        <w:tc>
          <w:tcPr>
            <w:tcW w:w="5040" w:type="dxa"/>
            <w:vAlign w:val="bottom"/>
            <w:gridSpan w:val="4"/>
            <w:vMerge w:val="restart"/>
          </w:tcPr>
          <w:p>
            <w:pPr>
              <w:spacing w:after="0"/>
              <w:rPr>
                <w:sz w:val="20"/>
                <w:szCs w:val="20"/>
                <w:color w:val="auto"/>
              </w:rPr>
            </w:pPr>
            <w:r>
              <w:rPr>
                <w:rFonts w:ascii="Arial" w:cs="Arial" w:eastAsia="Arial" w:hAnsi="Arial"/>
                <w:sz w:val="18"/>
                <w:szCs w:val="18"/>
                <w:color w:val="auto"/>
              </w:rPr>
              <w:t>anchise/area license restaurants opened:</w:t>
            </w: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040" w:type="dxa"/>
            <w:vAlign w:val="bottom"/>
            <w:gridSpan w:val="4"/>
            <w:vMerge w:val="continue"/>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Domestic franchise</w:t>
            </w:r>
          </w:p>
        </w:tc>
        <w:tc>
          <w:tcPr>
            <w:tcW w:w="2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34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5"/>
        </w:trPr>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780" w:type="dxa"/>
            <w:vAlign w:val="bottom"/>
            <w:gridSpan w:val="2"/>
          </w:tcPr>
          <w:p>
            <w:pPr>
              <w:ind w:left="140"/>
              <w:spacing w:after="0"/>
              <w:rPr>
                <w:sz w:val="20"/>
                <w:szCs w:val="20"/>
                <w:color w:val="auto"/>
              </w:rPr>
            </w:pPr>
            <w:r>
              <w:rPr>
                <w:rFonts w:ascii="Arial" w:cs="Arial" w:eastAsia="Arial" w:hAnsi="Arial"/>
                <w:sz w:val="18"/>
                <w:szCs w:val="18"/>
                <w:color w:val="auto"/>
              </w:rPr>
              <w:t>Domestic area license</w:t>
            </w:r>
          </w:p>
        </w:tc>
        <w:tc>
          <w:tcPr>
            <w:tcW w:w="208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340" w:type="dxa"/>
            <w:vAlign w:val="bottom"/>
            <w:gridSpan w:val="5"/>
          </w:tcPr>
          <w:p>
            <w:pPr>
              <w:jc w:val="right"/>
              <w:ind w:right="8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6"/>
        </w:trPr>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International franchise</w:t>
            </w:r>
          </w:p>
        </w:tc>
        <w:tc>
          <w:tcPr>
            <w:tcW w:w="780" w:type="dxa"/>
            <w:vAlign w:val="bottom"/>
            <w:gridSpan w:val="2"/>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gridSpan w:val="2"/>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8"/>
        </w:trPr>
        <w:tc>
          <w:tcPr>
            <w:tcW w:w="100" w:type="dxa"/>
            <w:vAlign w:val="bottom"/>
          </w:tcPr>
          <w:p>
            <w:pPr>
              <w:spacing w:after="0"/>
              <w:rPr>
                <w:sz w:val="18"/>
                <w:szCs w:val="18"/>
                <w:color w:val="auto"/>
              </w:rPr>
            </w:pPr>
          </w:p>
        </w:tc>
        <w:tc>
          <w:tcPr>
            <w:tcW w:w="4940" w:type="dxa"/>
            <w:vAlign w:val="bottom"/>
            <w:gridSpan w:val="3"/>
          </w:tcPr>
          <w:p>
            <w:pPr>
              <w:ind w:left="20"/>
              <w:spacing w:after="0"/>
              <w:rPr>
                <w:sz w:val="20"/>
                <w:szCs w:val="20"/>
                <w:color w:val="auto"/>
              </w:rPr>
            </w:pPr>
            <w:r>
              <w:rPr>
                <w:rFonts w:ascii="Arial" w:cs="Arial" w:eastAsia="Arial" w:hAnsi="Arial"/>
                <w:sz w:val="18"/>
                <w:szCs w:val="18"/>
                <w:color w:val="auto"/>
              </w:rPr>
              <w:t>Total franchise/area license restaurants opened</w:t>
            </w:r>
          </w:p>
        </w:tc>
        <w:tc>
          <w:tcPr>
            <w:tcW w:w="2080" w:type="dxa"/>
            <w:vAlign w:val="bottom"/>
            <w:gridSpan w:val="3"/>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340" w:type="dxa"/>
            <w:vAlign w:val="bottom"/>
            <w:gridSpan w:val="5"/>
          </w:tcPr>
          <w:p>
            <w:pPr>
              <w:jc w:val="right"/>
              <w:ind w:right="80"/>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9"/>
        </w:trPr>
        <w:tc>
          <w:tcPr>
            <w:tcW w:w="5040" w:type="dxa"/>
            <w:vAlign w:val="bottom"/>
            <w:gridSpan w:val="4"/>
          </w:tcPr>
          <w:p>
            <w:pPr>
              <w:spacing w:after="0"/>
              <w:rPr>
                <w:sz w:val="20"/>
                <w:szCs w:val="20"/>
                <w:color w:val="auto"/>
              </w:rPr>
            </w:pPr>
            <w:r>
              <w:rPr>
                <w:rFonts w:ascii="Arial" w:cs="Arial" w:eastAsia="Arial" w:hAnsi="Arial"/>
                <w:sz w:val="18"/>
                <w:szCs w:val="18"/>
                <w:color w:val="auto"/>
              </w:rPr>
              <w:t>anchise/area license restaurants permanently closed:</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Domestic franchise</w:t>
            </w:r>
          </w:p>
        </w:tc>
        <w:tc>
          <w:tcPr>
            <w:tcW w:w="2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3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5"/>
        </w:trPr>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780" w:type="dxa"/>
            <w:vAlign w:val="bottom"/>
            <w:gridSpan w:val="2"/>
          </w:tcPr>
          <w:p>
            <w:pPr>
              <w:ind w:left="140"/>
              <w:spacing w:after="0"/>
              <w:rPr>
                <w:sz w:val="20"/>
                <w:szCs w:val="20"/>
                <w:color w:val="auto"/>
              </w:rPr>
            </w:pPr>
            <w:r>
              <w:rPr>
                <w:rFonts w:ascii="Arial" w:cs="Arial" w:eastAsia="Arial" w:hAnsi="Arial"/>
                <w:sz w:val="18"/>
                <w:szCs w:val="18"/>
                <w:color w:val="auto"/>
              </w:rPr>
              <w:t>Domestic area license</w:t>
            </w:r>
          </w:p>
        </w:tc>
        <w:tc>
          <w:tcPr>
            <w:tcW w:w="208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5"/>
          </w:tcPr>
          <w:p>
            <w:pPr>
              <w:jc w:val="right"/>
              <w:ind w:right="4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6"/>
        </w:trPr>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International franchise</w:t>
            </w: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3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5"/>
        </w:trPr>
        <w:tc>
          <w:tcPr>
            <w:tcW w:w="100" w:type="dxa"/>
            <w:vAlign w:val="bottom"/>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7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International area license</w:t>
            </w:r>
          </w:p>
        </w:tc>
        <w:tc>
          <w:tcPr>
            <w:tcW w:w="7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gridSpan w:val="2"/>
          </w:tcPr>
          <w:p>
            <w:pPr>
              <w:spacing w:after="0"/>
              <w:rPr>
                <w:sz w:val="19"/>
                <w:szCs w:val="19"/>
                <w:color w:val="auto"/>
              </w:rPr>
            </w:pPr>
          </w:p>
        </w:tc>
        <w:tc>
          <w:tcPr>
            <w:tcW w:w="12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49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franchise/area license restaurants permanently closed</w:t>
            </w:r>
          </w:p>
        </w:tc>
        <w:tc>
          <w:tcPr>
            <w:tcW w:w="2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3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9"/>
        </w:trPr>
        <w:tc>
          <w:tcPr>
            <w:tcW w:w="5040" w:type="dxa"/>
            <w:vAlign w:val="bottom"/>
            <w:gridSpan w:val="4"/>
          </w:tcPr>
          <w:p>
            <w:pPr>
              <w:ind w:left="20"/>
              <w:spacing w:after="0"/>
              <w:rPr>
                <w:sz w:val="20"/>
                <w:szCs w:val="20"/>
                <w:color w:val="auto"/>
              </w:rPr>
            </w:pPr>
            <w:r>
              <w:rPr>
                <w:rFonts w:ascii="Arial" w:cs="Arial" w:eastAsia="Arial" w:hAnsi="Arial"/>
                <w:sz w:val="18"/>
                <w:szCs w:val="18"/>
                <w:b w:val="1"/>
                <w:bCs w:val="1"/>
                <w:color w:val="auto"/>
              </w:rPr>
              <w:t>t franchise/area license restaurant reduction</w:t>
            </w:r>
          </w:p>
        </w:tc>
        <w:tc>
          <w:tcPr>
            <w:tcW w:w="780" w:type="dxa"/>
            <w:vAlign w:val="bottom"/>
            <w:gridSpan w:val="2"/>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w:t>
            </w: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gridSpan w:val="2"/>
          </w:tcPr>
          <w:p>
            <w:pPr>
              <w:spacing w:after="0"/>
              <w:rPr>
                <w:sz w:val="19"/>
                <w:szCs w:val="19"/>
                <w:color w:val="auto"/>
              </w:rPr>
            </w:pPr>
          </w:p>
        </w:tc>
        <w:tc>
          <w:tcPr>
            <w:tcW w:w="120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00" w:type="dxa"/>
            <w:vAlign w:val="bottom"/>
          </w:tcPr>
          <w:p>
            <w:pPr>
              <w:spacing w:after="0"/>
              <w:rPr>
                <w:sz w:val="18"/>
                <w:szCs w:val="18"/>
                <w:color w:val="auto"/>
              </w:rPr>
            </w:pPr>
          </w:p>
        </w:tc>
        <w:tc>
          <w:tcPr>
            <w:tcW w:w="4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franchised by the Company</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040" w:type="dxa"/>
            <w:vAlign w:val="bottom"/>
            <w:gridSpan w:val="4"/>
          </w:tcPr>
          <w:p>
            <w:pPr>
              <w:spacing w:after="0"/>
              <w:rPr>
                <w:sz w:val="20"/>
                <w:szCs w:val="20"/>
                <w:color w:val="auto"/>
              </w:rPr>
            </w:pPr>
            <w:r>
              <w:rPr>
                <w:rFonts w:ascii="Arial" w:cs="Arial" w:eastAsia="Arial" w:hAnsi="Arial"/>
                <w:sz w:val="18"/>
                <w:szCs w:val="18"/>
                <w:color w:val="auto"/>
              </w:rPr>
              <w:t>anchise restaurants reacquired by the Company</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5"/>
          </w:tcPr>
          <w:p>
            <w:pPr>
              <w:jc w:val="right"/>
              <w:ind w:right="4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100" w:type="dxa"/>
            <w:vAlign w:val="bottom"/>
          </w:tcPr>
          <w:p>
            <w:pPr>
              <w:ind w:left="20"/>
              <w:spacing w:after="0"/>
              <w:rPr>
                <w:sz w:val="20"/>
                <w:szCs w:val="20"/>
                <w:color w:val="auto"/>
              </w:rPr>
            </w:pPr>
            <w:r>
              <w:rPr>
                <w:rFonts w:ascii="Arial" w:cs="Arial" w:eastAsia="Arial" w:hAnsi="Arial"/>
                <w:sz w:val="18"/>
                <w:szCs w:val="18"/>
                <w:b w:val="1"/>
                <w:bCs w:val="1"/>
                <w:color w:val="auto"/>
                <w:w w:val="99"/>
              </w:rPr>
              <w:t>t</w:t>
            </w:r>
          </w:p>
        </w:tc>
        <w:tc>
          <w:tcPr>
            <w:tcW w:w="494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reduction in franchise/area license restaurants</w:t>
            </w:r>
          </w:p>
        </w:tc>
        <w:tc>
          <w:tcPr>
            <w:tcW w:w="78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120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4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0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mmary - end of period:</w:t>
            </w: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40" w:type="dxa"/>
            <w:vAlign w:val="bottom"/>
            <w:gridSpan w:val="4"/>
            <w:vMerge w:val="continue"/>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Franchise</w:t>
            </w:r>
          </w:p>
        </w:tc>
        <w:tc>
          <w:tcPr>
            <w:tcW w:w="2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134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1,591</w:t>
            </w:r>
          </w:p>
        </w:tc>
        <w:tc>
          <w:tcPr>
            <w:tcW w:w="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0" w:type="dxa"/>
            <w:vAlign w:val="bottom"/>
          </w:tcPr>
          <w:p>
            <w:pPr>
              <w:spacing w:after="0"/>
              <w:rPr>
                <w:sz w:val="1"/>
                <w:szCs w:val="1"/>
                <w:color w:val="auto"/>
              </w:rPr>
            </w:pPr>
          </w:p>
        </w:tc>
      </w:tr>
      <w:tr>
        <w:trPr>
          <w:trHeight w:val="225"/>
        </w:trPr>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780" w:type="dxa"/>
            <w:vAlign w:val="bottom"/>
            <w:gridSpan w:val="2"/>
          </w:tcPr>
          <w:p>
            <w:pPr>
              <w:ind w:left="180"/>
              <w:spacing w:after="0"/>
              <w:rPr>
                <w:sz w:val="20"/>
                <w:szCs w:val="20"/>
                <w:color w:val="auto"/>
              </w:rPr>
            </w:pPr>
            <w:r>
              <w:rPr>
                <w:rFonts w:ascii="Arial" w:cs="Arial" w:eastAsia="Arial" w:hAnsi="Arial"/>
                <w:sz w:val="18"/>
                <w:szCs w:val="18"/>
                <w:color w:val="auto"/>
              </w:rPr>
              <w:t>Area license</w:t>
            </w:r>
          </w:p>
        </w:tc>
        <w:tc>
          <w:tcPr>
            <w:tcW w:w="2080" w:type="dxa"/>
            <w:vAlign w:val="bottom"/>
            <w:gridSpan w:val="3"/>
          </w:tcPr>
          <w:p>
            <w:pPr>
              <w:jc w:val="right"/>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159</w:t>
            </w:r>
          </w:p>
        </w:tc>
        <w:tc>
          <w:tcPr>
            <w:tcW w:w="1340" w:type="dxa"/>
            <w:vAlign w:val="bottom"/>
            <w:gridSpan w:val="5"/>
          </w:tcPr>
          <w:p>
            <w:pPr>
              <w:jc w:val="right"/>
              <w:ind w:right="80"/>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26"/>
        </w:trPr>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Company</w:t>
            </w:r>
          </w:p>
        </w:tc>
        <w:tc>
          <w:tcPr>
            <w:tcW w:w="2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5040" w:type="dxa"/>
            <w:vAlign w:val="bottom"/>
            <w:gridSpan w:val="4"/>
          </w:tcPr>
          <w:p>
            <w:pPr>
              <w:spacing w:after="0"/>
              <w:rPr>
                <w:sz w:val="20"/>
                <w:szCs w:val="20"/>
                <w:color w:val="auto"/>
              </w:rPr>
            </w:pPr>
            <w:r>
              <w:rPr>
                <w:rFonts w:ascii="Arial" w:cs="Arial" w:eastAsia="Arial" w:hAnsi="Arial"/>
                <w:sz w:val="18"/>
                <w:szCs w:val="18"/>
                <w:b w:val="1"/>
                <w:bCs w:val="1"/>
                <w:color w:val="auto"/>
              </w:rPr>
              <w:t>tal IHOP restaurants, end of period</w:t>
            </w:r>
          </w:p>
        </w:tc>
        <w:tc>
          <w:tcPr>
            <w:tcW w:w="780" w:type="dxa"/>
            <w:vAlign w:val="bottom"/>
            <w:gridSpan w:val="2"/>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1,750</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1,807</w:t>
            </w: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gridSpan w:val="2"/>
          </w:tcPr>
          <w:p>
            <w:pPr>
              <w:spacing w:after="0"/>
              <w:rPr>
                <w:sz w:val="19"/>
                <w:szCs w:val="19"/>
                <w:color w:val="auto"/>
              </w:rPr>
            </w:pPr>
          </w:p>
        </w:tc>
        <w:tc>
          <w:tcPr>
            <w:tcW w:w="120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1,750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1,807</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Domestic</w:t>
            </w:r>
          </w:p>
        </w:tc>
        <w:tc>
          <w:tcPr>
            <w:tcW w:w="20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1,656</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1,683</w:t>
            </w:r>
          </w:p>
        </w:tc>
        <w:tc>
          <w:tcPr>
            <w:tcW w:w="1340" w:type="dxa"/>
            <w:vAlign w:val="bottom"/>
            <w:gridSpan w:val="5"/>
            <w:shd w:val="clear" w:color="auto" w:fill="CCEEFF"/>
          </w:tcPr>
          <w:p>
            <w:pPr>
              <w:jc w:val="right"/>
              <w:ind w:right="80"/>
              <w:spacing w:after="0"/>
              <w:rPr>
                <w:sz w:val="20"/>
                <w:szCs w:val="20"/>
                <w:color w:val="auto"/>
              </w:rPr>
            </w:pPr>
            <w:r>
              <w:rPr>
                <w:rFonts w:ascii="Arial" w:cs="Arial" w:eastAsia="Arial" w:hAnsi="Arial"/>
                <w:sz w:val="16"/>
                <w:szCs w:val="16"/>
                <w:color w:val="auto"/>
              </w:rPr>
              <w:t>1,656</w:t>
            </w:r>
          </w:p>
        </w:tc>
        <w:tc>
          <w:tcPr>
            <w:tcW w:w="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1,683</w:t>
            </w:r>
          </w:p>
        </w:tc>
        <w:tc>
          <w:tcPr>
            <w:tcW w:w="0" w:type="dxa"/>
            <w:vAlign w:val="bottom"/>
          </w:tcPr>
          <w:p>
            <w:pPr>
              <w:spacing w:after="0"/>
              <w:rPr>
                <w:sz w:val="1"/>
                <w:szCs w:val="1"/>
                <w:color w:val="auto"/>
              </w:rPr>
            </w:pPr>
          </w:p>
        </w:tc>
      </w:tr>
      <w:tr>
        <w:trPr>
          <w:trHeight w:val="207"/>
        </w:trPr>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gridSpan w:val="2"/>
          </w:tcPr>
          <w:p>
            <w:pPr>
              <w:ind w:left="180"/>
              <w:spacing w:after="0"/>
              <w:rPr>
                <w:sz w:val="20"/>
                <w:szCs w:val="20"/>
                <w:color w:val="auto"/>
              </w:rPr>
            </w:pPr>
            <w:r>
              <w:rPr>
                <w:rFonts w:ascii="Arial" w:cs="Arial" w:eastAsia="Arial" w:hAnsi="Arial"/>
                <w:sz w:val="16"/>
                <w:szCs w:val="16"/>
                <w:color w:val="auto"/>
              </w:rPr>
              <w:t>International</w:t>
            </w:r>
          </w:p>
        </w:tc>
        <w:tc>
          <w:tcPr>
            <w:tcW w:w="2080" w:type="dxa"/>
            <w:vAlign w:val="bottom"/>
            <w:gridSpan w:val="3"/>
          </w:tcPr>
          <w:p>
            <w:pPr>
              <w:jc w:val="right"/>
              <w:spacing w:after="0"/>
              <w:rPr>
                <w:sz w:val="20"/>
                <w:szCs w:val="20"/>
                <w:color w:val="auto"/>
              </w:rPr>
            </w:pPr>
            <w:r>
              <w:rPr>
                <w:rFonts w:ascii="Arial" w:cs="Arial" w:eastAsia="Arial" w:hAnsi="Arial"/>
                <w:sz w:val="16"/>
                <w:szCs w:val="16"/>
                <w:color w:val="auto"/>
              </w:rPr>
              <w:t>94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124</w:t>
            </w:r>
          </w:p>
        </w:tc>
        <w:tc>
          <w:tcPr>
            <w:tcW w:w="1340" w:type="dxa"/>
            <w:vAlign w:val="bottom"/>
            <w:gridSpan w:val="5"/>
          </w:tcPr>
          <w:p>
            <w:pPr>
              <w:jc w:val="right"/>
              <w:ind w:right="80"/>
              <w:spacing w:after="0"/>
              <w:rPr>
                <w:sz w:val="20"/>
                <w:szCs w:val="20"/>
                <w:color w:val="auto"/>
              </w:rPr>
            </w:pPr>
            <w:r>
              <w:rPr>
                <w:rFonts w:ascii="Arial" w:cs="Arial" w:eastAsia="Arial" w:hAnsi="Arial"/>
                <w:sz w:val="16"/>
                <w:szCs w:val="16"/>
                <w:color w:val="auto"/>
              </w:rPr>
              <w:t>94</w:t>
            </w:r>
          </w:p>
        </w:tc>
        <w:tc>
          <w:tcPr>
            <w:tcW w:w="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-4741545</wp:posOffset>
            </wp:positionV>
            <wp:extent cx="6932930" cy="168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32930" cy="168275"/>
                    </a:xfrm>
                    <a:prstGeom prst="rect">
                      <a:avLst/>
                    </a:prstGeom>
                    <a:noFill/>
                  </pic:spPr>
                </pic:pic>
              </a:graphicData>
            </a:graphic>
          </wp:anchor>
        </w:drawing>
      </w:r>
    </w:p>
    <w:p>
      <w:pPr>
        <w:sectPr>
          <w:pgSz w:w="11900" w:h="16838" w:orient="portrait"/>
          <w:cols w:equalWidth="0" w:num="1">
            <w:col w:w="11020"/>
          </w:cols>
          <w:pgMar w:left="220" w:top="121"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439"/>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87630</wp:posOffset>
            </wp:positionV>
            <wp:extent cx="716026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20"/>
          </w:cols>
          <w:pgMar w:left="220" w:top="121" w:right="659" w:bottom="1440" w:gutter="0" w:footer="0" w:header="0"/>
          <w:type w:val="continuous"/>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200" w:firstLine="318"/>
        <w:spacing w:after="0" w:line="252" w:lineRule="auto"/>
        <w:rPr>
          <w:sz w:val="20"/>
          <w:szCs w:val="20"/>
          <w:color w:val="auto"/>
        </w:rPr>
      </w:pPr>
      <w:r>
        <w:rPr>
          <w:rFonts w:ascii="Arial" w:cs="Arial" w:eastAsia="Arial" w:hAnsi="Arial"/>
          <w:sz w:val="18"/>
          <w:szCs w:val="18"/>
          <w:color w:val="auto"/>
        </w:rPr>
        <w:t>The restaurant counts and activity presented above do not include two domestic Applebee's ghost kitchens (small kitchens with no store-front presence, used to fill off-premise orders), one international Applebee's ghost kitchen and six international IHOP ghost kitchens. The Applebee's franchise restaurant count at the beginning of the nine-month period ended September 30, 2021 was adjusted downward by two restaurants, representing two ghost kitchens that had been included in the total reported count as of December 31, 2020.</w:t>
      </w:r>
    </w:p>
    <w:p>
      <w:pPr>
        <w:spacing w:after="0" w:line="217" w:lineRule="exact"/>
        <w:rPr>
          <w:sz w:val="20"/>
          <w:szCs w:val="20"/>
          <w:color w:val="auto"/>
        </w:rPr>
      </w:pPr>
    </w:p>
    <w:p>
      <w:pPr>
        <w:ind w:right="120" w:firstLine="318"/>
        <w:spacing w:after="0" w:line="277" w:lineRule="auto"/>
        <w:rPr>
          <w:sz w:val="20"/>
          <w:szCs w:val="20"/>
          <w:color w:val="auto"/>
        </w:rPr>
      </w:pPr>
      <w:r>
        <w:rPr>
          <w:rFonts w:ascii="Arial" w:cs="Arial" w:eastAsia="Arial" w:hAnsi="Arial"/>
          <w:sz w:val="17"/>
          <w:szCs w:val="17"/>
          <w:color w:val="auto"/>
        </w:rPr>
        <w:t>The closures presented in the tables above represent permanent closures of restaurants. Temporary closures, which can occur for a variety of reasons, are not reflected as reductions in this table and are included in the summary counts at the beginning and end of each period shown. Temporary closures are reflected in the weighted calculation of Effective Restaurants presented in the preceding Restaurant Data table.</w:t>
      </w:r>
    </w:p>
    <w:p>
      <w:pPr>
        <w:spacing w:after="0" w:line="198" w:lineRule="exact"/>
        <w:rPr>
          <w:sz w:val="20"/>
          <w:szCs w:val="20"/>
          <w:color w:val="auto"/>
        </w:rPr>
      </w:pPr>
    </w:p>
    <w:p>
      <w:pPr>
        <w:ind w:right="260" w:firstLine="318"/>
        <w:spacing w:after="0" w:line="252" w:lineRule="auto"/>
        <w:rPr>
          <w:sz w:val="20"/>
          <w:szCs w:val="20"/>
          <w:color w:val="auto"/>
        </w:rPr>
      </w:pPr>
      <w:r>
        <w:rPr>
          <w:rFonts w:ascii="Arial" w:cs="Arial" w:eastAsia="Arial" w:hAnsi="Arial"/>
          <w:sz w:val="18"/>
          <w:szCs w:val="18"/>
          <w:color w:val="auto"/>
        </w:rPr>
        <w:t>Closures of Applebee's and IHOP restaurants adversely impact our system-wide retail sales that drive our franchise royalty revenues as well as, in the case of IHOP restaurants, sales of proprietary pancake and waffle dry mix. Further, with certain restaurants, we own or lease the underlying property and sublease it to the applicable franchisee. Thus, our rental income also could be adversely affected due to the loss of such income, as well as our obligation to make rental or other payments for such properties.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the Three and Nine Months ended September 30, 2021 and 2020</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b w:val="1"/>
                <w:bCs w:val="1"/>
                <w:color w:val="auto"/>
              </w:rPr>
              <w:t>Revenue</w:t>
            </w:r>
          </w:p>
        </w:tc>
        <w:tc>
          <w:tcPr>
            <w:tcW w:w="140" w:type="dxa"/>
            <w:vAlign w:val="bottom"/>
          </w:tcPr>
          <w:p>
            <w:pPr>
              <w:spacing w:after="0"/>
              <w:rPr>
                <w:sz w:val="18"/>
                <w:szCs w:val="18"/>
                <w:color w:val="auto"/>
              </w:rPr>
            </w:pPr>
          </w:p>
        </w:tc>
        <w:tc>
          <w:tcPr>
            <w:tcW w:w="2720" w:type="dxa"/>
            <w:vAlign w:val="bottom"/>
            <w:gridSpan w:val="5"/>
          </w:tcPr>
          <w:p>
            <w:pPr>
              <w:ind w:left="40"/>
              <w:spacing w:after="0"/>
              <w:rPr>
                <w:sz w:val="20"/>
                <w:szCs w:val="20"/>
                <w:color w:val="auto"/>
              </w:rPr>
            </w:pPr>
            <w:r>
              <w:rPr>
                <w:rFonts w:ascii="Arial" w:cs="Arial" w:eastAsia="Arial" w:hAnsi="Arial"/>
                <w:sz w:val="16"/>
                <w:szCs w:val="16"/>
                <w:b w:val="1"/>
                <w:bCs w:val="1"/>
                <w:color w:val="auto"/>
                <w:w w:val="98"/>
              </w:rPr>
              <w:t>Three months ended September 30,</w:t>
            </w: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Favorable</w:t>
            </w:r>
          </w:p>
        </w:tc>
        <w:tc>
          <w:tcPr>
            <w:tcW w:w="100" w:type="dxa"/>
            <w:vAlign w:val="bottom"/>
          </w:tcPr>
          <w:p>
            <w:pPr>
              <w:spacing w:after="0"/>
              <w:rPr>
                <w:sz w:val="18"/>
                <w:szCs w:val="18"/>
                <w:color w:val="auto"/>
              </w:rPr>
            </w:pPr>
          </w:p>
        </w:tc>
        <w:tc>
          <w:tcPr>
            <w:tcW w:w="2540" w:type="dxa"/>
            <w:vAlign w:val="bottom"/>
            <w:gridSpan w:val="5"/>
          </w:tcPr>
          <w:p>
            <w:pPr>
              <w:spacing w:after="0"/>
              <w:rPr>
                <w:sz w:val="20"/>
                <w:szCs w:val="20"/>
                <w:color w:val="auto"/>
              </w:rPr>
            </w:pPr>
            <w:r>
              <w:rPr>
                <w:rFonts w:ascii="Arial" w:cs="Arial" w:eastAsia="Arial" w:hAnsi="Arial"/>
                <w:sz w:val="16"/>
                <w:szCs w:val="16"/>
                <w:b w:val="1"/>
                <w:bCs w:val="1"/>
                <w:color w:val="auto"/>
                <w:w w:val="96"/>
              </w:rPr>
              <w:t>Nine months ended September 30,</w:t>
            </w:r>
          </w:p>
        </w:tc>
        <w:tc>
          <w:tcPr>
            <w:tcW w:w="140" w:type="dxa"/>
            <w:vAlign w:val="bottom"/>
          </w:tcPr>
          <w:p>
            <w:pPr>
              <w:spacing w:after="0"/>
              <w:rPr>
                <w:sz w:val="18"/>
                <w:szCs w:val="18"/>
                <w:color w:val="auto"/>
              </w:rPr>
            </w:pPr>
          </w:p>
        </w:tc>
        <w:tc>
          <w:tcPr>
            <w:tcW w:w="1080" w:type="dxa"/>
            <w:vAlign w:val="bottom"/>
          </w:tcPr>
          <w:p>
            <w:pPr>
              <w:jc w:val="center"/>
              <w:ind w:right="65"/>
              <w:spacing w:after="0"/>
              <w:rPr>
                <w:sz w:val="20"/>
                <w:szCs w:val="20"/>
                <w:color w:val="auto"/>
              </w:rPr>
            </w:pPr>
            <w:r>
              <w:rPr>
                <w:rFonts w:ascii="Arial" w:cs="Arial" w:eastAsia="Arial" w:hAnsi="Arial"/>
                <w:sz w:val="14"/>
                <w:szCs w:val="14"/>
                <w:b w:val="1"/>
                <w:bCs w:val="1"/>
                <w:color w:val="auto"/>
                <w:w w:val="93"/>
              </w:rPr>
              <w:t>Favorable</w:t>
            </w:r>
          </w:p>
        </w:tc>
      </w:tr>
      <w:tr>
        <w:trPr>
          <w:trHeight w:val="27"/>
        </w:trPr>
        <w:tc>
          <w:tcPr>
            <w:tcW w:w="2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2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tcPr>
          <w:p>
            <w:pPr>
              <w:jc w:val="center"/>
              <w:ind w:right="260"/>
              <w:spacing w:after="0" w:line="27" w:lineRule="exact"/>
              <w:rPr>
                <w:sz w:val="20"/>
                <w:szCs w:val="20"/>
                <w:color w:val="auto"/>
              </w:rPr>
            </w:pPr>
            <w:r>
              <w:rPr>
                <w:rFonts w:ascii="Arial" w:cs="Arial" w:eastAsia="Arial" w:hAnsi="Arial"/>
                <w:sz w:val="3"/>
                <w:szCs w:val="3"/>
                <w:b w:val="1"/>
                <w:bCs w:val="1"/>
                <w:color w:val="auto"/>
              </w:rPr>
              <w:t>(Unfavorable)</w:t>
            </w: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jc w:val="center"/>
              <w:ind w:right="65"/>
              <w:spacing w:after="0" w:line="27" w:lineRule="exact"/>
              <w:rPr>
                <w:sz w:val="20"/>
                <w:szCs w:val="20"/>
                <w:color w:val="auto"/>
              </w:rPr>
            </w:pPr>
            <w:r>
              <w:rPr>
                <w:rFonts w:ascii="Arial" w:cs="Arial" w:eastAsia="Arial" w:hAnsi="Arial"/>
                <w:sz w:val="3"/>
                <w:szCs w:val="3"/>
                <w:b w:val="1"/>
                <w:bCs w:val="1"/>
                <w:color w:val="auto"/>
              </w:rPr>
              <w:t>(Unfavorable)</w:t>
            </w:r>
          </w:p>
        </w:tc>
      </w:tr>
      <w:tr>
        <w:trPr>
          <w:trHeight w:val="204"/>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Variance</w:t>
            </w: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w w:val="92"/>
              </w:rPr>
              <w:t>Variance</w:t>
            </w:r>
          </w:p>
        </w:tc>
      </w:tr>
      <w:tr>
        <w:trPr>
          <w:trHeight w:val="201"/>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80" w:type="dxa"/>
            <w:vAlign w:val="bottom"/>
            <w:gridSpan w:val="4"/>
          </w:tcPr>
          <w:p>
            <w:pPr>
              <w:jc w:val="right"/>
              <w:ind w:right="1014"/>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1"/>
        </w:trPr>
        <w:tc>
          <w:tcPr>
            <w:tcW w:w="20" w:type="dxa"/>
            <w:vAlign w:val="bottom"/>
            <w:shd w:val="clear" w:color="auto" w:fill="CCEEFF"/>
          </w:tcPr>
          <w:p>
            <w:pPr>
              <w:spacing w:after="0"/>
              <w:rPr>
                <w:sz w:val="20"/>
                <w:szCs w:val="20"/>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Franchise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161.2</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469.1</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w:t>
            </w:r>
          </w:p>
        </w:tc>
      </w:tr>
      <w:tr>
        <w:trPr>
          <w:trHeight w:val="225"/>
        </w:trPr>
        <w:tc>
          <w:tcPr>
            <w:tcW w:w="20" w:type="dxa"/>
            <w:vAlign w:val="bottom"/>
          </w:tcPr>
          <w:p>
            <w:pPr>
              <w:spacing w:after="0"/>
              <w:rPr>
                <w:sz w:val="19"/>
                <w:szCs w:val="19"/>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Rental operations</w:t>
            </w:r>
          </w:p>
        </w:tc>
        <w:tc>
          <w:tcPr>
            <w:tcW w:w="140" w:type="dxa"/>
            <w:vAlign w:val="bottom"/>
          </w:tcPr>
          <w:p>
            <w:pPr>
              <w:spacing w:after="0"/>
              <w:rPr>
                <w:sz w:val="19"/>
                <w:szCs w:val="19"/>
                <w:color w:val="auto"/>
              </w:rPr>
            </w:pPr>
          </w:p>
        </w:tc>
        <w:tc>
          <w:tcPr>
            <w:tcW w:w="1200" w:type="dxa"/>
            <w:vAlign w:val="bottom"/>
          </w:tcPr>
          <w:p>
            <w:pPr>
              <w:jc w:val="right"/>
              <w:ind w:right="134"/>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Arial" w:cs="Arial" w:eastAsia="Arial" w:hAnsi="Arial"/>
                <w:sz w:val="18"/>
                <w:szCs w:val="18"/>
                <w:color w:val="auto"/>
              </w:rPr>
              <w:t>84.8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26"/>
        </w:trPr>
        <w:tc>
          <w:tcPr>
            <w:tcW w:w="20" w:type="dxa"/>
            <w:vAlign w:val="bottom"/>
            <w:shd w:val="clear" w:color="auto" w:fill="CCEEFF"/>
          </w:tcPr>
          <w:p>
            <w:pPr>
              <w:spacing w:after="0"/>
              <w:rPr>
                <w:sz w:val="19"/>
                <w:szCs w:val="19"/>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Company restaurant operations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109.4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r>
      <w:tr>
        <w:trPr>
          <w:trHeight w:val="225"/>
        </w:trPr>
        <w:tc>
          <w:tcPr>
            <w:tcW w:w="20" w:type="dxa"/>
            <w:vAlign w:val="bottom"/>
            <w:tcBorders>
              <w:bottom w:val="single" w:sz="8" w:color="CCEEFF"/>
            </w:tcBorders>
          </w:tcPr>
          <w:p>
            <w:pPr>
              <w:spacing w:after="0"/>
              <w:rPr>
                <w:sz w:val="19"/>
                <w:szCs w:val="19"/>
                <w:color w:val="auto"/>
              </w:rPr>
            </w:pPr>
          </w:p>
        </w:tc>
        <w:tc>
          <w:tcPr>
            <w:tcW w:w="32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Financing operations</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39"/>
        </w:trPr>
        <w:tc>
          <w:tcPr>
            <w:tcW w:w="20" w:type="dxa"/>
            <w:vAlign w:val="bottom"/>
            <w:shd w:val="clear" w:color="auto" w:fill="CCEEFF"/>
          </w:tcPr>
          <w:p>
            <w:pPr>
              <w:spacing w:after="0"/>
              <w:rPr>
                <w:sz w:val="20"/>
                <w:szCs w:val="20"/>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228.7</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666.5</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3220" w:type="dxa"/>
            <w:vAlign w:val="bottom"/>
            <w:gridSpan w:val="2"/>
          </w:tcPr>
          <w:p>
            <w:pPr>
              <w:spacing w:after="0" w:line="198" w:lineRule="exact"/>
              <w:rPr>
                <w:sz w:val="20"/>
                <w:szCs w:val="20"/>
                <w:color w:val="auto"/>
              </w:rPr>
            </w:pPr>
            <w:r>
              <w:rPr>
                <w:rFonts w:ascii="Arial" w:cs="Arial" w:eastAsia="Arial" w:hAnsi="Arial"/>
                <w:sz w:val="18"/>
                <w:szCs w:val="18"/>
                <w:color w:val="auto"/>
              </w:rPr>
              <w:t>Change vs. prior period</w:t>
            </w: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29.5 %</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35.1 %</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332" w:lineRule="exact"/>
        <w:rPr>
          <w:sz w:val="20"/>
          <w:szCs w:val="20"/>
          <w:color w:val="auto"/>
        </w:rPr>
      </w:pPr>
    </w:p>
    <w:p>
      <w:pPr>
        <w:ind w:right="80" w:firstLine="318"/>
        <w:spacing w:after="0" w:line="303" w:lineRule="auto"/>
        <w:rPr>
          <w:sz w:val="20"/>
          <w:szCs w:val="20"/>
          <w:color w:val="auto"/>
        </w:rPr>
      </w:pPr>
      <w:r>
        <w:rPr>
          <w:rFonts w:ascii="Arial" w:cs="Arial" w:eastAsia="Arial" w:hAnsi="Arial"/>
          <w:sz w:val="15"/>
          <w:szCs w:val="15"/>
          <w:color w:val="auto"/>
        </w:rPr>
        <w:t>Total revenue for the three and nine months ended September 30, 2021 increased significantly compared with the same periods of the prior year. As discussed under “</w:t>
      </w:r>
      <w:r>
        <w:rPr>
          <w:rFonts w:ascii="Arial" w:cs="Arial" w:eastAsia="Arial" w:hAnsi="Arial"/>
          <w:sz w:val="15"/>
          <w:szCs w:val="15"/>
          <w:i w:val="1"/>
          <w:iCs w:val="1"/>
          <w:color w:val="auto"/>
        </w:rPr>
        <w:t>Events Impacting the Comparability of Financial Information</w:t>
      </w:r>
      <w:r>
        <w:rPr>
          <w:rFonts w:ascii="Arial" w:cs="Arial" w:eastAsia="Arial" w:hAnsi="Arial"/>
          <w:sz w:val="15"/>
          <w:szCs w:val="15"/>
          <w:color w:val="auto"/>
        </w:rPr>
        <w:t>,” the operating capacity of our restaurants during the respective 2020 periods was severely restricted after the first week of March 2020 as federal, state, local and international governments reacted to the COVID-19 pandemic by encouraging or requiring social distancing, instituting shelter-in-place orders, and requiring, in varying degrees, reduced operating hours, restaurant dine-in and/or indoor dining limitations, capacity limitations or other restrictions that largely limited restaurants to off-premise sales (take-out and delivery) in the early stages of the pandemic. During the respective 2021 periods, many governmental authorities relaxed or eliminated restrictions on restaurant operations in response to declines in the number of COVID-19 infections, the availability of vaccines and an increase of the number of vaccinated individuals within their respective jurisdictions. This had a favorable impact on same-restaurant sales and customer traffic in our franchise and company restaurant operations as well as a favorable impact on rental revenue based on a percentage of franchisees' retail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Gross Profit (Loss)</w:t>
            </w:r>
          </w:p>
        </w:tc>
        <w:tc>
          <w:tcPr>
            <w:tcW w:w="120" w:type="dxa"/>
            <w:vAlign w:val="bottom"/>
          </w:tcPr>
          <w:p>
            <w:pPr>
              <w:spacing w:after="0"/>
              <w:rPr>
                <w:sz w:val="18"/>
                <w:szCs w:val="18"/>
                <w:color w:val="auto"/>
              </w:rPr>
            </w:pPr>
          </w:p>
        </w:tc>
        <w:tc>
          <w:tcPr>
            <w:tcW w:w="2660" w:type="dxa"/>
            <w:vAlign w:val="bottom"/>
            <w:gridSpan w:val="5"/>
          </w:tcPr>
          <w:p>
            <w:pPr>
              <w:ind w:left="20"/>
              <w:spacing w:after="0"/>
              <w:rPr>
                <w:sz w:val="20"/>
                <w:szCs w:val="20"/>
                <w:color w:val="auto"/>
              </w:rPr>
            </w:pPr>
            <w:r>
              <w:rPr>
                <w:rFonts w:ascii="Arial" w:cs="Arial" w:eastAsia="Arial" w:hAnsi="Arial"/>
                <w:sz w:val="16"/>
                <w:szCs w:val="16"/>
                <w:b w:val="1"/>
                <w:bCs w:val="1"/>
                <w:color w:val="auto"/>
                <w:w w:val="96"/>
              </w:rPr>
              <w:t>Three months ended September 30,</w:t>
            </w:r>
          </w:p>
        </w:tc>
        <w:tc>
          <w:tcPr>
            <w:tcW w:w="16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Favorable</w:t>
            </w:r>
          </w:p>
        </w:tc>
        <w:tc>
          <w:tcPr>
            <w:tcW w:w="120" w:type="dxa"/>
            <w:vAlign w:val="bottom"/>
          </w:tcPr>
          <w:p>
            <w:pPr>
              <w:spacing w:after="0"/>
              <w:rPr>
                <w:sz w:val="18"/>
                <w:szCs w:val="18"/>
                <w:color w:val="auto"/>
              </w:rPr>
            </w:pPr>
          </w:p>
        </w:tc>
        <w:tc>
          <w:tcPr>
            <w:tcW w:w="2520" w:type="dxa"/>
            <w:vAlign w:val="bottom"/>
            <w:gridSpan w:val="5"/>
          </w:tcPr>
          <w:p>
            <w:pPr>
              <w:spacing w:after="0"/>
              <w:rPr>
                <w:sz w:val="20"/>
                <w:szCs w:val="20"/>
                <w:color w:val="auto"/>
              </w:rPr>
            </w:pPr>
            <w:r>
              <w:rPr>
                <w:rFonts w:ascii="Arial" w:cs="Arial" w:eastAsia="Arial" w:hAnsi="Arial"/>
                <w:sz w:val="16"/>
                <w:szCs w:val="16"/>
                <w:b w:val="1"/>
                <w:bCs w:val="1"/>
                <w:color w:val="auto"/>
                <w:w w:val="95"/>
              </w:rPr>
              <w:t>Nine months ended September 30,</w:t>
            </w:r>
          </w:p>
        </w:tc>
        <w:tc>
          <w:tcPr>
            <w:tcW w:w="140" w:type="dxa"/>
            <w:vAlign w:val="bottom"/>
          </w:tcPr>
          <w:p>
            <w:pPr>
              <w:spacing w:after="0"/>
              <w:rPr>
                <w:sz w:val="18"/>
                <w:szCs w:val="18"/>
                <w:color w:val="auto"/>
              </w:rPr>
            </w:pPr>
          </w:p>
        </w:tc>
        <w:tc>
          <w:tcPr>
            <w:tcW w:w="1080" w:type="dxa"/>
            <w:vAlign w:val="bottom"/>
          </w:tcPr>
          <w:p>
            <w:pPr>
              <w:jc w:val="center"/>
              <w:ind w:right="61"/>
              <w:spacing w:after="0"/>
              <w:rPr>
                <w:sz w:val="20"/>
                <w:szCs w:val="20"/>
                <w:color w:val="auto"/>
              </w:rPr>
            </w:pPr>
            <w:r>
              <w:rPr>
                <w:rFonts w:ascii="Arial" w:cs="Arial" w:eastAsia="Arial" w:hAnsi="Arial"/>
                <w:sz w:val="14"/>
                <w:szCs w:val="14"/>
                <w:b w:val="1"/>
                <w:bCs w:val="1"/>
                <w:color w:val="auto"/>
                <w:w w:val="93"/>
              </w:rPr>
              <w:t>Favorable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vMerge w:val="restart"/>
          </w:tcPr>
          <w:p>
            <w:pPr>
              <w:jc w:val="center"/>
              <w:ind w:right="300"/>
              <w:spacing w:after="0" w:line="93" w:lineRule="exact"/>
              <w:rPr>
                <w:sz w:val="20"/>
                <w:szCs w:val="20"/>
                <w:color w:val="auto"/>
              </w:rPr>
            </w:pPr>
            <w:r>
              <w:rPr>
                <w:rFonts w:ascii="Arial" w:cs="Arial" w:eastAsia="Arial" w:hAnsi="Arial"/>
                <w:sz w:val="10"/>
                <w:szCs w:val="10"/>
                <w:b w:val="1"/>
                <w:bCs w:val="1"/>
                <w:color w:val="auto"/>
              </w:rPr>
              <w:t>(Unfavorable)</w:t>
            </w: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vMerge w:val="restart"/>
          </w:tcPr>
          <w:p>
            <w:pPr>
              <w:jc w:val="center"/>
              <w:ind w:right="61"/>
              <w:spacing w:after="0" w:line="93" w:lineRule="exact"/>
              <w:rPr>
                <w:sz w:val="20"/>
                <w:szCs w:val="20"/>
                <w:color w:val="auto"/>
              </w:rPr>
            </w:pPr>
            <w:r>
              <w:rPr>
                <w:rFonts w:ascii="Arial" w:cs="Arial" w:eastAsia="Arial" w:hAnsi="Arial"/>
                <w:sz w:val="10"/>
                <w:szCs w:val="10"/>
                <w:b w:val="1"/>
                <w:bCs w:val="1"/>
                <w:color w:val="auto"/>
              </w:rPr>
              <w:t>(Unfavorable)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vMerge w:val="restart"/>
          </w:tcPr>
          <w:p>
            <w:pPr>
              <w:jc w:val="right"/>
              <w:ind w:right="434"/>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restart"/>
          </w:tcPr>
          <w:p>
            <w:pPr>
              <w:jc w:val="right"/>
              <w:ind w:right="37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vMerge w:val="restart"/>
          </w:tcPr>
          <w:p>
            <w:pPr>
              <w:jc w:val="right"/>
              <w:ind w:right="414"/>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vMerge w:val="restart"/>
          </w:tcPr>
          <w:p>
            <w:pPr>
              <w:jc w:val="right"/>
              <w:ind w:right="33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Variance</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20" w:type="dxa"/>
            <w:vAlign w:val="bottom"/>
            <w:gridSpan w:val="4"/>
          </w:tcPr>
          <w:p>
            <w:pPr>
              <w:ind w:left="70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Franchise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85.5</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249.2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Rental operations</w:t>
            </w:r>
          </w:p>
        </w:tc>
        <w:tc>
          <w:tcPr>
            <w:tcW w:w="120" w:type="dxa"/>
            <w:vAlign w:val="bottom"/>
          </w:tcPr>
          <w:p>
            <w:pPr>
              <w:spacing w:after="0"/>
              <w:rPr>
                <w:sz w:val="19"/>
                <w:szCs w:val="19"/>
                <w:color w:val="auto"/>
              </w:rPr>
            </w:pP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Company restaurant operations</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32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Financing operations</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w w:val="91"/>
              </w:rPr>
              <w:t>(0.3)</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9"/>
        </w:trPr>
        <w:tc>
          <w:tcPr>
            <w:tcW w:w="20" w:type="dxa"/>
            <w:vAlign w:val="bottom"/>
            <w:shd w:val="clear" w:color="auto" w:fill="CCEEFF"/>
          </w:tcPr>
          <w:p>
            <w:pPr>
              <w:spacing w:after="0"/>
              <w:rPr>
                <w:sz w:val="20"/>
                <w:szCs w:val="20"/>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gross profit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94.6</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278.8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3200" w:type="dxa"/>
            <w:vAlign w:val="bottom"/>
            <w:gridSpan w:val="2"/>
          </w:tcPr>
          <w:p>
            <w:pPr>
              <w:spacing w:after="0" w:line="198" w:lineRule="exact"/>
              <w:rPr>
                <w:sz w:val="20"/>
                <w:szCs w:val="20"/>
                <w:color w:val="auto"/>
              </w:rPr>
            </w:pPr>
            <w:r>
              <w:rPr>
                <w:rFonts w:ascii="Arial" w:cs="Arial" w:eastAsia="Arial" w:hAnsi="Arial"/>
                <w:sz w:val="18"/>
                <w:szCs w:val="18"/>
                <w:color w:val="auto"/>
              </w:rPr>
              <w:t>Change vs. prior period</w:t>
            </w: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41.7 %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53.7 %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2" w:lineRule="exact"/>
        <w:rPr>
          <w:sz w:val="20"/>
          <w:szCs w:val="20"/>
          <w:color w:val="auto"/>
        </w:rPr>
      </w:pPr>
    </w:p>
    <w:p>
      <w:pPr>
        <w:ind w:right="180" w:firstLine="318"/>
        <w:spacing w:after="0" w:line="252" w:lineRule="auto"/>
        <w:rPr>
          <w:sz w:val="20"/>
          <w:szCs w:val="20"/>
          <w:color w:val="auto"/>
        </w:rPr>
      </w:pPr>
      <w:r>
        <w:rPr>
          <w:rFonts w:ascii="Arial" w:cs="Arial" w:eastAsia="Arial" w:hAnsi="Arial"/>
          <w:sz w:val="18"/>
          <w:szCs w:val="18"/>
          <w:color w:val="auto"/>
        </w:rPr>
        <w:t>Total gross profit for the three and nine months ended September 30, 2021 increased compared with the same periods of the prior year, primarily due to the increased revenue from franchise, company-operated restaurant and rental operations as well as lower bad debt expense in franchise operations. Favorable changes to the aging status of certain franchisee receivables resulted in a downward revision of estimated reserve requirements of $4.8 million and $12.7 million for the three and nine months ended September 30, 2021, respectively.</w:t>
      </w:r>
    </w:p>
    <w:p>
      <w:pPr>
        <w:spacing w:after="0" w:line="200" w:lineRule="exact"/>
        <w:rPr>
          <w:sz w:val="20"/>
          <w:szCs w:val="20"/>
          <w:color w:val="auto"/>
        </w:rPr>
      </w:pPr>
    </w:p>
    <w:p>
      <w:pPr>
        <w:spacing w:after="0" w:line="267" w:lineRule="exact"/>
        <w:rPr>
          <w:sz w:val="20"/>
          <w:szCs w:val="20"/>
          <w:color w:val="auto"/>
        </w:rPr>
      </w:pPr>
    </w:p>
    <w:tbl>
      <w:tblPr>
        <w:tblLayout w:type="fixed"/>
        <w:tblInd w:w="32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84"/>
              </w:rPr>
              <w:t>Franchise</w:t>
            </w:r>
          </w:p>
        </w:tc>
        <w:tc>
          <w:tcPr>
            <w:tcW w:w="5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w w:val="91"/>
              </w:rPr>
              <w:t>Three months ended September 30,</w:t>
            </w:r>
          </w:p>
        </w:tc>
        <w:tc>
          <w:tcPr>
            <w:tcW w:w="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Favorable</w:t>
            </w:r>
          </w:p>
        </w:tc>
        <w:tc>
          <w:tcPr>
            <w:tcW w:w="60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5"/>
          </w:tcPr>
          <w:p>
            <w:pPr>
              <w:jc w:val="right"/>
              <w:ind w:right="52"/>
              <w:spacing w:after="0"/>
              <w:rPr>
                <w:sz w:val="20"/>
                <w:szCs w:val="20"/>
                <w:color w:val="auto"/>
              </w:rPr>
            </w:pPr>
            <w:r>
              <w:rPr>
                <w:rFonts w:ascii="Arial" w:cs="Arial" w:eastAsia="Arial" w:hAnsi="Arial"/>
                <w:sz w:val="16"/>
                <w:szCs w:val="16"/>
                <w:b w:val="1"/>
                <w:bCs w:val="1"/>
                <w:color w:val="auto"/>
                <w:w w:val="93"/>
              </w:rPr>
              <w:t>Nine months ended September 30,</w:t>
            </w:r>
          </w:p>
        </w:tc>
        <w:tc>
          <w:tcPr>
            <w:tcW w:w="3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90"/>
              </w:rPr>
              <w:t>Favorable</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520" w:type="dxa"/>
            <w:vAlign w:val="bottom"/>
          </w:tcPr>
          <w:p>
            <w:pPr>
              <w:spacing w:after="0"/>
              <w:rPr>
                <w:sz w:val="5"/>
                <w:szCs w:val="5"/>
                <w:color w:val="auto"/>
              </w:rPr>
            </w:pPr>
          </w:p>
        </w:tc>
        <w:tc>
          <w:tcPr>
            <w:tcW w:w="7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Borders>
              <w:bottom w:val="single" w:sz="8" w:color="auto"/>
            </w:tcBorders>
            <w:gridSpan w:val="2"/>
            <w:vMerge w:val="continue"/>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3"/>
          </w:tcPr>
          <w:p>
            <w:pPr>
              <w:jc w:val="center"/>
              <w:ind w:right="80"/>
              <w:spacing w:after="0" w:line="106" w:lineRule="exact"/>
              <w:rPr>
                <w:sz w:val="20"/>
                <w:szCs w:val="20"/>
                <w:color w:val="auto"/>
              </w:rPr>
            </w:pPr>
            <w:r>
              <w:rPr>
                <w:rFonts w:ascii="Arial" w:cs="Arial" w:eastAsia="Arial" w:hAnsi="Arial"/>
                <w:sz w:val="12"/>
                <w:szCs w:val="12"/>
                <w:b w:val="1"/>
                <w:bCs w:val="1"/>
                <w:color w:val="auto"/>
              </w:rPr>
              <w:t>(Unfavorable)</w:t>
            </w:r>
          </w:p>
        </w:tc>
        <w:tc>
          <w:tcPr>
            <w:tcW w:w="6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gridSpan w:val="2"/>
          </w:tcPr>
          <w:p>
            <w:pPr>
              <w:jc w:val="right"/>
              <w:ind w:right="73"/>
              <w:spacing w:after="0" w:line="106" w:lineRule="exact"/>
              <w:rPr>
                <w:sz w:val="20"/>
                <w:szCs w:val="20"/>
                <w:color w:val="auto"/>
              </w:rPr>
            </w:pPr>
            <w:r>
              <w:rPr>
                <w:rFonts w:ascii="Arial" w:cs="Arial" w:eastAsia="Arial" w:hAnsi="Arial"/>
                <w:sz w:val="12"/>
                <w:szCs w:val="12"/>
                <w:b w:val="1"/>
                <w:bCs w:val="1"/>
                <w:color w:val="auto"/>
              </w:rPr>
              <w:t>(Unfavorable)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560" w:type="dxa"/>
            <w:vAlign w:val="bottom"/>
            <w:gridSpan w:val="4"/>
          </w:tcPr>
          <w:p>
            <w:pPr>
              <w:spacing w:after="0" w:line="152" w:lineRule="exact"/>
              <w:rPr>
                <w:sz w:val="20"/>
                <w:szCs w:val="20"/>
                <w:color w:val="auto"/>
              </w:rPr>
            </w:pPr>
            <w:r>
              <w:rPr>
                <w:rFonts w:ascii="Arial" w:cs="Arial" w:eastAsia="Arial" w:hAnsi="Arial"/>
                <w:sz w:val="17"/>
                <w:szCs w:val="17"/>
                <w:b w:val="1"/>
                <w:bCs w:val="1"/>
                <w:color w:val="auto"/>
              </w:rPr>
              <w:t>Operations</w:t>
            </w:r>
          </w:p>
        </w:tc>
        <w:tc>
          <w:tcPr>
            <w:tcW w:w="520" w:type="dxa"/>
            <w:vAlign w:val="bottom"/>
          </w:tcPr>
          <w:p>
            <w:pPr>
              <w:spacing w:after="0"/>
              <w:rPr>
                <w:sz w:val="13"/>
                <w:szCs w:val="13"/>
                <w:color w:val="auto"/>
              </w:rPr>
            </w:pPr>
          </w:p>
        </w:tc>
        <w:tc>
          <w:tcPr>
            <w:tcW w:w="760" w:type="dxa"/>
            <w:vAlign w:val="bottom"/>
          </w:tcPr>
          <w:p>
            <w:pPr>
              <w:jc w:val="right"/>
              <w:ind w:right="73"/>
              <w:spacing w:after="0" w:line="152" w:lineRule="exact"/>
              <w:rPr>
                <w:sz w:val="20"/>
                <w:szCs w:val="20"/>
                <w:color w:val="auto"/>
              </w:rPr>
            </w:pPr>
            <w:r>
              <w:rPr>
                <w:rFonts w:ascii="Arial" w:cs="Arial" w:eastAsia="Arial" w:hAnsi="Arial"/>
                <w:sz w:val="16"/>
                <w:szCs w:val="16"/>
                <w:b w:val="1"/>
                <w:bCs w:val="1"/>
                <w:color w:val="auto"/>
              </w:rPr>
              <w:t>2021</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tcPr>
          <w:p>
            <w:pPr>
              <w:jc w:val="right"/>
              <w:ind w:right="172"/>
              <w:spacing w:after="0" w:line="152" w:lineRule="exact"/>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3"/>
          </w:tcPr>
          <w:p>
            <w:pPr>
              <w:jc w:val="center"/>
              <w:ind w:right="100"/>
              <w:spacing w:after="0" w:line="152" w:lineRule="exact"/>
              <w:rPr>
                <w:sz w:val="20"/>
                <w:szCs w:val="20"/>
                <w:color w:val="auto"/>
              </w:rPr>
            </w:pPr>
            <w:r>
              <w:rPr>
                <w:rFonts w:ascii="Arial" w:cs="Arial" w:eastAsia="Arial" w:hAnsi="Arial"/>
                <w:sz w:val="14"/>
                <w:szCs w:val="14"/>
                <w:b w:val="1"/>
                <w:bCs w:val="1"/>
                <w:color w:val="auto"/>
                <w:w w:val="92"/>
              </w:rPr>
              <w:t>Variance</w:t>
            </w:r>
          </w:p>
        </w:tc>
        <w:tc>
          <w:tcPr>
            <w:tcW w:w="600" w:type="dxa"/>
            <w:vAlign w:val="bottom"/>
          </w:tcPr>
          <w:p>
            <w:pPr>
              <w:spacing w:after="0"/>
              <w:rPr>
                <w:sz w:val="13"/>
                <w:szCs w:val="13"/>
                <w:color w:val="auto"/>
              </w:rPr>
            </w:pPr>
          </w:p>
        </w:tc>
        <w:tc>
          <w:tcPr>
            <w:tcW w:w="920" w:type="dxa"/>
            <w:vAlign w:val="bottom"/>
          </w:tcPr>
          <w:p>
            <w:pPr>
              <w:jc w:val="right"/>
              <w:ind w:right="253"/>
              <w:spacing w:after="0" w:line="152" w:lineRule="exact"/>
              <w:rPr>
                <w:sz w:val="20"/>
                <w:szCs w:val="20"/>
                <w:color w:val="auto"/>
              </w:rPr>
            </w:pPr>
            <w:r>
              <w:rPr>
                <w:rFonts w:ascii="Arial" w:cs="Arial" w:eastAsia="Arial" w:hAnsi="Arial"/>
                <w:sz w:val="16"/>
                <w:szCs w:val="16"/>
                <w:b w:val="1"/>
                <w:bCs w:val="1"/>
                <w:color w:val="auto"/>
              </w:rPr>
              <w:t>2021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jc w:val="right"/>
              <w:ind w:right="152"/>
              <w:spacing w:after="0" w:line="152" w:lineRule="exact"/>
              <w:rPr>
                <w:sz w:val="20"/>
                <w:szCs w:val="20"/>
                <w:color w:val="auto"/>
              </w:rPr>
            </w:pPr>
            <w:r>
              <w:rPr>
                <w:rFonts w:ascii="Arial" w:cs="Arial" w:eastAsia="Arial" w:hAnsi="Arial"/>
                <w:sz w:val="16"/>
                <w:szCs w:val="16"/>
                <w:b w:val="1"/>
                <w:bCs w:val="1"/>
                <w:color w:val="auto"/>
              </w:rPr>
              <w:t>2020</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ind w:left="320"/>
              <w:spacing w:after="0" w:line="152" w:lineRule="exact"/>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60" w:type="dxa"/>
            <w:vAlign w:val="bottom"/>
            <w:gridSpan w:val="5"/>
          </w:tcPr>
          <w:p>
            <w:pPr>
              <w:jc w:val="right"/>
              <w:spacing w:after="0"/>
              <w:rPr>
                <w:sz w:val="20"/>
                <w:szCs w:val="20"/>
                <w:color w:val="auto"/>
              </w:rPr>
            </w:pPr>
            <w:r>
              <w:rPr>
                <w:rFonts w:ascii="Arial" w:cs="Arial" w:eastAsia="Arial" w:hAnsi="Arial"/>
                <w:sz w:val="14"/>
                <w:szCs w:val="14"/>
                <w:b w:val="1"/>
                <w:bCs w:val="1"/>
                <w:color w:val="auto"/>
                <w:w w:val="96"/>
              </w:rPr>
              <w:t>(In millions, except number of restaurants)</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3"/>
          </w:tcPr>
          <w:p>
            <w:pPr>
              <w:spacing w:after="0" w:line="175" w:lineRule="exact"/>
              <w:rPr>
                <w:sz w:val="20"/>
                <w:szCs w:val="20"/>
                <w:color w:val="auto"/>
              </w:rPr>
            </w:pPr>
            <w:r>
              <w:rPr>
                <w:rFonts w:ascii="Arial" w:cs="Arial" w:eastAsia="Arial" w:hAnsi="Arial"/>
                <w:sz w:val="18"/>
                <w:szCs w:val="18"/>
                <w:color w:val="auto"/>
              </w:rPr>
              <w:t>Effective</w:t>
            </w:r>
          </w:p>
        </w:tc>
        <w:tc>
          <w:tcPr>
            <w:tcW w:w="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560" w:type="dxa"/>
            <w:vAlign w:val="bottom"/>
            <w:gridSpan w:val="4"/>
          </w:tcPr>
          <w:p>
            <w:pPr>
              <w:spacing w:after="0" w:line="172" w:lineRule="exact"/>
              <w:rPr>
                <w:sz w:val="20"/>
                <w:szCs w:val="20"/>
                <w:color w:val="auto"/>
              </w:rPr>
            </w:pPr>
            <w:r>
              <w:rPr>
                <w:rFonts w:ascii="Arial" w:cs="Arial" w:eastAsia="Arial" w:hAnsi="Arial"/>
                <w:sz w:val="18"/>
                <w:szCs w:val="18"/>
                <w:color w:val="auto"/>
              </w:rPr>
              <w:t>Franchise</w:t>
            </w: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60" w:type="dxa"/>
            <w:vAlign w:val="bottom"/>
            <w:gridSpan w:val="4"/>
          </w:tcPr>
          <w:p>
            <w:pPr>
              <w:spacing w:after="0"/>
              <w:rPr>
                <w:sz w:val="20"/>
                <w:szCs w:val="20"/>
                <w:color w:val="auto"/>
              </w:rPr>
            </w:pPr>
            <w:r>
              <w:rPr>
                <w:rFonts w:ascii="Arial" w:cs="Arial" w:eastAsia="Arial" w:hAnsi="Arial"/>
                <w:sz w:val="18"/>
                <w:szCs w:val="18"/>
                <w:color w:val="auto"/>
              </w:rPr>
              <w:t>Restaurants:</w:t>
            </w:r>
            <w:r>
              <w:rPr>
                <w:rFonts w:ascii="Arial" w:cs="Arial" w:eastAsia="Arial" w:hAnsi="Arial"/>
                <w:sz w:val="10"/>
                <w:szCs w:val="10"/>
                <w:color w:val="auto"/>
              </w:rPr>
              <w:t>(1)</w:t>
            </w: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Applebee’s</w:t>
            </w:r>
          </w:p>
        </w:tc>
        <w:tc>
          <w:tcPr>
            <w:tcW w:w="5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1,619</w:t>
            </w:r>
          </w:p>
        </w:tc>
        <w:tc>
          <w:tcPr>
            <w:tcW w:w="3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1,636</w:t>
            </w:r>
          </w:p>
        </w:tc>
        <w:tc>
          <w:tcPr>
            <w:tcW w:w="2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rPr>
              <w:t>1,623</w:t>
            </w:r>
          </w:p>
        </w:tc>
        <w:tc>
          <w:tcPr>
            <w:tcW w:w="20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1,620</w:t>
            </w:r>
          </w:p>
        </w:tc>
        <w:tc>
          <w:tcPr>
            <w:tcW w:w="30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560" w:type="dxa"/>
            <w:vAlign w:val="bottom"/>
            <w:tcBorders>
              <w:top w:val="single" w:sz="8" w:color="CCEEFF"/>
              <w:bottom w:val="single" w:sz="8" w:color="CCEEFF"/>
            </w:tcBorders>
            <w:gridSpan w:val="4"/>
            <w:vMerge w:val="restart"/>
          </w:tcPr>
          <w:p>
            <w:pPr>
              <w:ind w:left="240"/>
              <w:spacing w:after="0"/>
              <w:rPr>
                <w:sz w:val="20"/>
                <w:szCs w:val="20"/>
                <w:color w:val="auto"/>
              </w:rPr>
            </w:pPr>
            <w:r>
              <w:rPr>
                <w:rFonts w:ascii="Arial" w:cs="Arial" w:eastAsia="Arial" w:hAnsi="Arial"/>
                <w:sz w:val="18"/>
                <w:szCs w:val="18"/>
                <w:color w:val="auto"/>
              </w:rPr>
              <w:t>IHOP</w:t>
            </w: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1560" w:type="dxa"/>
            <w:vAlign w:val="bottom"/>
            <w:gridSpan w:val="4"/>
            <w:vMerge w:val="continue"/>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13"/>
              <w:spacing w:after="0" w:line="198" w:lineRule="exact"/>
              <w:rPr>
                <w:sz w:val="20"/>
                <w:szCs w:val="20"/>
                <w:color w:val="auto"/>
              </w:rPr>
            </w:pPr>
            <w:r>
              <w:rPr>
                <w:rFonts w:ascii="Arial" w:cs="Arial" w:eastAsia="Arial" w:hAnsi="Arial"/>
                <w:sz w:val="18"/>
                <w:szCs w:val="18"/>
                <w:color w:val="auto"/>
              </w:rPr>
              <w:t>1,729</w:t>
            </w:r>
          </w:p>
        </w:tc>
        <w:tc>
          <w:tcPr>
            <w:tcW w:w="3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12"/>
              <w:spacing w:after="0" w:line="198" w:lineRule="exact"/>
              <w:rPr>
                <w:sz w:val="20"/>
                <w:szCs w:val="20"/>
                <w:color w:val="auto"/>
              </w:rPr>
            </w:pPr>
            <w:r>
              <w:rPr>
                <w:rFonts w:ascii="Arial" w:cs="Arial" w:eastAsia="Arial" w:hAnsi="Arial"/>
                <w:sz w:val="18"/>
                <w:szCs w:val="18"/>
                <w:color w:val="auto"/>
              </w:rPr>
              <w:t>1,687</w:t>
            </w:r>
          </w:p>
        </w:tc>
        <w:tc>
          <w:tcPr>
            <w:tcW w:w="2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42</w:t>
            </w:r>
          </w:p>
        </w:tc>
        <w:tc>
          <w:tcPr>
            <w:tcW w:w="8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53"/>
              <w:spacing w:after="0" w:line="198" w:lineRule="exact"/>
              <w:rPr>
                <w:sz w:val="20"/>
                <w:szCs w:val="20"/>
                <w:color w:val="auto"/>
              </w:rPr>
            </w:pPr>
            <w:r>
              <w:rPr>
                <w:rFonts w:ascii="Arial" w:cs="Arial" w:eastAsia="Arial" w:hAnsi="Arial"/>
                <w:sz w:val="18"/>
                <w:szCs w:val="18"/>
                <w:color w:val="auto"/>
              </w:rPr>
              <w:t>1,724</w:t>
            </w:r>
          </w:p>
        </w:tc>
        <w:tc>
          <w:tcPr>
            <w:tcW w:w="2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52"/>
              <w:spacing w:after="0" w:line="198" w:lineRule="exact"/>
              <w:rPr>
                <w:sz w:val="20"/>
                <w:szCs w:val="20"/>
                <w:color w:val="auto"/>
              </w:rPr>
            </w:pPr>
            <w:r>
              <w:rPr>
                <w:rFonts w:ascii="Arial" w:cs="Arial" w:eastAsia="Arial" w:hAnsi="Arial"/>
                <w:sz w:val="18"/>
                <w:szCs w:val="18"/>
                <w:color w:val="auto"/>
              </w:rPr>
              <w:t>1,670</w:t>
            </w:r>
          </w:p>
        </w:tc>
        <w:tc>
          <w:tcPr>
            <w:tcW w:w="3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gridSpan w:val="3"/>
            <w:vMerge w:val="restart"/>
          </w:tcPr>
          <w:p>
            <w:pPr>
              <w:spacing w:after="0"/>
              <w:rPr>
                <w:sz w:val="20"/>
                <w:szCs w:val="20"/>
                <w:color w:val="auto"/>
              </w:rPr>
            </w:pPr>
            <w:r>
              <w:rPr>
                <w:rFonts w:ascii="Arial" w:cs="Arial" w:eastAsia="Arial" w:hAnsi="Arial"/>
                <w:sz w:val="18"/>
                <w:szCs w:val="18"/>
                <w:color w:val="auto"/>
              </w:rPr>
              <w:t>Franchise</w:t>
            </w: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60" w:type="dxa"/>
            <w:vAlign w:val="bottom"/>
            <w:gridSpan w:val="4"/>
          </w:tcPr>
          <w:p>
            <w:pPr>
              <w:spacing w:after="0"/>
              <w:rPr>
                <w:sz w:val="20"/>
                <w:szCs w:val="20"/>
                <w:color w:val="auto"/>
              </w:rPr>
            </w:pPr>
            <w:r>
              <w:rPr>
                <w:rFonts w:ascii="Arial" w:cs="Arial" w:eastAsia="Arial" w:hAnsi="Arial"/>
                <w:sz w:val="18"/>
                <w:szCs w:val="18"/>
                <w:color w:val="auto"/>
              </w:rPr>
              <w:t>Revenues:</w:t>
            </w: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gridSpan w:val="3"/>
            <w:shd w:val="clear" w:color="auto" w:fill="CCEEFF"/>
          </w:tcPr>
          <w:p>
            <w:pPr>
              <w:ind w:left="200"/>
              <w:spacing w:after="0" w:line="174" w:lineRule="exact"/>
              <w:rPr>
                <w:sz w:val="20"/>
                <w:szCs w:val="20"/>
                <w:color w:val="auto"/>
              </w:rPr>
            </w:pPr>
            <w:r>
              <w:rPr>
                <w:rFonts w:ascii="Arial" w:cs="Arial" w:eastAsia="Arial" w:hAnsi="Arial"/>
                <w:sz w:val="18"/>
                <w:szCs w:val="18"/>
                <w:color w:val="auto"/>
              </w:rPr>
              <w:t>Applebee’s</w:t>
            </w:r>
          </w:p>
        </w:tc>
        <w:tc>
          <w:tcPr>
            <w:tcW w:w="5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ind w:right="113"/>
              <w:spacing w:after="0"/>
              <w:rPr>
                <w:sz w:val="20"/>
                <w:szCs w:val="20"/>
                <w:color w:val="auto"/>
              </w:rPr>
            </w:pPr>
            <w:r>
              <w:rPr>
                <w:rFonts w:ascii="Arial" w:cs="Arial" w:eastAsia="Arial" w:hAnsi="Arial"/>
                <w:sz w:val="18"/>
                <w:szCs w:val="18"/>
                <w:color w:val="auto"/>
              </w:rPr>
              <w:t>43.6</w:t>
            </w: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ind w:right="212"/>
              <w:spacing w:after="0"/>
              <w:rPr>
                <w:sz w:val="20"/>
                <w:szCs w:val="20"/>
                <w:color w:val="auto"/>
              </w:rPr>
            </w:pPr>
            <w:r>
              <w:rPr>
                <w:rFonts w:ascii="Arial" w:cs="Arial" w:eastAsia="Arial" w:hAnsi="Arial"/>
                <w:sz w:val="18"/>
                <w:szCs w:val="18"/>
                <w:color w:val="auto"/>
              </w:rPr>
              <w:t>32.4</w:t>
            </w:r>
          </w:p>
        </w:tc>
        <w:tc>
          <w:tcPr>
            <w:tcW w:w="74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ind w:right="253"/>
              <w:spacing w:after="0"/>
              <w:rPr>
                <w:sz w:val="20"/>
                <w:szCs w:val="20"/>
                <w:color w:val="auto"/>
              </w:rPr>
            </w:pPr>
            <w:r>
              <w:rPr>
                <w:rFonts w:ascii="Arial" w:cs="Arial" w:eastAsia="Arial" w:hAnsi="Arial"/>
                <w:sz w:val="18"/>
                <w:szCs w:val="18"/>
                <w:color w:val="auto"/>
              </w:rPr>
              <w:t>126.1</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rPr>
              <w:t>90.1</w:t>
            </w:r>
          </w:p>
        </w:tc>
        <w:tc>
          <w:tcPr>
            <w:tcW w:w="820" w:type="dxa"/>
            <w:vAlign w:val="bottom"/>
            <w:gridSpan w:val="3"/>
            <w:vMerge w:val="restart"/>
            <w:shd w:val="clear" w:color="auto" w:fill="CCEEFF"/>
          </w:tcPr>
          <w:p>
            <w:pPr>
              <w:ind w:left="720"/>
              <w:spacing w:after="0"/>
              <w:rPr>
                <w:sz w:val="20"/>
                <w:szCs w:val="20"/>
                <w:color w:val="auto"/>
              </w:rPr>
            </w:pPr>
            <w:r>
              <w:rPr>
                <w:rFonts w:ascii="Arial" w:cs="Arial" w:eastAsia="Arial" w:hAnsi="Arial"/>
                <w:sz w:val="18"/>
                <w:szCs w:val="18"/>
                <w:color w:val="auto"/>
                <w:w w:val="7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15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franchise fees</w:t>
            </w:r>
          </w:p>
        </w:tc>
        <w:tc>
          <w:tcPr>
            <w:tcW w:w="52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740" w:type="dxa"/>
            <w:vAlign w:val="bottom"/>
            <w:gridSpan w:val="3"/>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820" w:type="dxa"/>
            <w:vAlign w:val="bottom"/>
            <w:gridSpan w:val="3"/>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3"/>
          </w:tcPr>
          <w:p>
            <w:pPr>
              <w:ind w:left="200"/>
              <w:spacing w:after="0" w:line="173" w:lineRule="exact"/>
              <w:rPr>
                <w:sz w:val="20"/>
                <w:szCs w:val="20"/>
                <w:color w:val="auto"/>
              </w:rPr>
            </w:pPr>
            <w:r>
              <w:rPr>
                <w:rFonts w:ascii="Arial" w:cs="Arial" w:eastAsia="Arial" w:hAnsi="Arial"/>
                <w:sz w:val="18"/>
                <w:szCs w:val="18"/>
                <w:color w:val="auto"/>
              </w:rPr>
              <w:t>IHOP</w:t>
            </w:r>
          </w:p>
        </w:tc>
        <w:tc>
          <w:tcPr>
            <w:tcW w:w="520" w:type="dxa"/>
            <w:vAlign w:val="bottom"/>
          </w:tcPr>
          <w:p>
            <w:pPr>
              <w:spacing w:after="0"/>
              <w:rPr>
                <w:sz w:val="15"/>
                <w:szCs w:val="15"/>
                <w:color w:val="auto"/>
              </w:rPr>
            </w:pPr>
          </w:p>
        </w:tc>
        <w:tc>
          <w:tcPr>
            <w:tcW w:w="760" w:type="dxa"/>
            <w:vAlign w:val="bottom"/>
            <w:vMerge w:val="restart"/>
          </w:tcPr>
          <w:p>
            <w:pPr>
              <w:jc w:val="right"/>
              <w:ind w:right="113"/>
              <w:spacing w:after="0"/>
              <w:rPr>
                <w:sz w:val="20"/>
                <w:szCs w:val="20"/>
                <w:color w:val="auto"/>
              </w:rPr>
            </w:pPr>
            <w:r>
              <w:rPr>
                <w:rFonts w:ascii="Arial" w:cs="Arial" w:eastAsia="Arial" w:hAnsi="Arial"/>
                <w:sz w:val="18"/>
                <w:szCs w:val="18"/>
                <w:color w:val="auto"/>
              </w:rPr>
              <w:t>46.9</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vMerge w:val="restart"/>
          </w:tcPr>
          <w:p>
            <w:pPr>
              <w:jc w:val="right"/>
              <w:ind w:right="212"/>
              <w:spacing w:after="0"/>
              <w:rPr>
                <w:sz w:val="20"/>
                <w:szCs w:val="20"/>
                <w:color w:val="auto"/>
              </w:rPr>
            </w:pPr>
            <w:r>
              <w:rPr>
                <w:rFonts w:ascii="Arial" w:cs="Arial" w:eastAsia="Arial" w:hAnsi="Arial"/>
                <w:sz w:val="18"/>
                <w:szCs w:val="18"/>
                <w:color w:val="auto"/>
              </w:rPr>
              <w:t>37.5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0" w:type="dxa"/>
            <w:vAlign w:val="bottom"/>
            <w:vMerge w:val="restart"/>
          </w:tcPr>
          <w:p>
            <w:pPr>
              <w:jc w:val="right"/>
              <w:ind w:right="253"/>
              <w:spacing w:after="0"/>
              <w:rPr>
                <w:sz w:val="20"/>
                <w:szCs w:val="20"/>
                <w:color w:val="auto"/>
              </w:rPr>
            </w:pPr>
            <w:r>
              <w:rPr>
                <w:rFonts w:ascii="Arial" w:cs="Arial" w:eastAsia="Arial" w:hAnsi="Arial"/>
                <w:sz w:val="18"/>
                <w:szCs w:val="18"/>
                <w:color w:val="auto"/>
              </w:rPr>
              <w:t>139.1</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vMerge w:val="restart"/>
          </w:tcPr>
          <w:p>
            <w:pPr>
              <w:jc w:val="right"/>
              <w:ind w:right="152"/>
              <w:spacing w:after="0"/>
              <w:rPr>
                <w:sz w:val="20"/>
                <w:szCs w:val="20"/>
                <w:color w:val="auto"/>
              </w:rPr>
            </w:pPr>
            <w:r>
              <w:rPr>
                <w:rFonts w:ascii="Arial" w:cs="Arial" w:eastAsia="Arial" w:hAnsi="Arial"/>
                <w:sz w:val="18"/>
                <w:szCs w:val="18"/>
                <w:color w:val="auto"/>
              </w:rPr>
              <w:t>101.8</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60" w:type="dxa"/>
            <w:vAlign w:val="bottom"/>
            <w:gridSpan w:val="4"/>
          </w:tcPr>
          <w:p>
            <w:pPr>
              <w:ind w:left="200"/>
              <w:spacing w:after="0"/>
              <w:rPr>
                <w:sz w:val="20"/>
                <w:szCs w:val="20"/>
                <w:color w:val="auto"/>
              </w:rPr>
            </w:pPr>
            <w:r>
              <w:rPr>
                <w:rFonts w:ascii="Arial" w:cs="Arial" w:eastAsia="Arial" w:hAnsi="Arial"/>
                <w:sz w:val="18"/>
                <w:szCs w:val="18"/>
                <w:color w:val="auto"/>
              </w:rPr>
              <w:t>franchise fees</w:t>
            </w:r>
          </w:p>
        </w:tc>
        <w:tc>
          <w:tcPr>
            <w:tcW w:w="52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gridSpan w:val="3"/>
            <w:shd w:val="clear" w:color="auto" w:fill="CCEEFF"/>
          </w:tcPr>
          <w:p>
            <w:pPr>
              <w:ind w:left="200"/>
              <w:spacing w:after="0" w:line="174" w:lineRule="exact"/>
              <w:rPr>
                <w:sz w:val="20"/>
                <w:szCs w:val="20"/>
                <w:color w:val="auto"/>
              </w:rPr>
            </w:pPr>
            <w:r>
              <w:rPr>
                <w:rFonts w:ascii="Arial" w:cs="Arial" w:eastAsia="Arial" w:hAnsi="Arial"/>
                <w:sz w:val="18"/>
                <w:szCs w:val="18"/>
                <w:color w:val="auto"/>
              </w:rPr>
              <w:t>Advertising</w:t>
            </w:r>
          </w:p>
        </w:tc>
        <w:tc>
          <w:tcPr>
            <w:tcW w:w="5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113"/>
              <w:spacing w:after="0"/>
              <w:rPr>
                <w:sz w:val="20"/>
                <w:szCs w:val="20"/>
                <w:color w:val="auto"/>
              </w:rPr>
            </w:pPr>
            <w:r>
              <w:rPr>
                <w:rFonts w:ascii="Arial" w:cs="Arial" w:eastAsia="Arial" w:hAnsi="Arial"/>
                <w:sz w:val="18"/>
                <w:szCs w:val="18"/>
                <w:color w:val="auto"/>
              </w:rPr>
              <w:t>70.7</w:t>
            </w: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212"/>
              <w:spacing w:after="0"/>
              <w:rPr>
                <w:sz w:val="20"/>
                <w:szCs w:val="20"/>
                <w:color w:val="auto"/>
              </w:rPr>
            </w:pPr>
            <w:r>
              <w:rPr>
                <w:rFonts w:ascii="Arial" w:cs="Arial" w:eastAsia="Arial" w:hAnsi="Arial"/>
                <w:sz w:val="18"/>
                <w:szCs w:val="18"/>
                <w:color w:val="auto"/>
              </w:rPr>
              <w:t>51.9</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253"/>
              <w:spacing w:after="0"/>
              <w:rPr>
                <w:sz w:val="20"/>
                <w:szCs w:val="20"/>
                <w:color w:val="auto"/>
              </w:rPr>
            </w:pPr>
            <w:r>
              <w:rPr>
                <w:rFonts w:ascii="Arial" w:cs="Arial" w:eastAsia="Arial" w:hAnsi="Arial"/>
                <w:sz w:val="18"/>
                <w:szCs w:val="18"/>
                <w:color w:val="auto"/>
              </w:rPr>
              <w:t>203.9</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rPr>
              <w:t>142.8</w:t>
            </w: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15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fees</w:t>
            </w:r>
          </w:p>
        </w:tc>
        <w:tc>
          <w:tcPr>
            <w:tcW w:w="5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gridSpan w:val="3"/>
          </w:tcPr>
          <w:p>
            <w:pPr>
              <w:spacing w:after="0" w:line="154" w:lineRule="exact"/>
              <w:rPr>
                <w:sz w:val="20"/>
                <w:szCs w:val="20"/>
                <w:color w:val="auto"/>
              </w:rPr>
            </w:pPr>
            <w:r>
              <w:rPr>
                <w:rFonts w:ascii="Arial" w:cs="Arial" w:eastAsia="Arial" w:hAnsi="Arial"/>
                <w:sz w:val="17"/>
                <w:szCs w:val="17"/>
                <w:color w:val="auto"/>
              </w:rPr>
              <w:t>Total franchise</w:t>
            </w:r>
          </w:p>
        </w:tc>
        <w:tc>
          <w:tcPr>
            <w:tcW w:w="520" w:type="dxa"/>
            <w:vAlign w:val="bottom"/>
          </w:tcPr>
          <w:p>
            <w:pPr>
              <w:spacing w:after="0"/>
              <w:rPr>
                <w:sz w:val="13"/>
                <w:szCs w:val="13"/>
                <w:color w:val="auto"/>
              </w:rPr>
            </w:pPr>
          </w:p>
        </w:tc>
        <w:tc>
          <w:tcPr>
            <w:tcW w:w="760" w:type="dxa"/>
            <w:vAlign w:val="bottom"/>
            <w:vMerge w:val="restart"/>
          </w:tcPr>
          <w:p>
            <w:pPr>
              <w:jc w:val="right"/>
              <w:ind w:right="113"/>
              <w:spacing w:after="0"/>
              <w:rPr>
                <w:sz w:val="20"/>
                <w:szCs w:val="20"/>
                <w:color w:val="auto"/>
              </w:rPr>
            </w:pPr>
            <w:r>
              <w:rPr>
                <w:rFonts w:ascii="Arial" w:cs="Arial" w:eastAsia="Arial" w:hAnsi="Arial"/>
                <w:sz w:val="18"/>
                <w:szCs w:val="18"/>
                <w:color w:val="auto"/>
              </w:rPr>
              <w:t>161.2</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vMerge w:val="restart"/>
          </w:tcPr>
          <w:p>
            <w:pPr>
              <w:jc w:val="right"/>
              <w:ind w:right="212"/>
              <w:spacing w:after="0"/>
              <w:rPr>
                <w:sz w:val="20"/>
                <w:szCs w:val="20"/>
                <w:color w:val="auto"/>
              </w:rPr>
            </w:pPr>
            <w:r>
              <w:rPr>
                <w:rFonts w:ascii="Arial" w:cs="Arial" w:eastAsia="Arial" w:hAnsi="Arial"/>
                <w:sz w:val="18"/>
                <w:szCs w:val="18"/>
                <w:color w:val="auto"/>
              </w:rPr>
              <w:t>121.8</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39.4</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vMerge w:val="restart"/>
          </w:tcPr>
          <w:p>
            <w:pPr>
              <w:jc w:val="right"/>
              <w:ind w:right="253"/>
              <w:spacing w:after="0"/>
              <w:rPr>
                <w:sz w:val="20"/>
                <w:szCs w:val="20"/>
                <w:color w:val="auto"/>
              </w:rPr>
            </w:pPr>
            <w:r>
              <w:rPr>
                <w:rFonts w:ascii="Arial" w:cs="Arial" w:eastAsia="Arial" w:hAnsi="Arial"/>
                <w:sz w:val="18"/>
                <w:szCs w:val="18"/>
                <w:color w:val="auto"/>
              </w:rPr>
              <w:t>469.1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vMerge w:val="restart"/>
          </w:tcPr>
          <w:p>
            <w:pPr>
              <w:jc w:val="right"/>
              <w:ind w:right="152"/>
              <w:spacing w:after="0"/>
              <w:rPr>
                <w:sz w:val="20"/>
                <w:szCs w:val="20"/>
                <w:color w:val="auto"/>
              </w:rPr>
            </w:pPr>
            <w:r>
              <w:rPr>
                <w:rFonts w:ascii="Arial" w:cs="Arial" w:eastAsia="Arial" w:hAnsi="Arial"/>
                <w:sz w:val="18"/>
                <w:szCs w:val="18"/>
                <w:color w:val="auto"/>
              </w:rPr>
              <w:t>334.7</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60" w:type="dxa"/>
            <w:vAlign w:val="bottom"/>
            <w:gridSpan w:val="4"/>
          </w:tcPr>
          <w:p>
            <w:pPr>
              <w:spacing w:after="0"/>
              <w:rPr>
                <w:sz w:val="20"/>
                <w:szCs w:val="20"/>
                <w:color w:val="auto"/>
              </w:rPr>
            </w:pPr>
            <w:r>
              <w:rPr>
                <w:rFonts w:ascii="Arial" w:cs="Arial" w:eastAsia="Arial" w:hAnsi="Arial"/>
                <w:sz w:val="18"/>
                <w:szCs w:val="18"/>
                <w:color w:val="auto"/>
              </w:rPr>
              <w:t>revenues</w:t>
            </w:r>
          </w:p>
        </w:tc>
        <w:tc>
          <w:tcPr>
            <w:tcW w:w="5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gridSpan w:val="3"/>
          </w:tcPr>
          <w:p>
            <w:pPr>
              <w:spacing w:after="0" w:line="154" w:lineRule="exact"/>
              <w:rPr>
                <w:sz w:val="20"/>
                <w:szCs w:val="20"/>
                <w:color w:val="auto"/>
              </w:rPr>
            </w:pPr>
            <w:r>
              <w:rPr>
                <w:rFonts w:ascii="Arial" w:cs="Arial" w:eastAsia="Arial" w:hAnsi="Arial"/>
                <w:sz w:val="17"/>
                <w:szCs w:val="17"/>
                <w:color w:val="auto"/>
              </w:rPr>
              <w:t>Franchise</w:t>
            </w: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60" w:type="dxa"/>
            <w:vAlign w:val="bottom"/>
            <w:gridSpan w:val="4"/>
          </w:tcPr>
          <w:p>
            <w:pPr>
              <w:spacing w:after="0"/>
              <w:rPr>
                <w:sz w:val="20"/>
                <w:szCs w:val="20"/>
                <w:color w:val="auto"/>
              </w:rPr>
            </w:pPr>
            <w:r>
              <w:rPr>
                <w:rFonts w:ascii="Arial" w:cs="Arial" w:eastAsia="Arial" w:hAnsi="Arial"/>
                <w:sz w:val="18"/>
                <w:szCs w:val="18"/>
                <w:color w:val="auto"/>
              </w:rPr>
              <w:t>Expenses:</w:t>
            </w: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Applebee’s</w:t>
            </w:r>
          </w:p>
        </w:tc>
        <w:tc>
          <w:tcPr>
            <w:tcW w:w="5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0.5</w:t>
            </w: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7.8</w:t>
            </w: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3"/>
          </w:tcPr>
          <w:p>
            <w:pPr>
              <w:ind w:left="200"/>
              <w:spacing w:after="0"/>
              <w:rPr>
                <w:sz w:val="20"/>
                <w:szCs w:val="20"/>
                <w:color w:val="auto"/>
              </w:rPr>
            </w:pPr>
            <w:r>
              <w:rPr>
                <w:rFonts w:ascii="Arial" w:cs="Arial" w:eastAsia="Arial" w:hAnsi="Arial"/>
                <w:sz w:val="18"/>
                <w:szCs w:val="18"/>
                <w:color w:val="auto"/>
              </w:rPr>
              <w:t>IHOP</w:t>
            </w:r>
          </w:p>
        </w:tc>
        <w:tc>
          <w:tcPr>
            <w:tcW w:w="520" w:type="dxa"/>
            <w:vAlign w:val="bottom"/>
          </w:tcPr>
          <w:p>
            <w:pPr>
              <w:spacing w:after="0"/>
              <w:rPr>
                <w:sz w:val="19"/>
                <w:szCs w:val="19"/>
                <w:color w:val="auto"/>
              </w:rPr>
            </w:pP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4.5</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jc w:val="right"/>
              <w:ind w:right="212"/>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ind w:right="253"/>
              <w:spacing w:after="0"/>
              <w:rPr>
                <w:sz w:val="20"/>
                <w:szCs w:val="20"/>
                <w:color w:val="auto"/>
              </w:rPr>
            </w:pPr>
            <w:r>
              <w:rPr>
                <w:rFonts w:ascii="Arial" w:cs="Arial" w:eastAsia="Arial" w:hAnsi="Arial"/>
                <w:sz w:val="18"/>
                <w:szCs w:val="18"/>
                <w:color w:val="auto"/>
              </w:rPr>
              <w:t>13.8</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jc w:val="right"/>
              <w:ind w:right="152"/>
              <w:spacing w:after="0"/>
              <w:rPr>
                <w:sz w:val="20"/>
                <w:szCs w:val="20"/>
                <w:color w:val="auto"/>
              </w:rPr>
            </w:pPr>
            <w:r>
              <w:rPr>
                <w:rFonts w:ascii="Arial" w:cs="Arial" w:eastAsia="Arial" w:hAnsi="Arial"/>
                <w:sz w:val="18"/>
                <w:szCs w:val="18"/>
                <w:color w:val="auto"/>
              </w:rPr>
              <w:t>16.6</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74"/>
        </w:trPr>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gridSpan w:val="3"/>
            <w:shd w:val="clear" w:color="auto" w:fill="CCEEFF"/>
          </w:tcPr>
          <w:p>
            <w:pPr>
              <w:ind w:left="200"/>
              <w:spacing w:after="0" w:line="174" w:lineRule="exact"/>
              <w:rPr>
                <w:sz w:val="20"/>
                <w:szCs w:val="20"/>
                <w:color w:val="auto"/>
              </w:rPr>
            </w:pPr>
            <w:r>
              <w:rPr>
                <w:rFonts w:ascii="Arial" w:cs="Arial" w:eastAsia="Arial" w:hAnsi="Arial"/>
                <w:sz w:val="18"/>
                <w:szCs w:val="18"/>
                <w:color w:val="auto"/>
              </w:rPr>
              <w:t>Advertising</w:t>
            </w:r>
          </w:p>
        </w:tc>
        <w:tc>
          <w:tcPr>
            <w:tcW w:w="5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113"/>
              <w:spacing w:after="0"/>
              <w:rPr>
                <w:sz w:val="20"/>
                <w:szCs w:val="20"/>
                <w:color w:val="auto"/>
              </w:rPr>
            </w:pPr>
            <w:r>
              <w:rPr>
                <w:rFonts w:ascii="Arial" w:cs="Arial" w:eastAsia="Arial" w:hAnsi="Arial"/>
                <w:sz w:val="18"/>
                <w:szCs w:val="18"/>
                <w:color w:val="auto"/>
              </w:rPr>
              <w:t>70.7</w:t>
            </w: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212"/>
              <w:spacing w:after="0"/>
              <w:rPr>
                <w:sz w:val="20"/>
                <w:szCs w:val="20"/>
                <w:color w:val="auto"/>
              </w:rPr>
            </w:pPr>
            <w:r>
              <w:rPr>
                <w:rFonts w:ascii="Arial" w:cs="Arial" w:eastAsia="Arial" w:hAnsi="Arial"/>
                <w:sz w:val="18"/>
                <w:szCs w:val="18"/>
                <w:color w:val="auto"/>
              </w:rPr>
              <w:t>51.9</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253"/>
              <w:spacing w:after="0"/>
              <w:rPr>
                <w:sz w:val="20"/>
                <w:szCs w:val="20"/>
                <w:color w:val="auto"/>
              </w:rPr>
            </w:pPr>
            <w:r>
              <w:rPr>
                <w:rFonts w:ascii="Arial" w:cs="Arial" w:eastAsia="Arial" w:hAnsi="Arial"/>
                <w:sz w:val="18"/>
                <w:szCs w:val="18"/>
                <w:color w:val="auto"/>
              </w:rPr>
              <w:t>203.9</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rPr>
              <w:t>142.8</w:t>
            </w: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15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expenses</w:t>
            </w:r>
          </w:p>
        </w:tc>
        <w:tc>
          <w:tcPr>
            <w:tcW w:w="5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gridSpan w:val="3"/>
          </w:tcPr>
          <w:p>
            <w:pPr>
              <w:spacing w:after="0" w:line="154" w:lineRule="exact"/>
              <w:rPr>
                <w:sz w:val="20"/>
                <w:szCs w:val="20"/>
                <w:color w:val="auto"/>
              </w:rPr>
            </w:pPr>
            <w:r>
              <w:rPr>
                <w:rFonts w:ascii="Arial" w:cs="Arial" w:eastAsia="Arial" w:hAnsi="Arial"/>
                <w:sz w:val="17"/>
                <w:szCs w:val="17"/>
                <w:color w:val="auto"/>
              </w:rPr>
              <w:t>Total franchise</w:t>
            </w:r>
          </w:p>
        </w:tc>
        <w:tc>
          <w:tcPr>
            <w:tcW w:w="520" w:type="dxa"/>
            <w:vAlign w:val="bottom"/>
          </w:tcPr>
          <w:p>
            <w:pPr>
              <w:spacing w:after="0"/>
              <w:rPr>
                <w:sz w:val="13"/>
                <w:szCs w:val="13"/>
                <w:color w:val="auto"/>
              </w:rPr>
            </w:pPr>
          </w:p>
        </w:tc>
        <w:tc>
          <w:tcPr>
            <w:tcW w:w="760" w:type="dxa"/>
            <w:vAlign w:val="bottom"/>
            <w:vMerge w:val="restart"/>
          </w:tcPr>
          <w:p>
            <w:pPr>
              <w:jc w:val="right"/>
              <w:ind w:right="113"/>
              <w:spacing w:after="0"/>
              <w:rPr>
                <w:sz w:val="20"/>
                <w:szCs w:val="20"/>
                <w:color w:val="auto"/>
              </w:rPr>
            </w:pPr>
            <w:r>
              <w:rPr>
                <w:rFonts w:ascii="Arial" w:cs="Arial" w:eastAsia="Arial" w:hAnsi="Arial"/>
                <w:sz w:val="18"/>
                <w:szCs w:val="18"/>
                <w:color w:val="auto"/>
              </w:rPr>
              <w:t>75.7</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vMerge w:val="restart"/>
          </w:tcPr>
          <w:p>
            <w:pPr>
              <w:jc w:val="right"/>
              <w:ind w:right="212"/>
              <w:spacing w:after="0"/>
              <w:rPr>
                <w:sz w:val="20"/>
                <w:szCs w:val="20"/>
                <w:color w:val="auto"/>
              </w:rPr>
            </w:pPr>
            <w:r>
              <w:rPr>
                <w:rFonts w:ascii="Arial" w:cs="Arial" w:eastAsia="Arial" w:hAnsi="Arial"/>
                <w:sz w:val="18"/>
                <w:szCs w:val="18"/>
                <w:color w:val="auto"/>
              </w:rPr>
              <w:t>60.6</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vMerge w:val="restart"/>
          </w:tcPr>
          <w:p>
            <w:pPr>
              <w:jc w:val="right"/>
              <w:ind w:right="253"/>
              <w:spacing w:after="0"/>
              <w:rPr>
                <w:sz w:val="20"/>
                <w:szCs w:val="20"/>
                <w:color w:val="auto"/>
              </w:rPr>
            </w:pPr>
            <w:r>
              <w:rPr>
                <w:rFonts w:ascii="Arial" w:cs="Arial" w:eastAsia="Arial" w:hAnsi="Arial"/>
                <w:sz w:val="18"/>
                <w:szCs w:val="18"/>
                <w:color w:val="auto"/>
              </w:rPr>
              <w:t>219.9</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vMerge w:val="restart"/>
          </w:tcPr>
          <w:p>
            <w:pPr>
              <w:jc w:val="right"/>
              <w:ind w:right="152"/>
              <w:spacing w:after="0"/>
              <w:rPr>
                <w:sz w:val="20"/>
                <w:szCs w:val="20"/>
                <w:color w:val="auto"/>
              </w:rPr>
            </w:pPr>
            <w:r>
              <w:rPr>
                <w:rFonts w:ascii="Arial" w:cs="Arial" w:eastAsia="Arial" w:hAnsi="Arial"/>
                <w:sz w:val="18"/>
                <w:szCs w:val="18"/>
                <w:color w:val="auto"/>
              </w:rPr>
              <w:t>167.2</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60" w:type="dxa"/>
            <w:vAlign w:val="bottom"/>
            <w:gridSpan w:val="4"/>
          </w:tcPr>
          <w:p>
            <w:pPr>
              <w:spacing w:after="0"/>
              <w:rPr>
                <w:sz w:val="20"/>
                <w:szCs w:val="20"/>
                <w:color w:val="auto"/>
              </w:rPr>
            </w:pPr>
            <w:r>
              <w:rPr>
                <w:rFonts w:ascii="Arial" w:cs="Arial" w:eastAsia="Arial" w:hAnsi="Arial"/>
                <w:sz w:val="18"/>
                <w:szCs w:val="18"/>
                <w:color w:val="auto"/>
              </w:rPr>
              <w:t>expenses</w:t>
            </w:r>
          </w:p>
        </w:tc>
        <w:tc>
          <w:tcPr>
            <w:tcW w:w="5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gridSpan w:val="3"/>
          </w:tcPr>
          <w:p>
            <w:pPr>
              <w:spacing w:after="0" w:line="154" w:lineRule="exact"/>
              <w:rPr>
                <w:sz w:val="20"/>
                <w:szCs w:val="20"/>
                <w:color w:val="auto"/>
              </w:rPr>
            </w:pPr>
            <w:r>
              <w:rPr>
                <w:rFonts w:ascii="Arial" w:cs="Arial" w:eastAsia="Arial" w:hAnsi="Arial"/>
                <w:sz w:val="17"/>
                <w:szCs w:val="17"/>
                <w:color w:val="auto"/>
              </w:rPr>
              <w:t>Franchise</w:t>
            </w: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60" w:type="dxa"/>
            <w:vAlign w:val="bottom"/>
            <w:gridSpan w:val="4"/>
          </w:tcPr>
          <w:p>
            <w:pPr>
              <w:spacing w:after="0"/>
              <w:rPr>
                <w:sz w:val="20"/>
                <w:szCs w:val="20"/>
                <w:color w:val="auto"/>
              </w:rPr>
            </w:pPr>
            <w:r>
              <w:rPr>
                <w:rFonts w:ascii="Arial" w:cs="Arial" w:eastAsia="Arial" w:hAnsi="Arial"/>
                <w:sz w:val="18"/>
                <w:szCs w:val="18"/>
                <w:color w:val="auto"/>
              </w:rPr>
              <w:t>Gross Profit:</w:t>
            </w: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Applebee’s</w:t>
            </w:r>
          </w:p>
        </w:tc>
        <w:tc>
          <w:tcPr>
            <w:tcW w:w="5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43.1</w:t>
            </w: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29.2</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123.9</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82.3</w:t>
            </w: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gridSpan w:val="3"/>
          </w:tcPr>
          <w:p>
            <w:pPr>
              <w:ind w:left="200"/>
              <w:spacing w:after="0"/>
              <w:rPr>
                <w:sz w:val="20"/>
                <w:szCs w:val="20"/>
                <w:color w:val="auto"/>
              </w:rPr>
            </w:pPr>
            <w:r>
              <w:rPr>
                <w:rFonts w:ascii="Arial" w:cs="Arial" w:eastAsia="Arial" w:hAnsi="Arial"/>
                <w:sz w:val="18"/>
                <w:szCs w:val="18"/>
                <w:color w:val="auto"/>
              </w:rPr>
              <w:t>IHOP</w:t>
            </w:r>
          </w:p>
        </w:tc>
        <w:tc>
          <w:tcPr>
            <w:tcW w:w="5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42.4</w:t>
            </w:r>
          </w:p>
        </w:tc>
        <w:tc>
          <w:tcPr>
            <w:tcW w:w="3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31.9</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125.3</w:t>
            </w: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85.2</w:t>
            </w:r>
          </w:p>
        </w:tc>
        <w:tc>
          <w:tcPr>
            <w:tcW w:w="3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154"/>
        </w:trPr>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40" w:type="dxa"/>
            <w:vAlign w:val="bottom"/>
            <w:gridSpan w:val="3"/>
            <w:shd w:val="clear" w:color="auto" w:fill="CCEEFF"/>
          </w:tcPr>
          <w:p>
            <w:pPr>
              <w:spacing w:after="0" w:line="154" w:lineRule="exact"/>
              <w:rPr>
                <w:sz w:val="20"/>
                <w:szCs w:val="20"/>
                <w:color w:val="auto"/>
              </w:rPr>
            </w:pPr>
            <w:r>
              <w:rPr>
                <w:rFonts w:ascii="Arial" w:cs="Arial" w:eastAsia="Arial" w:hAnsi="Arial"/>
                <w:sz w:val="17"/>
                <w:szCs w:val="17"/>
                <w:color w:val="auto"/>
              </w:rPr>
              <w:t>Total franchise</w:t>
            </w:r>
          </w:p>
        </w:tc>
        <w:tc>
          <w:tcPr>
            <w:tcW w:w="5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ind w:right="113"/>
              <w:spacing w:after="0"/>
              <w:rPr>
                <w:sz w:val="20"/>
                <w:szCs w:val="20"/>
                <w:color w:val="auto"/>
              </w:rPr>
            </w:pPr>
            <w:r>
              <w:rPr>
                <w:rFonts w:ascii="Arial" w:cs="Arial" w:eastAsia="Arial" w:hAnsi="Arial"/>
                <w:sz w:val="18"/>
                <w:szCs w:val="18"/>
                <w:color w:val="auto"/>
              </w:rPr>
              <w:t>85.5</w:t>
            </w: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ind w:right="212"/>
              <w:spacing w:after="0"/>
              <w:rPr>
                <w:sz w:val="20"/>
                <w:szCs w:val="20"/>
                <w:color w:val="auto"/>
              </w:rPr>
            </w:pPr>
            <w:r>
              <w:rPr>
                <w:rFonts w:ascii="Arial" w:cs="Arial" w:eastAsia="Arial" w:hAnsi="Arial"/>
                <w:sz w:val="18"/>
                <w:szCs w:val="18"/>
                <w:color w:val="auto"/>
              </w:rPr>
              <w:t>61.1</w:t>
            </w:r>
          </w:p>
        </w:tc>
        <w:tc>
          <w:tcPr>
            <w:tcW w:w="74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8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ind w:right="253"/>
              <w:spacing w:after="0"/>
              <w:rPr>
                <w:sz w:val="20"/>
                <w:szCs w:val="20"/>
                <w:color w:val="auto"/>
              </w:rPr>
            </w:pPr>
            <w:r>
              <w:rPr>
                <w:rFonts w:ascii="Arial" w:cs="Arial" w:eastAsia="Arial" w:hAnsi="Arial"/>
                <w:sz w:val="18"/>
                <w:szCs w:val="18"/>
                <w:color w:val="auto"/>
              </w:rPr>
              <w:t>249.2</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rPr>
              <w:t>167.5</w:t>
            </w:r>
          </w:p>
        </w:tc>
        <w:tc>
          <w:tcPr>
            <w:tcW w:w="820" w:type="dxa"/>
            <w:vAlign w:val="bottom"/>
            <w:gridSpan w:val="3"/>
            <w:vMerge w:val="restart"/>
            <w:shd w:val="clear" w:color="auto" w:fill="CCEEFF"/>
          </w:tcPr>
          <w:p>
            <w:pPr>
              <w:ind w:left="720"/>
              <w:spacing w:after="0"/>
              <w:rPr>
                <w:sz w:val="20"/>
                <w:szCs w:val="20"/>
                <w:color w:val="auto"/>
              </w:rPr>
            </w:pPr>
            <w:r>
              <w:rPr>
                <w:rFonts w:ascii="Arial" w:cs="Arial" w:eastAsia="Arial" w:hAnsi="Arial"/>
                <w:sz w:val="18"/>
                <w:szCs w:val="18"/>
                <w:color w:val="auto"/>
                <w:w w:val="7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1560" w:type="dxa"/>
            <w:vAlign w:val="bottom"/>
            <w:gridSpan w:val="4"/>
            <w:shd w:val="clear" w:color="auto" w:fill="CCEEFF"/>
          </w:tcPr>
          <w:p>
            <w:pPr>
              <w:spacing w:after="0" w:line="198" w:lineRule="exact"/>
              <w:rPr>
                <w:sz w:val="20"/>
                <w:szCs w:val="20"/>
                <w:color w:val="auto"/>
              </w:rPr>
            </w:pPr>
            <w:r>
              <w:rPr>
                <w:rFonts w:ascii="Arial" w:cs="Arial" w:eastAsia="Arial" w:hAnsi="Arial"/>
                <w:sz w:val="18"/>
                <w:szCs w:val="18"/>
                <w:color w:val="auto"/>
              </w:rPr>
              <w:t>gross profit</w:t>
            </w:r>
          </w:p>
        </w:tc>
        <w:tc>
          <w:tcPr>
            <w:tcW w:w="52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740" w:type="dxa"/>
            <w:vAlign w:val="bottom"/>
            <w:gridSpan w:val="3"/>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20" w:type="dxa"/>
            <w:vAlign w:val="bottom"/>
            <w:gridSpan w:val="3"/>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1240" w:type="dxa"/>
            <w:vAlign w:val="bottom"/>
            <w:tcBorders>
              <w:top w:val="single" w:sz="8" w:color="CCEEFF"/>
              <w:bottom w:val="single" w:sz="8" w:color="CCEEFF"/>
            </w:tcBorders>
            <w:gridSpan w:val="3"/>
            <w:vMerge w:val="restart"/>
          </w:tcPr>
          <w:p>
            <w:pPr>
              <w:spacing w:after="0" w:line="160" w:lineRule="exact"/>
              <w:rPr>
                <w:sz w:val="20"/>
                <w:szCs w:val="20"/>
                <w:color w:val="auto"/>
              </w:rPr>
            </w:pPr>
            <w:r>
              <w:rPr>
                <w:rFonts w:ascii="Arial" w:cs="Arial" w:eastAsia="Arial" w:hAnsi="Arial"/>
                <w:sz w:val="18"/>
                <w:szCs w:val="18"/>
                <w:color w:val="auto"/>
              </w:rPr>
              <w:t>Gross profit as</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5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60" w:type="dxa"/>
            <w:vAlign w:val="bottom"/>
            <w:gridSpan w:val="4"/>
          </w:tcPr>
          <w:p>
            <w:pPr>
              <w:spacing w:after="0" w:line="171" w:lineRule="exact"/>
              <w:rPr>
                <w:sz w:val="20"/>
                <w:szCs w:val="20"/>
                <w:color w:val="auto"/>
              </w:rPr>
            </w:pPr>
            <w:r>
              <w:rPr>
                <w:rFonts w:ascii="Arial" w:cs="Arial" w:eastAsia="Arial" w:hAnsi="Arial"/>
                <w:sz w:val="18"/>
                <w:szCs w:val="18"/>
                <w:color w:val="auto"/>
              </w:rPr>
              <w:t>% of franchise</w:t>
            </w:r>
          </w:p>
        </w:tc>
        <w:tc>
          <w:tcPr>
            <w:tcW w:w="520" w:type="dxa"/>
            <w:vAlign w:val="bottom"/>
          </w:tcPr>
          <w:p>
            <w:pPr>
              <w:spacing w:after="0"/>
              <w:rPr>
                <w:sz w:val="14"/>
                <w:szCs w:val="14"/>
                <w:color w:val="auto"/>
              </w:rPr>
            </w:pPr>
          </w:p>
        </w:tc>
        <w:tc>
          <w:tcPr>
            <w:tcW w:w="760" w:type="dxa"/>
            <w:vAlign w:val="bottom"/>
            <w:vMerge w:val="restart"/>
          </w:tcPr>
          <w:p>
            <w:pPr>
              <w:jc w:val="right"/>
              <w:ind w:right="113"/>
              <w:spacing w:after="0"/>
              <w:rPr>
                <w:sz w:val="20"/>
                <w:szCs w:val="20"/>
                <w:color w:val="auto"/>
              </w:rPr>
            </w:pPr>
            <w:r>
              <w:rPr>
                <w:rFonts w:ascii="Arial" w:cs="Arial" w:eastAsia="Arial" w:hAnsi="Arial"/>
                <w:sz w:val="18"/>
                <w:szCs w:val="18"/>
                <w:color w:val="auto"/>
              </w:rPr>
              <w:t>53.0</w:t>
            </w: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vMerge w:val="restart"/>
          </w:tcPr>
          <w:p>
            <w:pPr>
              <w:jc w:val="right"/>
              <w:ind w:right="212"/>
              <w:spacing w:after="0"/>
              <w:rPr>
                <w:sz w:val="20"/>
                <w:szCs w:val="20"/>
                <w:color w:val="auto"/>
              </w:rPr>
            </w:pPr>
            <w:r>
              <w:rPr>
                <w:rFonts w:ascii="Arial" w:cs="Arial" w:eastAsia="Arial" w:hAnsi="Arial"/>
                <w:sz w:val="18"/>
                <w:szCs w:val="18"/>
                <w:color w:val="auto"/>
              </w:rPr>
              <w:t>50.2</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vMerge w:val="restart"/>
          </w:tcPr>
          <w:p>
            <w:pPr>
              <w:jc w:val="right"/>
              <w:ind w:right="253"/>
              <w:spacing w:after="0"/>
              <w:rPr>
                <w:sz w:val="20"/>
                <w:szCs w:val="20"/>
                <w:color w:val="auto"/>
              </w:rPr>
            </w:pPr>
            <w:r>
              <w:rPr>
                <w:rFonts w:ascii="Arial" w:cs="Arial" w:eastAsia="Arial" w:hAnsi="Arial"/>
                <w:sz w:val="18"/>
                <w:szCs w:val="18"/>
                <w:color w:val="auto"/>
              </w:rPr>
              <w:t>53.1</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vMerge w:val="restart"/>
          </w:tcPr>
          <w:p>
            <w:pPr>
              <w:jc w:val="right"/>
              <w:ind w:right="152"/>
              <w:spacing w:after="0"/>
              <w:rPr>
                <w:sz w:val="20"/>
                <w:szCs w:val="20"/>
                <w:color w:val="auto"/>
              </w:rPr>
            </w:pPr>
            <w:r>
              <w:rPr>
                <w:rFonts w:ascii="Arial" w:cs="Arial" w:eastAsia="Arial" w:hAnsi="Arial"/>
                <w:sz w:val="18"/>
                <w:szCs w:val="18"/>
                <w:color w:val="auto"/>
              </w:rPr>
              <w:t>50.1</w:t>
            </w: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560" w:type="dxa"/>
            <w:vAlign w:val="bottom"/>
            <w:gridSpan w:val="4"/>
          </w:tcPr>
          <w:p>
            <w:pPr>
              <w:spacing w:after="0" w:line="199" w:lineRule="exact"/>
              <w:rPr>
                <w:sz w:val="20"/>
                <w:szCs w:val="20"/>
                <w:color w:val="auto"/>
              </w:rPr>
            </w:pPr>
            <w:r>
              <w:rPr>
                <w:rFonts w:ascii="Arial" w:cs="Arial" w:eastAsia="Arial" w:hAnsi="Arial"/>
                <w:sz w:val="18"/>
                <w:szCs w:val="18"/>
                <w:color w:val="auto"/>
              </w:rPr>
              <w:t xml:space="preserve">revenue </w:t>
            </w:r>
            <w:r>
              <w:rPr>
                <w:rFonts w:ascii="Arial" w:cs="Arial" w:eastAsia="Arial" w:hAnsi="Arial"/>
                <w:sz w:val="22"/>
                <w:szCs w:val="22"/>
                <w:color w:val="auto"/>
                <w:vertAlign w:val="superscript"/>
              </w:rPr>
              <w:t>(2)</w:t>
            </w:r>
          </w:p>
        </w:tc>
        <w:tc>
          <w:tcPr>
            <w:tcW w:w="5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40" w:type="dxa"/>
            <w:vAlign w:val="bottom"/>
            <w:gridSpan w:val="3"/>
            <w:vMerge w:val="restart"/>
          </w:tcPr>
          <w:p>
            <w:pPr>
              <w:spacing w:after="0" w:line="180" w:lineRule="exact"/>
              <w:rPr>
                <w:sz w:val="20"/>
                <w:szCs w:val="20"/>
                <w:color w:val="auto"/>
              </w:rPr>
            </w:pPr>
            <w:r>
              <w:rPr>
                <w:rFonts w:ascii="Arial" w:cs="Arial" w:eastAsia="Arial" w:hAnsi="Arial"/>
                <w:sz w:val="18"/>
                <w:szCs w:val="18"/>
                <w:color w:val="auto"/>
              </w:rPr>
              <w:t>Gross profit as</w:t>
            </w: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60" w:type="dxa"/>
            <w:vAlign w:val="bottom"/>
            <w:gridSpan w:val="4"/>
          </w:tcPr>
          <w:p>
            <w:pPr>
              <w:spacing w:after="0" w:line="171" w:lineRule="exact"/>
              <w:rPr>
                <w:sz w:val="20"/>
                <w:szCs w:val="20"/>
                <w:color w:val="auto"/>
              </w:rPr>
            </w:pPr>
            <w:r>
              <w:rPr>
                <w:rFonts w:ascii="Arial" w:cs="Arial" w:eastAsia="Arial" w:hAnsi="Arial"/>
                <w:sz w:val="18"/>
                <w:szCs w:val="18"/>
                <w:color w:val="auto"/>
              </w:rPr>
              <w:t>% of franchise fees</w:t>
            </w:r>
          </w:p>
        </w:tc>
        <w:tc>
          <w:tcPr>
            <w:tcW w:w="520" w:type="dxa"/>
            <w:vAlign w:val="bottom"/>
          </w:tcPr>
          <w:p>
            <w:pPr>
              <w:spacing w:after="0"/>
              <w:rPr>
                <w:sz w:val="14"/>
                <w:szCs w:val="14"/>
                <w:color w:val="auto"/>
              </w:rPr>
            </w:pPr>
          </w:p>
        </w:tc>
        <w:tc>
          <w:tcPr>
            <w:tcW w:w="760" w:type="dxa"/>
            <w:vAlign w:val="bottom"/>
            <w:vMerge w:val="restart"/>
          </w:tcPr>
          <w:p>
            <w:pPr>
              <w:jc w:val="right"/>
              <w:ind w:right="113"/>
              <w:spacing w:after="0"/>
              <w:rPr>
                <w:sz w:val="20"/>
                <w:szCs w:val="20"/>
                <w:color w:val="auto"/>
              </w:rPr>
            </w:pPr>
            <w:r>
              <w:rPr>
                <w:rFonts w:ascii="Arial" w:cs="Arial" w:eastAsia="Arial" w:hAnsi="Arial"/>
                <w:sz w:val="18"/>
                <w:szCs w:val="18"/>
                <w:color w:val="auto"/>
              </w:rPr>
              <w:t>94.5</w:t>
            </w: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vMerge w:val="restart"/>
          </w:tcPr>
          <w:p>
            <w:pPr>
              <w:jc w:val="right"/>
              <w:ind w:right="212"/>
              <w:spacing w:after="0"/>
              <w:rPr>
                <w:sz w:val="20"/>
                <w:szCs w:val="20"/>
                <w:color w:val="auto"/>
              </w:rPr>
            </w:pPr>
            <w:r>
              <w:rPr>
                <w:rFonts w:ascii="Arial" w:cs="Arial" w:eastAsia="Arial" w:hAnsi="Arial"/>
                <w:sz w:val="18"/>
                <w:szCs w:val="18"/>
                <w:color w:val="auto"/>
              </w:rPr>
              <w:t>87.5</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vMerge w:val="restart"/>
          </w:tcPr>
          <w:p>
            <w:pPr>
              <w:jc w:val="right"/>
              <w:ind w:right="253"/>
              <w:spacing w:after="0"/>
              <w:rPr>
                <w:sz w:val="20"/>
                <w:szCs w:val="20"/>
                <w:color w:val="auto"/>
              </w:rPr>
            </w:pPr>
            <w:r>
              <w:rPr>
                <w:rFonts w:ascii="Arial" w:cs="Arial" w:eastAsia="Arial" w:hAnsi="Arial"/>
                <w:sz w:val="18"/>
                <w:szCs w:val="18"/>
                <w:color w:val="auto"/>
              </w:rPr>
              <w:t>94.0</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vMerge w:val="restart"/>
          </w:tcPr>
          <w:p>
            <w:pPr>
              <w:jc w:val="right"/>
              <w:ind w:right="152"/>
              <w:spacing w:after="0"/>
              <w:rPr>
                <w:sz w:val="20"/>
                <w:szCs w:val="20"/>
                <w:color w:val="auto"/>
              </w:rPr>
            </w:pPr>
            <w:r>
              <w:rPr>
                <w:rFonts w:ascii="Arial" w:cs="Arial" w:eastAsia="Arial" w:hAnsi="Arial"/>
                <w:sz w:val="18"/>
                <w:szCs w:val="18"/>
                <w:color w:val="auto"/>
              </w:rPr>
              <w:t>87.3</w:t>
            </w: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40" w:type="dxa"/>
            <w:vAlign w:val="bottom"/>
            <w:gridSpan w:val="2"/>
          </w:tcPr>
          <w:p>
            <w:pPr>
              <w:ind w:left="20"/>
              <w:spacing w:after="0"/>
              <w:rPr>
                <w:sz w:val="20"/>
                <w:szCs w:val="20"/>
                <w:color w:val="auto"/>
              </w:rPr>
            </w:pPr>
            <w:r>
              <w:rPr>
                <w:rFonts w:ascii="Arial" w:cs="Arial" w:eastAsia="Arial" w:hAnsi="Arial"/>
                <w:sz w:val="11"/>
                <w:szCs w:val="11"/>
                <w:color w:val="auto"/>
              </w:rPr>
              <w:t>(2)(3)</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vMerge w:val="continue"/>
          </w:tcPr>
          <w:p>
            <w:pPr>
              <w:spacing w:after="0"/>
              <w:rPr>
                <w:sz w:val="11"/>
                <w:szCs w:val="11"/>
                <w:color w:val="auto"/>
              </w:rPr>
            </w:pPr>
          </w:p>
        </w:tc>
        <w:tc>
          <w:tcPr>
            <w:tcW w:w="34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vMerge w:val="continue"/>
          </w:tcPr>
          <w:p>
            <w:pPr>
              <w:spacing w:after="0"/>
              <w:rPr>
                <w:sz w:val="11"/>
                <w:szCs w:val="11"/>
                <w:color w:val="auto"/>
              </w:rPr>
            </w:pPr>
          </w:p>
        </w:tc>
        <w:tc>
          <w:tcPr>
            <w:tcW w:w="22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vMerge w:val="continue"/>
          </w:tcPr>
          <w:p>
            <w:pPr>
              <w:spacing w:after="0"/>
              <w:rPr>
                <w:sz w:val="11"/>
                <w:szCs w:val="11"/>
                <w:color w:val="auto"/>
              </w:rPr>
            </w:pPr>
          </w:p>
        </w:tc>
        <w:tc>
          <w:tcPr>
            <w:tcW w:w="20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30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_____________________________________________________</w:t>
      </w:r>
    </w:p>
    <w:p>
      <w:pPr>
        <w:spacing w:after="0" w:line="2" w:lineRule="exact"/>
        <w:rPr>
          <w:sz w:val="20"/>
          <w:szCs w:val="20"/>
          <w:color w:val="auto"/>
        </w:rPr>
      </w:pPr>
    </w:p>
    <w:p>
      <w:pPr>
        <w:ind w:left="160" w:right="220" w:hanging="154"/>
        <w:spacing w:after="0" w:line="252" w:lineRule="auto"/>
        <w:tabs>
          <w:tab w:leader="none" w:pos="131" w:val="left"/>
        </w:tabs>
        <w:numPr>
          <w:ilvl w:val="0"/>
          <w:numId w:val="16"/>
        </w:numPr>
        <w:rPr>
          <w:rFonts w:ascii="Arial" w:cs="Arial" w:eastAsia="Arial" w:hAnsi="Arial"/>
          <w:sz w:val="15"/>
          <w:szCs w:val="15"/>
          <w:color w:val="auto"/>
          <w:vertAlign w:val="superscript"/>
        </w:rPr>
      </w:pPr>
      <w:r>
        <w:rPr>
          <w:rFonts w:ascii="Arial" w:cs="Arial" w:eastAsia="Arial" w:hAnsi="Arial"/>
          <w:sz w:val="12"/>
          <w:szCs w:val="12"/>
          <w:color w:val="auto"/>
        </w:rPr>
        <w:t>Effective Franchise Restaurants are the weighted average number of franchise and area license restaurants open in each fiscal period, adjusted to account for restaurants open for only a portion of the period.</w:t>
      </w:r>
    </w:p>
    <w:p>
      <w:pPr>
        <w:ind w:left="140" w:hanging="134"/>
        <w:spacing w:after="0" w:line="207" w:lineRule="auto"/>
        <w:tabs>
          <w:tab w:leader="none" w:pos="140" w:val="left"/>
        </w:tabs>
        <w:numPr>
          <w:ilvl w:val="0"/>
          <w:numId w:val="16"/>
        </w:numPr>
        <w:rPr>
          <w:rFonts w:ascii="Arial" w:cs="Arial" w:eastAsia="Arial" w:hAnsi="Arial"/>
          <w:sz w:val="16"/>
          <w:szCs w:val="16"/>
          <w:color w:val="auto"/>
          <w:vertAlign w:val="superscript"/>
        </w:rPr>
      </w:pPr>
      <w:r>
        <w:rPr>
          <w:rFonts w:ascii="Arial" w:cs="Arial" w:eastAsia="Arial" w:hAnsi="Arial"/>
          <w:sz w:val="13"/>
          <w:szCs w:val="13"/>
          <w:color w:val="auto"/>
        </w:rPr>
        <w:t>Percentages calculated on actual amounts, not rounded amounts presented above.</w:t>
      </w:r>
    </w:p>
    <w:p>
      <w:pPr>
        <w:ind w:left="160" w:right="380" w:hanging="154"/>
        <w:spacing w:after="0" w:line="235" w:lineRule="auto"/>
        <w:tabs>
          <w:tab w:leader="none" w:pos="143" w:val="left"/>
        </w:tabs>
        <w:numPr>
          <w:ilvl w:val="0"/>
          <w:numId w:val="16"/>
        </w:numPr>
        <w:rPr>
          <w:rFonts w:ascii="Arial" w:cs="Arial" w:eastAsia="Arial" w:hAnsi="Arial"/>
          <w:sz w:val="16"/>
          <w:szCs w:val="16"/>
          <w:color w:val="auto"/>
          <w:vertAlign w:val="superscript"/>
        </w:rPr>
      </w:pPr>
      <w:r>
        <w:rPr>
          <w:rFonts w:ascii="Arial" w:cs="Arial" w:eastAsia="Arial" w:hAnsi="Arial"/>
          <w:sz w:val="13"/>
          <w:szCs w:val="13"/>
          <w:color w:val="auto"/>
        </w:rPr>
        <w:t>From time to time, advertising fee revenue may be different from advertising expenses in a given accounting period. Over the long term, advertising activity should not generate gross profit or loss.</w:t>
      </w:r>
    </w:p>
    <w:p>
      <w:pPr>
        <w:spacing w:after="0" w:line="200" w:lineRule="exact"/>
        <w:rPr>
          <w:sz w:val="20"/>
          <w:szCs w:val="20"/>
          <w:color w:val="auto"/>
        </w:rPr>
      </w:pPr>
    </w:p>
    <w:p>
      <w:pPr>
        <w:spacing w:after="0" w:line="263" w:lineRule="exact"/>
        <w:rPr>
          <w:sz w:val="20"/>
          <w:szCs w:val="20"/>
          <w:color w:val="auto"/>
        </w:rPr>
      </w:pPr>
    </w:p>
    <w:p>
      <w:pPr>
        <w:ind w:right="520" w:firstLine="318"/>
        <w:spacing w:after="0" w:line="255" w:lineRule="auto"/>
        <w:rPr>
          <w:sz w:val="20"/>
          <w:szCs w:val="20"/>
          <w:color w:val="auto"/>
        </w:rPr>
      </w:pPr>
      <w:r>
        <w:rPr>
          <w:rFonts w:ascii="Arial" w:cs="Arial" w:eastAsia="Arial" w:hAnsi="Arial"/>
          <w:sz w:val="18"/>
          <w:szCs w:val="18"/>
          <w:color w:val="auto"/>
        </w:rPr>
        <w:t>Applebee’s franchise fee revenue for the three months ended September 30, 2021 increased 34.4% compared to the same period of the prior year. Approximately $9.1 million of the increase was due to the 27.8% increase in domestic franchise same-restaurant sales, $1.2 million was due to improved franchisee collectability and $0.6 million due to an increase in international revenues.</w:t>
      </w:r>
    </w:p>
    <w:p>
      <w:pPr>
        <w:sectPr>
          <w:pgSz w:w="11900" w:h="16838" w:orient="portrait"/>
          <w:cols w:equalWidth="0" w:num="1">
            <w:col w:w="11340"/>
          </w:cols>
          <w:pgMar w:left="320" w:top="122" w:right="239" w:bottom="2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2" w:right="239" w:bottom="219" w:gutter="0" w:footer="0" w:header="0"/>
          <w:type w:val="continuous"/>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140" w:firstLine="318"/>
        <w:spacing w:after="0" w:line="250" w:lineRule="auto"/>
        <w:rPr>
          <w:sz w:val="20"/>
          <w:szCs w:val="20"/>
          <w:color w:val="auto"/>
        </w:rPr>
      </w:pPr>
      <w:r>
        <w:rPr>
          <w:rFonts w:ascii="Arial" w:cs="Arial" w:eastAsia="Arial" w:hAnsi="Arial"/>
          <w:sz w:val="18"/>
          <w:szCs w:val="18"/>
          <w:color w:val="auto"/>
        </w:rPr>
        <w:t>Applebee’s franchise fee revenue for the nine months ended September 30, 2021 increased 39.9% compared to the same period of the prior year. Approximately $31.4 million of the increase was due to the 39.3% increase in domestic franchise same-restaurant sales, $2.8 million was due to the reopening of restaurants temporarily closed during the prior year period, $2.0 million was due to improved collectability, $0.9 million was due to an increase in other franchise fees and $0.6 million due to an increase in international revenues. These favorable items were partially offset by a $1.5 million decrease in royalty revenue due to permanent restaurant closures.</w:t>
      </w:r>
    </w:p>
    <w:p>
      <w:pPr>
        <w:spacing w:after="0" w:line="220" w:lineRule="exact"/>
        <w:rPr>
          <w:sz w:val="20"/>
          <w:szCs w:val="20"/>
          <w:color w:val="auto"/>
        </w:rPr>
      </w:pPr>
    </w:p>
    <w:p>
      <w:pPr>
        <w:jc w:val="both"/>
        <w:ind w:right="160" w:firstLine="318"/>
        <w:spacing w:after="0" w:line="255" w:lineRule="auto"/>
        <w:rPr>
          <w:sz w:val="20"/>
          <w:szCs w:val="20"/>
          <w:color w:val="auto"/>
        </w:rPr>
      </w:pPr>
      <w:r>
        <w:rPr>
          <w:rFonts w:ascii="Arial" w:cs="Arial" w:eastAsia="Arial" w:hAnsi="Arial"/>
          <w:sz w:val="18"/>
          <w:szCs w:val="18"/>
          <w:color w:val="auto"/>
        </w:rPr>
        <w:t>The decrease in Applebee's franchise expenses for the three months ended September 30, 2021 compared with the same period of the prior year primarily was due to a decrease in bad debt expense. Bad debt expense for the three months ended September 30, 2021 was a credit of $0.4 million as compared to bad debt expense of $2.4 million during the three months ended September 30, 2020.</w:t>
      </w:r>
    </w:p>
    <w:p>
      <w:pPr>
        <w:spacing w:after="0" w:line="215" w:lineRule="exact"/>
        <w:rPr>
          <w:sz w:val="20"/>
          <w:szCs w:val="20"/>
          <w:color w:val="auto"/>
        </w:rPr>
      </w:pPr>
    </w:p>
    <w:p>
      <w:pPr>
        <w:jc w:val="both"/>
        <w:ind w:right="220" w:firstLine="318"/>
        <w:spacing w:after="0" w:line="255" w:lineRule="auto"/>
        <w:rPr>
          <w:sz w:val="20"/>
          <w:szCs w:val="20"/>
          <w:color w:val="auto"/>
        </w:rPr>
      </w:pPr>
      <w:r>
        <w:rPr>
          <w:rFonts w:ascii="Arial" w:cs="Arial" w:eastAsia="Arial" w:hAnsi="Arial"/>
          <w:sz w:val="18"/>
          <w:szCs w:val="18"/>
          <w:color w:val="auto"/>
        </w:rPr>
        <w:t>The decrease in Applebee's franchise expenses for the nine months ended September 30, 2021 compared with the same period of the prior year primarily was due to a decrease in bad debt expense. Bad debt expense for the nine months ended September 30, 2021 was a credit of $0.5 million as compared to bad debt expense of $5.2 million during the nine months ended September 30, 2020.</w:t>
      </w:r>
    </w:p>
    <w:p>
      <w:pPr>
        <w:spacing w:after="0" w:line="215" w:lineRule="exact"/>
        <w:rPr>
          <w:sz w:val="20"/>
          <w:szCs w:val="20"/>
          <w:color w:val="auto"/>
        </w:rPr>
      </w:pPr>
    </w:p>
    <w:p>
      <w:pPr>
        <w:ind w:right="140" w:firstLine="318"/>
        <w:spacing w:after="0" w:line="252" w:lineRule="auto"/>
        <w:rPr>
          <w:sz w:val="20"/>
          <w:szCs w:val="20"/>
          <w:color w:val="auto"/>
        </w:rPr>
      </w:pPr>
      <w:r>
        <w:rPr>
          <w:rFonts w:ascii="Arial" w:cs="Arial" w:eastAsia="Arial" w:hAnsi="Arial"/>
          <w:sz w:val="18"/>
          <w:szCs w:val="18"/>
          <w:color w:val="auto"/>
        </w:rPr>
        <w:t>IHOP franchise fee revenue for the three months ended September 30, 2021 increased 25.2% compared to the same period of the prior year, primarily due to higher royalty and pancake and waffle dry mix revenues resulting from a 39.4% increase in domestic franchise same-restaurant sales, and an increase of $0.4 million in international royalty revenues. These favorable changes were partially offset by a $2.7 million decrease in domestic termination and other franchise fees and a decrease of $0.2 million due to permanent restaurant closures.</w:t>
      </w:r>
    </w:p>
    <w:p>
      <w:pPr>
        <w:spacing w:after="0" w:line="217" w:lineRule="exact"/>
        <w:rPr>
          <w:sz w:val="20"/>
          <w:szCs w:val="20"/>
          <w:color w:val="auto"/>
        </w:rPr>
      </w:pPr>
    </w:p>
    <w:p>
      <w:pPr>
        <w:ind w:right="180" w:firstLine="318"/>
        <w:spacing w:after="0" w:line="252" w:lineRule="auto"/>
        <w:rPr>
          <w:sz w:val="20"/>
          <w:szCs w:val="20"/>
          <w:color w:val="auto"/>
        </w:rPr>
      </w:pPr>
      <w:r>
        <w:rPr>
          <w:rFonts w:ascii="Arial" w:cs="Arial" w:eastAsia="Arial" w:hAnsi="Arial"/>
          <w:sz w:val="18"/>
          <w:szCs w:val="18"/>
          <w:color w:val="auto"/>
        </w:rPr>
        <w:t>IHOP franchise fee revenue for the nine months ended September 30, 2021 increased 36.6% compared to the same period of the prior year, primarily due to higher royalty and pancake and waffle dry mix revenues resulting from a 39.4% increase in domestic franchise same-restaurant sales, and a $1.6 million increase in international termination fees. These favorable changes were partially offset by a decrease of $0.9 million due to restaurant closures and a $0.5 million decrease in domestic termination and other franchise fees.</w:t>
      </w:r>
    </w:p>
    <w:p>
      <w:pPr>
        <w:spacing w:after="0" w:line="217" w:lineRule="exact"/>
        <w:rPr>
          <w:sz w:val="20"/>
          <w:szCs w:val="20"/>
          <w:color w:val="auto"/>
        </w:rPr>
      </w:pPr>
    </w:p>
    <w:p>
      <w:pPr>
        <w:jc w:val="both"/>
        <w:ind w:right="180" w:firstLine="318"/>
        <w:spacing w:after="0" w:line="277" w:lineRule="auto"/>
        <w:rPr>
          <w:sz w:val="20"/>
          <w:szCs w:val="20"/>
          <w:color w:val="auto"/>
        </w:rPr>
      </w:pPr>
      <w:r>
        <w:rPr>
          <w:rFonts w:ascii="Arial" w:cs="Arial" w:eastAsia="Arial" w:hAnsi="Arial"/>
          <w:sz w:val="17"/>
          <w:szCs w:val="17"/>
          <w:color w:val="auto"/>
        </w:rPr>
        <w:t>IHOP franchise expenses for the three months ended September 30, 2021 increased from the same period of the prior year primarily due to an increase in purchases of pancake and waffle dry mix, partially offset by a $1.9 million decrease in bad debt expense. IHOP bad debt expense was a credit of $1.5 million for the three months ended September 30, 2021 as compared to bad debt expense of $0.4 million in the prior year period.</w:t>
      </w:r>
    </w:p>
    <w:p>
      <w:pPr>
        <w:spacing w:after="0" w:line="198" w:lineRule="exact"/>
        <w:rPr>
          <w:sz w:val="20"/>
          <w:szCs w:val="20"/>
          <w:color w:val="auto"/>
        </w:rPr>
      </w:pPr>
    </w:p>
    <w:p>
      <w:pPr>
        <w:jc w:val="both"/>
        <w:ind w:right="220" w:firstLine="318"/>
        <w:spacing w:after="0" w:line="300" w:lineRule="auto"/>
        <w:rPr>
          <w:sz w:val="20"/>
          <w:szCs w:val="20"/>
          <w:color w:val="auto"/>
        </w:rPr>
      </w:pPr>
      <w:r>
        <w:rPr>
          <w:rFonts w:ascii="Arial" w:cs="Arial" w:eastAsia="Arial" w:hAnsi="Arial"/>
          <w:sz w:val="15"/>
          <w:szCs w:val="15"/>
          <w:color w:val="auto"/>
        </w:rPr>
        <w:t>IHOP franchise expenses for the nine months ended September 30, 2021 declined from the same period of the prior year primarily due to a $6.5 million decrease in bad debt expense partially offset by an increase in purchases of pancake and waffle dry mix. IHOP reduced its allowance for credit losses by $3.6 million during the nine months ended September 30, 2021 compared to bad debt expense of $2.9 million in the prior year period.</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Advertising revenue and expense by brand for the three and nine months ended September 30, 2021 and 2020 were as follows:</w:t>
      </w:r>
    </w:p>
    <w:p>
      <w:pPr>
        <w:spacing w:after="0" w:line="284"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2640" w:type="dxa"/>
            <w:vAlign w:val="bottom"/>
          </w:tcPr>
          <w:p>
            <w:pPr>
              <w:spacing w:after="0"/>
              <w:rPr>
                <w:sz w:val="18"/>
                <w:szCs w:val="18"/>
                <w:color w:val="auto"/>
              </w:rPr>
            </w:pPr>
          </w:p>
        </w:tc>
        <w:tc>
          <w:tcPr>
            <w:tcW w:w="2960" w:type="dxa"/>
            <w:vAlign w:val="bottom"/>
            <w:gridSpan w:val="6"/>
          </w:tcPr>
          <w:p>
            <w:pPr>
              <w:ind w:left="380"/>
              <w:spacing w:after="0"/>
              <w:rPr>
                <w:sz w:val="20"/>
                <w:szCs w:val="20"/>
                <w:color w:val="auto"/>
              </w:rPr>
            </w:pPr>
            <w:r>
              <w:rPr>
                <w:rFonts w:ascii="Arial" w:cs="Arial" w:eastAsia="Arial" w:hAnsi="Arial"/>
                <w:sz w:val="16"/>
                <w:szCs w:val="16"/>
                <w:b w:val="1"/>
                <w:bCs w:val="1"/>
                <w:color w:val="auto"/>
                <w:w w:val="94"/>
              </w:rPr>
              <w:t>Three months ended September 30,</w:t>
            </w: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gridSpan w:val="6"/>
          </w:tcPr>
          <w:p>
            <w:pPr>
              <w:ind w:left="420"/>
              <w:spacing w:after="0"/>
              <w:rPr>
                <w:sz w:val="20"/>
                <w:szCs w:val="20"/>
                <w:color w:val="auto"/>
              </w:rPr>
            </w:pPr>
            <w:r>
              <w:rPr>
                <w:rFonts w:ascii="Arial" w:cs="Arial" w:eastAsia="Arial" w:hAnsi="Arial"/>
                <w:sz w:val="16"/>
                <w:szCs w:val="16"/>
                <w:b w:val="1"/>
                <w:bCs w:val="1"/>
                <w:color w:val="auto"/>
                <w:w w:val="94"/>
              </w:rPr>
              <w:t>Nine months ended September 30,</w:t>
            </w: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640" w:type="dxa"/>
            <w:vAlign w:val="bottom"/>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Increase</w:t>
            </w:r>
          </w:p>
        </w:tc>
        <w:tc>
          <w:tcPr>
            <w:tcW w:w="5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2"/>
              </w:rPr>
              <w:t>Increase</w:t>
            </w:r>
          </w:p>
        </w:tc>
        <w:tc>
          <w:tcPr>
            <w:tcW w:w="0" w:type="dxa"/>
            <w:vAlign w:val="bottom"/>
          </w:tcPr>
          <w:p>
            <w:pPr>
              <w:spacing w:after="0"/>
              <w:rPr>
                <w:sz w:val="1"/>
                <w:szCs w:val="1"/>
                <w:color w:val="auto"/>
              </w:rPr>
            </w:pPr>
          </w:p>
        </w:tc>
      </w:tr>
      <w:tr>
        <w:trPr>
          <w:trHeight w:val="179"/>
        </w:trPr>
        <w:tc>
          <w:tcPr>
            <w:tcW w:w="2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gridSpan w:val="3"/>
          </w:tcPr>
          <w:p>
            <w:pPr>
              <w:jc w:val="right"/>
              <w:ind w:right="15"/>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40" w:type="dxa"/>
            <w:vAlign w:val="bottom"/>
          </w:tcPr>
          <w:p>
            <w:pPr>
              <w:ind w:left="340"/>
              <w:spacing w:after="0" w:line="175" w:lineRule="exact"/>
              <w:rPr>
                <w:sz w:val="20"/>
                <w:szCs w:val="20"/>
                <w:color w:val="auto"/>
              </w:rPr>
            </w:pPr>
            <w:r>
              <w:rPr>
                <w:rFonts w:ascii="Arial" w:cs="Arial" w:eastAsia="Arial" w:hAnsi="Arial"/>
                <w:sz w:val="18"/>
                <w:szCs w:val="18"/>
                <w:color w:val="auto"/>
              </w:rPr>
              <w:t>Advertising Revenues and</w:t>
            </w: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640" w:type="dxa"/>
            <w:vAlign w:val="bottom"/>
          </w:tcPr>
          <w:p>
            <w:pPr>
              <w:ind w:left="20"/>
              <w:spacing w:after="0"/>
              <w:rPr>
                <w:sz w:val="20"/>
                <w:szCs w:val="20"/>
                <w:color w:val="auto"/>
              </w:rPr>
            </w:pPr>
            <w:r>
              <w:rPr>
                <w:rFonts w:ascii="Arial" w:cs="Arial" w:eastAsia="Arial" w:hAnsi="Arial"/>
                <w:sz w:val="18"/>
                <w:szCs w:val="18"/>
                <w:color w:val="auto"/>
              </w:rPr>
              <w:t>Expenses:</w:t>
            </w: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6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Applebee’s</w:t>
            </w:r>
          </w:p>
        </w:tc>
        <w:tc>
          <w:tcPr>
            <w:tcW w:w="5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5"/>
        </w:trPr>
        <w:tc>
          <w:tcPr>
            <w:tcW w:w="264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IHOP</w:t>
            </w:r>
          </w:p>
        </w:tc>
        <w:tc>
          <w:tcPr>
            <w:tcW w:w="5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54"/>
        </w:trPr>
        <w:tc>
          <w:tcPr>
            <w:tcW w:w="2640" w:type="dxa"/>
            <w:vAlign w:val="bottom"/>
            <w:shd w:val="clear" w:color="auto" w:fill="CCEEFF"/>
          </w:tcPr>
          <w:p>
            <w:pPr>
              <w:ind w:left="340"/>
              <w:spacing w:after="0" w:line="154" w:lineRule="exact"/>
              <w:rPr>
                <w:sz w:val="20"/>
                <w:szCs w:val="20"/>
                <w:color w:val="auto"/>
              </w:rPr>
            </w:pPr>
            <w:r>
              <w:rPr>
                <w:rFonts w:ascii="Arial" w:cs="Arial" w:eastAsia="Arial" w:hAnsi="Arial"/>
                <w:sz w:val="17"/>
                <w:szCs w:val="17"/>
                <w:color w:val="auto"/>
                <w:w w:val="98"/>
              </w:rPr>
              <w:t>Total advertising revenues and</w:t>
            </w:r>
          </w:p>
        </w:tc>
        <w:tc>
          <w:tcPr>
            <w:tcW w:w="560" w:type="dxa"/>
            <w:vAlign w:val="bottom"/>
            <w:vMerge w:val="restart"/>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0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2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203.9</w:t>
            </w:r>
          </w:p>
        </w:tc>
        <w:tc>
          <w:tcPr>
            <w:tcW w:w="1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10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9"/>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56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vMerge w:val="continue"/>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120" w:firstLine="318"/>
        <w:spacing w:after="0" w:line="250" w:lineRule="auto"/>
        <w:rPr>
          <w:sz w:val="20"/>
          <w:szCs w:val="20"/>
          <w:color w:val="auto"/>
        </w:rPr>
      </w:pPr>
      <w:r>
        <w:rPr>
          <w:rFonts w:ascii="Arial" w:cs="Arial" w:eastAsia="Arial" w:hAnsi="Arial"/>
          <w:sz w:val="18"/>
          <w:szCs w:val="18"/>
          <w:color w:val="auto"/>
        </w:rPr>
        <w:t>Applebee's advertising revenue and expense for the three months ended September 30, 2021 increased 31.8% compared to the same period of the prior year. Approximately $9.8 million of the increase was due to the 27.8% increase in domestic franchise same-restaurant sales and $0.9 million of the increase was due to improved collectability from franchisees. IHOP's advertising revenue and expense for the three months ended September 30, 2021 increased 43.9% compared to the same period of the prior year, primarily due to the 39.4% increase in domestic franchise same-restaurant sales and the reopening of restaurants temporarily closed during the prior 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2" w:right="23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160" w:firstLine="318"/>
        <w:spacing w:after="0" w:line="309" w:lineRule="auto"/>
        <w:rPr>
          <w:sz w:val="20"/>
          <w:szCs w:val="20"/>
          <w:color w:val="auto"/>
        </w:rPr>
      </w:pPr>
      <w:r>
        <w:rPr>
          <w:rFonts w:ascii="Arial" w:cs="Arial" w:eastAsia="Arial" w:hAnsi="Arial"/>
          <w:sz w:val="15"/>
          <w:szCs w:val="15"/>
          <w:color w:val="auto"/>
        </w:rPr>
        <w:t>Applebee's advertising revenue and expense for the nine months ended September 30, 2021 increased 44.3% compared to the same period of the prior year. Approximately $33.8 million of the increase was due to the 39.3% increase in domestic franchise same-restaurant sales, $5.0 million of the increase was due to improved collectability from franchisees and $3.0 million was due to the reopening of restaurants temporarily closed during the prior year period. Partially offsetting the increases was a $1.6 million decrease in advertising revenue due to permanent restaurant closures. IHOP's advertising revenue and expense for the nine months ended September 30, 2021 increased 40.5% compared to the same period of the prior year, primarily due to the 39.4% increase in domestic franchise same-restaurant sales, partially offset by the impact of permanent restaurant closures over the past 12 months.</w:t>
      </w:r>
    </w:p>
    <w:p>
      <w:pPr>
        <w:spacing w:after="0" w:line="178" w:lineRule="exact"/>
        <w:rPr>
          <w:sz w:val="20"/>
          <w:szCs w:val="20"/>
          <w:color w:val="auto"/>
        </w:rPr>
      </w:pPr>
    </w:p>
    <w:p>
      <w:pPr>
        <w:ind w:right="420" w:firstLine="318"/>
        <w:spacing w:after="0" w:line="294" w:lineRule="auto"/>
        <w:rPr>
          <w:sz w:val="20"/>
          <w:szCs w:val="20"/>
          <w:color w:val="auto"/>
        </w:rPr>
      </w:pPr>
      <w:r>
        <w:rPr>
          <w:rFonts w:ascii="Arial" w:cs="Arial" w:eastAsia="Arial" w:hAnsi="Arial"/>
          <w:sz w:val="17"/>
          <w:szCs w:val="17"/>
          <w:color w:val="auto"/>
        </w:rPr>
        <w:t>It is our accounting policy to recognize any deficiency in advertising fee revenue compared to advertising expenditure or any recovery of a previously recognized deficiency in advertising fee revenue compared to advertising expenditure in the fourth quarter of our fiscal year.</w:t>
      </w:r>
    </w:p>
    <w:p>
      <w:pPr>
        <w:spacing w:after="0" w:line="31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Rental</w:t>
      </w:r>
    </w:p>
    <w:tbl>
      <w:tblPr>
        <w:tblLayout w:type="fixed"/>
        <w:tblInd w:w="32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80" w:type="dxa"/>
            <w:vAlign w:val="bottom"/>
            <w:gridSpan w:val="5"/>
            <w:vMerge w:val="restart"/>
          </w:tcPr>
          <w:p>
            <w:pPr>
              <w:jc w:val="right"/>
              <w:ind w:right="33"/>
              <w:spacing w:after="0" w:line="166" w:lineRule="exact"/>
              <w:rPr>
                <w:sz w:val="20"/>
                <w:szCs w:val="20"/>
                <w:color w:val="auto"/>
              </w:rPr>
            </w:pPr>
            <w:r>
              <w:rPr>
                <w:rFonts w:ascii="Arial" w:cs="Arial" w:eastAsia="Arial" w:hAnsi="Arial"/>
                <w:sz w:val="16"/>
                <w:szCs w:val="16"/>
                <w:b w:val="1"/>
                <w:bCs w:val="1"/>
                <w:color w:val="auto"/>
                <w:w w:val="93"/>
              </w:rPr>
              <w:t>Three months ended September 30,</w:t>
            </w: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Favorable</w:t>
            </w:r>
          </w:p>
        </w:tc>
        <w:tc>
          <w:tcPr>
            <w:tcW w:w="600" w:type="dxa"/>
            <w:vAlign w:val="bottom"/>
          </w:tcPr>
          <w:p>
            <w:pPr>
              <w:spacing w:after="0" w:line="20" w:lineRule="exact"/>
              <w:rPr>
                <w:sz w:val="1"/>
                <w:szCs w:val="1"/>
                <w:color w:val="auto"/>
              </w:rPr>
            </w:pPr>
          </w:p>
        </w:tc>
        <w:tc>
          <w:tcPr>
            <w:tcW w:w="2600" w:type="dxa"/>
            <w:vAlign w:val="bottom"/>
            <w:gridSpan w:val="5"/>
            <w:vMerge w:val="restart"/>
          </w:tcPr>
          <w:p>
            <w:pPr>
              <w:ind w:left="160"/>
              <w:spacing w:after="0" w:line="166" w:lineRule="exact"/>
              <w:rPr>
                <w:sz w:val="20"/>
                <w:szCs w:val="20"/>
                <w:color w:val="auto"/>
              </w:rPr>
            </w:pPr>
            <w:r>
              <w:rPr>
                <w:rFonts w:ascii="Arial" w:cs="Arial" w:eastAsia="Arial" w:hAnsi="Arial"/>
                <w:sz w:val="16"/>
                <w:szCs w:val="16"/>
                <w:b w:val="1"/>
                <w:bCs w:val="1"/>
                <w:color w:val="auto"/>
                <w:w w:val="92"/>
              </w:rPr>
              <w:t>Nine months ended September 30,</w:t>
            </w: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Favorab</w:t>
            </w:r>
          </w:p>
        </w:tc>
        <w:tc>
          <w:tcPr>
            <w:tcW w:w="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820" w:type="dxa"/>
            <w:vAlign w:val="bottom"/>
            <w:tcBorders>
              <w:bottom w:val="single" w:sz="8" w:color="auto"/>
            </w:tcBorders>
            <w:gridSpan w:val="2"/>
          </w:tcPr>
          <w:p>
            <w:pPr>
              <w:spacing w:after="0" w:line="146" w:lineRule="exact"/>
              <w:rPr>
                <w:sz w:val="20"/>
                <w:szCs w:val="20"/>
                <w:color w:val="auto"/>
              </w:rPr>
            </w:pPr>
            <w:r>
              <w:rPr>
                <w:rFonts w:ascii="Arial" w:cs="Arial" w:eastAsia="Arial" w:hAnsi="Arial"/>
                <w:sz w:val="15"/>
                <w:szCs w:val="15"/>
                <w:b w:val="1"/>
                <w:bCs w:val="1"/>
                <w:color w:val="auto"/>
              </w:rPr>
              <w:t>Operations</w:t>
            </w:r>
          </w:p>
        </w:tc>
        <w:tc>
          <w:tcPr>
            <w:tcW w:w="20" w:type="dxa"/>
            <w:vAlign w:val="bottom"/>
            <w:tcBorders>
              <w:bottom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80" w:type="dxa"/>
            <w:vAlign w:val="bottom"/>
            <w:gridSpan w:val="5"/>
            <w:vMerge w:val="continue"/>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600" w:type="dxa"/>
            <w:vAlign w:val="bottom"/>
            <w:gridSpan w:val="5"/>
            <w:vMerge w:val="continue"/>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3"/>
          </w:tcPr>
          <w:p>
            <w:pPr>
              <w:ind w:left="160"/>
              <w:spacing w:after="0" w:line="27" w:lineRule="exact"/>
              <w:rPr>
                <w:sz w:val="20"/>
                <w:szCs w:val="20"/>
                <w:color w:val="auto"/>
              </w:rPr>
            </w:pPr>
            <w:r>
              <w:rPr>
                <w:rFonts w:ascii="Arial" w:cs="Arial" w:eastAsia="Arial" w:hAnsi="Arial"/>
                <w:sz w:val="3"/>
                <w:szCs w:val="3"/>
                <w:b w:val="1"/>
                <w:bCs w:val="1"/>
                <w:color w:val="auto"/>
              </w:rPr>
              <w:t>(Unfavorable)</w:t>
            </w: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gridSpan w:val="2"/>
          </w:tcPr>
          <w:p>
            <w:pPr>
              <w:jc w:val="right"/>
              <w:spacing w:after="0" w:line="27" w:lineRule="exact"/>
              <w:rPr>
                <w:sz w:val="20"/>
                <w:szCs w:val="20"/>
                <w:color w:val="auto"/>
              </w:rPr>
            </w:pPr>
            <w:r>
              <w:rPr>
                <w:rFonts w:ascii="Arial" w:cs="Arial" w:eastAsia="Arial" w:hAnsi="Arial"/>
                <w:sz w:val="3"/>
                <w:szCs w:val="3"/>
                <w:b w:val="1"/>
                <w:bCs w:val="1"/>
                <w:color w:val="auto"/>
              </w:rPr>
              <w:t>(Unfavorable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15"/>
              <w:spacing w:after="0"/>
              <w:rPr>
                <w:sz w:val="20"/>
                <w:szCs w:val="20"/>
                <w:color w:val="auto"/>
              </w:rPr>
            </w:pPr>
            <w:r>
              <w:rPr>
                <w:rFonts w:ascii="Arial" w:cs="Arial" w:eastAsia="Arial" w:hAnsi="Arial"/>
                <w:sz w:val="16"/>
                <w:szCs w:val="16"/>
                <w:b w:val="1"/>
                <w:bCs w:val="1"/>
                <w:color w:val="auto"/>
              </w:rPr>
              <w:t>2021</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73"/>
              <w:spacing w:after="0"/>
              <w:rPr>
                <w:sz w:val="20"/>
                <w:szCs w:val="20"/>
                <w:color w:val="auto"/>
              </w:rPr>
            </w:pPr>
            <w:r>
              <w:rPr>
                <w:rFonts w:ascii="Arial" w:cs="Arial" w:eastAsia="Arial" w:hAnsi="Arial"/>
                <w:sz w:val="16"/>
                <w:szCs w:val="16"/>
                <w:b w:val="1"/>
                <w:bCs w:val="1"/>
                <w:color w:val="auto"/>
              </w:rPr>
              <w:t>2020</w:t>
            </w: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Variance</w:t>
            </w:r>
          </w:p>
        </w:tc>
        <w:tc>
          <w:tcPr>
            <w:tcW w:w="6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95"/>
              <w:spacing w:after="0"/>
              <w:rPr>
                <w:sz w:val="20"/>
                <w:szCs w:val="20"/>
                <w:color w:val="auto"/>
              </w:rPr>
            </w:pPr>
            <w:r>
              <w:rPr>
                <w:rFonts w:ascii="Arial" w:cs="Arial" w:eastAsia="Arial" w:hAnsi="Arial"/>
                <w:sz w:val="16"/>
                <w:szCs w:val="16"/>
                <w:b w:val="1"/>
                <w:bCs w:val="1"/>
                <w:color w:val="auto"/>
              </w:rPr>
              <w:t>2021</w:t>
            </w: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2020</w:t>
            </w: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6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(In millions)</w:t>
            </w: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0" w:type="dxa"/>
            <w:vAlign w:val="bottom"/>
            <w:gridSpan w:val="3"/>
            <w:shd w:val="clear" w:color="auto" w:fill="CCEEFF"/>
          </w:tcPr>
          <w:p>
            <w:pPr>
              <w:spacing w:after="0" w:line="174" w:lineRule="exact"/>
              <w:rPr>
                <w:sz w:val="20"/>
                <w:szCs w:val="20"/>
                <w:color w:val="auto"/>
              </w:rPr>
            </w:pPr>
            <w:r>
              <w:rPr>
                <w:rFonts w:ascii="Arial" w:cs="Arial" w:eastAsia="Arial" w:hAnsi="Arial"/>
                <w:sz w:val="18"/>
                <w:szCs w:val="18"/>
                <w:color w:val="auto"/>
              </w:rPr>
              <w:t>Rental</w:t>
            </w:r>
          </w:p>
        </w:tc>
        <w:tc>
          <w:tcPr>
            <w:tcW w:w="58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ind w:right="115"/>
              <w:spacing w:after="0"/>
              <w:rPr>
                <w:sz w:val="20"/>
                <w:szCs w:val="20"/>
                <w:color w:val="auto"/>
              </w:rPr>
            </w:pPr>
            <w:r>
              <w:rPr>
                <w:rFonts w:ascii="Arial" w:cs="Arial" w:eastAsia="Arial" w:hAnsi="Arial"/>
                <w:sz w:val="18"/>
                <w:szCs w:val="18"/>
                <w:color w:val="auto"/>
              </w:rPr>
              <w:t>31.3</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ind w:right="173"/>
              <w:spacing w:after="0"/>
              <w:rPr>
                <w:sz w:val="20"/>
                <w:szCs w:val="20"/>
                <w:color w:val="auto"/>
              </w:rPr>
            </w:pPr>
            <w:r>
              <w:rPr>
                <w:rFonts w:ascii="Arial" w:cs="Arial" w:eastAsia="Arial" w:hAnsi="Arial"/>
                <w:sz w:val="18"/>
                <w:szCs w:val="18"/>
                <w:color w:val="auto"/>
              </w:rPr>
              <w:t>26.2</w:t>
            </w:r>
          </w:p>
        </w:tc>
        <w:tc>
          <w:tcPr>
            <w:tcW w:w="800" w:type="dxa"/>
            <w:vAlign w:val="bottom"/>
            <w:gridSpan w:val="3"/>
            <w:vMerge w:val="restart"/>
            <w:shd w:val="clear" w:color="auto" w:fill="CCEEFF"/>
          </w:tcPr>
          <w:p>
            <w:pPr>
              <w:ind w:left="700"/>
              <w:spacing w:after="0"/>
              <w:rPr>
                <w:sz w:val="20"/>
                <w:szCs w:val="20"/>
                <w:color w:val="auto"/>
              </w:rPr>
            </w:pPr>
            <w:r>
              <w:rPr>
                <w:rFonts w:ascii="Arial" w:cs="Arial" w:eastAsia="Arial" w:hAnsi="Arial"/>
                <w:sz w:val="18"/>
                <w:szCs w:val="18"/>
                <w:color w:val="auto"/>
                <w:w w:val="79"/>
              </w:rPr>
              <w:t>$</w:t>
            </w:r>
          </w:p>
        </w:tc>
        <w:tc>
          <w:tcPr>
            <w:tcW w:w="760" w:type="dxa"/>
            <w:vAlign w:val="bottom"/>
            <w:vMerge w:val="restart"/>
            <w:shd w:val="clear" w:color="auto" w:fill="CCEEFF"/>
          </w:tcPr>
          <w:p>
            <w:pPr>
              <w:jc w:val="center"/>
              <w:ind w:left="339"/>
              <w:spacing w:after="0"/>
              <w:rPr>
                <w:sz w:val="20"/>
                <w:szCs w:val="20"/>
                <w:color w:val="auto"/>
              </w:rPr>
            </w:pPr>
            <w:r>
              <w:rPr>
                <w:rFonts w:ascii="Arial" w:cs="Arial" w:eastAsia="Arial" w:hAnsi="Arial"/>
                <w:sz w:val="18"/>
                <w:szCs w:val="18"/>
                <w:color w:val="auto"/>
                <w:w w:val="87"/>
              </w:rPr>
              <w:t>5.1</w:t>
            </w: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ind w:right="95"/>
              <w:spacing w:after="0"/>
              <w:rPr>
                <w:sz w:val="20"/>
                <w:szCs w:val="20"/>
                <w:color w:val="auto"/>
              </w:rPr>
            </w:pPr>
            <w:r>
              <w:rPr>
                <w:rFonts w:ascii="Arial" w:cs="Arial" w:eastAsia="Arial" w:hAnsi="Arial"/>
                <w:sz w:val="18"/>
                <w:szCs w:val="18"/>
                <w:color w:val="auto"/>
              </w:rPr>
              <w:t>84.8</w:t>
            </w: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78.9</w:t>
            </w:r>
          </w:p>
        </w:tc>
        <w:tc>
          <w:tcPr>
            <w:tcW w:w="820" w:type="dxa"/>
            <w:vAlign w:val="bottom"/>
            <w:gridSpan w:val="3"/>
            <w:vMerge w:val="restart"/>
            <w:shd w:val="clear" w:color="auto" w:fill="CCEEFF"/>
          </w:tcPr>
          <w:p>
            <w:pPr>
              <w:ind w:left="720"/>
              <w:spacing w:after="0"/>
              <w:rPr>
                <w:sz w:val="20"/>
                <w:szCs w:val="20"/>
                <w:color w:val="auto"/>
              </w:rPr>
            </w:pPr>
            <w:r>
              <w:rPr>
                <w:rFonts w:ascii="Arial" w:cs="Arial" w:eastAsia="Arial" w:hAnsi="Arial"/>
                <w:sz w:val="18"/>
                <w:szCs w:val="18"/>
                <w:color w:val="auto"/>
                <w:w w:val="79"/>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15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revenues</w:t>
            </w:r>
          </w:p>
        </w:tc>
        <w:tc>
          <w:tcPr>
            <w:tcW w:w="58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0" w:type="dxa"/>
            <w:vAlign w:val="bottom"/>
            <w:gridSpan w:val="3"/>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20" w:type="dxa"/>
            <w:vAlign w:val="bottom"/>
            <w:gridSpan w:val="3"/>
            <w:vMerge w:val="continue"/>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gridSpan w:val="3"/>
          </w:tcPr>
          <w:p>
            <w:pPr>
              <w:spacing w:after="0" w:line="173" w:lineRule="exact"/>
              <w:rPr>
                <w:sz w:val="20"/>
                <w:szCs w:val="20"/>
                <w:color w:val="auto"/>
              </w:rPr>
            </w:pPr>
            <w:r>
              <w:rPr>
                <w:rFonts w:ascii="Arial" w:cs="Arial" w:eastAsia="Arial" w:hAnsi="Arial"/>
                <w:sz w:val="18"/>
                <w:szCs w:val="18"/>
                <w:color w:val="auto"/>
              </w:rPr>
              <w:t>Rental</w:t>
            </w:r>
          </w:p>
        </w:tc>
        <w:tc>
          <w:tcPr>
            <w:tcW w:w="580" w:type="dxa"/>
            <w:vAlign w:val="bottom"/>
          </w:tcPr>
          <w:p>
            <w:pPr>
              <w:spacing w:after="0"/>
              <w:rPr>
                <w:sz w:val="15"/>
                <w:szCs w:val="15"/>
                <w:color w:val="auto"/>
              </w:rPr>
            </w:pPr>
          </w:p>
        </w:tc>
        <w:tc>
          <w:tcPr>
            <w:tcW w:w="800" w:type="dxa"/>
            <w:vAlign w:val="bottom"/>
            <w:vMerge w:val="restart"/>
          </w:tcPr>
          <w:p>
            <w:pPr>
              <w:jc w:val="right"/>
              <w:ind w:right="115"/>
              <w:spacing w:after="0"/>
              <w:rPr>
                <w:sz w:val="20"/>
                <w:szCs w:val="20"/>
                <w:color w:val="auto"/>
              </w:rPr>
            </w:pPr>
            <w:r>
              <w:rPr>
                <w:rFonts w:ascii="Arial" w:cs="Arial" w:eastAsia="Arial" w:hAnsi="Arial"/>
                <w:sz w:val="18"/>
                <w:szCs w:val="18"/>
                <w:color w:val="auto"/>
              </w:rPr>
              <w:t>24.5</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vMerge w:val="restart"/>
          </w:tcPr>
          <w:p>
            <w:pPr>
              <w:jc w:val="right"/>
              <w:ind w:right="173"/>
              <w:spacing w:after="0"/>
              <w:rPr>
                <w:sz w:val="20"/>
                <w:szCs w:val="20"/>
                <w:color w:val="auto"/>
              </w:rPr>
            </w:pPr>
            <w:r>
              <w:rPr>
                <w:rFonts w:ascii="Arial" w:cs="Arial" w:eastAsia="Arial" w:hAnsi="Arial"/>
                <w:sz w:val="18"/>
                <w:szCs w:val="18"/>
                <w:color w:val="auto"/>
              </w:rPr>
              <w:t>20.8</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vMerge w:val="restart"/>
          </w:tcPr>
          <w:p>
            <w:pPr>
              <w:jc w:val="center"/>
              <w:ind w:left="299"/>
              <w:spacing w:after="0"/>
              <w:rPr>
                <w:sz w:val="20"/>
                <w:szCs w:val="20"/>
                <w:color w:val="auto"/>
              </w:rPr>
            </w:pPr>
            <w:r>
              <w:rPr>
                <w:rFonts w:ascii="Arial" w:cs="Arial" w:eastAsia="Arial" w:hAnsi="Arial"/>
                <w:sz w:val="18"/>
                <w:szCs w:val="18"/>
                <w:color w:val="auto"/>
                <w:w w:val="91"/>
              </w:rPr>
              <w:t>(3.7)</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vMerge w:val="restart"/>
          </w:tcPr>
          <w:p>
            <w:pPr>
              <w:jc w:val="right"/>
              <w:ind w:right="95"/>
              <w:spacing w:after="0"/>
              <w:rPr>
                <w:sz w:val="20"/>
                <w:szCs w:val="20"/>
                <w:color w:val="auto"/>
              </w:rPr>
            </w:pPr>
            <w:r>
              <w:rPr>
                <w:rFonts w:ascii="Arial" w:cs="Arial" w:eastAsia="Arial" w:hAnsi="Arial"/>
                <w:sz w:val="18"/>
                <w:szCs w:val="18"/>
                <w:color w:val="auto"/>
              </w:rPr>
              <w:t>66.0</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vMerge w:val="restart"/>
          </w:tcPr>
          <w:p>
            <w:pPr>
              <w:ind w:left="220"/>
              <w:spacing w:after="0"/>
              <w:rPr>
                <w:sz w:val="20"/>
                <w:szCs w:val="20"/>
                <w:color w:val="auto"/>
              </w:rPr>
            </w:pPr>
            <w:r>
              <w:rPr>
                <w:rFonts w:ascii="Arial" w:cs="Arial" w:eastAsia="Arial" w:hAnsi="Arial"/>
                <w:sz w:val="18"/>
                <w:szCs w:val="18"/>
                <w:color w:val="auto"/>
              </w:rPr>
              <w:t>64.6</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4"/>
        </w:trPr>
        <w:tc>
          <w:tcPr>
            <w:tcW w:w="2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expenses</w:t>
            </w:r>
          </w:p>
        </w:tc>
        <w:tc>
          <w:tcPr>
            <w:tcW w:w="5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0" w:type="dxa"/>
            <w:vAlign w:val="bottom"/>
            <w:gridSpan w:val="3"/>
            <w:shd w:val="clear" w:color="auto" w:fill="CCEEFF"/>
          </w:tcPr>
          <w:p>
            <w:pPr>
              <w:spacing w:after="0" w:line="154" w:lineRule="exact"/>
              <w:rPr>
                <w:sz w:val="20"/>
                <w:szCs w:val="20"/>
                <w:color w:val="auto"/>
              </w:rPr>
            </w:pPr>
            <w:r>
              <w:rPr>
                <w:rFonts w:ascii="Arial" w:cs="Arial" w:eastAsia="Arial" w:hAnsi="Arial"/>
                <w:sz w:val="17"/>
                <w:szCs w:val="17"/>
                <w:color w:val="auto"/>
              </w:rPr>
              <w:t>Rental</w:t>
            </w:r>
          </w:p>
        </w:tc>
        <w:tc>
          <w:tcPr>
            <w:tcW w:w="5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1520" w:type="dxa"/>
            <w:vAlign w:val="bottom"/>
            <w:gridSpan w:val="4"/>
            <w:shd w:val="clear" w:color="auto" w:fill="CCEEFF"/>
          </w:tcPr>
          <w:p>
            <w:pPr>
              <w:spacing w:after="0" w:line="172" w:lineRule="exact"/>
              <w:rPr>
                <w:sz w:val="20"/>
                <w:szCs w:val="20"/>
                <w:color w:val="auto"/>
              </w:rPr>
            </w:pPr>
            <w:r>
              <w:rPr>
                <w:rFonts w:ascii="Arial" w:cs="Arial" w:eastAsia="Arial" w:hAnsi="Arial"/>
                <w:sz w:val="18"/>
                <w:szCs w:val="18"/>
                <w:color w:val="auto"/>
              </w:rPr>
              <w:t>operations gross</w:t>
            </w:r>
          </w:p>
        </w:tc>
        <w:tc>
          <w:tcPr>
            <w:tcW w:w="58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ind w:right="115"/>
              <w:spacing w:after="0"/>
              <w:rPr>
                <w:sz w:val="20"/>
                <w:szCs w:val="20"/>
                <w:color w:val="auto"/>
              </w:rPr>
            </w:pPr>
            <w:r>
              <w:rPr>
                <w:rFonts w:ascii="Arial" w:cs="Arial" w:eastAsia="Arial" w:hAnsi="Arial"/>
                <w:sz w:val="18"/>
                <w:szCs w:val="18"/>
                <w:color w:val="auto"/>
              </w:rPr>
              <w:t>6.8</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ind w:right="173"/>
              <w:spacing w:after="0"/>
              <w:rPr>
                <w:sz w:val="20"/>
                <w:szCs w:val="20"/>
                <w:color w:val="auto"/>
              </w:rPr>
            </w:pPr>
            <w:r>
              <w:rPr>
                <w:rFonts w:ascii="Arial" w:cs="Arial" w:eastAsia="Arial" w:hAnsi="Arial"/>
                <w:sz w:val="18"/>
                <w:szCs w:val="18"/>
                <w:color w:val="auto"/>
              </w:rPr>
              <w:t>5.4</w:t>
            </w:r>
          </w:p>
        </w:tc>
        <w:tc>
          <w:tcPr>
            <w:tcW w:w="800" w:type="dxa"/>
            <w:vAlign w:val="bottom"/>
            <w:gridSpan w:val="3"/>
            <w:vMerge w:val="restart"/>
            <w:shd w:val="clear" w:color="auto" w:fill="CCEEFF"/>
          </w:tcPr>
          <w:p>
            <w:pPr>
              <w:ind w:left="700"/>
              <w:spacing w:after="0"/>
              <w:rPr>
                <w:sz w:val="20"/>
                <w:szCs w:val="20"/>
                <w:color w:val="auto"/>
              </w:rPr>
            </w:pPr>
            <w:r>
              <w:rPr>
                <w:rFonts w:ascii="Arial" w:cs="Arial" w:eastAsia="Arial" w:hAnsi="Arial"/>
                <w:sz w:val="18"/>
                <w:szCs w:val="18"/>
                <w:color w:val="auto"/>
                <w:w w:val="79"/>
              </w:rPr>
              <w:t>$</w:t>
            </w:r>
          </w:p>
        </w:tc>
        <w:tc>
          <w:tcPr>
            <w:tcW w:w="760" w:type="dxa"/>
            <w:vAlign w:val="bottom"/>
            <w:vMerge w:val="restart"/>
            <w:shd w:val="clear" w:color="auto" w:fill="CCEEFF"/>
          </w:tcPr>
          <w:p>
            <w:pPr>
              <w:jc w:val="center"/>
              <w:ind w:left="339"/>
              <w:spacing w:after="0"/>
              <w:rPr>
                <w:sz w:val="20"/>
                <w:szCs w:val="20"/>
                <w:color w:val="auto"/>
              </w:rPr>
            </w:pPr>
            <w:r>
              <w:rPr>
                <w:rFonts w:ascii="Arial" w:cs="Arial" w:eastAsia="Arial" w:hAnsi="Arial"/>
                <w:sz w:val="18"/>
                <w:szCs w:val="18"/>
                <w:color w:val="auto"/>
                <w:w w:val="87"/>
              </w:rPr>
              <w:t>1.4</w:t>
            </w:r>
          </w:p>
        </w:tc>
        <w:tc>
          <w:tcPr>
            <w:tcW w:w="10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ind w:right="95"/>
              <w:spacing w:after="0"/>
              <w:rPr>
                <w:sz w:val="20"/>
                <w:szCs w:val="20"/>
                <w:color w:val="auto"/>
              </w:rPr>
            </w:pPr>
            <w:r>
              <w:rPr>
                <w:rFonts w:ascii="Arial" w:cs="Arial" w:eastAsia="Arial" w:hAnsi="Arial"/>
                <w:sz w:val="18"/>
                <w:szCs w:val="18"/>
                <w:color w:val="auto"/>
              </w:rPr>
              <w:t>18.8</w:t>
            </w: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14.3</w:t>
            </w:r>
          </w:p>
        </w:tc>
        <w:tc>
          <w:tcPr>
            <w:tcW w:w="820" w:type="dxa"/>
            <w:vAlign w:val="bottom"/>
            <w:gridSpan w:val="3"/>
            <w:vMerge w:val="restart"/>
            <w:shd w:val="clear" w:color="auto" w:fill="CCEEFF"/>
          </w:tcPr>
          <w:p>
            <w:pPr>
              <w:ind w:left="720"/>
              <w:spacing w:after="0"/>
              <w:rPr>
                <w:sz w:val="20"/>
                <w:szCs w:val="20"/>
                <w:color w:val="auto"/>
              </w:rPr>
            </w:pPr>
            <w:r>
              <w:rPr>
                <w:rFonts w:ascii="Arial" w:cs="Arial" w:eastAsia="Arial" w:hAnsi="Arial"/>
                <w:sz w:val="18"/>
                <w:szCs w:val="18"/>
                <w:color w:val="auto"/>
                <w:w w:val="79"/>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spacing w:after="0" w:line="198" w:lineRule="exact"/>
              <w:rPr>
                <w:sz w:val="20"/>
                <w:szCs w:val="20"/>
                <w:color w:val="auto"/>
              </w:rPr>
            </w:pPr>
            <w:r>
              <w:rPr>
                <w:rFonts w:ascii="Arial" w:cs="Arial" w:eastAsia="Arial" w:hAnsi="Arial"/>
                <w:sz w:val="18"/>
                <w:szCs w:val="18"/>
                <w:color w:val="auto"/>
              </w:rPr>
              <w:t>profit</w:t>
            </w:r>
          </w:p>
        </w:tc>
        <w:tc>
          <w:tcPr>
            <w:tcW w:w="58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0" w:type="dxa"/>
            <w:vAlign w:val="bottom"/>
            <w:gridSpan w:val="3"/>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20" w:type="dxa"/>
            <w:vAlign w:val="bottom"/>
            <w:gridSpan w:val="3"/>
            <w:vMerge w:val="continue"/>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1200" w:type="dxa"/>
            <w:vAlign w:val="bottom"/>
            <w:tcBorders>
              <w:top w:val="single" w:sz="8" w:color="CCEEFF"/>
              <w:bottom w:val="single" w:sz="8" w:color="CCEEFF"/>
            </w:tcBorders>
            <w:gridSpan w:val="3"/>
            <w:vMerge w:val="restart"/>
          </w:tcPr>
          <w:p>
            <w:pPr>
              <w:spacing w:after="0" w:line="159" w:lineRule="exact"/>
              <w:rPr>
                <w:sz w:val="20"/>
                <w:szCs w:val="20"/>
                <w:color w:val="auto"/>
              </w:rPr>
            </w:pPr>
            <w:r>
              <w:rPr>
                <w:rFonts w:ascii="Arial" w:cs="Arial" w:eastAsia="Arial" w:hAnsi="Arial"/>
                <w:sz w:val="18"/>
                <w:szCs w:val="18"/>
                <w:color w:val="auto"/>
              </w:rPr>
              <w:t>Gross profit as</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vMerge w:val="restart"/>
          </w:tcPr>
          <w:p>
            <w:pPr>
              <w:jc w:val="right"/>
              <w:ind w:right="115"/>
              <w:spacing w:after="0"/>
              <w:rPr>
                <w:sz w:val="20"/>
                <w:szCs w:val="20"/>
                <w:color w:val="auto"/>
              </w:rPr>
            </w:pPr>
            <w:r>
              <w:rPr>
                <w:rFonts w:ascii="Arial" w:cs="Arial" w:eastAsia="Arial" w:hAnsi="Arial"/>
                <w:sz w:val="18"/>
                <w:szCs w:val="18"/>
                <w:color w:val="auto"/>
              </w:rPr>
              <w:t>21.8</w:t>
            </w: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0" w:type="dxa"/>
            <w:vAlign w:val="bottom"/>
            <w:vMerge w:val="restart"/>
          </w:tcPr>
          <w:p>
            <w:pPr>
              <w:jc w:val="right"/>
              <w:ind w:right="173"/>
              <w:spacing w:after="0"/>
              <w:rPr>
                <w:sz w:val="20"/>
                <w:szCs w:val="20"/>
                <w:color w:val="auto"/>
              </w:rPr>
            </w:pPr>
            <w:r>
              <w:rPr>
                <w:rFonts w:ascii="Arial" w:cs="Arial" w:eastAsia="Arial" w:hAnsi="Arial"/>
                <w:sz w:val="18"/>
                <w:szCs w:val="18"/>
                <w:color w:val="auto"/>
              </w:rPr>
              <w:t>20.6</w:t>
            </w: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vMerge w:val="restart"/>
          </w:tcPr>
          <w:p>
            <w:pPr>
              <w:jc w:val="right"/>
              <w:ind w:right="95"/>
              <w:spacing w:after="0"/>
              <w:rPr>
                <w:sz w:val="20"/>
                <w:szCs w:val="20"/>
                <w:color w:val="auto"/>
              </w:rPr>
            </w:pPr>
            <w:r>
              <w:rPr>
                <w:rFonts w:ascii="Arial" w:cs="Arial" w:eastAsia="Arial" w:hAnsi="Arial"/>
                <w:sz w:val="18"/>
                <w:szCs w:val="18"/>
                <w:color w:val="auto"/>
              </w:rPr>
              <w:t>22.1</w:t>
            </w: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vMerge w:val="restart"/>
          </w:tcPr>
          <w:p>
            <w:pPr>
              <w:ind w:left="220"/>
              <w:spacing w:after="0"/>
              <w:rPr>
                <w:sz w:val="20"/>
                <w:szCs w:val="20"/>
                <w:color w:val="auto"/>
              </w:rPr>
            </w:pPr>
            <w:r>
              <w:rPr>
                <w:rFonts w:ascii="Arial" w:cs="Arial" w:eastAsia="Arial" w:hAnsi="Arial"/>
                <w:sz w:val="18"/>
                <w:szCs w:val="18"/>
                <w:color w:val="auto"/>
              </w:rPr>
              <w:t>18.2</w:t>
            </w: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520" w:type="dxa"/>
            <w:vAlign w:val="bottom"/>
            <w:gridSpan w:val="4"/>
          </w:tcPr>
          <w:p>
            <w:pPr>
              <w:spacing w:after="0" w:line="199" w:lineRule="exact"/>
              <w:rPr>
                <w:sz w:val="20"/>
                <w:szCs w:val="20"/>
                <w:color w:val="auto"/>
              </w:rPr>
            </w:pPr>
            <w:r>
              <w:rPr>
                <w:rFonts w:ascii="Arial" w:cs="Arial" w:eastAsia="Arial" w:hAnsi="Arial"/>
                <w:sz w:val="18"/>
                <w:szCs w:val="18"/>
                <w:color w:val="auto"/>
              </w:rPr>
              <w:t xml:space="preserve">% of revenue </w:t>
            </w:r>
            <w:r>
              <w:rPr>
                <w:rFonts w:ascii="Arial" w:cs="Arial" w:eastAsia="Arial" w:hAnsi="Arial"/>
                <w:sz w:val="22"/>
                <w:szCs w:val="22"/>
                <w:color w:val="auto"/>
                <w:vertAlign w:val="superscript"/>
              </w:rPr>
              <w:t>(1)</w:t>
            </w:r>
          </w:p>
        </w:tc>
        <w:tc>
          <w:tcPr>
            <w:tcW w:w="5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3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w:t>
      </w:r>
    </w:p>
    <w:p>
      <w:pPr>
        <w:spacing w:after="0" w:line="48" w:lineRule="exact"/>
        <w:rPr>
          <w:sz w:val="20"/>
          <w:szCs w:val="20"/>
          <w:color w:val="auto"/>
        </w:rPr>
      </w:pPr>
    </w:p>
    <w:p>
      <w:pPr>
        <w:ind w:left="140" w:hanging="134"/>
        <w:spacing w:after="0"/>
        <w:tabs>
          <w:tab w:leader="none" w:pos="140" w:val="left"/>
        </w:tabs>
        <w:numPr>
          <w:ilvl w:val="0"/>
          <w:numId w:val="17"/>
        </w:numPr>
        <w:rPr>
          <w:rFonts w:ascii="Arial" w:cs="Arial" w:eastAsia="Arial" w:hAnsi="Arial"/>
          <w:sz w:val="16"/>
          <w:szCs w:val="16"/>
          <w:color w:val="auto"/>
          <w:vertAlign w:val="superscript"/>
        </w:rPr>
      </w:pPr>
      <w:r>
        <w:rPr>
          <w:rFonts w:ascii="Arial" w:cs="Arial" w:eastAsia="Arial" w:hAnsi="Arial"/>
          <w:sz w:val="13"/>
          <w:szCs w:val="13"/>
          <w:color w:val="auto"/>
        </w:rPr>
        <w:t>Percentages calculated on actual amounts, not rounded amounts presented above.</w:t>
      </w:r>
    </w:p>
    <w:p>
      <w:pPr>
        <w:spacing w:after="0" w:line="277" w:lineRule="exact"/>
        <w:rPr>
          <w:sz w:val="20"/>
          <w:szCs w:val="20"/>
          <w:color w:val="auto"/>
        </w:rPr>
      </w:pPr>
    </w:p>
    <w:p>
      <w:pPr>
        <w:ind w:right="120" w:firstLine="318"/>
        <w:spacing w:after="0" w:line="294" w:lineRule="auto"/>
        <w:rPr>
          <w:sz w:val="20"/>
          <w:szCs w:val="20"/>
          <w:color w:val="auto"/>
        </w:rPr>
      </w:pPr>
      <w:r>
        <w:rPr>
          <w:rFonts w:ascii="Arial" w:cs="Arial" w:eastAsia="Arial" w:hAnsi="Arial"/>
          <w:sz w:val="17"/>
          <w:szCs w:val="17"/>
          <w:color w:val="auto"/>
        </w:rPr>
        <w:t>Rental operations relate primarily to IHOP franchise restaurants. Rental income includes sublease revenue from operating leases and interest income from direct financing leases. Rental expenses are costs of prime operating leases and interest expense on prime finance leases.</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Rental segment revenue for the three months ended September 30, 2021 increased as compared to the same period of the prior year, primarily due to a</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$1.9 million increase in rental income based on a percentage of franchisees' retail sales and a $1.3 million decline in level rent adjustments, partially offset by</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a $1.8 million decrease due to restaurant closures, lease buy-outs and the scheduled expiration of leases, as well as a progressive decline of $0.3 million in</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interest income as direct financing leases are repaid. Additionally, rental revenue increased $4.0 million due to the gross presentation of certain elements of</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variable sublease income, such as common area maintenance payments received from franchisees and remitted to landlords, which previously were reported</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on a net basis. Rental segment expenses for the three months ended September 30, 2021 increased compared to the same period of the prior year due to the</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$4.0 million of variable expenses offsetting the revenue increase noted above and a $0.3 million increase in rent paid based on a percentage of franchisees'</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retail sales, partially offset by a $0.4 million decrease in interest expense as finance lease obligations are repaid and a $0.2 million decrease in depreciation</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expense.</w:t>
      </w:r>
    </w:p>
    <w:p>
      <w:pPr>
        <w:spacing w:after="0" w:line="232" w:lineRule="exact"/>
        <w:rPr>
          <w:sz w:val="20"/>
          <w:szCs w:val="20"/>
          <w:color w:val="auto"/>
        </w:rPr>
      </w:pPr>
    </w:p>
    <w:p>
      <w:pPr>
        <w:ind w:right="100" w:firstLine="318"/>
        <w:spacing w:after="0" w:line="264" w:lineRule="auto"/>
        <w:rPr>
          <w:sz w:val="20"/>
          <w:szCs w:val="20"/>
          <w:color w:val="auto"/>
        </w:rPr>
      </w:pPr>
      <w:r>
        <w:rPr>
          <w:rFonts w:ascii="Arial" w:cs="Arial" w:eastAsia="Arial" w:hAnsi="Arial"/>
          <w:sz w:val="17"/>
          <w:szCs w:val="17"/>
          <w:color w:val="auto"/>
        </w:rPr>
        <w:t>Rental segment revenue for the nine months ended September 30, 2021 increased as compared to the same period of the prior year, primarily due to a $3.5 million increase in rental income based on a percentage of franchisees' retail sales and a $2.8 decline in level rent adjustments, partially offset by a $3.5 million decrease due to restaurant closures, lease buy-outs and the scheduled expiration of leases, as well as a progressive decline of $1.0 million in interest income as direct financing leases are repaid. Additionally, rental revenue increased $4.0 million due to the gross presentation of certain elements of variable sublease income, previously reported on a net basis as discussed above. Rental segment expenses for the nine months ended September 30, 2021 increased compared to the same period of the prior year due to the $4.0 million of certain elements of variable sublease income offsetting the revenue increase noted above and a $0.6 million increase in rent paid based on a percentage of franchisees' retail sales, partially offset by a $1.3 million decrease in base rent, primarily due to restaurant closures, lease buy-outs and expirations, a $0.9 million decrease in interest expense as finance lease obligations are repaid and a $0.9 million decrease in depreciation expense.</w:t>
      </w:r>
    </w:p>
    <w:p>
      <w:pPr>
        <w:sectPr>
          <w:pgSz w:w="11900" w:h="16838" w:orient="portrait"/>
          <w:cols w:equalWidth="0" w:num="1">
            <w:col w:w="11340"/>
          </w:cols>
          <w:pgMar w:left="32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2" w:right="239" w:bottom="1440" w:gutter="0" w:footer="0" w:header="0"/>
          <w:type w:val="continuous"/>
        </w:sectPr>
      </w:pPr>
    </w:p>
    <w:bookmarkStart w:id="41" w:name="page42"/>
    <w:bookmarkEnd w:id="4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Restaurant Operations</w:t>
      </w:r>
    </w:p>
    <w:p>
      <w:pPr>
        <w:spacing w:after="0" w:line="171" w:lineRule="exact"/>
        <w:rPr>
          <w:sz w:val="20"/>
          <w:szCs w:val="20"/>
          <w:color w:val="auto"/>
        </w:rPr>
      </w:pPr>
    </w:p>
    <w:tbl>
      <w:tblPr>
        <w:tblLayout w:type="fixed"/>
        <w:tblInd w:w="1920" w:type="dxa"/>
        <w:tblCellMar>
          <w:top w:w="0" w:type="dxa"/>
          <w:left w:w="0" w:type="dxa"/>
          <w:bottom w:w="0" w:type="dxa"/>
          <w:right w:w="0" w:type="dxa"/>
        </w:tblCellMar>
      </w:tblPr>
      <w:tr>
        <w:trPr>
          <w:trHeight w:val="184"/>
        </w:trPr>
        <w:tc>
          <w:tcPr>
            <w:tcW w:w="3460" w:type="dxa"/>
            <w:vAlign w:val="bottom"/>
            <w:gridSpan w:val="3"/>
          </w:tcPr>
          <w:p>
            <w:pPr>
              <w:jc w:val="right"/>
              <w:ind w:right="281"/>
              <w:spacing w:after="0"/>
              <w:rPr>
                <w:sz w:val="20"/>
                <w:szCs w:val="20"/>
                <w:color w:val="auto"/>
              </w:rPr>
            </w:pPr>
            <w:r>
              <w:rPr>
                <w:rFonts w:ascii="Arial" w:cs="Arial" w:eastAsia="Arial" w:hAnsi="Arial"/>
                <w:sz w:val="16"/>
                <w:szCs w:val="16"/>
                <w:b w:val="1"/>
                <w:bCs w:val="1"/>
                <w:color w:val="auto"/>
              </w:rPr>
              <w:t>Three months ended September 30,</w:t>
            </w:r>
          </w:p>
        </w:tc>
        <w:tc>
          <w:tcPr>
            <w:tcW w:w="100" w:type="dxa"/>
            <w:vAlign w:val="bottom"/>
          </w:tcPr>
          <w:p>
            <w:pPr>
              <w:spacing w:after="0"/>
              <w:rPr>
                <w:sz w:val="16"/>
                <w:szCs w:val="16"/>
                <w:color w:val="auto"/>
              </w:rPr>
            </w:pPr>
          </w:p>
        </w:tc>
        <w:tc>
          <w:tcPr>
            <w:tcW w:w="1260" w:type="dxa"/>
            <w:vAlign w:val="bottom"/>
            <w:gridSpan w:val="2"/>
          </w:tcPr>
          <w:p>
            <w:pPr>
              <w:ind w:left="420"/>
              <w:spacing w:after="0"/>
              <w:rPr>
                <w:sz w:val="20"/>
                <w:szCs w:val="20"/>
                <w:color w:val="auto"/>
              </w:rPr>
            </w:pPr>
            <w:r>
              <w:rPr>
                <w:rFonts w:ascii="Arial" w:cs="Arial" w:eastAsia="Arial" w:hAnsi="Arial"/>
                <w:sz w:val="14"/>
                <w:szCs w:val="14"/>
                <w:b w:val="1"/>
                <w:bCs w:val="1"/>
                <w:color w:val="auto"/>
              </w:rPr>
              <w:t>Favorable</w:t>
            </w:r>
          </w:p>
        </w:tc>
        <w:tc>
          <w:tcPr>
            <w:tcW w:w="3500" w:type="dxa"/>
            <w:vAlign w:val="bottom"/>
            <w:gridSpan w:val="3"/>
          </w:tcPr>
          <w:p>
            <w:pPr>
              <w:jc w:val="right"/>
              <w:ind w:right="361"/>
              <w:spacing w:after="0"/>
              <w:rPr>
                <w:sz w:val="20"/>
                <w:szCs w:val="20"/>
                <w:color w:val="auto"/>
              </w:rPr>
            </w:pPr>
            <w:r>
              <w:rPr>
                <w:rFonts w:ascii="Arial" w:cs="Arial" w:eastAsia="Arial" w:hAnsi="Arial"/>
                <w:sz w:val="16"/>
                <w:szCs w:val="16"/>
                <w:b w:val="1"/>
                <w:bCs w:val="1"/>
                <w:color w:val="auto"/>
              </w:rPr>
              <w:t>Nine months ended September 30,</w:t>
            </w:r>
          </w:p>
        </w:tc>
        <w:tc>
          <w:tcPr>
            <w:tcW w:w="80" w:type="dxa"/>
            <w:vAlign w:val="bottom"/>
          </w:tcPr>
          <w:p>
            <w:pPr>
              <w:spacing w:after="0"/>
              <w:rPr>
                <w:sz w:val="16"/>
                <w:szCs w:val="16"/>
                <w:color w:val="auto"/>
              </w:rPr>
            </w:pPr>
          </w:p>
        </w:tc>
        <w:tc>
          <w:tcPr>
            <w:tcW w:w="1020" w:type="dxa"/>
            <w:vAlign w:val="bottom"/>
          </w:tcPr>
          <w:p>
            <w:pPr>
              <w:ind w:left="480"/>
              <w:spacing w:after="0"/>
              <w:rPr>
                <w:sz w:val="20"/>
                <w:szCs w:val="20"/>
                <w:color w:val="auto"/>
              </w:rPr>
            </w:pPr>
            <w:r>
              <w:rPr>
                <w:rFonts w:ascii="Arial" w:cs="Arial" w:eastAsia="Arial" w:hAnsi="Arial"/>
                <w:sz w:val="14"/>
                <w:szCs w:val="14"/>
                <w:b w:val="1"/>
                <w:bCs w:val="1"/>
                <w:color w:val="auto"/>
                <w:w w:val="89"/>
              </w:rPr>
              <w:t>Favorabl</w:t>
            </w:r>
          </w:p>
        </w:tc>
      </w:tr>
      <w:tr>
        <w:trPr>
          <w:trHeight w:val="53"/>
        </w:trPr>
        <w:tc>
          <w:tcPr>
            <w:tcW w:w="1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gridSpan w:val="2"/>
          </w:tcPr>
          <w:p>
            <w:pPr>
              <w:jc w:val="center"/>
              <w:ind w:right="100"/>
              <w:spacing w:after="0" w:line="53" w:lineRule="exact"/>
              <w:rPr>
                <w:sz w:val="20"/>
                <w:szCs w:val="20"/>
                <w:color w:val="auto"/>
              </w:rPr>
            </w:pPr>
            <w:r>
              <w:rPr>
                <w:rFonts w:ascii="Arial" w:cs="Arial" w:eastAsia="Arial" w:hAnsi="Arial"/>
                <w:sz w:val="6"/>
                <w:szCs w:val="6"/>
                <w:b w:val="1"/>
                <w:bCs w:val="1"/>
                <w:color w:val="auto"/>
              </w:rPr>
              <w:t>(Unfavorable)</w:t>
            </w:r>
          </w:p>
        </w:tc>
        <w:tc>
          <w:tcPr>
            <w:tcW w:w="1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ind w:left="200"/>
              <w:spacing w:after="0" w:line="53" w:lineRule="exact"/>
              <w:rPr>
                <w:sz w:val="20"/>
                <w:szCs w:val="20"/>
                <w:color w:val="auto"/>
              </w:rPr>
            </w:pPr>
            <w:r>
              <w:rPr>
                <w:rFonts w:ascii="Arial" w:cs="Arial" w:eastAsia="Arial" w:hAnsi="Arial"/>
                <w:sz w:val="6"/>
                <w:szCs w:val="6"/>
                <w:b w:val="1"/>
                <w:bCs w:val="1"/>
                <w:color w:val="auto"/>
              </w:rPr>
              <w:t>(Unfavorable</w:t>
            </w:r>
          </w:p>
        </w:tc>
      </w:tr>
      <w:tr>
        <w:trPr>
          <w:trHeight w:val="204"/>
        </w:trPr>
        <w:tc>
          <w:tcPr>
            <w:tcW w:w="168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168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Variance</w:t>
            </w:r>
          </w:p>
        </w:tc>
        <w:tc>
          <w:tcPr>
            <w:tcW w:w="100" w:type="dxa"/>
            <w:vAlign w:val="bottom"/>
          </w:tcPr>
          <w:p>
            <w:pPr>
              <w:spacing w:after="0"/>
              <w:rPr>
                <w:sz w:val="17"/>
                <w:szCs w:val="17"/>
                <w:color w:val="auto"/>
              </w:rPr>
            </w:pPr>
          </w:p>
        </w:tc>
        <w:tc>
          <w:tcPr>
            <w:tcW w:w="174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166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7"/>
                <w:szCs w:val="17"/>
                <w:color w:val="auto"/>
              </w:rPr>
            </w:pPr>
          </w:p>
        </w:tc>
        <w:tc>
          <w:tcPr>
            <w:tcW w:w="10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Variance</w:t>
            </w:r>
          </w:p>
        </w:tc>
      </w:tr>
    </w:tbl>
    <w:p>
      <w:pPr>
        <w:spacing w:after="0" w:line="111"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16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Effective</w:t>
            </w:r>
          </w:p>
        </w:tc>
        <w:tc>
          <w:tcPr>
            <w:tcW w:w="64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69</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rPr>
              <w:t>69</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69</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rPr>
              <w:t>68</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600" w:type="dxa"/>
            <w:vAlign w:val="bottom"/>
            <w:tcBorders>
              <w:bottom w:val="single" w:sz="8" w:color="CCEEFF"/>
            </w:tcBorders>
            <w:shd w:val="clear" w:color="auto" w:fill="CCEEFF"/>
          </w:tcPr>
          <w:p>
            <w:pPr>
              <w:ind w:left="20"/>
              <w:spacing w:after="0" w:line="199" w:lineRule="exact"/>
              <w:rPr>
                <w:sz w:val="20"/>
                <w:szCs w:val="20"/>
                <w:color w:val="auto"/>
              </w:rPr>
            </w:pPr>
            <w:r>
              <w:rPr>
                <w:rFonts w:ascii="Arial" w:cs="Arial" w:eastAsia="Arial" w:hAnsi="Arial"/>
                <w:sz w:val="18"/>
                <w:szCs w:val="18"/>
                <w:b w:val="1"/>
                <w:bCs w:val="1"/>
                <w:color w:val="auto"/>
              </w:rPr>
              <w:t>Restaurants</w:t>
            </w:r>
          </w:p>
        </w:tc>
        <w:tc>
          <w:tcPr>
            <w:tcW w:w="6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2"/>
            <w:vMerge w:val="continue"/>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3"/>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1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340" w:type="dxa"/>
            <w:vAlign w:val="bottom"/>
            <w:gridSpan w:val="3"/>
          </w:tcPr>
          <w:p>
            <w:pPr>
              <w:jc w:val="right"/>
              <w:ind w:right="52"/>
              <w:spacing w:after="0" w:line="158" w:lineRule="exact"/>
              <w:rPr>
                <w:sz w:val="20"/>
                <w:szCs w:val="20"/>
                <w:color w:val="auto"/>
              </w:rPr>
            </w:pPr>
            <w:r>
              <w:rPr>
                <w:rFonts w:ascii="Arial" w:cs="Arial" w:eastAsia="Arial" w:hAnsi="Arial"/>
                <w:sz w:val="14"/>
                <w:szCs w:val="14"/>
                <w:b w:val="1"/>
                <w:bCs w:val="1"/>
                <w:color w:val="auto"/>
              </w:rPr>
              <w:t>(In millions)</w:t>
            </w: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600" w:type="dxa"/>
            <w:vAlign w:val="bottom"/>
            <w:shd w:val="clear" w:color="auto" w:fill="CCEEFF"/>
          </w:tcPr>
          <w:p>
            <w:pPr>
              <w:ind w:left="340"/>
              <w:spacing w:after="0" w:line="174" w:lineRule="exact"/>
              <w:rPr>
                <w:sz w:val="20"/>
                <w:szCs w:val="20"/>
                <w:color w:val="auto"/>
              </w:rPr>
            </w:pPr>
            <w:r>
              <w:rPr>
                <w:rFonts w:ascii="Arial" w:cs="Arial" w:eastAsia="Arial" w:hAnsi="Arial"/>
                <w:sz w:val="18"/>
                <w:szCs w:val="18"/>
                <w:color w:val="auto"/>
              </w:rPr>
              <w:t>Applebee's</w:t>
            </w:r>
          </w:p>
        </w:tc>
        <w:tc>
          <w:tcPr>
            <w:tcW w:w="6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600" w:type="dxa"/>
            <w:vAlign w:val="bottom"/>
            <w:shd w:val="clear" w:color="auto" w:fill="CCEEFF"/>
          </w:tcPr>
          <w:p>
            <w:pPr>
              <w:ind w:left="20"/>
              <w:spacing w:after="0" w:line="171" w:lineRule="exact"/>
              <w:rPr>
                <w:sz w:val="20"/>
                <w:szCs w:val="20"/>
                <w:color w:val="auto"/>
              </w:rPr>
            </w:pPr>
            <w:r>
              <w:rPr>
                <w:rFonts w:ascii="Arial" w:cs="Arial" w:eastAsia="Arial" w:hAnsi="Arial"/>
                <w:sz w:val="18"/>
                <w:szCs w:val="18"/>
                <w:color w:val="auto"/>
                <w:w w:val="95"/>
              </w:rPr>
              <w:t>Company restaurant</w:t>
            </w:r>
          </w:p>
        </w:tc>
        <w:tc>
          <w:tcPr>
            <w:tcW w:w="64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35.2</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rPr>
              <w:t>27.4</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109.4</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rPr>
              <w:t>75.4</w:t>
            </w:r>
          </w:p>
        </w:tc>
        <w:tc>
          <w:tcPr>
            <w:tcW w:w="10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5"/>
        </w:trPr>
        <w:tc>
          <w:tcPr>
            <w:tcW w:w="160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sales </w:t>
            </w:r>
            <w:r>
              <w:rPr>
                <w:rFonts w:ascii="Arial" w:cs="Arial" w:eastAsia="Arial" w:hAnsi="Arial"/>
                <w:sz w:val="22"/>
                <w:szCs w:val="22"/>
                <w:color w:val="auto"/>
                <w:vertAlign w:val="superscript"/>
              </w:rPr>
              <w:t>(1)</w:t>
            </w:r>
          </w:p>
        </w:tc>
        <w:tc>
          <w:tcPr>
            <w:tcW w:w="640" w:type="dxa"/>
            <w:vAlign w:val="bottom"/>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020" w:type="dxa"/>
            <w:vAlign w:val="bottom"/>
            <w:gridSpan w:val="3"/>
            <w:vMerge w:val="continue"/>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600" w:type="dxa"/>
            <w:vAlign w:val="bottom"/>
          </w:tcPr>
          <w:p>
            <w:pPr>
              <w:ind w:left="340"/>
              <w:spacing w:after="0" w:line="173" w:lineRule="exact"/>
              <w:rPr>
                <w:sz w:val="20"/>
                <w:szCs w:val="20"/>
                <w:color w:val="auto"/>
              </w:rPr>
            </w:pPr>
            <w:r>
              <w:rPr>
                <w:rFonts w:ascii="Arial" w:cs="Arial" w:eastAsia="Arial" w:hAnsi="Arial"/>
                <w:sz w:val="18"/>
                <w:szCs w:val="18"/>
                <w:color w:val="auto"/>
              </w:rPr>
              <w:t>Applebee's</w:t>
            </w: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600" w:type="dxa"/>
            <w:vAlign w:val="bottom"/>
          </w:tcPr>
          <w:p>
            <w:pPr>
              <w:ind w:left="20"/>
              <w:spacing w:after="0" w:line="171" w:lineRule="exact"/>
              <w:rPr>
                <w:sz w:val="20"/>
                <w:szCs w:val="20"/>
                <w:color w:val="auto"/>
              </w:rPr>
            </w:pPr>
            <w:r>
              <w:rPr>
                <w:rFonts w:ascii="Arial" w:cs="Arial" w:eastAsia="Arial" w:hAnsi="Arial"/>
                <w:sz w:val="18"/>
                <w:szCs w:val="18"/>
                <w:color w:val="auto"/>
                <w:w w:val="95"/>
              </w:rPr>
              <w:t>Company restaurant</w:t>
            </w:r>
          </w:p>
        </w:tc>
        <w:tc>
          <w:tcPr>
            <w:tcW w:w="640" w:type="dxa"/>
            <w:vAlign w:val="bottom"/>
          </w:tcPr>
          <w:p>
            <w:pPr>
              <w:spacing w:after="0"/>
              <w:rPr>
                <w:sz w:val="14"/>
                <w:szCs w:val="14"/>
                <w:color w:val="auto"/>
              </w:rPr>
            </w:pPr>
          </w:p>
        </w:tc>
        <w:tc>
          <w:tcPr>
            <w:tcW w:w="700" w:type="dxa"/>
            <w:vAlign w:val="bottom"/>
            <w:vMerge w:val="restart"/>
          </w:tcPr>
          <w:p>
            <w:pPr>
              <w:jc w:val="right"/>
              <w:ind w:right="92"/>
              <w:spacing w:after="0"/>
              <w:rPr>
                <w:sz w:val="20"/>
                <w:szCs w:val="20"/>
                <w:color w:val="auto"/>
              </w:rPr>
            </w:pPr>
            <w:r>
              <w:rPr>
                <w:rFonts w:ascii="Arial" w:cs="Arial" w:eastAsia="Arial" w:hAnsi="Arial"/>
                <w:sz w:val="18"/>
                <w:szCs w:val="18"/>
                <w:color w:val="auto"/>
              </w:rPr>
              <w:t>33.7</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vMerge w:val="restart"/>
          </w:tcPr>
          <w:p>
            <w:pPr>
              <w:jc w:val="right"/>
              <w:ind w:right="112"/>
              <w:spacing w:after="0"/>
              <w:rPr>
                <w:sz w:val="20"/>
                <w:szCs w:val="20"/>
                <w:color w:val="auto"/>
              </w:rPr>
            </w:pPr>
            <w:r>
              <w:rPr>
                <w:rFonts w:ascii="Arial" w:cs="Arial" w:eastAsia="Arial" w:hAnsi="Arial"/>
                <w:sz w:val="18"/>
                <w:szCs w:val="18"/>
                <w:color w:val="auto"/>
              </w:rPr>
              <w:t>27.5</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vMerge w:val="restart"/>
          </w:tcPr>
          <w:p>
            <w:pPr>
              <w:jc w:val="right"/>
              <w:ind w:right="92"/>
              <w:spacing w:after="0"/>
              <w:rPr>
                <w:sz w:val="20"/>
                <w:szCs w:val="20"/>
                <w:color w:val="auto"/>
              </w:rPr>
            </w:pPr>
            <w:r>
              <w:rPr>
                <w:rFonts w:ascii="Arial" w:cs="Arial" w:eastAsia="Arial" w:hAnsi="Arial"/>
                <w:sz w:val="18"/>
                <w:szCs w:val="18"/>
                <w:color w:val="auto"/>
              </w:rPr>
              <w:t>101.0</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vMerge w:val="restart"/>
          </w:tcPr>
          <w:p>
            <w:pPr>
              <w:jc w:val="right"/>
              <w:ind w:right="112"/>
              <w:spacing w:after="0"/>
              <w:rPr>
                <w:sz w:val="20"/>
                <w:szCs w:val="20"/>
                <w:color w:val="auto"/>
              </w:rPr>
            </w:pPr>
            <w:r>
              <w:rPr>
                <w:rFonts w:ascii="Arial" w:cs="Arial" w:eastAsia="Arial" w:hAnsi="Arial"/>
                <w:sz w:val="18"/>
                <w:szCs w:val="18"/>
                <w:color w:val="auto"/>
              </w:rPr>
              <w:t>78.0</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5"/>
        </w:trPr>
        <w:tc>
          <w:tcPr>
            <w:tcW w:w="1600" w:type="dxa"/>
            <w:vAlign w:val="bottom"/>
          </w:tcPr>
          <w:p>
            <w:pPr>
              <w:ind w:left="20"/>
              <w:spacing w:after="0" w:line="225"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2"/>
                <w:szCs w:val="22"/>
                <w:color w:val="auto"/>
                <w:vertAlign w:val="superscript"/>
              </w:rPr>
              <w:t>(1)</w:t>
            </w:r>
          </w:p>
        </w:tc>
        <w:tc>
          <w:tcPr>
            <w:tcW w:w="64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1600" w:type="dxa"/>
            <w:vAlign w:val="bottom"/>
            <w:shd w:val="clear" w:color="auto" w:fill="CCEEFF"/>
          </w:tcPr>
          <w:p>
            <w:pPr>
              <w:ind w:left="340"/>
              <w:spacing w:after="0" w:line="172" w:lineRule="exact"/>
              <w:rPr>
                <w:sz w:val="20"/>
                <w:szCs w:val="20"/>
                <w:color w:val="auto"/>
              </w:rPr>
            </w:pPr>
            <w:r>
              <w:rPr>
                <w:rFonts w:ascii="Arial" w:cs="Arial" w:eastAsia="Arial" w:hAnsi="Arial"/>
                <w:sz w:val="18"/>
                <w:szCs w:val="18"/>
                <w:color w:val="auto"/>
                <w:w w:val="95"/>
              </w:rPr>
              <w:t>IHOP restaurant</w:t>
            </w:r>
          </w:p>
        </w:tc>
        <w:tc>
          <w:tcPr>
            <w:tcW w:w="64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0.1</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rPr>
              <w:t>0.8</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0.5</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rPr>
              <w:t>1.8</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5"/>
        </w:trPr>
        <w:tc>
          <w:tcPr>
            <w:tcW w:w="160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2"/>
                <w:szCs w:val="22"/>
                <w:color w:val="auto"/>
                <w:vertAlign w:val="superscript"/>
              </w:rPr>
              <w:t>(2)</w:t>
            </w:r>
          </w:p>
        </w:tc>
        <w:tc>
          <w:tcPr>
            <w:tcW w:w="6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1600" w:type="dxa"/>
            <w:vAlign w:val="bottom"/>
          </w:tcPr>
          <w:p>
            <w:pPr>
              <w:ind w:left="340"/>
              <w:spacing w:after="0" w:line="154" w:lineRule="exact"/>
              <w:rPr>
                <w:sz w:val="20"/>
                <w:szCs w:val="20"/>
                <w:color w:val="auto"/>
              </w:rPr>
            </w:pPr>
            <w:r>
              <w:rPr>
                <w:rFonts w:ascii="Arial" w:cs="Arial" w:eastAsia="Arial" w:hAnsi="Arial"/>
                <w:sz w:val="17"/>
                <w:szCs w:val="17"/>
                <w:color w:val="auto"/>
              </w:rPr>
              <w:t>Company</w:t>
            </w: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600" w:type="dxa"/>
            <w:vAlign w:val="bottom"/>
          </w:tcPr>
          <w:p>
            <w:pPr>
              <w:ind w:left="20"/>
              <w:spacing w:after="0" w:line="172" w:lineRule="exact"/>
              <w:rPr>
                <w:sz w:val="20"/>
                <w:szCs w:val="20"/>
                <w:color w:val="auto"/>
              </w:rPr>
            </w:pPr>
            <w:r>
              <w:rPr>
                <w:rFonts w:ascii="Arial" w:cs="Arial" w:eastAsia="Arial" w:hAnsi="Arial"/>
                <w:sz w:val="18"/>
                <w:szCs w:val="18"/>
                <w:color w:val="auto"/>
              </w:rPr>
              <w:t>restaurant gross</w:t>
            </w:r>
          </w:p>
        </w:tc>
        <w:tc>
          <w:tcPr>
            <w:tcW w:w="640" w:type="dxa"/>
            <w:vAlign w:val="bottom"/>
            <w:vMerge w:val="restart"/>
          </w:tcPr>
          <w:p>
            <w:pPr>
              <w:jc w:val="right"/>
              <w:ind w:right="112"/>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ind w:right="92"/>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jc w:val="right"/>
              <w:ind w:right="132"/>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ind w:right="72"/>
              <w:spacing w:after="0"/>
              <w:rPr>
                <w:sz w:val="20"/>
                <w:szCs w:val="20"/>
                <w:color w:val="auto"/>
              </w:rPr>
            </w:pPr>
            <w:r>
              <w:rPr>
                <w:rFonts w:ascii="Arial" w:cs="Arial" w:eastAsia="Arial" w:hAnsi="Arial"/>
                <w:sz w:val="18"/>
                <w:szCs w:val="18"/>
                <w:color w:val="auto"/>
              </w:rPr>
              <w:t>(0.9)</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restart"/>
          </w:tcPr>
          <w:p>
            <w:pPr>
              <w:jc w:val="right"/>
              <w:ind w:right="92"/>
              <w:spacing w:after="0"/>
              <w:rPr>
                <w:sz w:val="20"/>
                <w:szCs w:val="20"/>
                <w:color w:val="auto"/>
              </w:rPr>
            </w:pPr>
            <w:r>
              <w:rPr>
                <w:rFonts w:ascii="Arial" w:cs="Arial" w:eastAsia="Arial" w:hAnsi="Arial"/>
                <w:sz w:val="18"/>
                <w:szCs w:val="18"/>
                <w:color w:val="auto"/>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4"/>
                <w:szCs w:val="14"/>
                <w:color w:val="auto"/>
              </w:rPr>
            </w:pPr>
          </w:p>
        </w:tc>
        <w:tc>
          <w:tcPr>
            <w:tcW w:w="680" w:type="dxa"/>
            <w:vAlign w:val="bottom"/>
            <w:vMerge w:val="restart"/>
          </w:tcPr>
          <w:p>
            <w:pPr>
              <w:jc w:val="right"/>
              <w:ind w:right="172"/>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ind w:right="92"/>
              <w:spacing w:after="0"/>
              <w:rPr>
                <w:sz w:val="20"/>
                <w:szCs w:val="20"/>
                <w:color w:val="auto"/>
              </w:rPr>
            </w:pPr>
            <w:r>
              <w:rPr>
                <w:rFonts w:ascii="Arial" w:cs="Arial" w:eastAsia="Arial" w:hAnsi="Arial"/>
                <w:sz w:val="18"/>
                <w:szCs w:val="18"/>
                <w:color w:val="auto"/>
              </w:rPr>
              <w:t>7.9</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jc w:val="right"/>
              <w:ind w:right="112"/>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ind w:right="72"/>
              <w:spacing w:after="0"/>
              <w:rPr>
                <w:sz w:val="20"/>
                <w:szCs w:val="20"/>
                <w:color w:val="auto"/>
              </w:rPr>
            </w:pPr>
            <w:r>
              <w:rPr>
                <w:rFonts w:ascii="Arial" w:cs="Arial" w:eastAsia="Arial" w:hAnsi="Arial"/>
                <w:sz w:val="18"/>
                <w:szCs w:val="18"/>
                <w:color w:val="auto"/>
              </w:rPr>
              <w:t>(4.4)</w:t>
            </w:r>
          </w:p>
        </w:tc>
        <w:tc>
          <w:tcPr>
            <w:tcW w:w="102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8"/>
        </w:trPr>
        <w:tc>
          <w:tcPr>
            <w:tcW w:w="1600" w:type="dxa"/>
            <w:vAlign w:val="bottom"/>
          </w:tcPr>
          <w:p>
            <w:pPr>
              <w:ind w:left="20"/>
              <w:spacing w:after="0" w:line="198" w:lineRule="exact"/>
              <w:rPr>
                <w:sz w:val="20"/>
                <w:szCs w:val="20"/>
                <w:color w:val="auto"/>
              </w:rPr>
            </w:pPr>
            <w:r>
              <w:rPr>
                <w:rFonts w:ascii="Arial" w:cs="Arial" w:eastAsia="Arial" w:hAnsi="Arial"/>
                <w:sz w:val="18"/>
                <w:szCs w:val="18"/>
                <w:color w:val="auto"/>
              </w:rPr>
              <w:t>profit</w:t>
            </w:r>
          </w:p>
        </w:tc>
        <w:tc>
          <w:tcPr>
            <w:tcW w:w="64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1020" w:type="dxa"/>
            <w:vAlign w:val="bottom"/>
            <w:gridSpan w:val="3"/>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600" w:type="dxa"/>
            <w:vAlign w:val="bottom"/>
            <w:shd w:val="clear" w:color="auto" w:fill="CCEEFF"/>
          </w:tcPr>
          <w:p>
            <w:pPr>
              <w:ind w:left="340"/>
              <w:spacing w:after="0" w:line="139" w:lineRule="exact"/>
              <w:rPr>
                <w:sz w:val="20"/>
                <w:szCs w:val="20"/>
                <w:color w:val="auto"/>
              </w:rPr>
            </w:pPr>
            <w:r>
              <w:rPr>
                <w:rFonts w:ascii="Arial" w:cs="Arial" w:eastAsia="Arial" w:hAnsi="Arial"/>
                <w:sz w:val="15"/>
                <w:szCs w:val="15"/>
                <w:color w:val="auto"/>
              </w:rPr>
              <w:t>Gross profit as</w:t>
            </w:r>
          </w:p>
        </w:tc>
        <w:tc>
          <w:tcPr>
            <w:tcW w:w="6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4.4</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(0.6)</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7.7</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(3.4)</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600" w:type="dxa"/>
            <w:vAlign w:val="bottom"/>
            <w:tcBorders>
              <w:bottom w:val="single" w:sz="8" w:color="CCEEFF"/>
            </w:tcBorders>
            <w:shd w:val="clear" w:color="auto" w:fill="CCEEFF"/>
          </w:tcPr>
          <w:p>
            <w:pPr>
              <w:ind w:left="20"/>
              <w:spacing w:after="0" w:line="199" w:lineRule="exact"/>
              <w:rPr>
                <w:sz w:val="20"/>
                <w:szCs w:val="20"/>
                <w:color w:val="auto"/>
              </w:rPr>
            </w:pPr>
            <w:r>
              <w:rPr>
                <w:rFonts w:ascii="Arial" w:cs="Arial" w:eastAsia="Arial" w:hAnsi="Arial"/>
                <w:sz w:val="18"/>
                <w:szCs w:val="18"/>
                <w:color w:val="auto"/>
              </w:rPr>
              <w:t xml:space="preserve">% of revenue </w:t>
            </w:r>
            <w:r>
              <w:rPr>
                <w:rFonts w:ascii="Arial" w:cs="Arial" w:eastAsia="Arial" w:hAnsi="Arial"/>
                <w:sz w:val="22"/>
                <w:szCs w:val="22"/>
                <w:color w:val="auto"/>
                <w:vertAlign w:val="superscript"/>
              </w:rPr>
              <w:t>(3)</w:t>
            </w:r>
          </w:p>
        </w:tc>
        <w:tc>
          <w:tcPr>
            <w:tcW w:w="6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w:t>
      </w:r>
    </w:p>
    <w:p>
      <w:pPr>
        <w:spacing w:after="0" w:line="48" w:lineRule="exact"/>
        <w:rPr>
          <w:sz w:val="20"/>
          <w:szCs w:val="20"/>
          <w:color w:val="auto"/>
        </w:rPr>
      </w:pPr>
    </w:p>
    <w:p>
      <w:pPr>
        <w:ind w:left="140" w:hanging="134"/>
        <w:spacing w:after="0"/>
        <w:tabs>
          <w:tab w:leader="none" w:pos="140" w:val="left"/>
        </w:tabs>
        <w:numPr>
          <w:ilvl w:val="0"/>
          <w:numId w:val="18"/>
        </w:numPr>
        <w:rPr>
          <w:rFonts w:ascii="Arial" w:cs="Arial" w:eastAsia="Arial" w:hAnsi="Arial"/>
          <w:sz w:val="16"/>
          <w:szCs w:val="16"/>
          <w:color w:val="auto"/>
          <w:vertAlign w:val="superscript"/>
        </w:rPr>
      </w:pPr>
      <w:r>
        <w:rPr>
          <w:rFonts w:ascii="Arial" w:cs="Arial" w:eastAsia="Arial" w:hAnsi="Arial"/>
          <w:sz w:val="13"/>
          <w:szCs w:val="13"/>
          <w:color w:val="auto"/>
        </w:rPr>
        <w:t>Related to 69 Applebee's company-operated restaurants.</w:t>
      </w:r>
    </w:p>
    <w:p>
      <w:pPr>
        <w:spacing w:after="0" w:line="44" w:lineRule="exact"/>
        <w:rPr>
          <w:rFonts w:ascii="Arial" w:cs="Arial" w:eastAsia="Arial" w:hAnsi="Arial"/>
          <w:sz w:val="16"/>
          <w:szCs w:val="16"/>
          <w:color w:val="auto"/>
          <w:vertAlign w:val="superscript"/>
        </w:rPr>
      </w:pPr>
    </w:p>
    <w:p>
      <w:pPr>
        <w:ind w:left="140" w:hanging="134"/>
        <w:spacing w:after="0" w:line="218" w:lineRule="auto"/>
        <w:tabs>
          <w:tab w:leader="none" w:pos="140" w:val="left"/>
        </w:tabs>
        <w:numPr>
          <w:ilvl w:val="0"/>
          <w:numId w:val="18"/>
        </w:numPr>
        <w:rPr>
          <w:rFonts w:ascii="Arial" w:cs="Arial" w:eastAsia="Arial" w:hAnsi="Arial"/>
          <w:sz w:val="16"/>
          <w:szCs w:val="16"/>
          <w:color w:val="auto"/>
          <w:vertAlign w:val="superscript"/>
        </w:rPr>
      </w:pPr>
      <w:r>
        <w:rPr>
          <w:rFonts w:ascii="Arial" w:cs="Arial" w:eastAsia="Arial" w:hAnsi="Arial"/>
          <w:sz w:val="13"/>
          <w:szCs w:val="13"/>
          <w:color w:val="auto"/>
        </w:rPr>
        <w:t>Costs associated with IHOP restaurants in the process of being refranchised.</w:t>
      </w:r>
    </w:p>
    <w:p>
      <w:pPr>
        <w:spacing w:after="0" w:line="44" w:lineRule="exact"/>
        <w:rPr>
          <w:rFonts w:ascii="Arial" w:cs="Arial" w:eastAsia="Arial" w:hAnsi="Arial"/>
          <w:sz w:val="16"/>
          <w:szCs w:val="16"/>
          <w:color w:val="auto"/>
          <w:vertAlign w:val="superscript"/>
        </w:rPr>
      </w:pPr>
    </w:p>
    <w:p>
      <w:pPr>
        <w:ind w:left="140" w:hanging="134"/>
        <w:spacing w:after="0" w:line="218" w:lineRule="auto"/>
        <w:tabs>
          <w:tab w:leader="none" w:pos="140" w:val="left"/>
        </w:tabs>
        <w:numPr>
          <w:ilvl w:val="0"/>
          <w:numId w:val="18"/>
        </w:numPr>
        <w:rPr>
          <w:rFonts w:ascii="Arial" w:cs="Arial" w:eastAsia="Arial" w:hAnsi="Arial"/>
          <w:sz w:val="16"/>
          <w:szCs w:val="16"/>
          <w:color w:val="auto"/>
          <w:vertAlign w:val="superscript"/>
        </w:rPr>
      </w:pPr>
      <w:r>
        <w:rPr>
          <w:rFonts w:ascii="Arial" w:cs="Arial" w:eastAsia="Arial" w:hAnsi="Arial"/>
          <w:sz w:val="13"/>
          <w:szCs w:val="13"/>
          <w:color w:val="auto"/>
        </w:rPr>
        <w:t>Calculated for Applebee's company-operated restaurants only. Percentages calculated on actual amounts, not rounded amounts presented above.</w:t>
      </w:r>
    </w:p>
    <w:p>
      <w:pPr>
        <w:spacing w:after="0" w:line="200" w:lineRule="exact"/>
        <w:rPr>
          <w:sz w:val="20"/>
          <w:szCs w:val="20"/>
          <w:color w:val="auto"/>
        </w:rPr>
      </w:pPr>
    </w:p>
    <w:p>
      <w:pPr>
        <w:spacing w:after="0" w:line="263" w:lineRule="exact"/>
        <w:rPr>
          <w:sz w:val="20"/>
          <w:szCs w:val="20"/>
          <w:color w:val="auto"/>
        </w:rPr>
      </w:pPr>
    </w:p>
    <w:p>
      <w:pPr>
        <w:ind w:right="240" w:firstLine="238"/>
        <w:spacing w:after="0" w:line="330" w:lineRule="auto"/>
        <w:rPr>
          <w:sz w:val="20"/>
          <w:szCs w:val="20"/>
          <w:color w:val="auto"/>
        </w:rPr>
      </w:pPr>
      <w:r>
        <w:rPr>
          <w:rFonts w:ascii="Arial" w:cs="Arial" w:eastAsia="Arial" w:hAnsi="Arial"/>
          <w:sz w:val="15"/>
          <w:szCs w:val="15"/>
          <w:color w:val="auto"/>
        </w:rPr>
        <w:t>Applebee's company same-restaurant sales for the three months ended September 30, 2021 increased 26.1% compared to the same period of 2020, the significant majority of which was due to an increase in customer traffic. Applebee's company same-restaurant sales for the nine months ended September 30, 2021 increased 44.6% compared to the same period of 2020, primarily due to an increase in customer traffic as well as an increase in average check.</w:t>
      </w:r>
    </w:p>
    <w:p>
      <w:pPr>
        <w:spacing w:after="0" w:line="163" w:lineRule="exact"/>
        <w:rPr>
          <w:sz w:val="20"/>
          <w:szCs w:val="20"/>
          <w:color w:val="auto"/>
        </w:rPr>
      </w:pPr>
    </w:p>
    <w:p>
      <w:pPr>
        <w:ind w:right="100" w:firstLine="238"/>
        <w:spacing w:after="0" w:line="298" w:lineRule="auto"/>
        <w:rPr>
          <w:sz w:val="20"/>
          <w:szCs w:val="20"/>
          <w:color w:val="auto"/>
        </w:rPr>
      </w:pPr>
      <w:r>
        <w:rPr>
          <w:rFonts w:ascii="Arial" w:cs="Arial" w:eastAsia="Arial" w:hAnsi="Arial"/>
          <w:sz w:val="15"/>
          <w:szCs w:val="15"/>
          <w:color w:val="auto"/>
        </w:rPr>
        <w:t>The increase in customer traffic primarily was due to the favorable change in operating capacity of the restaurants during the nine months ended September 30, 2021 compared to the same period of 2020. All 69 of the Applebee's company-operated restaurants are located in South Carolina or North Carolina. Since the second week of January 2021, the 27 restaurants in South Carolina have operated without capacity limitations, while the 42 restaurants in North Carolina operated at 50% capacity until June 1, 2021, from which point those 42 restaurants also were able to operate without capacity limitations. In comparison, all</w:t>
      </w:r>
    </w:p>
    <w:p>
      <w:pPr>
        <w:spacing w:after="0" w:line="3"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69 restaurants operated without restriction for the first 10 weeks of 2020 but essentially were limited only to off-premise sales from the middle of March until the middle of May 2020, at which time all 69 restaurants were allowed to operate at 50% capacity. The increase in average check for the three months and nine months ended September 30, 2021 was due to favorable product mix and daypart shifts, as well as menu price increases.</w:t>
      </w:r>
    </w:p>
    <w:p>
      <w:pPr>
        <w:spacing w:after="0" w:line="203" w:lineRule="exact"/>
        <w:rPr>
          <w:sz w:val="20"/>
          <w:szCs w:val="20"/>
          <w:color w:val="auto"/>
        </w:rPr>
      </w:pPr>
    </w:p>
    <w:p>
      <w:pPr>
        <w:ind w:right="200" w:firstLine="238"/>
        <w:spacing w:after="0" w:line="252" w:lineRule="auto"/>
        <w:rPr>
          <w:sz w:val="20"/>
          <w:szCs w:val="20"/>
          <w:color w:val="auto"/>
        </w:rPr>
      </w:pPr>
      <w:r>
        <w:rPr>
          <w:rFonts w:ascii="Arial" w:cs="Arial" w:eastAsia="Arial" w:hAnsi="Arial"/>
          <w:sz w:val="18"/>
          <w:szCs w:val="18"/>
          <w:color w:val="auto"/>
        </w:rPr>
        <w:t>Gross profit and gross profit as a percentage of revenue for the three and nine months ended September 30, 2021 improved compared the same periods of the prior year, which were adversely impacted by the COVID-19-related operating constraints described above. The decline in gross profit and gross profit as a percentage of revenue for the three months ended September 30, 2021 when compared to that for the nine months ended September 30, 2021 was due to higher food, labor and delivery costs in the third quarter.</w:t>
      </w:r>
    </w:p>
    <w:p>
      <w:pPr>
        <w:spacing w:after="0" w:line="217" w:lineRule="exact"/>
        <w:rPr>
          <w:sz w:val="20"/>
          <w:szCs w:val="20"/>
          <w:color w:val="auto"/>
        </w:rPr>
      </w:pPr>
    </w:p>
    <w:p>
      <w:pPr>
        <w:ind w:right="160" w:firstLine="238"/>
        <w:spacing w:after="0" w:line="255" w:lineRule="auto"/>
        <w:rPr>
          <w:sz w:val="20"/>
          <w:szCs w:val="20"/>
          <w:color w:val="auto"/>
        </w:rPr>
      </w:pPr>
      <w:r>
        <w:rPr>
          <w:rFonts w:ascii="Arial" w:cs="Arial" w:eastAsia="Arial" w:hAnsi="Arial"/>
          <w:sz w:val="18"/>
          <w:szCs w:val="18"/>
          <w:color w:val="auto"/>
        </w:rPr>
        <w:t>Company segment restaurant expenses for the three and nine months ended September 30, 2021 and 2020 also include costs associated with reacquired IHOP restaurants in the process of being refranchised. None of the reacquired IHOP restaurants were open during the three and nine months ended September 30, 2021 and 2020 and recorded no restaurant revenues in any of those periods.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2" w:right="23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Financing Operations</w:t>
      </w:r>
    </w:p>
    <w:p>
      <w:pPr>
        <w:spacing w:after="0" w:line="250" w:lineRule="exact"/>
        <w:rPr>
          <w:sz w:val="20"/>
          <w:szCs w:val="20"/>
          <w:color w:val="auto"/>
        </w:rPr>
      </w:pPr>
    </w:p>
    <w:p>
      <w:pPr>
        <w:ind w:right="420" w:firstLine="318"/>
        <w:spacing w:after="0" w:line="294" w:lineRule="auto"/>
        <w:rPr>
          <w:sz w:val="20"/>
          <w:szCs w:val="20"/>
          <w:color w:val="auto"/>
        </w:rPr>
      </w:pPr>
      <w:r>
        <w:rPr>
          <w:rFonts w:ascii="Arial" w:cs="Arial" w:eastAsia="Arial" w:hAnsi="Arial"/>
          <w:sz w:val="17"/>
          <w:szCs w:val="17"/>
          <w:color w:val="auto"/>
        </w:rPr>
        <w:t>Financing revenues primarily consist of interest income from the financing of IHOP equipment leases and franchise fees as well as interest income on Applebee's notes receivable from franchisees. Financing expenses are the cost of taxes related to IHOP equipment leases.</w:t>
      </w:r>
    </w:p>
    <w:p>
      <w:pPr>
        <w:spacing w:after="0" w:line="184" w:lineRule="exact"/>
        <w:rPr>
          <w:sz w:val="20"/>
          <w:szCs w:val="20"/>
          <w:color w:val="auto"/>
        </w:rPr>
      </w:pPr>
    </w:p>
    <w:p>
      <w:pPr>
        <w:ind w:right="480" w:firstLine="318"/>
        <w:spacing w:after="0" w:line="264" w:lineRule="auto"/>
        <w:rPr>
          <w:sz w:val="20"/>
          <w:szCs w:val="20"/>
          <w:color w:val="auto"/>
        </w:rPr>
      </w:pPr>
      <w:r>
        <w:rPr>
          <w:rFonts w:ascii="Arial" w:cs="Arial" w:eastAsia="Arial" w:hAnsi="Arial"/>
          <w:sz w:val="18"/>
          <w:szCs w:val="18"/>
          <w:color w:val="auto"/>
        </w:rPr>
        <w:t>Financing revenue and gross profit for the three and nine months ended September 30, 2021 declined compared to the same periods of the prior year, primarily because of progressive decline in interest income as note balances are repaid.</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360" w:type="dxa"/>
            <w:vAlign w:val="bottom"/>
            <w:gridSpan w:val="2"/>
          </w:tcPr>
          <w:p>
            <w:pPr>
              <w:spacing w:after="0"/>
              <w:rPr>
                <w:sz w:val="20"/>
                <w:szCs w:val="20"/>
                <w:color w:val="auto"/>
              </w:rPr>
            </w:pPr>
            <w:r>
              <w:rPr>
                <w:rFonts w:ascii="Arial" w:cs="Arial" w:eastAsia="Arial" w:hAnsi="Arial"/>
                <w:sz w:val="18"/>
                <w:szCs w:val="18"/>
                <w:b w:val="1"/>
                <w:bCs w:val="1"/>
                <w:color w:val="auto"/>
              </w:rPr>
              <w:t>G&amp;A Expenses</w:t>
            </w:r>
          </w:p>
        </w:tc>
        <w:tc>
          <w:tcPr>
            <w:tcW w:w="2840" w:type="dxa"/>
            <w:vAlign w:val="bottom"/>
            <w:gridSpan w:val="6"/>
            <w:vMerge w:val="restart"/>
          </w:tcPr>
          <w:p>
            <w:pPr>
              <w:ind w:left="160"/>
              <w:spacing w:after="0"/>
              <w:rPr>
                <w:sz w:val="20"/>
                <w:szCs w:val="20"/>
                <w:color w:val="auto"/>
              </w:rPr>
            </w:pPr>
            <w:r>
              <w:rPr>
                <w:rFonts w:ascii="Arial" w:cs="Arial" w:eastAsia="Arial" w:hAnsi="Arial"/>
                <w:sz w:val="16"/>
                <w:szCs w:val="16"/>
                <w:b w:val="1"/>
                <w:bCs w:val="1"/>
                <w:color w:val="auto"/>
                <w:w w:val="98"/>
              </w:rPr>
              <w:t>Three months ended September 30,</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gridSpan w:val="6"/>
            <w:vMerge w:val="restart"/>
          </w:tcPr>
          <w:p>
            <w:pPr>
              <w:ind w:left="40"/>
              <w:spacing w:after="0"/>
              <w:rPr>
                <w:sz w:val="20"/>
                <w:szCs w:val="20"/>
                <w:color w:val="auto"/>
              </w:rPr>
            </w:pPr>
            <w:r>
              <w:rPr>
                <w:rFonts w:ascii="Arial" w:cs="Arial" w:eastAsia="Arial" w:hAnsi="Arial"/>
                <w:sz w:val="16"/>
                <w:szCs w:val="16"/>
                <w:b w:val="1"/>
                <w:bCs w:val="1"/>
                <w:color w:val="auto"/>
                <w:w w:val="93"/>
              </w:rPr>
              <w:t>Nine months ended September 30,</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1160" w:type="dxa"/>
            <w:vAlign w:val="bottom"/>
            <w:tcBorders>
              <w:top w:val="single" w:sz="8" w:color="auto"/>
            </w:tcBorders>
          </w:tcPr>
          <w:p>
            <w:pPr>
              <w:spacing w:after="0"/>
              <w:rPr>
                <w:sz w:val="13"/>
                <w:szCs w:val="13"/>
                <w:color w:val="auto"/>
              </w:rPr>
            </w:pPr>
          </w:p>
        </w:tc>
        <w:tc>
          <w:tcPr>
            <w:tcW w:w="2200" w:type="dxa"/>
            <w:vAlign w:val="bottom"/>
          </w:tcPr>
          <w:p>
            <w:pPr>
              <w:spacing w:after="0"/>
              <w:rPr>
                <w:sz w:val="13"/>
                <w:szCs w:val="13"/>
                <w:color w:val="auto"/>
              </w:rPr>
            </w:pPr>
          </w:p>
        </w:tc>
        <w:tc>
          <w:tcPr>
            <w:tcW w:w="2840" w:type="dxa"/>
            <w:vAlign w:val="bottom"/>
            <w:gridSpan w:val="6"/>
            <w:vMerge w:val="continue"/>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00" w:type="dxa"/>
            <w:vAlign w:val="bottom"/>
            <w:gridSpan w:val="6"/>
            <w:vMerge w:val="continue"/>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11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Increase</w:t>
            </w:r>
          </w:p>
        </w:tc>
        <w:tc>
          <w:tcPr>
            <w:tcW w:w="26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0"/>
        </w:trPr>
        <w:tc>
          <w:tcPr>
            <w:tcW w:w="11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3"/>
          </w:tcPr>
          <w:p>
            <w:pPr>
              <w:jc w:val="right"/>
              <w:ind w:right="36"/>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3360" w:type="dxa"/>
            <w:vAlign w:val="bottom"/>
            <w:gridSpan w:val="2"/>
          </w:tcPr>
          <w:p>
            <w:pPr>
              <w:spacing w:after="0"/>
              <w:rPr>
                <w:sz w:val="20"/>
                <w:szCs w:val="20"/>
                <w:color w:val="auto"/>
              </w:rPr>
            </w:pPr>
            <w:r>
              <w:rPr>
                <w:rFonts w:ascii="Arial" w:cs="Arial" w:eastAsia="Arial" w:hAnsi="Arial"/>
                <w:sz w:val="18"/>
                <w:szCs w:val="18"/>
                <w:color w:val="auto"/>
              </w:rPr>
              <w:t>Total G&amp;A expenses</w:t>
            </w:r>
          </w:p>
        </w:tc>
        <w:tc>
          <w:tcPr>
            <w:tcW w:w="1000" w:type="dxa"/>
            <w:vAlign w:val="bottom"/>
            <w:tcBorders>
              <w:bottom w:val="single" w:sz="8" w:color="auto"/>
            </w:tcBorders>
          </w:tcPr>
          <w:p>
            <w:pPr>
              <w:jc w:val="right"/>
              <w:ind w:right="818"/>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122.9</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360" w:firstLine="318"/>
        <w:spacing w:after="0" w:line="252" w:lineRule="auto"/>
        <w:rPr>
          <w:sz w:val="20"/>
          <w:szCs w:val="20"/>
          <w:color w:val="auto"/>
        </w:rPr>
      </w:pPr>
      <w:r>
        <w:rPr>
          <w:rFonts w:ascii="Arial" w:cs="Arial" w:eastAsia="Arial" w:hAnsi="Arial"/>
          <w:sz w:val="18"/>
          <w:szCs w:val="18"/>
          <w:color w:val="auto"/>
        </w:rPr>
        <w:t>G&amp;A expenses for the three months ended September 30, 2021 increased 18.5% compared to the same period of the prior year, primarily due to an increase in personnel-related costs. The increase in personnel-related costs primarily was due to higher costs of bonus and equity-based incentive compensation. Included in total G&amp;A expenses for the three months ended September 30, 2021 were $1.3 million of expenses related to company-operated restaurants, an increase of $0.4 million from the same period of the prior year.</w:t>
      </w:r>
    </w:p>
    <w:p>
      <w:pPr>
        <w:spacing w:after="0" w:line="217" w:lineRule="exact"/>
        <w:rPr>
          <w:sz w:val="20"/>
          <w:szCs w:val="20"/>
          <w:color w:val="auto"/>
        </w:rPr>
      </w:pPr>
    </w:p>
    <w:p>
      <w:pPr>
        <w:ind w:right="120" w:firstLine="318"/>
        <w:spacing w:after="0" w:line="318" w:lineRule="auto"/>
        <w:rPr>
          <w:sz w:val="20"/>
          <w:szCs w:val="20"/>
          <w:color w:val="auto"/>
        </w:rPr>
      </w:pPr>
      <w:r>
        <w:rPr>
          <w:rFonts w:ascii="Arial" w:cs="Arial" w:eastAsia="Arial" w:hAnsi="Arial"/>
          <w:sz w:val="15"/>
          <w:szCs w:val="15"/>
          <w:color w:val="auto"/>
        </w:rPr>
        <w:t>G&amp;A expenses for the nine months ended September 30, 2021 increased 16.6% compared to the same period of the prior year, primarily due to an increase in personnel-related costs, partially offset by a decrease in professional services expenses and lower depreciation costs. The increase in personnel-related costs primarily was due to higher costs of bonus and equity-based incentive compensation. Included in total G&amp;A expenses for the nine months ended September 30, 2021 were $4.0 million of expenses related to company-operated restaurants, an increase of $0.9 million from the same period of the prior year.</w:t>
      </w:r>
    </w:p>
    <w:p>
      <w:pPr>
        <w:spacing w:after="0" w:line="200" w:lineRule="exact"/>
        <w:rPr>
          <w:sz w:val="20"/>
          <w:szCs w:val="20"/>
          <w:color w:val="auto"/>
        </w:rPr>
      </w:pPr>
    </w:p>
    <w:p>
      <w:pPr>
        <w:spacing w:after="0" w:line="228"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Impairment and Closure</w:t>
      </w:r>
    </w:p>
    <w:p>
      <w:pPr>
        <w:spacing w:after="0" w:line="20" w:lineRule="exact"/>
        <w:rPr>
          <w:sz w:val="20"/>
          <w:szCs w:val="20"/>
          <w:color w:val="auto"/>
        </w:rPr>
      </w:pPr>
    </w:p>
    <w:tbl>
      <w:tblPr>
        <w:tblLayout w:type="fixed"/>
        <w:tblInd w:w="320" w:type="dxa"/>
        <w:tblCellMar>
          <w:top w:w="0" w:type="dxa"/>
          <w:left w:w="0" w:type="dxa"/>
          <w:bottom w:w="0" w:type="dxa"/>
          <w:right w:w="0" w:type="dxa"/>
        </w:tblCellMar>
      </w:tblPr>
      <w:tr>
        <w:trPr>
          <w:trHeight w:val="20"/>
        </w:trPr>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2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92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100" w:type="dxa"/>
            <w:vAlign w:val="bottom"/>
          </w:tcPr>
          <w:p>
            <w:pPr>
              <w:spacing w:after="0"/>
              <w:rPr>
                <w:sz w:val="11"/>
                <w:szCs w:val="11"/>
                <w:color w:val="auto"/>
              </w:rPr>
            </w:pPr>
          </w:p>
        </w:tc>
        <w:tc>
          <w:tcPr>
            <w:tcW w:w="620" w:type="dxa"/>
            <w:vAlign w:val="bottom"/>
            <w:tcBorders>
              <w:bottom w:val="single" w:sz="8" w:color="auto"/>
            </w:tcBorders>
            <w:gridSpan w:val="2"/>
          </w:tcPr>
          <w:p>
            <w:pPr>
              <w:spacing w:after="0" w:line="133" w:lineRule="exact"/>
              <w:rPr>
                <w:sz w:val="20"/>
                <w:szCs w:val="20"/>
                <w:color w:val="auto"/>
              </w:rPr>
            </w:pPr>
            <w:r>
              <w:rPr>
                <w:rFonts w:ascii="Arial" w:cs="Arial" w:eastAsia="Arial" w:hAnsi="Arial"/>
                <w:sz w:val="15"/>
                <w:szCs w:val="15"/>
                <w:b w:val="1"/>
                <w:bCs w:val="1"/>
                <w:color w:val="auto"/>
                <w:w w:val="99"/>
              </w:rPr>
              <w:t>Charges</w:t>
            </w:r>
          </w:p>
        </w:tc>
        <w:tc>
          <w:tcPr>
            <w:tcW w:w="1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20" w:type="dxa"/>
            <w:vAlign w:val="bottom"/>
            <w:gridSpan w:val="6"/>
          </w:tcPr>
          <w:p>
            <w:pPr>
              <w:ind w:left="360"/>
              <w:spacing w:after="0" w:line="133" w:lineRule="exact"/>
              <w:rPr>
                <w:sz w:val="20"/>
                <w:szCs w:val="20"/>
                <w:color w:val="auto"/>
              </w:rPr>
            </w:pPr>
            <w:r>
              <w:rPr>
                <w:rFonts w:ascii="Arial" w:cs="Arial" w:eastAsia="Arial" w:hAnsi="Arial"/>
                <w:sz w:val="15"/>
                <w:szCs w:val="15"/>
                <w:b w:val="1"/>
                <w:bCs w:val="1"/>
                <w:color w:val="auto"/>
                <w:w w:val="99"/>
              </w:rPr>
              <w:t>Three months ended September 30,</w:t>
            </w:r>
          </w:p>
        </w:tc>
        <w:tc>
          <w:tcPr>
            <w:tcW w:w="420" w:type="dxa"/>
            <w:vAlign w:val="bottom"/>
          </w:tcPr>
          <w:p>
            <w:pPr>
              <w:spacing w:after="0"/>
              <w:rPr>
                <w:sz w:val="11"/>
                <w:szCs w:val="11"/>
                <w:color w:val="auto"/>
              </w:rPr>
            </w:pPr>
          </w:p>
        </w:tc>
        <w:tc>
          <w:tcPr>
            <w:tcW w:w="1080" w:type="dxa"/>
            <w:vAlign w:val="bottom"/>
            <w:gridSpan w:val="2"/>
          </w:tcPr>
          <w:p>
            <w:pPr>
              <w:ind w:left="120"/>
              <w:spacing w:after="0" w:line="133" w:lineRule="exact"/>
              <w:rPr>
                <w:sz w:val="20"/>
                <w:szCs w:val="20"/>
                <w:color w:val="auto"/>
              </w:rPr>
            </w:pPr>
            <w:r>
              <w:rPr>
                <w:rFonts w:ascii="Arial" w:cs="Arial" w:eastAsia="Arial" w:hAnsi="Arial"/>
                <w:sz w:val="14"/>
                <w:szCs w:val="14"/>
                <w:b w:val="1"/>
                <w:bCs w:val="1"/>
                <w:color w:val="auto"/>
              </w:rPr>
              <w:t>Favorable</w:t>
            </w:r>
          </w:p>
        </w:tc>
        <w:tc>
          <w:tcPr>
            <w:tcW w:w="2920" w:type="dxa"/>
            <w:vAlign w:val="bottom"/>
            <w:gridSpan w:val="6"/>
          </w:tcPr>
          <w:p>
            <w:pPr>
              <w:ind w:left="400"/>
              <w:spacing w:after="0" w:line="133" w:lineRule="exact"/>
              <w:rPr>
                <w:sz w:val="20"/>
                <w:szCs w:val="20"/>
                <w:color w:val="auto"/>
              </w:rPr>
            </w:pPr>
            <w:r>
              <w:rPr>
                <w:rFonts w:ascii="Arial" w:cs="Arial" w:eastAsia="Arial" w:hAnsi="Arial"/>
                <w:sz w:val="15"/>
                <w:szCs w:val="15"/>
                <w:b w:val="1"/>
                <w:bCs w:val="1"/>
                <w:color w:val="auto"/>
              </w:rPr>
              <w:t>Nine months ended September 30,</w:t>
            </w:r>
          </w:p>
        </w:tc>
        <w:tc>
          <w:tcPr>
            <w:tcW w:w="440" w:type="dxa"/>
            <w:vAlign w:val="bottom"/>
          </w:tcPr>
          <w:p>
            <w:pPr>
              <w:spacing w:after="0"/>
              <w:rPr>
                <w:sz w:val="11"/>
                <w:szCs w:val="11"/>
                <w:color w:val="auto"/>
              </w:rPr>
            </w:pPr>
          </w:p>
        </w:tc>
        <w:tc>
          <w:tcPr>
            <w:tcW w:w="78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Favorable</w:t>
            </w:r>
          </w:p>
        </w:tc>
        <w:tc>
          <w:tcPr>
            <w:tcW w:w="0" w:type="dxa"/>
            <w:vAlign w:val="bottom"/>
          </w:tcPr>
          <w:p>
            <w:pPr>
              <w:spacing w:after="0"/>
              <w:rPr>
                <w:sz w:val="1"/>
                <w:szCs w:val="1"/>
                <w:color w:val="auto"/>
              </w:rPr>
            </w:pPr>
          </w:p>
        </w:tc>
      </w:tr>
      <w:tr>
        <w:trPr>
          <w:trHeight w:val="46"/>
        </w:trPr>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500" w:type="dxa"/>
            <w:vAlign w:val="bottom"/>
            <w:gridSpan w:val="3"/>
            <w:vMerge w:val="restart"/>
          </w:tcPr>
          <w:p>
            <w:pPr>
              <w:jc w:val="center"/>
              <w:ind w:right="120"/>
              <w:spacing w:after="0" w:line="113" w:lineRule="exact"/>
              <w:rPr>
                <w:sz w:val="20"/>
                <w:szCs w:val="20"/>
                <w:color w:val="auto"/>
              </w:rPr>
            </w:pPr>
            <w:r>
              <w:rPr>
                <w:rFonts w:ascii="Arial" w:cs="Arial" w:eastAsia="Arial" w:hAnsi="Arial"/>
                <w:sz w:val="13"/>
                <w:szCs w:val="13"/>
                <w:b w:val="1"/>
                <w:bCs w:val="1"/>
                <w:color w:val="auto"/>
              </w:rPr>
              <w:t>(Unfavorable)</w:t>
            </w:r>
          </w:p>
        </w:tc>
        <w:tc>
          <w:tcPr>
            <w:tcW w:w="5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gridSpan w:val="2"/>
            <w:vMerge w:val="restart"/>
          </w:tcPr>
          <w:p>
            <w:pPr>
              <w:jc w:val="right"/>
              <w:spacing w:after="0" w:line="113" w:lineRule="exact"/>
              <w:rPr>
                <w:sz w:val="20"/>
                <w:szCs w:val="20"/>
                <w:color w:val="auto"/>
              </w:rPr>
            </w:pPr>
            <w:r>
              <w:rPr>
                <w:rFonts w:ascii="Arial" w:cs="Arial" w:eastAsia="Arial" w:hAnsi="Arial"/>
                <w:sz w:val="13"/>
                <w:szCs w:val="13"/>
                <w:b w:val="1"/>
                <w:bCs w:val="1"/>
                <w:color w:val="auto"/>
              </w:rPr>
              <w:t>(Unfavorable)</w:t>
            </w:r>
          </w:p>
        </w:tc>
        <w:tc>
          <w:tcPr>
            <w:tcW w:w="0" w:type="dxa"/>
            <w:vAlign w:val="bottom"/>
          </w:tcPr>
          <w:p>
            <w:pPr>
              <w:spacing w:after="0"/>
              <w:rPr>
                <w:sz w:val="1"/>
                <w:szCs w:val="1"/>
                <w:color w:val="auto"/>
              </w:rPr>
            </w:pPr>
          </w:p>
        </w:tc>
      </w:tr>
      <w:tr>
        <w:trPr>
          <w:trHeight w:val="46"/>
        </w:trPr>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20" w:type="dxa"/>
            <w:vAlign w:val="bottom"/>
            <w:vMerge w:val="restart"/>
          </w:tcPr>
          <w:p>
            <w:pPr>
              <w:jc w:val="right"/>
              <w:ind w:right="293"/>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780" w:type="dxa"/>
            <w:vAlign w:val="bottom"/>
            <w:vMerge w:val="restart"/>
          </w:tcPr>
          <w:p>
            <w:pPr>
              <w:jc w:val="right"/>
              <w:ind w:right="253"/>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4"/>
                <w:szCs w:val="4"/>
                <w:color w:val="auto"/>
              </w:rPr>
            </w:pPr>
          </w:p>
        </w:tc>
        <w:tc>
          <w:tcPr>
            <w:tcW w:w="1500" w:type="dxa"/>
            <w:vAlign w:val="bottom"/>
            <w:gridSpan w:val="3"/>
            <w:vMerge w:val="continue"/>
          </w:tcPr>
          <w:p>
            <w:pPr>
              <w:spacing w:after="0"/>
              <w:rPr>
                <w:sz w:val="4"/>
                <w:szCs w:val="4"/>
                <w:color w:val="auto"/>
              </w:rPr>
            </w:pPr>
          </w:p>
        </w:tc>
        <w:tc>
          <w:tcPr>
            <w:tcW w:w="580" w:type="dxa"/>
            <w:vAlign w:val="bottom"/>
          </w:tcPr>
          <w:p>
            <w:pPr>
              <w:spacing w:after="0"/>
              <w:rPr>
                <w:sz w:val="4"/>
                <w:szCs w:val="4"/>
                <w:color w:val="auto"/>
              </w:rPr>
            </w:pPr>
          </w:p>
        </w:tc>
        <w:tc>
          <w:tcPr>
            <w:tcW w:w="760" w:type="dxa"/>
            <w:vAlign w:val="bottom"/>
            <w:vMerge w:val="restart"/>
          </w:tcPr>
          <w:p>
            <w:pPr>
              <w:jc w:val="right"/>
              <w:ind w:right="273"/>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0" w:type="dxa"/>
            <w:vAlign w:val="bottom"/>
            <w:vMerge w:val="restart"/>
          </w:tcPr>
          <w:p>
            <w:pPr>
              <w:jc w:val="right"/>
              <w:ind w:right="273"/>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w w:val="92"/>
              </w:rPr>
              <w:t>Variance</w:t>
            </w:r>
          </w:p>
        </w:tc>
        <w:tc>
          <w:tcPr>
            <w:tcW w:w="5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89"/>
              </w:rPr>
              <w:t>Variance</w:t>
            </w:r>
          </w:p>
        </w:tc>
        <w:tc>
          <w:tcPr>
            <w:tcW w:w="0" w:type="dxa"/>
            <w:vAlign w:val="bottom"/>
          </w:tcPr>
          <w:p>
            <w:pPr>
              <w:spacing w:after="0"/>
              <w:rPr>
                <w:sz w:val="1"/>
                <w:szCs w:val="1"/>
                <w:color w:val="auto"/>
              </w:rPr>
            </w:pPr>
          </w:p>
        </w:tc>
      </w:tr>
      <w:tr>
        <w:trPr>
          <w:trHeight w:val="179"/>
        </w:trPr>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100" w:type="dxa"/>
            <w:vAlign w:val="bottom"/>
            <w:shd w:val="clear" w:color="auto" w:fill="CCEEFF"/>
          </w:tcPr>
          <w:p>
            <w:pPr>
              <w:spacing w:after="0"/>
              <w:rPr>
                <w:sz w:val="19"/>
                <w:szCs w:val="19"/>
                <w:color w:val="auto"/>
              </w:rPr>
            </w:pPr>
          </w:p>
        </w:tc>
        <w:tc>
          <w:tcPr>
            <w:tcW w:w="236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Closure charges</w:t>
            </w:r>
          </w:p>
        </w:tc>
        <w:tc>
          <w:tcPr>
            <w:tcW w:w="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2360" w:type="dxa"/>
            <w:vAlign w:val="bottom"/>
            <w:gridSpan w:val="4"/>
          </w:tcPr>
          <w:p>
            <w:pPr>
              <w:ind w:left="320"/>
              <w:spacing w:after="0" w:line="173" w:lineRule="exact"/>
              <w:rPr>
                <w:sz w:val="20"/>
                <w:szCs w:val="20"/>
                <w:color w:val="auto"/>
              </w:rPr>
            </w:pPr>
            <w:r>
              <w:rPr>
                <w:rFonts w:ascii="Arial" w:cs="Arial" w:eastAsia="Arial" w:hAnsi="Arial"/>
                <w:sz w:val="18"/>
                <w:szCs w:val="18"/>
                <w:color w:val="auto"/>
              </w:rPr>
              <w:t>Long-lived tangible asset</w:t>
            </w:r>
          </w:p>
        </w:tc>
        <w:tc>
          <w:tcPr>
            <w:tcW w:w="5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4"/>
        </w:trPr>
        <w:tc>
          <w:tcPr>
            <w:tcW w:w="2460" w:type="dxa"/>
            <w:vAlign w:val="bottom"/>
            <w:gridSpan w:val="5"/>
          </w:tcPr>
          <w:p>
            <w:pPr>
              <w:ind w:left="100"/>
              <w:spacing w:after="0"/>
              <w:rPr>
                <w:sz w:val="20"/>
                <w:szCs w:val="20"/>
                <w:color w:val="auto"/>
              </w:rPr>
            </w:pPr>
            <w:r>
              <w:rPr>
                <w:rFonts w:ascii="Arial" w:cs="Arial" w:eastAsia="Arial" w:hAnsi="Arial"/>
                <w:sz w:val="18"/>
                <w:szCs w:val="18"/>
                <w:color w:val="auto"/>
              </w:rPr>
              <w:t>impairment</w:t>
            </w:r>
          </w:p>
        </w:tc>
        <w:tc>
          <w:tcPr>
            <w:tcW w:w="56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00" w:type="dxa"/>
            <w:vAlign w:val="bottom"/>
            <w:shd w:val="clear" w:color="auto" w:fill="CCEEFF"/>
          </w:tcPr>
          <w:p>
            <w:pPr>
              <w:spacing w:after="0"/>
              <w:rPr>
                <w:sz w:val="19"/>
                <w:szCs w:val="19"/>
                <w:color w:val="auto"/>
              </w:rPr>
            </w:pPr>
          </w:p>
        </w:tc>
        <w:tc>
          <w:tcPr>
            <w:tcW w:w="236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Goodwill impairment</w:t>
            </w:r>
          </w:p>
        </w:tc>
        <w:tc>
          <w:tcPr>
            <w:tcW w:w="5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5"/>
        </w:trPr>
        <w:tc>
          <w:tcPr>
            <w:tcW w:w="100" w:type="dxa"/>
            <w:vAlign w:val="bottom"/>
          </w:tcPr>
          <w:p>
            <w:pPr>
              <w:spacing w:after="0"/>
              <w:rPr>
                <w:sz w:val="19"/>
                <w:szCs w:val="19"/>
                <w:color w:val="auto"/>
              </w:rPr>
            </w:pPr>
          </w:p>
        </w:tc>
        <w:tc>
          <w:tcPr>
            <w:tcW w:w="2360" w:type="dxa"/>
            <w:vAlign w:val="bottom"/>
            <w:gridSpan w:val="4"/>
          </w:tcPr>
          <w:p>
            <w:pPr>
              <w:ind w:left="320"/>
              <w:spacing w:after="0"/>
              <w:rPr>
                <w:sz w:val="20"/>
                <w:szCs w:val="20"/>
                <w:color w:val="auto"/>
              </w:rPr>
            </w:pPr>
            <w:r>
              <w:rPr>
                <w:rFonts w:ascii="Arial" w:cs="Arial" w:eastAsia="Arial" w:hAnsi="Arial"/>
                <w:sz w:val="18"/>
                <w:szCs w:val="18"/>
                <w:color w:val="auto"/>
              </w:rPr>
              <w:t>Tradename impairment</w:t>
            </w:r>
          </w:p>
        </w:tc>
        <w:tc>
          <w:tcPr>
            <w:tcW w:w="5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74"/>
        </w:trPr>
        <w:tc>
          <w:tcPr>
            <w:tcW w:w="100" w:type="dxa"/>
            <w:vAlign w:val="bottom"/>
            <w:shd w:val="clear" w:color="auto" w:fill="CCEEFF"/>
          </w:tcPr>
          <w:p>
            <w:pPr>
              <w:spacing w:after="0"/>
              <w:rPr>
                <w:sz w:val="15"/>
                <w:szCs w:val="15"/>
                <w:color w:val="auto"/>
              </w:rPr>
            </w:pPr>
          </w:p>
        </w:tc>
        <w:tc>
          <w:tcPr>
            <w:tcW w:w="2360" w:type="dxa"/>
            <w:vAlign w:val="bottom"/>
            <w:gridSpan w:val="4"/>
            <w:shd w:val="clear" w:color="auto" w:fill="CCEEFF"/>
          </w:tcPr>
          <w:p>
            <w:pPr>
              <w:ind w:left="320"/>
              <w:spacing w:after="0" w:line="174" w:lineRule="exact"/>
              <w:rPr>
                <w:sz w:val="20"/>
                <w:szCs w:val="20"/>
                <w:color w:val="auto"/>
              </w:rPr>
            </w:pPr>
            <w:r>
              <w:rPr>
                <w:rFonts w:ascii="Arial" w:cs="Arial" w:eastAsia="Arial" w:hAnsi="Arial"/>
                <w:sz w:val="18"/>
                <w:szCs w:val="18"/>
                <w:color w:val="auto"/>
              </w:rPr>
              <w:t>Impairment of reacquired</w:t>
            </w:r>
          </w:p>
        </w:tc>
        <w:tc>
          <w:tcPr>
            <w:tcW w:w="56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4"/>
        </w:trPr>
        <w:tc>
          <w:tcPr>
            <w:tcW w:w="246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rPr>
              <w:t>franchise rights</w:t>
            </w:r>
          </w:p>
        </w:tc>
        <w:tc>
          <w:tcPr>
            <w:tcW w:w="56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2360" w:type="dxa"/>
            <w:vAlign w:val="bottom"/>
            <w:gridSpan w:val="4"/>
          </w:tcPr>
          <w:p>
            <w:pPr>
              <w:ind w:left="320"/>
              <w:spacing w:after="0" w:line="154" w:lineRule="exact"/>
              <w:rPr>
                <w:sz w:val="20"/>
                <w:szCs w:val="20"/>
                <w:color w:val="auto"/>
              </w:rPr>
            </w:pPr>
            <w:r>
              <w:rPr>
                <w:rFonts w:ascii="Arial" w:cs="Arial" w:eastAsia="Arial" w:hAnsi="Arial"/>
                <w:sz w:val="17"/>
                <w:szCs w:val="17"/>
                <w:color w:val="auto"/>
              </w:rPr>
              <w:t>Total impairment and</w:t>
            </w:r>
          </w:p>
        </w:tc>
        <w:tc>
          <w:tcPr>
            <w:tcW w:w="560" w:type="dxa"/>
            <w:vAlign w:val="bottom"/>
            <w:tcBorders>
              <w:top w:val="single" w:sz="8" w:color="auto"/>
            </w:tcBorders>
            <w:vMerge w:val="restart"/>
          </w:tcPr>
          <w:p>
            <w:pPr>
              <w:ind w:left="3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3"/>
                <w:szCs w:val="13"/>
                <w:color w:val="auto"/>
              </w:rPr>
            </w:pPr>
          </w:p>
        </w:tc>
        <w:tc>
          <w:tcPr>
            <w:tcW w:w="54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3"/>
                <w:szCs w:val="13"/>
                <w:color w:val="auto"/>
              </w:rPr>
            </w:pPr>
          </w:p>
        </w:tc>
        <w:tc>
          <w:tcPr>
            <w:tcW w:w="4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3"/>
                <w:szCs w:val="13"/>
                <w:color w:val="auto"/>
              </w:rPr>
            </w:pPr>
          </w:p>
        </w:tc>
        <w:tc>
          <w:tcPr>
            <w:tcW w:w="580" w:type="dxa"/>
            <w:vAlign w:val="bottom"/>
            <w:tcBorders>
              <w:top w:val="single" w:sz="8" w:color="auto"/>
            </w:tcBorders>
            <w:vMerge w:val="restart"/>
          </w:tcPr>
          <w:p>
            <w:pPr>
              <w:jc w:val="right"/>
              <w:ind w:right="77"/>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3"/>
                <w:szCs w:val="13"/>
                <w:color w:val="auto"/>
              </w:rPr>
            </w:pPr>
          </w:p>
        </w:tc>
        <w:tc>
          <w:tcPr>
            <w:tcW w:w="56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124.5</w:t>
            </w:r>
          </w:p>
        </w:tc>
        <w:tc>
          <w:tcPr>
            <w:tcW w:w="120" w:type="dxa"/>
            <w:vAlign w:val="bottom"/>
          </w:tcPr>
          <w:p>
            <w:pPr>
              <w:spacing w:after="0"/>
              <w:rPr>
                <w:sz w:val="13"/>
                <w:szCs w:val="13"/>
                <w:color w:val="auto"/>
              </w:rPr>
            </w:pPr>
          </w:p>
        </w:tc>
        <w:tc>
          <w:tcPr>
            <w:tcW w:w="4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3"/>
        </w:trPr>
        <w:tc>
          <w:tcPr>
            <w:tcW w:w="2460" w:type="dxa"/>
            <w:vAlign w:val="bottom"/>
            <w:gridSpan w:val="5"/>
          </w:tcPr>
          <w:p>
            <w:pPr>
              <w:ind w:left="100"/>
              <w:spacing w:after="0" w:line="198" w:lineRule="exact"/>
              <w:rPr>
                <w:sz w:val="20"/>
                <w:szCs w:val="20"/>
                <w:color w:val="auto"/>
              </w:rPr>
            </w:pPr>
            <w:r>
              <w:rPr>
                <w:rFonts w:ascii="Arial" w:cs="Arial" w:eastAsia="Arial" w:hAnsi="Arial"/>
                <w:sz w:val="18"/>
                <w:szCs w:val="18"/>
                <w:color w:val="auto"/>
              </w:rPr>
              <w:t>closure charges</w:t>
            </w:r>
          </w:p>
        </w:tc>
        <w:tc>
          <w:tcPr>
            <w:tcW w:w="56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bottom w:val="single" w:sz="8" w:color="auto"/>
            </w:tcBorders>
            <w:vMerge w:val="continue"/>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2021 Charges</w:t>
      </w:r>
    </w:p>
    <w:p>
      <w:pPr>
        <w:spacing w:after="0" w:line="230" w:lineRule="exact"/>
        <w:rPr>
          <w:sz w:val="20"/>
          <w:szCs w:val="20"/>
          <w:color w:val="auto"/>
        </w:rPr>
      </w:pPr>
    </w:p>
    <w:p>
      <w:pPr>
        <w:ind w:right="100" w:firstLine="318"/>
        <w:spacing w:after="0" w:line="237" w:lineRule="auto"/>
        <w:rPr>
          <w:sz w:val="20"/>
          <w:szCs w:val="20"/>
          <w:color w:val="auto"/>
        </w:rPr>
      </w:pPr>
      <w:r>
        <w:rPr>
          <w:rFonts w:ascii="Arial" w:cs="Arial" w:eastAsia="Arial" w:hAnsi="Arial"/>
          <w:sz w:val="18"/>
          <w:szCs w:val="18"/>
          <w:color w:val="auto"/>
        </w:rPr>
        <w:t>The closure charges for the three months ended September 30, 2021 related to revisions to existing closure reserves, including accretion, primarily for 52 IHOP restaurants closed prior to June 30, 2021. The closure charges for the nine months ended September 30, 2021 comprised $2.0 million related to 23 IHOP restaurants closed in 2021 and $1.3 million for revisions to existing closure reserves, including accretion, primarily for 29 IHOP restaurants closed prior to December 31, 2020.</w:t>
      </w:r>
    </w:p>
    <w:p>
      <w:pPr>
        <w:spacing w:after="0" w:line="216" w:lineRule="exact"/>
        <w:rPr>
          <w:sz w:val="20"/>
          <w:szCs w:val="20"/>
          <w:color w:val="auto"/>
        </w:rPr>
      </w:pPr>
    </w:p>
    <w:p>
      <w:pPr>
        <w:ind w:right="180" w:firstLine="318"/>
        <w:spacing w:after="0" w:line="252" w:lineRule="auto"/>
        <w:rPr>
          <w:sz w:val="20"/>
          <w:szCs w:val="20"/>
          <w:color w:val="auto"/>
        </w:rPr>
      </w:pPr>
      <w:r>
        <w:rPr>
          <w:rFonts w:ascii="Arial" w:cs="Arial" w:eastAsia="Arial" w:hAnsi="Arial"/>
          <w:sz w:val="18"/>
          <w:szCs w:val="18"/>
          <w:color w:val="auto"/>
        </w:rPr>
        <w:t>Long-lived tangible asset impairment charges for the nine months ended September 30, 2021 related to four IHOP franchisee-operated restaurants for which the carrying amount exceeded the undiscounted cash flows. The charges in both periods primarily related to the impairment of operating lease right-of-use assets that had been recorded in 2019 upon adoption of new lease accounting guidance codified in Accounting Standards Codification Topic 842 (“ASC 842”).</w:t>
      </w:r>
    </w:p>
    <w:p>
      <w:pPr>
        <w:spacing w:after="0" w:line="200" w:lineRule="exact"/>
        <w:rPr>
          <w:sz w:val="20"/>
          <w:szCs w:val="20"/>
          <w:color w:val="auto"/>
        </w:rPr>
      </w:pPr>
    </w:p>
    <w:p>
      <w:pPr>
        <w:spacing w:after="0" w:line="36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2" w:right="23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2020 Charges</w:t>
      </w:r>
    </w:p>
    <w:p>
      <w:pPr>
        <w:spacing w:after="0" w:line="244" w:lineRule="exact"/>
        <w:rPr>
          <w:sz w:val="20"/>
          <w:szCs w:val="20"/>
          <w:color w:val="auto"/>
        </w:rPr>
      </w:pPr>
    </w:p>
    <w:p>
      <w:pPr>
        <w:ind w:right="180" w:firstLine="318"/>
        <w:spacing w:after="0" w:line="252" w:lineRule="auto"/>
        <w:rPr>
          <w:sz w:val="20"/>
          <w:szCs w:val="20"/>
          <w:color w:val="auto"/>
        </w:rPr>
      </w:pPr>
      <w:r>
        <w:rPr>
          <w:rFonts w:ascii="Arial" w:cs="Arial" w:eastAsia="Arial" w:hAnsi="Arial"/>
          <w:sz w:val="18"/>
          <w:szCs w:val="18"/>
          <w:color w:val="auto"/>
        </w:rPr>
        <w:t>The Company evaluates its goodwill and the indefinite-lived Applebee's tradename for impairment annually in the fourth quarter of each year or on an interim basis if events or changes in circumstances between annual tests indicate a potential impairment. Definite-lived intangible assets and long-lived tangible assets are reviewed for impairment whenever events or changes in circumstances indicate that the carrying amount of an asset or asset group may not be recoverable based on estimated undiscounted future cash flows.</w:t>
      </w:r>
    </w:p>
    <w:p>
      <w:pPr>
        <w:spacing w:after="0" w:line="217" w:lineRule="exact"/>
        <w:rPr>
          <w:sz w:val="20"/>
          <w:szCs w:val="20"/>
          <w:color w:val="auto"/>
        </w:rPr>
      </w:pPr>
    </w:p>
    <w:p>
      <w:pPr>
        <w:ind w:right="180" w:firstLine="318"/>
        <w:spacing w:after="0" w:line="252" w:lineRule="auto"/>
        <w:rPr>
          <w:sz w:val="20"/>
          <w:szCs w:val="20"/>
          <w:color w:val="auto"/>
        </w:rPr>
      </w:pPr>
      <w:r>
        <w:rPr>
          <w:rFonts w:ascii="Arial" w:cs="Arial" w:eastAsia="Arial" w:hAnsi="Arial"/>
          <w:sz w:val="18"/>
          <w:szCs w:val="18"/>
          <w:color w:val="auto"/>
        </w:rPr>
        <w:t>We determined that an interim quantitative test of goodwill and indefinite-lived intangible assets for impairment should be performed as of May 24, 2020 based on circumstances that had arisen from the COVID-19 epidemic. In determining fair value, we utilized valuation techniques that maximize the use of observable inputs and minimize the use of unobservable inputs to the extent possible. The fair value technique used in this instance is classified as Level 3, where unobservable inputs are used when little or no market data is available.</w:t>
      </w:r>
    </w:p>
    <w:p>
      <w:pPr>
        <w:spacing w:after="0" w:line="217" w:lineRule="exact"/>
        <w:rPr>
          <w:sz w:val="20"/>
          <w:szCs w:val="20"/>
          <w:color w:val="auto"/>
        </w:rPr>
      </w:pPr>
    </w:p>
    <w:p>
      <w:pPr>
        <w:ind w:right="180" w:firstLine="318"/>
        <w:spacing w:after="0" w:line="250" w:lineRule="auto"/>
        <w:rPr>
          <w:sz w:val="20"/>
          <w:szCs w:val="20"/>
          <w:color w:val="auto"/>
        </w:rPr>
      </w:pPr>
      <w:r>
        <w:rPr>
          <w:rFonts w:ascii="Arial" w:cs="Arial" w:eastAsia="Arial" w:hAnsi="Arial"/>
          <w:sz w:val="18"/>
          <w:szCs w:val="18"/>
          <w:color w:val="auto"/>
        </w:rPr>
        <w:t>As a result of performing the quantitative test of impairment, the Company recognized an impairment of Applebee's goodwill of $92.2 million and an impairment of Applebee's tradename of $11.0 million during the nine months ended September 30, 2020. The majority of the impairment was due to an increase in the assessed risk premium incorporated in the discount rate. These assets are at risk of additional impairment in the future in the event of sustained downward movement in the Company's stock price, downward revisions of long-term performance assumptions or increases in the assumed long-term discount rate.</w:t>
      </w:r>
    </w:p>
    <w:p>
      <w:pPr>
        <w:spacing w:after="0" w:line="220" w:lineRule="exact"/>
        <w:rPr>
          <w:sz w:val="20"/>
          <w:szCs w:val="20"/>
          <w:color w:val="auto"/>
        </w:rPr>
      </w:pPr>
    </w:p>
    <w:p>
      <w:pPr>
        <w:ind w:right="300" w:firstLine="318"/>
        <w:spacing w:after="0" w:line="249" w:lineRule="auto"/>
        <w:rPr>
          <w:sz w:val="20"/>
          <w:szCs w:val="20"/>
          <w:color w:val="auto"/>
        </w:rPr>
      </w:pPr>
      <w:r>
        <w:rPr>
          <w:rFonts w:ascii="Arial" w:cs="Arial" w:eastAsia="Arial" w:hAnsi="Arial"/>
          <w:sz w:val="18"/>
          <w:szCs w:val="18"/>
          <w:color w:val="auto"/>
        </w:rPr>
        <w:t>During the nine months ended September 30, 2020, we recognized a long-lived asset impairment totaling $17.2 million related to 46 Applebee's company-operated restaurants and 33 IHOP franchisee-operated restaurants for which the carrying amount exceeded the undiscounted cash flows. The impairment recorded represented the difference between the carrying value and the estimated fair value. Approximately $9.4 million of the total impairment related to operating lease right-of-use assets that had been recorded in 2019 upon adoption of ASC 842, while $7.8 million related to impairments of land, building, leasehold improvements and finance leases. The impairments by individual property varied in amount, ranging from the largest individual impairment of $1.3 million to less than $5,000.</w:t>
      </w:r>
    </w:p>
    <w:p>
      <w:pPr>
        <w:spacing w:after="0" w:line="222" w:lineRule="exact"/>
        <w:rPr>
          <w:sz w:val="20"/>
          <w:szCs w:val="20"/>
          <w:color w:val="auto"/>
        </w:rPr>
      </w:pPr>
    </w:p>
    <w:p>
      <w:pPr>
        <w:ind w:right="460" w:firstLine="318"/>
        <w:spacing w:after="0" w:line="365" w:lineRule="auto"/>
        <w:rPr>
          <w:sz w:val="20"/>
          <w:szCs w:val="20"/>
          <w:color w:val="auto"/>
        </w:rPr>
      </w:pPr>
      <w:r>
        <w:rPr>
          <w:rFonts w:ascii="Arial" w:cs="Arial" w:eastAsia="Arial" w:hAnsi="Arial"/>
          <w:sz w:val="15"/>
          <w:szCs w:val="15"/>
          <w:color w:val="auto"/>
        </w:rPr>
        <w:t>An impairment of $3.3 million was recognized during the nine months ended September 30, 2020 related to the reacquired franchise rights intangible asset recorded in the purchase price allocation of the December 2018 acquisition of 69 Applebee's restaurants from a former franchisee.</w:t>
      </w:r>
    </w:p>
    <w:p>
      <w:pPr>
        <w:spacing w:after="0" w:line="168"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Other Income and</w:t>
      </w:r>
    </w:p>
    <w:tbl>
      <w:tblPr>
        <w:tblLayout w:type="fixed"/>
        <w:tblInd w:w="320" w:type="dxa"/>
        <w:tblCellMar>
          <w:top w:w="0" w:type="dxa"/>
          <w:left w:w="0" w:type="dxa"/>
          <w:bottom w:w="0" w:type="dxa"/>
          <w:right w:w="0" w:type="dxa"/>
        </w:tblCellMar>
      </w:tblPr>
      <w:tr>
        <w:trPr>
          <w:trHeight w:val="40"/>
        </w:trPr>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shd w:val="clear" w:color="auto" w:fill="000000"/>
          </w:tcPr>
          <w:p>
            <w:pPr>
              <w:spacing w:after="0"/>
              <w:rPr>
                <w:sz w:val="3"/>
                <w:szCs w:val="3"/>
                <w:color w:val="auto"/>
              </w:rPr>
            </w:pPr>
          </w:p>
        </w:tc>
        <w:tc>
          <w:tcPr>
            <w:tcW w:w="600" w:type="dxa"/>
            <w:vAlign w:val="bottom"/>
            <w:shd w:val="clear" w:color="auto" w:fill="000000"/>
          </w:tcPr>
          <w:p>
            <w:pPr>
              <w:spacing w:after="0"/>
              <w:rPr>
                <w:sz w:val="3"/>
                <w:szCs w:val="3"/>
                <w:color w:val="auto"/>
              </w:rPr>
            </w:pPr>
          </w:p>
        </w:tc>
        <w:tc>
          <w:tcPr>
            <w:tcW w:w="740" w:type="dxa"/>
            <w:vAlign w:val="bottom"/>
          </w:tcPr>
          <w:p>
            <w:pPr>
              <w:spacing w:after="0"/>
              <w:rPr>
                <w:sz w:val="3"/>
                <w:szCs w:val="3"/>
                <w:color w:val="auto"/>
              </w:rPr>
            </w:pPr>
          </w:p>
        </w:tc>
        <w:tc>
          <w:tcPr>
            <w:tcW w:w="2980" w:type="dxa"/>
            <w:vAlign w:val="bottom"/>
            <w:gridSpan w:val="6"/>
            <w:vMerge w:val="restart"/>
          </w:tcPr>
          <w:p>
            <w:pPr>
              <w:ind w:left="380"/>
              <w:spacing w:after="0" w:line="159" w:lineRule="exact"/>
              <w:rPr>
                <w:sz w:val="20"/>
                <w:szCs w:val="20"/>
                <w:color w:val="auto"/>
              </w:rPr>
            </w:pPr>
            <w:r>
              <w:rPr>
                <w:rFonts w:ascii="Arial" w:cs="Arial" w:eastAsia="Arial" w:hAnsi="Arial"/>
                <w:sz w:val="16"/>
                <w:szCs w:val="16"/>
                <w:b w:val="1"/>
                <w:bCs w:val="1"/>
                <w:color w:val="auto"/>
                <w:w w:val="95"/>
              </w:rPr>
              <w:t>Three months ended September 30,</w:t>
            </w:r>
          </w:p>
        </w:tc>
        <w:tc>
          <w:tcPr>
            <w:tcW w:w="460" w:type="dxa"/>
            <w:vAlign w:val="bottom"/>
          </w:tcPr>
          <w:p>
            <w:pPr>
              <w:spacing w:after="0"/>
              <w:rPr>
                <w:sz w:val="3"/>
                <w:szCs w:val="3"/>
                <w:color w:val="auto"/>
              </w:rPr>
            </w:pPr>
          </w:p>
        </w:tc>
        <w:tc>
          <w:tcPr>
            <w:tcW w:w="960" w:type="dxa"/>
            <w:vAlign w:val="bottom"/>
            <w:gridSpan w:val="2"/>
            <w:vMerge w:val="restart"/>
          </w:tcPr>
          <w:p>
            <w:pPr>
              <w:ind w:left="60"/>
              <w:spacing w:after="0" w:line="159" w:lineRule="exact"/>
              <w:rPr>
                <w:sz w:val="20"/>
                <w:szCs w:val="20"/>
                <w:color w:val="auto"/>
              </w:rPr>
            </w:pPr>
            <w:r>
              <w:rPr>
                <w:rFonts w:ascii="Arial" w:cs="Arial" w:eastAsia="Arial" w:hAnsi="Arial"/>
                <w:sz w:val="14"/>
                <w:szCs w:val="14"/>
                <w:b w:val="1"/>
                <w:bCs w:val="1"/>
                <w:color w:val="auto"/>
              </w:rPr>
              <w:t>Favorable</w:t>
            </w:r>
          </w:p>
        </w:tc>
        <w:tc>
          <w:tcPr>
            <w:tcW w:w="2760" w:type="dxa"/>
            <w:vAlign w:val="bottom"/>
            <w:gridSpan w:val="4"/>
            <w:vMerge w:val="restart"/>
          </w:tcPr>
          <w:p>
            <w:pPr>
              <w:jc w:val="right"/>
              <w:spacing w:after="0" w:line="159" w:lineRule="exact"/>
              <w:rPr>
                <w:sz w:val="20"/>
                <w:szCs w:val="20"/>
                <w:color w:val="auto"/>
              </w:rPr>
            </w:pPr>
            <w:r>
              <w:rPr>
                <w:rFonts w:ascii="Arial" w:cs="Arial" w:eastAsia="Arial" w:hAnsi="Arial"/>
                <w:sz w:val="16"/>
                <w:szCs w:val="16"/>
                <w:b w:val="1"/>
                <w:bCs w:val="1"/>
                <w:color w:val="auto"/>
              </w:rPr>
              <w:t>Nine months ended September 30,</w:t>
            </w:r>
          </w:p>
        </w:tc>
        <w:tc>
          <w:tcPr>
            <w:tcW w:w="580" w:type="dxa"/>
            <w:vAlign w:val="bottom"/>
          </w:tcPr>
          <w:p>
            <w:pPr>
              <w:spacing w:after="0"/>
              <w:rPr>
                <w:sz w:val="3"/>
                <w:szCs w:val="3"/>
                <w:color w:val="auto"/>
              </w:rPr>
            </w:pPr>
          </w:p>
        </w:tc>
        <w:tc>
          <w:tcPr>
            <w:tcW w:w="740" w:type="dxa"/>
            <w:vAlign w:val="bottom"/>
            <w:vMerge w:val="restart"/>
          </w:tcPr>
          <w:p>
            <w:pPr>
              <w:jc w:val="right"/>
              <w:spacing w:after="0" w:line="159" w:lineRule="exact"/>
              <w:rPr>
                <w:sz w:val="20"/>
                <w:szCs w:val="20"/>
                <w:color w:val="auto"/>
              </w:rPr>
            </w:pPr>
            <w:r>
              <w:rPr>
                <w:rFonts w:ascii="Arial" w:cs="Arial" w:eastAsia="Arial" w:hAnsi="Arial"/>
                <w:sz w:val="14"/>
                <w:szCs w:val="14"/>
                <w:b w:val="1"/>
                <w:bCs w:val="1"/>
                <w:color w:val="auto"/>
                <w:w w:val="96"/>
              </w:rPr>
              <w:t>Favorable</w:t>
            </w:r>
          </w:p>
        </w:tc>
        <w:tc>
          <w:tcPr>
            <w:tcW w:w="0" w:type="dxa"/>
            <w:vAlign w:val="bottom"/>
          </w:tcPr>
          <w:p>
            <w:pPr>
              <w:spacing w:after="0" w:line="20" w:lineRule="exact"/>
              <w:rPr>
                <w:sz w:val="1"/>
                <w:szCs w:val="1"/>
                <w:color w:val="auto"/>
              </w:rPr>
            </w:pPr>
          </w:p>
        </w:tc>
      </w:tr>
      <w:tr>
        <w:trPr>
          <w:trHeight w:val="125"/>
        </w:trPr>
        <w:tc>
          <w:tcPr>
            <w:tcW w:w="1800" w:type="dxa"/>
            <w:vAlign w:val="bottom"/>
            <w:gridSpan w:val="4"/>
          </w:tcPr>
          <w:p>
            <w:pPr>
              <w:ind w:left="100"/>
              <w:spacing w:after="0" w:line="119" w:lineRule="exact"/>
              <w:rPr>
                <w:sz w:val="20"/>
                <w:szCs w:val="20"/>
                <w:color w:val="auto"/>
              </w:rPr>
            </w:pPr>
            <w:r>
              <w:rPr>
                <w:rFonts w:ascii="Arial" w:cs="Arial" w:eastAsia="Arial" w:hAnsi="Arial"/>
                <w:sz w:val="13"/>
                <w:szCs w:val="13"/>
                <w:b w:val="1"/>
                <w:bCs w:val="1"/>
                <w:color w:val="auto"/>
              </w:rPr>
              <w:t>Expense Items</w:t>
            </w:r>
          </w:p>
        </w:tc>
        <w:tc>
          <w:tcPr>
            <w:tcW w:w="740" w:type="dxa"/>
            <w:vAlign w:val="bottom"/>
          </w:tcPr>
          <w:p>
            <w:pPr>
              <w:spacing w:after="0"/>
              <w:rPr>
                <w:sz w:val="10"/>
                <w:szCs w:val="10"/>
                <w:color w:val="auto"/>
              </w:rPr>
            </w:pPr>
          </w:p>
        </w:tc>
        <w:tc>
          <w:tcPr>
            <w:tcW w:w="2980" w:type="dxa"/>
            <w:vAlign w:val="bottom"/>
            <w:gridSpan w:val="6"/>
            <w:vMerge w:val="continue"/>
          </w:tcPr>
          <w:p>
            <w:pPr>
              <w:spacing w:after="0"/>
              <w:rPr>
                <w:sz w:val="10"/>
                <w:szCs w:val="10"/>
                <w:color w:val="auto"/>
              </w:rPr>
            </w:pPr>
          </w:p>
        </w:tc>
        <w:tc>
          <w:tcPr>
            <w:tcW w:w="46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2760" w:type="dxa"/>
            <w:vAlign w:val="bottom"/>
            <w:gridSpan w:val="4"/>
            <w:vMerge w:val="continue"/>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3"/>
            <w:vMerge w:val="restart"/>
          </w:tcPr>
          <w:p>
            <w:pPr>
              <w:jc w:val="center"/>
              <w:ind w:right="100"/>
              <w:spacing w:after="0" w:line="93" w:lineRule="exact"/>
              <w:rPr>
                <w:sz w:val="20"/>
                <w:szCs w:val="20"/>
                <w:color w:val="auto"/>
              </w:rPr>
            </w:pPr>
            <w:r>
              <w:rPr>
                <w:rFonts w:ascii="Arial" w:cs="Arial" w:eastAsia="Arial" w:hAnsi="Arial"/>
                <w:sz w:val="10"/>
                <w:szCs w:val="10"/>
                <w:b w:val="1"/>
                <w:bCs w:val="1"/>
                <w:color w:val="auto"/>
              </w:rPr>
              <w:t>(Unfavorable)</w:t>
            </w: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20" w:type="dxa"/>
            <w:vAlign w:val="bottom"/>
            <w:gridSpan w:val="2"/>
            <w:vMerge w:val="restart"/>
          </w:tcPr>
          <w:p>
            <w:pPr>
              <w:jc w:val="right"/>
              <w:ind w:right="35"/>
              <w:spacing w:after="0" w:line="93" w:lineRule="exact"/>
              <w:rPr>
                <w:sz w:val="20"/>
                <w:szCs w:val="20"/>
                <w:color w:val="auto"/>
              </w:rPr>
            </w:pPr>
            <w:r>
              <w:rPr>
                <w:rFonts w:ascii="Arial" w:cs="Arial" w:eastAsia="Arial" w:hAnsi="Arial"/>
                <w:sz w:val="10"/>
                <w:szCs w:val="10"/>
                <w:b w:val="1"/>
                <w:bCs w:val="1"/>
                <w:color w:val="auto"/>
              </w:rPr>
              <w:t>(Unfavorable)</w:t>
            </w:r>
          </w:p>
        </w:tc>
        <w:tc>
          <w:tcPr>
            <w:tcW w:w="0" w:type="dxa"/>
            <w:vAlign w:val="bottom"/>
          </w:tcPr>
          <w:p>
            <w:pPr>
              <w:spacing w:after="0"/>
              <w:rPr>
                <w:sz w:val="1"/>
                <w:szCs w:val="1"/>
                <w:color w:val="auto"/>
              </w:rPr>
            </w:pPr>
          </w:p>
        </w:tc>
      </w:tr>
      <w:tr>
        <w:trPr>
          <w:trHeight w:val="46"/>
        </w:trPr>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20" w:type="dxa"/>
            <w:vAlign w:val="bottom"/>
            <w:vMerge w:val="restart"/>
          </w:tcPr>
          <w:p>
            <w:pPr>
              <w:jc w:val="right"/>
              <w:ind w:right="293"/>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20" w:type="dxa"/>
            <w:vAlign w:val="bottom"/>
            <w:vMerge w:val="restart"/>
          </w:tcPr>
          <w:p>
            <w:pPr>
              <w:jc w:val="right"/>
              <w:ind w:right="273"/>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4"/>
                <w:szCs w:val="4"/>
                <w:color w:val="auto"/>
              </w:rPr>
            </w:pPr>
          </w:p>
        </w:tc>
        <w:tc>
          <w:tcPr>
            <w:tcW w:w="1420" w:type="dxa"/>
            <w:vAlign w:val="bottom"/>
            <w:gridSpan w:val="3"/>
            <w:vMerge w:val="continue"/>
          </w:tcPr>
          <w:p>
            <w:pPr>
              <w:spacing w:after="0"/>
              <w:rPr>
                <w:sz w:val="4"/>
                <w:szCs w:val="4"/>
                <w:color w:val="auto"/>
              </w:rPr>
            </w:pPr>
          </w:p>
        </w:tc>
        <w:tc>
          <w:tcPr>
            <w:tcW w:w="560" w:type="dxa"/>
            <w:vAlign w:val="bottom"/>
          </w:tcPr>
          <w:p>
            <w:pPr>
              <w:spacing w:after="0"/>
              <w:rPr>
                <w:sz w:val="4"/>
                <w:szCs w:val="4"/>
                <w:color w:val="auto"/>
              </w:rPr>
            </w:pPr>
          </w:p>
        </w:tc>
        <w:tc>
          <w:tcPr>
            <w:tcW w:w="980" w:type="dxa"/>
            <w:vAlign w:val="bottom"/>
            <w:vMerge w:val="restart"/>
          </w:tcPr>
          <w:p>
            <w:pPr>
              <w:jc w:val="right"/>
              <w:ind w:right="453"/>
              <w:spacing w:after="0"/>
              <w:rPr>
                <w:sz w:val="20"/>
                <w:szCs w:val="20"/>
                <w:color w:val="auto"/>
              </w:rPr>
            </w:pPr>
            <w:r>
              <w:rPr>
                <w:rFonts w:ascii="Arial" w:cs="Arial" w:eastAsia="Arial" w:hAnsi="Arial"/>
                <w:sz w:val="16"/>
                <w:szCs w:val="16"/>
                <w:b w:val="1"/>
                <w:bCs w:val="1"/>
                <w:color w:val="auto"/>
              </w:rPr>
              <w:t>2021</w:t>
            </w:r>
          </w:p>
        </w:tc>
        <w:tc>
          <w:tcPr>
            <w:tcW w:w="460" w:type="dxa"/>
            <w:vAlign w:val="bottom"/>
          </w:tcPr>
          <w:p>
            <w:pPr>
              <w:spacing w:after="0"/>
              <w:rPr>
                <w:sz w:val="4"/>
                <w:szCs w:val="4"/>
                <w:color w:val="auto"/>
              </w:rPr>
            </w:pPr>
          </w:p>
        </w:tc>
        <w:tc>
          <w:tcPr>
            <w:tcW w:w="760" w:type="dxa"/>
            <w:vAlign w:val="bottom"/>
            <w:vMerge w:val="restart"/>
          </w:tcPr>
          <w:p>
            <w:pPr>
              <w:jc w:val="right"/>
              <w:ind w:right="233"/>
              <w:spacing w:after="0"/>
              <w:rPr>
                <w:sz w:val="20"/>
                <w:szCs w:val="20"/>
                <w:color w:val="auto"/>
              </w:rPr>
            </w:pPr>
            <w:r>
              <w:rPr>
                <w:rFonts w:ascii="Arial" w:cs="Arial" w:eastAsia="Arial" w:hAnsi="Arial"/>
                <w:sz w:val="16"/>
                <w:szCs w:val="16"/>
                <w:b w:val="1"/>
                <w:bCs w:val="1"/>
                <w:color w:val="auto"/>
              </w:rPr>
              <w:t>2020</w:t>
            </w:r>
          </w:p>
        </w:tc>
        <w:tc>
          <w:tcPr>
            <w:tcW w:w="13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89"/>
              </w:rPr>
              <w:t>Variance</w:t>
            </w:r>
          </w:p>
        </w:tc>
        <w:tc>
          <w:tcPr>
            <w:tcW w:w="5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320" w:type="dxa"/>
            <w:vAlign w:val="bottom"/>
            <w:tcBorders>
              <w:bottom w:val="single" w:sz="8" w:color="auto"/>
            </w:tcBorders>
            <w:gridSpan w:val="2"/>
          </w:tcPr>
          <w:p>
            <w:pPr>
              <w:jc w:val="right"/>
              <w:ind w:right="195"/>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79"/>
        </w:trPr>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gridSpan w:val="3"/>
          </w:tcPr>
          <w:p>
            <w:pPr>
              <w:jc w:val="right"/>
              <w:ind w:right="55"/>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100" w:type="dxa"/>
            <w:vAlign w:val="bottom"/>
            <w:shd w:val="clear" w:color="auto" w:fill="CCEEFF"/>
          </w:tcPr>
          <w:p>
            <w:pPr>
              <w:spacing w:after="0"/>
              <w:rPr>
                <w:sz w:val="19"/>
                <w:szCs w:val="19"/>
                <w:color w:val="auto"/>
              </w:rPr>
            </w:pPr>
          </w:p>
        </w:tc>
        <w:tc>
          <w:tcPr>
            <w:tcW w:w="244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Interest expense, net</w:t>
            </w:r>
          </w:p>
        </w:tc>
        <w:tc>
          <w:tcPr>
            <w:tcW w:w="5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center"/>
              <w:ind w:left="418"/>
              <w:spacing w:after="0"/>
              <w:rPr>
                <w:sz w:val="20"/>
                <w:szCs w:val="20"/>
                <w:color w:val="auto"/>
              </w:rPr>
            </w:pPr>
            <w:r>
              <w:rPr>
                <w:rFonts w:ascii="Arial" w:cs="Arial" w:eastAsia="Arial" w:hAnsi="Arial"/>
                <w:sz w:val="18"/>
                <w:szCs w:val="18"/>
                <w:color w:val="auto"/>
                <w:w w:val="95"/>
              </w:rPr>
              <w:t>1.1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48.0</w:t>
            </w:r>
          </w:p>
        </w:tc>
        <w:tc>
          <w:tcPr>
            <w:tcW w:w="4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2440" w:type="dxa"/>
            <w:vAlign w:val="bottom"/>
            <w:gridSpan w:val="4"/>
          </w:tcPr>
          <w:p>
            <w:pPr>
              <w:ind w:left="320"/>
              <w:spacing w:after="0" w:line="173" w:lineRule="exact"/>
              <w:rPr>
                <w:sz w:val="20"/>
                <w:szCs w:val="20"/>
                <w:color w:val="auto"/>
              </w:rPr>
            </w:pPr>
            <w:r>
              <w:rPr>
                <w:rFonts w:ascii="Arial" w:cs="Arial" w:eastAsia="Arial" w:hAnsi="Arial"/>
                <w:sz w:val="18"/>
                <w:szCs w:val="18"/>
                <w:color w:val="auto"/>
              </w:rPr>
              <w:t>Amortization of intangible</w:t>
            </w:r>
          </w:p>
        </w:tc>
        <w:tc>
          <w:tcPr>
            <w:tcW w:w="5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vMerge w:val="restart"/>
          </w:tcPr>
          <w:p>
            <w:pPr>
              <w:jc w:val="center"/>
              <w:ind w:left="398"/>
              <w:spacing w:after="0"/>
              <w:rPr>
                <w:sz w:val="20"/>
                <w:szCs w:val="20"/>
                <w:color w:val="auto"/>
              </w:rPr>
            </w:pPr>
            <w:r>
              <w:rPr>
                <w:rFonts w:ascii="Arial" w:cs="Arial" w:eastAsia="Arial" w:hAnsi="Arial"/>
                <w:sz w:val="18"/>
                <w:szCs w:val="18"/>
                <w:color w:val="auto"/>
                <w:w w:val="91"/>
              </w:rPr>
              <w:t>(0.0)</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vMerge w:val="restart"/>
          </w:tcPr>
          <w:p>
            <w:pPr>
              <w:jc w:val="right"/>
              <w:ind w:right="173"/>
              <w:spacing w:after="0"/>
              <w:rPr>
                <w:sz w:val="20"/>
                <w:szCs w:val="20"/>
                <w:color w:val="auto"/>
              </w:rPr>
            </w:pPr>
            <w:r>
              <w:rPr>
                <w:rFonts w:ascii="Arial" w:cs="Arial" w:eastAsia="Arial" w:hAnsi="Arial"/>
                <w:sz w:val="18"/>
                <w:szCs w:val="18"/>
                <w:color w:val="auto"/>
              </w:rPr>
              <w:t>8.0</w:t>
            </w:r>
          </w:p>
        </w:tc>
        <w:tc>
          <w:tcPr>
            <w:tcW w:w="46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8.2</w:t>
            </w:r>
          </w:p>
        </w:tc>
        <w:tc>
          <w:tcPr>
            <w:tcW w:w="58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4"/>
        </w:trPr>
        <w:tc>
          <w:tcPr>
            <w:tcW w:w="2540" w:type="dxa"/>
            <w:vAlign w:val="bottom"/>
            <w:gridSpan w:val="5"/>
          </w:tcPr>
          <w:p>
            <w:pPr>
              <w:ind w:left="100"/>
              <w:spacing w:after="0"/>
              <w:rPr>
                <w:sz w:val="20"/>
                <w:szCs w:val="20"/>
                <w:color w:val="auto"/>
              </w:rPr>
            </w:pPr>
            <w:r>
              <w:rPr>
                <w:rFonts w:ascii="Arial" w:cs="Arial" w:eastAsia="Arial" w:hAnsi="Arial"/>
                <w:sz w:val="18"/>
                <w:szCs w:val="18"/>
                <w:color w:val="auto"/>
              </w:rPr>
              <w:t>assets</w:t>
            </w:r>
          </w:p>
        </w:tc>
        <w:tc>
          <w:tcPr>
            <w:tcW w:w="56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00" w:type="dxa"/>
            <w:vAlign w:val="bottom"/>
            <w:shd w:val="clear" w:color="auto" w:fill="CCEEFF"/>
          </w:tcPr>
          <w:p>
            <w:pPr>
              <w:spacing w:after="0"/>
              <w:rPr>
                <w:sz w:val="15"/>
                <w:szCs w:val="15"/>
                <w:color w:val="auto"/>
              </w:rPr>
            </w:pPr>
          </w:p>
        </w:tc>
        <w:tc>
          <w:tcPr>
            <w:tcW w:w="2440" w:type="dxa"/>
            <w:vAlign w:val="bottom"/>
            <w:gridSpan w:val="4"/>
            <w:shd w:val="clear" w:color="auto" w:fill="CCEEFF"/>
          </w:tcPr>
          <w:p>
            <w:pPr>
              <w:ind w:left="320"/>
              <w:spacing w:after="0" w:line="174" w:lineRule="exact"/>
              <w:rPr>
                <w:sz w:val="20"/>
                <w:szCs w:val="20"/>
                <w:color w:val="auto"/>
              </w:rPr>
            </w:pPr>
            <w:r>
              <w:rPr>
                <w:rFonts w:ascii="Arial" w:cs="Arial" w:eastAsia="Arial" w:hAnsi="Arial"/>
                <w:sz w:val="18"/>
                <w:szCs w:val="18"/>
                <w:color w:val="auto"/>
              </w:rPr>
              <w:t>Loss on disposition of</w:t>
            </w:r>
          </w:p>
        </w:tc>
        <w:tc>
          <w:tcPr>
            <w:tcW w:w="5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center"/>
              <w:ind w:left="398"/>
              <w:spacing w:after="0"/>
              <w:rPr>
                <w:sz w:val="20"/>
                <w:szCs w:val="20"/>
                <w:color w:val="auto"/>
              </w:rPr>
            </w:pPr>
            <w:r>
              <w:rPr>
                <w:rFonts w:ascii="Arial" w:cs="Arial" w:eastAsia="Arial" w:hAnsi="Arial"/>
                <w:sz w:val="18"/>
                <w:szCs w:val="18"/>
                <w:color w:val="auto"/>
                <w:w w:val="91"/>
              </w:rPr>
              <w:t>(0.2)</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173"/>
              <w:spacing w:after="0"/>
              <w:rPr>
                <w:sz w:val="20"/>
                <w:szCs w:val="20"/>
                <w:color w:val="auto"/>
              </w:rPr>
            </w:pPr>
            <w:r>
              <w:rPr>
                <w:rFonts w:ascii="Arial" w:cs="Arial" w:eastAsia="Arial" w:hAnsi="Arial"/>
                <w:sz w:val="18"/>
                <w:szCs w:val="18"/>
                <w:color w:val="auto"/>
              </w:rPr>
              <w:t>1.4</w:t>
            </w:r>
          </w:p>
        </w:tc>
        <w:tc>
          <w:tcPr>
            <w:tcW w:w="46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58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4"/>
        </w:trPr>
        <w:tc>
          <w:tcPr>
            <w:tcW w:w="254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rPr>
              <w:t>assets</w:t>
            </w:r>
          </w:p>
        </w:tc>
        <w:tc>
          <w:tcPr>
            <w:tcW w:w="5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20" w:type="dxa"/>
            <w:vAlign w:val="bottom"/>
            <w:gridSpan w:val="3"/>
          </w:tcPr>
          <w:p>
            <w:pPr>
              <w:ind w:left="240"/>
              <w:spacing w:after="0"/>
              <w:rPr>
                <w:sz w:val="20"/>
                <w:szCs w:val="20"/>
                <w:color w:val="auto"/>
              </w:rPr>
            </w:pPr>
            <w:r>
              <w:rPr>
                <w:rFonts w:ascii="Arial" w:cs="Arial" w:eastAsia="Arial" w:hAnsi="Arial"/>
                <w:sz w:val="18"/>
                <w:szCs w:val="18"/>
                <w:color w:val="auto"/>
              </w:rPr>
              <w:t>Total</w:t>
            </w:r>
          </w:p>
        </w:tc>
        <w:tc>
          <w:tcPr>
            <w:tcW w:w="56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center"/>
              <w:ind w:left="418"/>
              <w:spacing w:after="0"/>
              <w:rPr>
                <w:sz w:val="20"/>
                <w:szCs w:val="20"/>
                <w:color w:val="auto"/>
              </w:rPr>
            </w:pPr>
            <w:r>
              <w:rPr>
                <w:rFonts w:ascii="Arial" w:cs="Arial" w:eastAsia="Arial" w:hAnsi="Arial"/>
                <w:sz w:val="18"/>
                <w:szCs w:val="18"/>
                <w:color w:val="auto"/>
                <w:w w:val="95"/>
              </w:rPr>
              <w:t>0.9</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57.4</w:t>
            </w:r>
          </w:p>
        </w:tc>
        <w:tc>
          <w:tcPr>
            <w:tcW w:w="4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Interest expense, net</w:t>
      </w:r>
    </w:p>
    <w:p>
      <w:pPr>
        <w:spacing w:after="0" w:line="244" w:lineRule="exact"/>
        <w:rPr>
          <w:sz w:val="20"/>
          <w:szCs w:val="20"/>
          <w:color w:val="auto"/>
        </w:rPr>
      </w:pPr>
    </w:p>
    <w:p>
      <w:pPr>
        <w:jc w:val="both"/>
        <w:ind w:right="260" w:firstLine="318"/>
        <w:spacing w:after="0" w:line="255" w:lineRule="auto"/>
        <w:rPr>
          <w:sz w:val="20"/>
          <w:szCs w:val="20"/>
          <w:color w:val="auto"/>
        </w:rPr>
      </w:pPr>
      <w:r>
        <w:rPr>
          <w:rFonts w:ascii="Arial" w:cs="Arial" w:eastAsia="Arial" w:hAnsi="Arial"/>
          <w:sz w:val="18"/>
          <w:szCs w:val="18"/>
          <w:color w:val="auto"/>
        </w:rPr>
        <w:t>Interest expense, net for the three months ended September 30, 2021 declined compared to the same period of the prior year due to a decrease in interest expense on our Credit Facility. We had no borrowings outstanding under our Credit Facility during the three months ended September 30, 2021, whereas we had $220 million outstanding during the three months ended September 30, 2020.</w:t>
      </w:r>
    </w:p>
    <w:p>
      <w:pPr>
        <w:spacing w:after="0" w:line="215" w:lineRule="exact"/>
        <w:rPr>
          <w:sz w:val="20"/>
          <w:szCs w:val="20"/>
          <w:color w:val="auto"/>
        </w:rPr>
      </w:pPr>
    </w:p>
    <w:p>
      <w:pPr>
        <w:ind w:right="100" w:firstLine="318"/>
        <w:spacing w:after="0" w:line="312" w:lineRule="auto"/>
        <w:rPr>
          <w:sz w:val="20"/>
          <w:szCs w:val="20"/>
          <w:color w:val="auto"/>
        </w:rPr>
      </w:pPr>
      <w:r>
        <w:rPr>
          <w:rFonts w:ascii="Arial" w:cs="Arial" w:eastAsia="Arial" w:hAnsi="Arial"/>
          <w:sz w:val="15"/>
          <w:szCs w:val="15"/>
          <w:color w:val="auto"/>
        </w:rPr>
        <w:t xml:space="preserve">Interest expense, net for the nine months ended September 30, 2021 declined compared to the same period of the prior year due to a decrease in interest expense on our Credit Facility, partially offset by a decrease in interest income. Borrowings under our Credit Facility were outstanding for fewer days in the 2021 period than the 2020 period. We borrowed $220.0 million during the third week of March 2020 and that amount remained outstanding until it was repaid the first week of March 2021. Interest income was $0.1 million for nine months ended September 30, 2021, a decrease from interest income of $0.9 million for the nine months ended September 30, 2020. See </w:t>
      </w:r>
      <w:r>
        <w:rPr>
          <w:rFonts w:ascii="Arial" w:cs="Arial" w:eastAsia="Arial" w:hAnsi="Arial"/>
          <w:sz w:val="15"/>
          <w:szCs w:val="15"/>
          <w:i w:val="1"/>
          <w:iCs w:val="1"/>
          <w:color w:val="auto"/>
        </w:rPr>
        <w:t>“Liquidity and Capital Resources”</w:t>
      </w:r>
      <w:r>
        <w:rPr>
          <w:rFonts w:ascii="Arial" w:cs="Arial" w:eastAsia="Arial" w:hAnsi="Arial"/>
          <w:sz w:val="15"/>
          <w:szCs w:val="15"/>
          <w:color w:val="auto"/>
        </w:rPr>
        <w:t xml:space="preserve"> for additional discussion related to our Credit Facility.</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2" w:right="23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Loss on disposition of assets</w:t>
      </w:r>
    </w:p>
    <w:p>
      <w:pPr>
        <w:spacing w:after="0" w:line="244" w:lineRule="exact"/>
        <w:rPr>
          <w:sz w:val="20"/>
          <w:szCs w:val="20"/>
          <w:color w:val="auto"/>
        </w:rPr>
      </w:pPr>
    </w:p>
    <w:p>
      <w:pPr>
        <w:ind w:firstLine="318"/>
        <w:spacing w:after="0" w:line="271" w:lineRule="auto"/>
        <w:rPr>
          <w:sz w:val="20"/>
          <w:szCs w:val="20"/>
          <w:color w:val="auto"/>
        </w:rPr>
      </w:pPr>
      <w:r>
        <w:rPr>
          <w:rFonts w:ascii="Arial" w:cs="Arial" w:eastAsia="Arial" w:hAnsi="Arial"/>
          <w:sz w:val="17"/>
          <w:szCs w:val="17"/>
          <w:color w:val="auto"/>
        </w:rPr>
        <w:t>The loss on disposition of assets for the three and nine months ended September 30, 2021 primarily related to disposition of capitalized software no longer in use. The loss on disposition of assets for the three months ended September 30, 2020 primarily related to disposition of capitalized software no longer in use. The loss on disposition of assets for the nine months ended September 30, 2020 primarily related to the termination of 12 IHOP restaurant leases and the loss on capitalized software no longer in use recognized during the three months ended September 30, 2020.</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960" w:type="dxa"/>
            <w:vAlign w:val="bottom"/>
            <w:gridSpan w:val="2"/>
          </w:tcPr>
          <w:p>
            <w:pPr>
              <w:spacing w:after="0"/>
              <w:rPr>
                <w:sz w:val="20"/>
                <w:szCs w:val="20"/>
                <w:color w:val="auto"/>
              </w:rPr>
            </w:pPr>
            <w:r>
              <w:rPr>
                <w:rFonts w:ascii="Arial" w:cs="Arial" w:eastAsia="Arial" w:hAnsi="Arial"/>
                <w:sz w:val="18"/>
                <w:szCs w:val="18"/>
                <w:b w:val="1"/>
                <w:bCs w:val="1"/>
                <w:color w:val="auto"/>
              </w:rPr>
              <w:t>Income Taxes</w:t>
            </w:r>
          </w:p>
        </w:tc>
        <w:tc>
          <w:tcPr>
            <w:tcW w:w="140" w:type="dxa"/>
            <w:vAlign w:val="bottom"/>
          </w:tcPr>
          <w:p>
            <w:pPr>
              <w:spacing w:after="0"/>
              <w:rPr>
                <w:sz w:val="17"/>
                <w:szCs w:val="17"/>
                <w:color w:val="auto"/>
              </w:rPr>
            </w:pPr>
          </w:p>
        </w:tc>
        <w:tc>
          <w:tcPr>
            <w:tcW w:w="2580" w:type="dxa"/>
            <w:vAlign w:val="bottom"/>
            <w:gridSpan w:val="3"/>
            <w:vMerge w:val="restart"/>
          </w:tcPr>
          <w:p>
            <w:pPr>
              <w:jc w:val="right"/>
              <w:ind w:right="74"/>
              <w:spacing w:after="0"/>
              <w:rPr>
                <w:sz w:val="20"/>
                <w:szCs w:val="20"/>
                <w:color w:val="auto"/>
              </w:rPr>
            </w:pPr>
            <w:r>
              <w:rPr>
                <w:rFonts w:ascii="Arial" w:cs="Arial" w:eastAsia="Arial" w:hAnsi="Arial"/>
                <w:sz w:val="16"/>
                <w:szCs w:val="16"/>
                <w:b w:val="1"/>
                <w:bCs w:val="1"/>
                <w:color w:val="auto"/>
                <w:w w:val="88"/>
              </w:rPr>
              <w:t>Three months ended September 30,</w:t>
            </w:r>
          </w:p>
        </w:tc>
        <w:tc>
          <w:tcPr>
            <w:tcW w:w="280" w:type="dxa"/>
            <w:vAlign w:val="bottom"/>
          </w:tcPr>
          <w:p>
            <w:pPr>
              <w:spacing w:after="0"/>
              <w:rPr>
                <w:sz w:val="17"/>
                <w:szCs w:val="17"/>
                <w:color w:val="auto"/>
              </w:rPr>
            </w:pPr>
          </w:p>
        </w:tc>
        <w:tc>
          <w:tcPr>
            <w:tcW w:w="1280" w:type="dxa"/>
            <w:vAlign w:val="bottom"/>
            <w:vMerge w:val="restart"/>
          </w:tcPr>
          <w:p>
            <w:pPr>
              <w:jc w:val="center"/>
              <w:ind w:right="208"/>
              <w:spacing w:after="0"/>
              <w:rPr>
                <w:sz w:val="20"/>
                <w:szCs w:val="20"/>
                <w:color w:val="auto"/>
              </w:rPr>
            </w:pPr>
            <w:r>
              <w:rPr>
                <w:rFonts w:ascii="Arial" w:cs="Arial" w:eastAsia="Arial" w:hAnsi="Arial"/>
                <w:sz w:val="14"/>
                <w:szCs w:val="14"/>
                <w:b w:val="1"/>
                <w:bCs w:val="1"/>
                <w:color w:val="auto"/>
                <w:w w:val="90"/>
              </w:rPr>
              <w:t>Favorable</w:t>
            </w:r>
          </w:p>
        </w:tc>
        <w:tc>
          <w:tcPr>
            <w:tcW w:w="100" w:type="dxa"/>
            <w:vAlign w:val="bottom"/>
          </w:tcPr>
          <w:p>
            <w:pPr>
              <w:spacing w:after="0"/>
              <w:rPr>
                <w:sz w:val="17"/>
                <w:szCs w:val="17"/>
                <w:color w:val="auto"/>
              </w:rPr>
            </w:pPr>
          </w:p>
        </w:tc>
        <w:tc>
          <w:tcPr>
            <w:tcW w:w="2440" w:type="dxa"/>
            <w:vAlign w:val="bottom"/>
            <w:gridSpan w:val="3"/>
            <w:vMerge w:val="restart"/>
          </w:tcPr>
          <w:p>
            <w:pPr>
              <w:jc w:val="right"/>
              <w:ind w:right="34"/>
              <w:spacing w:after="0"/>
              <w:rPr>
                <w:sz w:val="20"/>
                <w:szCs w:val="20"/>
                <w:color w:val="auto"/>
              </w:rPr>
            </w:pPr>
            <w:r>
              <w:rPr>
                <w:rFonts w:ascii="Arial" w:cs="Arial" w:eastAsia="Arial" w:hAnsi="Arial"/>
                <w:sz w:val="16"/>
                <w:szCs w:val="16"/>
                <w:b w:val="1"/>
                <w:bCs w:val="1"/>
                <w:color w:val="auto"/>
                <w:w w:val="87"/>
              </w:rPr>
              <w:t>Nine months ended September 30,</w:t>
            </w:r>
          </w:p>
        </w:tc>
        <w:tc>
          <w:tcPr>
            <w:tcW w:w="280" w:type="dxa"/>
            <w:vAlign w:val="bottom"/>
          </w:tcPr>
          <w:p>
            <w:pPr>
              <w:spacing w:after="0"/>
              <w:rPr>
                <w:sz w:val="17"/>
                <w:szCs w:val="17"/>
                <w:color w:val="auto"/>
              </w:rPr>
            </w:pPr>
          </w:p>
        </w:tc>
        <w:tc>
          <w:tcPr>
            <w:tcW w:w="1160" w:type="dxa"/>
            <w:vAlign w:val="bottom"/>
            <w:vMerge w:val="restart"/>
          </w:tcPr>
          <w:p>
            <w:pPr>
              <w:jc w:val="center"/>
              <w:ind w:right="107"/>
              <w:spacing w:after="0"/>
              <w:rPr>
                <w:sz w:val="20"/>
                <w:szCs w:val="20"/>
                <w:color w:val="auto"/>
              </w:rPr>
            </w:pPr>
            <w:r>
              <w:rPr>
                <w:rFonts w:ascii="Arial" w:cs="Arial" w:eastAsia="Arial" w:hAnsi="Arial"/>
                <w:sz w:val="14"/>
                <w:szCs w:val="14"/>
                <w:b w:val="1"/>
                <w:bCs w:val="1"/>
                <w:color w:val="auto"/>
                <w:w w:val="93"/>
              </w:rPr>
              <w:t>Favorable</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40" w:type="dxa"/>
            <w:vAlign w:val="bottom"/>
            <w:tcBorders>
              <w:top w:val="single" w:sz="8" w:color="auto"/>
            </w:tcBorders>
          </w:tcPr>
          <w:p>
            <w:pPr>
              <w:spacing w:after="0"/>
              <w:rPr>
                <w:sz w:val="9"/>
                <w:szCs w:val="9"/>
                <w:color w:val="auto"/>
              </w:rPr>
            </w:pPr>
          </w:p>
        </w:tc>
        <w:tc>
          <w:tcPr>
            <w:tcW w:w="1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58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9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280" w:type="dxa"/>
            <w:vAlign w:val="bottom"/>
          </w:tcPr>
          <w:p>
            <w:pPr>
              <w:jc w:val="center"/>
              <w:ind w:right="208"/>
              <w:spacing w:after="0" w:line="53" w:lineRule="exact"/>
              <w:rPr>
                <w:sz w:val="20"/>
                <w:szCs w:val="20"/>
                <w:color w:val="auto"/>
              </w:rPr>
            </w:pPr>
            <w:r>
              <w:rPr>
                <w:rFonts w:ascii="Arial" w:cs="Arial" w:eastAsia="Arial" w:hAnsi="Arial"/>
                <w:sz w:val="6"/>
                <w:szCs w:val="6"/>
                <w:b w:val="1"/>
                <w:bCs w:val="1"/>
                <w:color w:val="auto"/>
              </w:rPr>
              <w:t>(Unfavorable)</w:t>
            </w:r>
          </w:p>
        </w:tc>
        <w:tc>
          <w:tcPr>
            <w:tcW w:w="1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160" w:type="dxa"/>
            <w:vAlign w:val="bottom"/>
          </w:tcPr>
          <w:p>
            <w:pPr>
              <w:jc w:val="center"/>
              <w:ind w:right="107"/>
              <w:spacing w:after="0" w:line="53" w:lineRule="exact"/>
              <w:rPr>
                <w:sz w:val="20"/>
                <w:szCs w:val="20"/>
                <w:color w:val="auto"/>
              </w:rPr>
            </w:pPr>
            <w:r>
              <w:rPr>
                <w:rFonts w:ascii="Arial" w:cs="Arial" w:eastAsia="Arial" w:hAnsi="Arial"/>
                <w:sz w:val="6"/>
                <w:szCs w:val="6"/>
                <w:b w:val="1"/>
                <w:bCs w:val="1"/>
                <w:color w:val="auto"/>
              </w:rPr>
              <w:t>(Unfavorable)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95"/>
              <w:spacing w:after="0"/>
              <w:rPr>
                <w:sz w:val="20"/>
                <w:szCs w:val="20"/>
                <w:color w:val="auto"/>
              </w:rPr>
            </w:pPr>
            <w:r>
              <w:rPr>
                <w:rFonts w:ascii="Arial" w:cs="Arial" w:eastAsia="Arial" w:hAnsi="Arial"/>
                <w:sz w:val="16"/>
                <w:szCs w:val="16"/>
                <w:b w:val="1"/>
                <w:bCs w:val="1"/>
                <w:color w:val="auto"/>
              </w:rPr>
              <w:t>2021</w:t>
            </w: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2020</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w w:val="89"/>
              </w:rPr>
              <w:t>Variance</w:t>
            </w: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2021</w:t>
            </w: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2020</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07"/>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60" w:type="dxa"/>
            <w:vAlign w:val="bottom"/>
            <w:gridSpan w:val="3"/>
          </w:tcPr>
          <w:p>
            <w:pPr>
              <w:jc w:val="right"/>
              <w:ind w:right="975"/>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30.8</w:t>
            </w:r>
          </w:p>
        </w:tc>
        <w:tc>
          <w:tcPr>
            <w:tcW w:w="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9.2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48"/>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93.4</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(108.6)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Income tax provision (benefit)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95"/>
              <w:spacing w:after="0"/>
              <w:rPr>
                <w:sz w:val="20"/>
                <w:szCs w:val="20"/>
                <w:color w:val="auto"/>
              </w:rPr>
            </w:pPr>
            <w:r>
              <w:rPr>
                <w:rFonts w:ascii="Arial" w:cs="Arial" w:eastAsia="Arial" w:hAnsi="Arial"/>
                <w:sz w:val="18"/>
                <w:szCs w:val="18"/>
                <w:color w:val="auto"/>
              </w:rPr>
              <w:t>7.7</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60" w:type="dxa"/>
            <w:vAlign w:val="bottom"/>
          </w:tcPr>
          <w:p>
            <w:pPr>
              <w:ind w:left="460"/>
              <w:spacing w:after="0"/>
              <w:rPr>
                <w:sz w:val="20"/>
                <w:szCs w:val="20"/>
                <w:color w:val="auto"/>
              </w:rPr>
            </w:pPr>
            <w:r>
              <w:rPr>
                <w:rFonts w:ascii="Arial" w:cs="Arial" w:eastAsia="Arial" w:hAnsi="Arial"/>
                <w:sz w:val="18"/>
                <w:szCs w:val="18"/>
                <w:color w:val="auto"/>
              </w:rPr>
              <w:t>(0.9)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08"/>
              <w:spacing w:after="0"/>
              <w:rPr>
                <w:sz w:val="20"/>
                <w:szCs w:val="20"/>
                <w:color w:val="auto"/>
              </w:rPr>
            </w:pPr>
            <w:r>
              <w:rPr>
                <w:rFonts w:ascii="Arial" w:cs="Arial" w:eastAsia="Arial" w:hAnsi="Arial"/>
                <w:sz w:val="18"/>
                <w:szCs w:val="18"/>
                <w:color w:val="auto"/>
              </w:rPr>
              <w:t>(8.5)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ind w:left="600"/>
              <w:spacing w:after="0"/>
              <w:rPr>
                <w:sz w:val="20"/>
                <w:szCs w:val="20"/>
                <w:color w:val="auto"/>
              </w:rPr>
            </w:pPr>
            <w:r>
              <w:rPr>
                <w:rFonts w:ascii="Arial" w:cs="Arial" w:eastAsia="Arial" w:hAnsi="Arial"/>
                <w:sz w:val="18"/>
                <w:szCs w:val="18"/>
                <w:color w:val="auto"/>
              </w:rPr>
              <w:t>15.4</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4"/>
              <w:spacing w:after="0"/>
              <w:rPr>
                <w:sz w:val="20"/>
                <w:szCs w:val="20"/>
                <w:color w:val="auto"/>
              </w:rPr>
            </w:pPr>
            <w:r>
              <w:rPr>
                <w:rFonts w:ascii="Arial" w:cs="Arial" w:eastAsia="Arial" w:hAnsi="Arial"/>
                <w:sz w:val="18"/>
                <w:szCs w:val="18"/>
                <w:color w:val="auto"/>
              </w:rPr>
              <w:t>(6.1)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ind w:left="56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24.9 %</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0"/>
              </w:rPr>
              <w:t>(9.5)%</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9"/>
              </w:rPr>
              <w:t>16.4 %</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1"/>
              </w:rPr>
              <w:t>(10.8)%</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right="240" w:firstLine="358"/>
        <w:spacing w:after="0" w:line="277" w:lineRule="auto"/>
        <w:rPr>
          <w:sz w:val="20"/>
          <w:szCs w:val="20"/>
          <w:color w:val="auto"/>
        </w:rPr>
      </w:pPr>
      <w:r>
        <w:rPr>
          <w:rFonts w:ascii="Arial" w:cs="Arial" w:eastAsia="Arial" w:hAnsi="Arial"/>
          <w:sz w:val="17"/>
          <w:szCs w:val="17"/>
          <w:color w:val="auto"/>
        </w:rPr>
        <w:t xml:space="preserve">Our income tax provision or benefit will vary from period to period in our normal course of business for two reasons: a change in income (loss) before income taxes and a change in the effective tax rate. Changes in our income (loss) before income taxes were addressed in the preceding sections of </w:t>
      </w:r>
      <w:r>
        <w:rPr>
          <w:rFonts w:ascii="Arial" w:cs="Arial" w:eastAsia="Arial" w:hAnsi="Arial"/>
          <w:sz w:val="17"/>
          <w:szCs w:val="17"/>
          <w:i w:val="1"/>
          <w:iCs w:val="1"/>
          <w:color w:val="auto"/>
        </w:rPr>
        <w:t>“Consolidated Results of Operations - Comparison of the Three and Nine Months Ended September, 2021 and 2020.”</w:t>
      </w:r>
    </w:p>
    <w:p>
      <w:pPr>
        <w:spacing w:after="0" w:line="131" w:lineRule="exact"/>
        <w:rPr>
          <w:sz w:val="20"/>
          <w:szCs w:val="20"/>
          <w:color w:val="auto"/>
        </w:rPr>
      </w:pPr>
    </w:p>
    <w:p>
      <w:pPr>
        <w:ind w:right="40" w:firstLine="358"/>
        <w:spacing w:after="0" w:line="312" w:lineRule="auto"/>
        <w:rPr>
          <w:sz w:val="20"/>
          <w:szCs w:val="20"/>
          <w:color w:val="auto"/>
        </w:rPr>
      </w:pPr>
      <w:r>
        <w:rPr>
          <w:rFonts w:ascii="Arial" w:cs="Arial" w:eastAsia="Arial" w:hAnsi="Arial"/>
          <w:sz w:val="15"/>
          <w:szCs w:val="15"/>
          <w:color w:val="auto"/>
        </w:rPr>
        <w:t>Our effective tax rate for the three months ended September 30, 2021 was significantly different than the rate of the prior comparable period primarily due to the release of unrecognized tax benefits in the third quarter of 2020. Our effective tax rate for the nine months ended September 30, 2021 was significantly different than the rate of the prior comparable period and the statutory federal tax rate of 21% primarily due to the one-time recognition of excess tax benefits on stock-based compensation related to the departure of our previous chief executive officer in the first quarter of 2021 and the impairment of goodwill in the second quarter of 2020, which was not deductible for income tax purposes and therefore had no associated tax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0" w:lineRule="exact"/>
        <w:rPr>
          <w:sz w:val="20"/>
          <w:szCs w:val="20"/>
          <w:color w:val="auto"/>
        </w:rPr>
      </w:pPr>
    </w:p>
    <w:p>
      <w:pPr>
        <w:ind w:right="140" w:firstLine="362"/>
        <w:spacing w:after="0" w:line="312" w:lineRule="auto"/>
        <w:rPr>
          <w:sz w:val="20"/>
          <w:szCs w:val="20"/>
          <w:color w:val="auto"/>
        </w:rPr>
      </w:pPr>
      <w:r>
        <w:rPr>
          <w:rFonts w:ascii="Arial" w:cs="Arial" w:eastAsia="Arial" w:hAnsi="Arial"/>
          <w:sz w:val="15"/>
          <w:szCs w:val="15"/>
          <w:color w:val="auto"/>
        </w:rPr>
        <w:t>On June 5, 2019, Applebee’s Funding LLC and IHOP Funding LLC (the “Co-Issuers”), each a special purpose, wholly-owned indirect subsidiary of the Company, issued two tranches of fixed rate senior secured notes, the Series 2019-1 4.194% Fixed Rate Senior Secured Notes, Class A-2-I (“Class A-2-I Notes”) in an initial aggregate principal amount of $700 million and the Series 2019-1 4.723% Fixed Rate Senior Secured Notes, Class A-2-II (“Class A-2-II Notes”) in an initial aggregate principal amount of $600 million (the “Class A-2-II Notes” and, together with the Class A-2-I Notes, the “2019 Class A-2 Notes”). The 2019 Class A-2 Notes were issued pursuant to an offering exempt from registration under the Securities Act of 1933, as amended.</w:t>
      </w:r>
    </w:p>
    <w:p>
      <w:pPr>
        <w:spacing w:after="0" w:line="177" w:lineRule="exact"/>
        <w:rPr>
          <w:sz w:val="20"/>
          <w:szCs w:val="20"/>
          <w:color w:val="auto"/>
        </w:rPr>
      </w:pPr>
    </w:p>
    <w:p>
      <w:pPr>
        <w:ind w:right="100" w:firstLine="318"/>
        <w:spacing w:after="0" w:line="268" w:lineRule="auto"/>
        <w:rPr>
          <w:sz w:val="20"/>
          <w:szCs w:val="20"/>
          <w:color w:val="auto"/>
        </w:rPr>
      </w:pPr>
      <w:r>
        <w:rPr>
          <w:rFonts w:ascii="Arial" w:cs="Arial" w:eastAsia="Arial" w:hAnsi="Arial"/>
          <w:sz w:val="17"/>
          <w:szCs w:val="17"/>
          <w:color w:val="auto"/>
        </w:rPr>
        <w:t>The Co-Issuers also established a new revolving financing facility, the 2019-1 Variable Funding Senior Notes, Class A-1 (the “Credit Facility”) that allows for drawings up to $225 million of variable funding notes and the issuance of letters of credit. The 2019 Class A-2 Notes and the Credit Facility are referred to collectively herein as the “New Notes.” The New Notes were issued in a securitization transaction pursuant to which substantially all the domestic revenue-generating assets and domestic intellectual property held by the Co-Issuers and certain other special-purpose, wholly-owned indirect subsidiaries of the Company (the “Guarantors”) were pledged as collateral to secure the New Notes.</w:t>
      </w:r>
    </w:p>
    <w:p>
      <w:pPr>
        <w:spacing w:after="0" w:line="207" w:lineRule="exact"/>
        <w:rPr>
          <w:sz w:val="20"/>
          <w:szCs w:val="20"/>
          <w:color w:val="auto"/>
        </w:rPr>
      </w:pPr>
    </w:p>
    <w:p>
      <w:pPr>
        <w:ind w:right="60" w:firstLine="318"/>
        <w:spacing w:after="0" w:line="305" w:lineRule="auto"/>
        <w:rPr>
          <w:sz w:val="20"/>
          <w:szCs w:val="20"/>
          <w:color w:val="auto"/>
        </w:rPr>
      </w:pPr>
      <w:r>
        <w:rPr>
          <w:rFonts w:ascii="Arial" w:cs="Arial" w:eastAsia="Arial" w:hAnsi="Arial"/>
          <w:sz w:val="15"/>
          <w:szCs w:val="15"/>
          <w:color w:val="auto"/>
        </w:rPr>
        <w:t>While the 2019 Class A-2 Notes are outstanding, payment of principal and interest is required to be made on the 2019 Class A-2 Notes on a quarterly basis. The quarterly principal payment totaling $3.25 million on the 2019 Class A-2 Notes may be suspended when the leverage ratio for the Company and its subsidiaries is less than or equal to 5.25x. The leverage ratio is not a maintenance covenant and exceeding the leverage ratio of 5.25x does not violate any covenant related to the New Notes. The complete definitions of all calculation elements of the leverage ratio are contained in the Base Indenture, dated as of September 30, 2014, amended and restated as of June 5, 2019 (the “Base Indenture”), as supplemented by the related Series 2019-1 Supplement to the Base Indenture, dated June 5, 2019 (the “Series 2019-1 Supplement”), among the Co-Issuers and Citibank, N.A., as the trustee (in such capacity, the “Trustee”) and securities intermediary (the Base Indenture and the Series 2019-1 Supplement, collectively, the “Indenture”). In general, the leverage ratio is our indebtedness (as defined in the Indenture) divided by adjusted EBITDA (as defined in the Indenture) for the four preceding quarterly periods.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As of September 30, 2021, our leverage ratio was 4.36x. As a result, quarterly principal payments on the 2019 Class A-2 Notes are no longer required.</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The last required $3.25 million principal payment was made on September 7, 2021.</w:t>
      </w:r>
    </w:p>
    <w:p>
      <w:pPr>
        <w:spacing w:after="0" w:line="232"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The Company may voluntarily repay the 2019 Class A-2 Notes at any time; however, if we repay the 2019 Class A-2 Notes prior to certain dates we would be required to pay make-whole premiums. As of September 30, 2021, the make-whole premium associated with voluntary prepayment of the Class A-2-I Notes was approximately $15 million; this amount declines each quarter to zero in June 2022. As of September 30, 2021, the make-whole premium associated with voluntary prepayment of the Class A-2-II Notes was approximately $46 million; this amount declines each quarter to zero in June 2024. We would also be subject to a make-whole premium in the event of a mandatory prepayment required following a Rapid Amortization Event or certain asset dispositions. The mandatory make-whole premium requirements are considered derivatives embedded in the New Notes that must be bifurcated for separate valuation. We estimated the fair value of these derivatives to be immaterial as of September 30, 2021, based on the probability-weighted discounted cash flows associated with either event.</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Covenants and Restrictions</w:t>
      </w:r>
    </w:p>
    <w:p>
      <w:pPr>
        <w:spacing w:after="0" w:line="130" w:lineRule="exact"/>
        <w:rPr>
          <w:sz w:val="20"/>
          <w:szCs w:val="20"/>
          <w:color w:val="auto"/>
        </w:rPr>
      </w:pPr>
    </w:p>
    <w:p>
      <w:pPr>
        <w:ind w:right="60" w:firstLine="318"/>
        <w:spacing w:after="0" w:line="263" w:lineRule="auto"/>
        <w:rPr>
          <w:sz w:val="20"/>
          <w:szCs w:val="20"/>
          <w:color w:val="auto"/>
        </w:rPr>
      </w:pPr>
      <w:r>
        <w:rPr>
          <w:rFonts w:ascii="Arial" w:cs="Arial" w:eastAsia="Arial" w:hAnsi="Arial"/>
          <w:sz w:val="17"/>
          <w:szCs w:val="17"/>
          <w:color w:val="auto"/>
        </w:rPr>
        <w:t>The New Notes are subject to a series of covenants and restrictions customary for transactions of this type, including: (i) that the Co-Issuers maintain specified reserve accounts to be used to make required payments in respect of the New Notes, (ii) provisions relating to optional and mandatory prepayments, and the related payment of specified amounts, including specified call redemption premiums in the case of Class A-2 Notes under certain circumstances; (iii) certain indemnification payments in the event, among other things, the transfers of the assets pledged as collateral for the New Notes are in stated ways defective or ineffective and (iv) covenants relating to recordkeeping, access to information and similar matters. The New Notes are subject to customary rapid amortization events provided for in the Indenture, including events tied to failure of the Securitization Entities to maintain the stated debt service coverage ratio (“DSCR”), the sum of domestic retail sales for all restaurants being below certain levels on certain measurement dates, certain manager termination events, certain events of default and the failure to repay or refinance the Class A-2 Notes on the anticipated repayment dates. The New Notes are also subject to certain customary events of default, including events relating to non-payment of required interest, principal or other amounts due, failure of the Securitization Entities to maintain the stated DSCR, failure to comply with covenants within certain time frames, certain bankruptcy events, breaches of specified representations and warranties and certain judgments.</w:t>
      </w:r>
    </w:p>
    <w:p>
      <w:pPr>
        <w:spacing w:after="0" w:line="214" w:lineRule="exact"/>
        <w:rPr>
          <w:sz w:val="20"/>
          <w:szCs w:val="20"/>
          <w:color w:val="auto"/>
        </w:rPr>
      </w:pPr>
    </w:p>
    <w:p>
      <w:pPr>
        <w:ind w:right="20" w:firstLine="238"/>
        <w:spacing w:after="0" w:line="306" w:lineRule="auto"/>
        <w:rPr>
          <w:sz w:val="20"/>
          <w:szCs w:val="20"/>
          <w:color w:val="auto"/>
        </w:rPr>
      </w:pPr>
      <w:r>
        <w:rPr>
          <w:rFonts w:ascii="Arial" w:cs="Arial" w:eastAsia="Arial" w:hAnsi="Arial"/>
          <w:sz w:val="15"/>
          <w:szCs w:val="15"/>
          <w:color w:val="auto"/>
        </w:rPr>
        <w:t>In general, the DSCR ratio is Net Cash Flow (as defined in the Indenture) for the four quarters preceding the calculation date divided by the total debt service payments (as defined in the Indenture) of the preceding four quarters. The complete definitions of the DSCR and all calculation elements are contained in the Indenture. Failure to maintain a prescribed DSCR can trigger a Cash Flow Sweeping Event, A Rapid Amortization Event, a Manager Termination Event or a Default Event as described below. In a Cash Flow Sweeping Event, the Trustee is required to retain 50% of excess Cash Flow (as defined in the Indenture) in a restricted account. In a Rapid Amortization Event, all excess Cash Flow is retained and used to retire principal amounts of debt. In a Manager Termination Event, the Company may be replaced as manager of the assets securitized under the Indenture. In a Default Event, the outstanding principal amount and any accrued but unpaid interest can be called to become immediately due and payable. Key DSCRs are as follows:</w:t>
      </w:r>
    </w:p>
    <w:p>
      <w:pPr>
        <w:spacing w:after="0" w:line="183" w:lineRule="exact"/>
        <w:rPr>
          <w:sz w:val="20"/>
          <w:szCs w:val="20"/>
          <w:color w:val="auto"/>
        </w:rPr>
      </w:pPr>
    </w:p>
    <w:p>
      <w:pPr>
        <w:ind w:left="1280" w:hanging="320"/>
        <w:spacing w:after="0"/>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DSCR less than 1.75x - Cash Flow Sweeping Event</w:t>
      </w:r>
    </w:p>
    <w:p>
      <w:pPr>
        <w:spacing w:after="0" w:line="16" w:lineRule="exact"/>
        <w:rPr>
          <w:rFonts w:ascii="Arial" w:cs="Arial" w:eastAsia="Arial" w:hAnsi="Arial"/>
          <w:sz w:val="18"/>
          <w:szCs w:val="18"/>
          <w:color w:val="auto"/>
        </w:rPr>
      </w:pPr>
    </w:p>
    <w:p>
      <w:pPr>
        <w:ind w:left="1280" w:hanging="320"/>
        <w:spacing w:after="0"/>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DSCR less than 1.20x - Rapid Amortization Event</w:t>
      </w:r>
    </w:p>
    <w:p>
      <w:pPr>
        <w:spacing w:after="0" w:line="5" w:lineRule="exact"/>
        <w:rPr>
          <w:rFonts w:ascii="Arial" w:cs="Arial" w:eastAsia="Arial" w:hAnsi="Arial"/>
          <w:sz w:val="18"/>
          <w:szCs w:val="18"/>
          <w:color w:val="auto"/>
        </w:rPr>
      </w:pPr>
    </w:p>
    <w:p>
      <w:pPr>
        <w:ind w:left="1280" w:hanging="320"/>
        <w:spacing w:after="0"/>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Interest-only DSCR less than 1.20x - Manager Termination Event</w:t>
      </w:r>
    </w:p>
    <w:p>
      <w:pPr>
        <w:spacing w:after="0" w:line="5" w:lineRule="exact"/>
        <w:rPr>
          <w:rFonts w:ascii="Arial" w:cs="Arial" w:eastAsia="Arial" w:hAnsi="Arial"/>
          <w:sz w:val="18"/>
          <w:szCs w:val="18"/>
          <w:color w:val="auto"/>
        </w:rPr>
      </w:pPr>
    </w:p>
    <w:p>
      <w:pPr>
        <w:ind w:left="1280" w:hanging="320"/>
        <w:spacing w:after="0"/>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Interest-only DSCR less than 1.10x - Default Event</w:t>
      </w:r>
    </w:p>
    <w:p>
      <w:pPr>
        <w:spacing w:after="0" w:line="23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DSCR for the reporting period ended September 30, 2021 was approximately 4.8x.</w:t>
      </w:r>
    </w:p>
    <w:p>
      <w:pPr>
        <w:spacing w:after="0" w:line="244" w:lineRule="exact"/>
        <w:rPr>
          <w:sz w:val="20"/>
          <w:szCs w:val="20"/>
          <w:color w:val="auto"/>
        </w:rPr>
      </w:pPr>
    </w:p>
    <w:p>
      <w:pPr>
        <w:jc w:val="both"/>
        <w:ind w:right="60" w:firstLine="318"/>
        <w:spacing w:after="0" w:line="330" w:lineRule="auto"/>
        <w:rPr>
          <w:sz w:val="20"/>
          <w:szCs w:val="20"/>
          <w:color w:val="auto"/>
        </w:rPr>
      </w:pPr>
      <w:r>
        <w:rPr>
          <w:rFonts w:ascii="Arial" w:cs="Arial" w:eastAsia="Arial" w:hAnsi="Arial"/>
          <w:sz w:val="15"/>
          <w:szCs w:val="15"/>
          <w:color w:val="auto"/>
        </w:rPr>
        <w:t>During the second quarter of 2020, we voluntarily increased the interest reserve set aside for our securitized debt from the required $16.4 million to $32.8 million, which represented an estimated six months of interest and fees related to the 2019 Class A-2 Notes and the Credit Facility. In April 2021, we reduced the balance of the interest reserve to $16.4 million, the required three months of interest and fees related to the 2019 Class A-2 Notes and the Credit Facility.</w:t>
      </w:r>
    </w:p>
    <w:p>
      <w:pPr>
        <w:spacing w:after="0" w:line="15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Use of Credit Facilities</w:t>
      </w:r>
    </w:p>
    <w:p>
      <w:pPr>
        <w:spacing w:after="0" w:line="250"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In March 2020, the Co-Issuers drew down a total of $220.0 million from the Credit Facility. The $220.0 million borrowing was repaid on March 5, 2021. The current interest rate for borrowings under the Credit Facility is the three-month LIBOR rate plus 2.15% for 60% of the advances and the commercial paper funding rate of our conduit investor plus 2.15% for 40% of the advances. The weighted average interest rate on Credit Facility borrowings for the period outstanding during the nine months ended September 30, 2021 was 2.4%. There were no Credit Facility borrowings outstanding during the three months ended September 30, 2021.</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right="280" w:firstLine="318"/>
        <w:spacing w:after="0" w:line="255" w:lineRule="auto"/>
        <w:rPr>
          <w:sz w:val="20"/>
          <w:szCs w:val="20"/>
          <w:color w:val="auto"/>
        </w:rPr>
      </w:pPr>
      <w:r>
        <w:rPr>
          <w:rFonts w:ascii="Arial" w:cs="Arial" w:eastAsia="Arial" w:hAnsi="Arial"/>
          <w:sz w:val="18"/>
          <w:szCs w:val="18"/>
          <w:color w:val="auto"/>
        </w:rPr>
        <w:t>At September 30, 2021, there were no outstanding borrowings under the Credit Facility. At September 30, 2021, $3.3 million was pledged against the Credit Facility for outstanding letters of credit, leaving $221.7 million available for borrowing. The letters of credit are used primarily to satisfy insurance-related collateral requirements.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Allocation</w:t>
      </w:r>
    </w:p>
    <w:p>
      <w:pPr>
        <w:spacing w:after="0" w:line="244"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To maintain financial flexibility in light of the COVID-19 pandemic, we suspended our repurchasing of common stock and the declaration of dividends on our common stock after the first quarter of 2020. After evaluating repurchases of common stock and dividend payments on common stock within the context of our overall capital allocation strategy, giving consideration to our current and forecast earnings, financial condition, cash requirements and other factors, we will be reinstating repurchases of common stock under the 2019 Repurchase Program, approved by the Board of Directors in February 2019. As of September 30, 2021, $70.2 million of the $200 million remains available for repurchases. Additionally, on October 28, 2021, our Board of Directors declared a fourth quarter 2021 cash dividend of $0.40 per common share, payable to shareholders of record as of December 20, 2021 on January 7, 2022. This marks the first dividend the Board of Directors has declared since the first quarter of 2020.</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Dividends</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Dividends declared and paid per share for the three and nine months ended September 30, 2021 and 2020 were as follows:</w:t>
      </w:r>
    </w:p>
    <w:p>
      <w:pPr>
        <w:spacing w:after="0" w:line="257"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5260" w:type="dxa"/>
            <w:vAlign w:val="bottom"/>
          </w:tcPr>
          <w:p>
            <w:pPr>
              <w:spacing w:after="0"/>
              <w:rPr>
                <w:sz w:val="16"/>
                <w:szCs w:val="16"/>
                <w:color w:val="auto"/>
              </w:rPr>
            </w:pPr>
          </w:p>
        </w:tc>
        <w:tc>
          <w:tcPr>
            <w:tcW w:w="2700" w:type="dxa"/>
            <w:vAlign w:val="bottom"/>
            <w:gridSpan w:val="6"/>
          </w:tcPr>
          <w:p>
            <w:pPr>
              <w:ind w:left="340"/>
              <w:spacing w:after="0"/>
              <w:rPr>
                <w:sz w:val="20"/>
                <w:szCs w:val="20"/>
                <w:color w:val="auto"/>
              </w:rPr>
            </w:pPr>
            <w:r>
              <w:rPr>
                <w:rFonts w:ascii="Arial" w:cs="Arial" w:eastAsia="Arial" w:hAnsi="Arial"/>
                <w:sz w:val="16"/>
                <w:szCs w:val="16"/>
                <w:b w:val="1"/>
                <w:bCs w:val="1"/>
                <w:color w:val="auto"/>
                <w:w w:val="95"/>
              </w:rPr>
              <w:t>Three months ended September</w:t>
            </w:r>
          </w:p>
        </w:tc>
        <w:tc>
          <w:tcPr>
            <w:tcW w:w="2560" w:type="dxa"/>
            <w:vAlign w:val="bottom"/>
            <w:gridSpan w:val="5"/>
          </w:tcPr>
          <w:p>
            <w:pPr>
              <w:jc w:val="right"/>
              <w:spacing w:after="0"/>
              <w:rPr>
                <w:sz w:val="20"/>
                <w:szCs w:val="20"/>
                <w:color w:val="auto"/>
              </w:rPr>
            </w:pPr>
            <w:r>
              <w:rPr>
                <w:rFonts w:ascii="Arial" w:cs="Arial" w:eastAsia="Arial" w:hAnsi="Arial"/>
                <w:sz w:val="16"/>
                <w:szCs w:val="16"/>
                <w:b w:val="1"/>
                <w:bCs w:val="1"/>
                <w:color w:val="auto"/>
              </w:rPr>
              <w:t>Nine months ended September</w:t>
            </w:r>
          </w:p>
        </w:tc>
      </w:tr>
      <w:tr>
        <w:trPr>
          <w:trHeight w:val="210"/>
        </w:trPr>
        <w:tc>
          <w:tcPr>
            <w:tcW w:w="526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30,</w:t>
            </w:r>
          </w:p>
        </w:tc>
        <w:tc>
          <w:tcPr>
            <w:tcW w:w="6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6"/>
                <w:szCs w:val="16"/>
                <w:b w:val="1"/>
                <w:bCs w:val="1"/>
                <w:color w:val="auto"/>
                <w:w w:val="98"/>
              </w:rPr>
              <w:t>30,</w:t>
            </w:r>
          </w:p>
        </w:tc>
        <w:tc>
          <w:tcPr>
            <w:tcW w:w="760" w:type="dxa"/>
            <w:vAlign w:val="bottom"/>
            <w:tcBorders>
              <w:bottom w:val="single" w:sz="8" w:color="auto"/>
            </w:tcBorders>
          </w:tcPr>
          <w:p>
            <w:pPr>
              <w:spacing w:after="0"/>
              <w:rPr>
                <w:sz w:val="18"/>
                <w:szCs w:val="18"/>
                <w:color w:val="auto"/>
              </w:rPr>
            </w:pPr>
          </w:p>
        </w:tc>
      </w:tr>
      <w:tr>
        <w:trPr>
          <w:trHeight w:val="205"/>
        </w:trPr>
        <w:tc>
          <w:tcPr>
            <w:tcW w:w="526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center"/>
              <w:ind w:left="156"/>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center"/>
              <w:ind w:left="95"/>
              <w:spacing w:after="0"/>
              <w:rPr>
                <w:sz w:val="20"/>
                <w:szCs w:val="20"/>
                <w:color w:val="auto"/>
              </w:rPr>
            </w:pPr>
            <w:r>
              <w:rPr>
                <w:rFonts w:ascii="Arial" w:cs="Arial" w:eastAsia="Arial" w:hAnsi="Arial"/>
                <w:sz w:val="16"/>
                <w:szCs w:val="16"/>
                <w:b w:val="1"/>
                <w:bCs w:val="1"/>
                <w:color w:val="auto"/>
                <w:w w:val="89"/>
              </w:rPr>
              <w:t>2020</w:t>
            </w:r>
          </w:p>
        </w:tc>
        <w:tc>
          <w:tcPr>
            <w:tcW w:w="16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5"/>
              <w:spacing w:after="0"/>
              <w:rPr>
                <w:sz w:val="20"/>
                <w:szCs w:val="20"/>
                <w:color w:val="auto"/>
              </w:rPr>
            </w:pPr>
            <w:r>
              <w:rPr>
                <w:rFonts w:ascii="Arial" w:cs="Arial" w:eastAsia="Arial" w:hAnsi="Arial"/>
                <w:sz w:val="16"/>
                <w:szCs w:val="16"/>
                <w:b w:val="1"/>
                <w:bCs w:val="1"/>
                <w:color w:val="auto"/>
              </w:rPr>
              <w:t>2020</w:t>
            </w:r>
          </w:p>
        </w:tc>
      </w:tr>
      <w:tr>
        <w:trPr>
          <w:trHeight w:val="221"/>
        </w:trPr>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Dividends declared per common share</w:t>
            </w:r>
          </w:p>
        </w:tc>
        <w:tc>
          <w:tcPr>
            <w:tcW w:w="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center"/>
              <w:ind w:left="7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w:t>
            </w:r>
          </w:p>
        </w:tc>
      </w:tr>
      <w:tr>
        <w:trPr>
          <w:trHeight w:val="224"/>
        </w:trPr>
        <w:tc>
          <w:tcPr>
            <w:tcW w:w="5260" w:type="dxa"/>
            <w:vAlign w:val="bottom"/>
          </w:tcPr>
          <w:p>
            <w:pPr>
              <w:ind w:left="340"/>
              <w:spacing w:after="0"/>
              <w:rPr>
                <w:sz w:val="20"/>
                <w:szCs w:val="20"/>
                <w:color w:val="auto"/>
              </w:rPr>
            </w:pPr>
            <w:r>
              <w:rPr>
                <w:rFonts w:ascii="Arial" w:cs="Arial" w:eastAsia="Arial" w:hAnsi="Arial"/>
                <w:sz w:val="18"/>
                <w:szCs w:val="18"/>
                <w:color w:val="auto"/>
              </w:rPr>
              <w:t>Dividends paid per common share</w:t>
            </w:r>
          </w:p>
        </w:tc>
        <w:tc>
          <w:tcPr>
            <w:tcW w:w="680" w:type="dxa"/>
            <w:vAlign w:val="bottom"/>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center"/>
              <w:ind w:left="7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1.45</w:t>
            </w:r>
          </w:p>
        </w:tc>
      </w:tr>
    </w:tbl>
    <w:p>
      <w:pPr>
        <w:spacing w:after="0" w:line="320"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Stock Repurchases</w:t>
      </w:r>
    </w:p>
    <w:p>
      <w:pPr>
        <w:spacing w:after="0" w:line="230" w:lineRule="exact"/>
        <w:rPr>
          <w:sz w:val="20"/>
          <w:szCs w:val="20"/>
          <w:color w:val="auto"/>
        </w:rPr>
      </w:pPr>
    </w:p>
    <w:p>
      <w:pPr>
        <w:ind w:firstLine="318"/>
        <w:spacing w:after="0" w:line="237" w:lineRule="auto"/>
        <w:rPr>
          <w:sz w:val="20"/>
          <w:szCs w:val="20"/>
          <w:color w:val="auto"/>
        </w:rPr>
      </w:pPr>
      <w:r>
        <w:rPr>
          <w:rFonts w:ascii="Arial" w:cs="Arial" w:eastAsia="Arial" w:hAnsi="Arial"/>
          <w:sz w:val="18"/>
          <w:szCs w:val="18"/>
          <w:color w:val="auto"/>
        </w:rPr>
        <w:t>We did not repurchase any shares of common stock during three and nine months ended September 30, 2021. We did not repurchase any shares during the three months ended September 30, 2020 and repurchased 459,899 shares during the nine months ended September 30, 2020. As of September 30, 2021, cumulative repurchases of stock total 1,697,597 shares at a cost of $129.8 million, with $70.2 million remaining for repurchase under the 2019 Repurchase Program.</w:t>
      </w:r>
    </w:p>
    <w:p>
      <w:pPr>
        <w:spacing w:after="0" w:line="216" w:lineRule="exact"/>
        <w:rPr>
          <w:sz w:val="20"/>
          <w:szCs w:val="20"/>
          <w:color w:val="auto"/>
        </w:rPr>
      </w:pPr>
    </w:p>
    <w:p>
      <w:pPr>
        <w:ind w:right="200" w:firstLine="318"/>
        <w:spacing w:after="0" w:line="239" w:lineRule="auto"/>
        <w:rPr>
          <w:sz w:val="20"/>
          <w:szCs w:val="20"/>
          <w:color w:val="auto"/>
        </w:rPr>
      </w:pPr>
      <w:r>
        <w:rPr>
          <w:rFonts w:ascii="Arial" w:cs="Arial" w:eastAsia="Arial" w:hAnsi="Arial"/>
          <w:sz w:val="18"/>
          <w:szCs w:val="18"/>
          <w:color w:val="auto"/>
        </w:rPr>
        <w:t>From time to time, we also repurchase shares owned and tendered by employees to satisfy tax withholding obligations on the vesting of restricted stock awards. Shares are deemed purchased at the closing price of our common stock on the vesting date. See Part II, Item 2 for detail on this stock repurchase activity during the third quarter of 2021.</w:t>
      </w:r>
    </w:p>
    <w:p>
      <w:pPr>
        <w:spacing w:after="0" w:line="21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Cash Flows</w:t>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summary, our cash flows for the nine months ended September 30, 2021 and September 30, 2020 were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440" w:type="dxa"/>
            <w:vAlign w:val="bottom"/>
          </w:tcPr>
          <w:p>
            <w:pPr>
              <w:spacing w:after="0"/>
              <w:rPr>
                <w:sz w:val="18"/>
                <w:szCs w:val="18"/>
                <w:color w:val="auto"/>
              </w:rPr>
            </w:pPr>
          </w:p>
        </w:tc>
        <w:tc>
          <w:tcPr>
            <w:tcW w:w="3140" w:type="dxa"/>
            <w:vAlign w:val="bottom"/>
            <w:gridSpan w:val="6"/>
          </w:tcPr>
          <w:p>
            <w:pPr>
              <w:ind w:left="360"/>
              <w:spacing w:after="0"/>
              <w:rPr>
                <w:sz w:val="20"/>
                <w:szCs w:val="20"/>
                <w:color w:val="auto"/>
              </w:rPr>
            </w:pPr>
            <w:r>
              <w:rPr>
                <w:rFonts w:ascii="Arial" w:cs="Arial" w:eastAsia="Arial" w:hAnsi="Arial"/>
                <w:sz w:val="16"/>
                <w:szCs w:val="16"/>
                <w:b w:val="1"/>
                <w:bCs w:val="1"/>
                <w:color w:val="auto"/>
              </w:rPr>
              <w:t>Nine months ended September 30,</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8"/>
        </w:trPr>
        <w:tc>
          <w:tcPr>
            <w:tcW w:w="644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Variance</w:t>
            </w:r>
          </w:p>
        </w:tc>
      </w:tr>
      <w:tr>
        <w:trPr>
          <w:trHeight w:val="180"/>
        </w:trPr>
        <w:tc>
          <w:tcPr>
            <w:tcW w:w="6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2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r>
      <w:tr>
        <w:trPr>
          <w:trHeight w:val="225"/>
        </w:trPr>
        <w:tc>
          <w:tcPr>
            <w:tcW w:w="6440" w:type="dxa"/>
            <w:vAlign w:val="bottom"/>
          </w:tcPr>
          <w:p>
            <w:pPr>
              <w:ind w:left="20"/>
              <w:spacing w:after="0"/>
              <w:rPr>
                <w:sz w:val="20"/>
                <w:szCs w:val="20"/>
                <w:color w:val="auto"/>
              </w:rPr>
            </w:pPr>
            <w:r>
              <w:rPr>
                <w:rFonts w:ascii="Arial" w:cs="Arial" w:eastAsia="Arial" w:hAnsi="Arial"/>
                <w:sz w:val="18"/>
                <w:szCs w:val="18"/>
                <w:color w:val="auto"/>
              </w:rPr>
              <w:t>Net cash provided by investing activities</w:t>
            </w: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5"/>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9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(223.8)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(398.9)</w:t>
            </w:r>
          </w:p>
        </w:tc>
      </w:tr>
      <w:tr>
        <w:trPr>
          <w:trHeight w:val="219"/>
        </w:trPr>
        <w:tc>
          <w:tcPr>
            <w:tcW w:w="6440" w:type="dxa"/>
            <w:vAlign w:val="bottom"/>
          </w:tcPr>
          <w:p>
            <w:pPr>
              <w:ind w:left="2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900" w:type="dxa"/>
            <w:vAlign w:val="bottom"/>
            <w:tcBorders>
              <w:bottom w:val="single" w:sz="8" w:color="auto"/>
            </w:tcBorders>
          </w:tcPr>
          <w:p>
            <w:pPr>
              <w:jc w:val="right"/>
              <w:ind w:right="71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(287.9)</w:t>
            </w:r>
          </w:p>
        </w:tc>
      </w:tr>
      <w:tr>
        <w:trPr>
          <w:trHeight w:val="20"/>
        </w:trPr>
        <w:tc>
          <w:tcPr>
            <w:tcW w:w="64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Operating Activities</w:t>
      </w:r>
    </w:p>
    <w:p>
      <w:pPr>
        <w:spacing w:after="0" w:line="244" w:lineRule="exact"/>
        <w:rPr>
          <w:sz w:val="20"/>
          <w:szCs w:val="20"/>
          <w:color w:val="auto"/>
        </w:rPr>
      </w:pPr>
    </w:p>
    <w:p>
      <w:pPr>
        <w:ind w:firstLine="318"/>
        <w:spacing w:after="0" w:line="267" w:lineRule="auto"/>
        <w:rPr>
          <w:sz w:val="20"/>
          <w:szCs w:val="20"/>
          <w:color w:val="auto"/>
        </w:rPr>
      </w:pPr>
      <w:r>
        <w:rPr>
          <w:rFonts w:ascii="Arial" w:cs="Arial" w:eastAsia="Arial" w:hAnsi="Arial"/>
          <w:sz w:val="17"/>
          <w:szCs w:val="17"/>
          <w:color w:val="auto"/>
        </w:rPr>
        <w:t>Cash provided by operating activities increased $108.9 million during the nine months ended September 30, 2021 compared to the same period of the prior year. Our net income plus the non-cash reconciling items shown in our statements of cash flows (primarily closure and impairment charges, depreciation, deferred taxes and stock-based compensation) increased $13.6 million from 2020. This was primarily due to an increase in gross profit, partially offset by an increase in G&amp;A expenses, and the recognition of excess tax benefits on stock-based compensation, each of which was discussed in preceding sections of the MD&amp;A. Net changes in working capital provided cash of $43.8 million during the nine months ended September 30, 2021 compared to using cash of $51.5 million during the same period of the prior year, a favorable change of $95.3 million. The</w:t>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47" w:name="page48"/>
    <w:bookmarkEnd w:id="4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80"/>
        <w:spacing w:after="0" w:line="309" w:lineRule="auto"/>
        <w:rPr>
          <w:sz w:val="20"/>
          <w:szCs w:val="20"/>
          <w:color w:val="auto"/>
        </w:rPr>
      </w:pPr>
      <w:r>
        <w:rPr>
          <w:rFonts w:ascii="Arial" w:cs="Arial" w:eastAsia="Arial" w:hAnsi="Arial"/>
          <w:sz w:val="15"/>
          <w:szCs w:val="15"/>
          <w:color w:val="auto"/>
        </w:rPr>
        <w:t>favorable change in working capital was primarily due to an increase in cash from trade receivables, a favorable change in taxes payable, an increase in accrued employee compensation and benefits and the timing of marketing disbursements. As discussed under “</w:t>
      </w:r>
      <w:r>
        <w:rPr>
          <w:rFonts w:ascii="Arial" w:cs="Arial" w:eastAsia="Arial" w:hAnsi="Arial"/>
          <w:sz w:val="15"/>
          <w:szCs w:val="15"/>
          <w:i w:val="1"/>
          <w:iCs w:val="1"/>
          <w:color w:val="auto"/>
        </w:rPr>
        <w:t>Update on COVID-19 Pandemic Actions,</w:t>
      </w:r>
      <w:r>
        <w:rPr>
          <w:rFonts w:ascii="Arial" w:cs="Arial" w:eastAsia="Arial" w:hAnsi="Arial"/>
          <w:sz w:val="15"/>
          <w:szCs w:val="15"/>
          <w:color w:val="auto"/>
        </w:rPr>
        <w:t>” during the first nine months ended September 30, 2020, we allowed our Applebee's and IHOP franchisees to defer approximately $58 million of payments for royalty, advertising and other fees, adversely impacting our net change in working capital for that period. During the nine months ended September 30, 2021, we collected approximately $29 million in repayments of those deferrals. Taxes had a negative impact on cash from operating activities during the nine months ended September 30, 2020 due to the non-deductibilty of certain impairment charges recorded in that period.</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Investing Activities</w:t>
      </w:r>
    </w:p>
    <w:p>
      <w:pPr>
        <w:spacing w:after="0" w:line="217" w:lineRule="exact"/>
        <w:rPr>
          <w:sz w:val="20"/>
          <w:szCs w:val="20"/>
          <w:color w:val="auto"/>
        </w:rPr>
      </w:pPr>
    </w:p>
    <w:p>
      <w:pPr>
        <w:ind w:right="60" w:firstLine="318"/>
        <w:spacing w:after="0" w:line="318" w:lineRule="auto"/>
        <w:rPr>
          <w:sz w:val="20"/>
          <w:szCs w:val="20"/>
          <w:color w:val="auto"/>
        </w:rPr>
      </w:pPr>
      <w:r>
        <w:rPr>
          <w:rFonts w:ascii="Arial" w:cs="Arial" w:eastAsia="Arial" w:hAnsi="Arial"/>
          <w:sz w:val="15"/>
          <w:szCs w:val="15"/>
          <w:color w:val="auto"/>
        </w:rPr>
        <w:t>Investing activities provided net cash of $7.5 million for the nine months ended September 30, 2021. Principal receipts from notes, equipment contracts and other long-term receivables of $14.8 million and proceeds from asset sales of $0.9 million were partially offset by capital expenditures of $7.9 million. Investing activities provided net cash of $5.3 million for the nine months ended September 30, 2020. The variance between the two periods primarily was due to decreases in capital expenditures and loans to franchisees during the nine months ended September 30, 2021 compared to the same period of the prior year.</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Financing Activities</w:t>
      </w:r>
    </w:p>
    <w:p>
      <w:pPr>
        <w:spacing w:after="0" w:line="217" w:lineRule="exact"/>
        <w:rPr>
          <w:sz w:val="20"/>
          <w:szCs w:val="20"/>
          <w:color w:val="auto"/>
        </w:rPr>
      </w:pPr>
    </w:p>
    <w:p>
      <w:pPr>
        <w:ind w:right="100" w:firstLine="318"/>
        <w:spacing w:after="0" w:line="252" w:lineRule="auto"/>
        <w:rPr>
          <w:sz w:val="20"/>
          <w:szCs w:val="20"/>
          <w:color w:val="auto"/>
        </w:rPr>
      </w:pPr>
      <w:r>
        <w:rPr>
          <w:rFonts w:ascii="Arial" w:cs="Arial" w:eastAsia="Arial" w:hAnsi="Arial"/>
          <w:sz w:val="18"/>
          <w:szCs w:val="18"/>
          <w:color w:val="auto"/>
        </w:rPr>
        <w:t>Financing activities used net cash of $223.8 million for the nine months ended September 30, 2021. As discussed above under “</w:t>
      </w:r>
      <w:r>
        <w:rPr>
          <w:rFonts w:ascii="Arial" w:cs="Arial" w:eastAsia="Arial" w:hAnsi="Arial"/>
          <w:sz w:val="18"/>
          <w:szCs w:val="18"/>
          <w:i w:val="1"/>
          <w:iCs w:val="1"/>
          <w:color w:val="auto"/>
        </w:rPr>
        <w:t>Use of Credit Facilities</w:t>
      </w:r>
      <w:r>
        <w:rPr>
          <w:rFonts w:ascii="Arial" w:cs="Arial" w:eastAsia="Arial" w:hAnsi="Arial"/>
          <w:sz w:val="18"/>
          <w:szCs w:val="18"/>
          <w:color w:val="auto"/>
        </w:rPr>
        <w:t>,” we repaid $220.0 million borrowed from our Credit Facility. We also made payments totaling $17.5 million on long-term debt and capital lease obligations and paid $9.8 million for taxes withheld for vesting of restricted stock units. We had a net cash inflow of approximately $23.5 million related to equity compensation awards</w:t>
      </w:r>
      <w:r>
        <w:rPr>
          <w:rFonts w:ascii="Arial" w:cs="Arial" w:eastAsia="Arial" w:hAnsi="Arial"/>
          <w:sz w:val="14"/>
          <w:szCs w:val="14"/>
          <w:color w:val="auto"/>
        </w:rPr>
        <w:t>.</w:t>
      </w:r>
    </w:p>
    <w:p>
      <w:pPr>
        <w:spacing w:after="0" w:line="217" w:lineRule="exact"/>
        <w:rPr>
          <w:sz w:val="20"/>
          <w:szCs w:val="20"/>
          <w:color w:val="auto"/>
        </w:rPr>
      </w:pPr>
    </w:p>
    <w:p>
      <w:pPr>
        <w:jc w:val="center"/>
        <w:spacing w:after="0" w:line="318" w:lineRule="auto"/>
        <w:rPr>
          <w:sz w:val="20"/>
          <w:szCs w:val="20"/>
          <w:color w:val="auto"/>
        </w:rPr>
      </w:pPr>
      <w:r>
        <w:rPr>
          <w:rFonts w:ascii="Arial" w:cs="Arial" w:eastAsia="Arial" w:hAnsi="Arial"/>
          <w:sz w:val="15"/>
          <w:szCs w:val="15"/>
          <w:color w:val="auto"/>
        </w:rPr>
        <w:t>Financing activities provided net cash of $175.1 million for the nine months ended September 30, 2020, primarily due to borrowing of $220.0 million from our Credit Facility to increase our financial flexibility in light of current market conditions and uncertainty due to the COVID-19 outbreak. We also had a net cash inflow of approximately $17.9 million related to equity compensation awards</w:t>
      </w:r>
      <w:r>
        <w:rPr>
          <w:rFonts w:ascii="Arial" w:cs="Arial" w:eastAsia="Arial" w:hAnsi="Arial"/>
          <w:sz w:val="12"/>
          <w:szCs w:val="12"/>
          <w:color w:val="auto"/>
        </w:rPr>
        <w:t>.</w:t>
      </w:r>
      <w:r>
        <w:rPr>
          <w:rFonts w:ascii="Arial" w:cs="Arial" w:eastAsia="Arial" w:hAnsi="Arial"/>
          <w:sz w:val="15"/>
          <w:szCs w:val="15"/>
          <w:color w:val="auto"/>
        </w:rPr>
        <w:t xml:space="preserve"> These financing inflows were partially offset by cash dividends paid on our common stock totaling $23.9 million, repurchases of our common stock totaling $29.9 million and repayments of finance lease obligations of $9.0 million.</w:t>
      </w:r>
    </w:p>
    <w:p>
      <w:pPr>
        <w:spacing w:after="0" w:line="200" w:lineRule="exact"/>
        <w:rPr>
          <w:sz w:val="20"/>
          <w:szCs w:val="20"/>
          <w:color w:val="auto"/>
        </w:rPr>
      </w:pPr>
    </w:p>
    <w:p>
      <w:pPr>
        <w:spacing w:after="0" w:line="211"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Cash and Cash Equivalents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total cash balances as of September 30, 2021 and December 31, 2020 were are follows:</w:t>
      </w:r>
    </w:p>
    <w:p>
      <w:pPr>
        <w:spacing w:after="0" w:line="35" w:lineRule="exact"/>
        <w:rPr>
          <w:sz w:val="20"/>
          <w:szCs w:val="20"/>
          <w:color w:val="auto"/>
        </w:rPr>
      </w:pPr>
    </w:p>
    <w:tbl>
      <w:tblPr>
        <w:tblLayout w:type="fixed"/>
        <w:tblInd w:w="660" w:type="dxa"/>
        <w:tblCellMar>
          <w:top w:w="0" w:type="dxa"/>
          <w:left w:w="0" w:type="dxa"/>
          <w:bottom w:w="0" w:type="dxa"/>
          <w:right w:w="0" w:type="dxa"/>
        </w:tblCellMar>
      </w:tblPr>
      <w:tr>
        <w:trPr>
          <w:trHeight w:val="189"/>
        </w:trPr>
        <w:tc>
          <w:tcPr>
            <w:tcW w:w="58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September 30, 2021</w:t>
            </w:r>
          </w:p>
        </w:tc>
        <w:tc>
          <w:tcPr>
            <w:tcW w:w="5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1"/>
              </w:rPr>
              <w:t>December 31, 2020</w:t>
            </w:r>
          </w:p>
        </w:tc>
      </w:tr>
      <w:tr>
        <w:trPr>
          <w:trHeight w:val="183"/>
        </w:trPr>
        <w:tc>
          <w:tcPr>
            <w:tcW w:w="5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1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460" w:type="dxa"/>
            <w:vAlign w:val="bottom"/>
          </w:tcPr>
          <w:p>
            <w:pPr>
              <w:spacing w:after="0"/>
              <w:rPr>
                <w:sz w:val="15"/>
                <w:szCs w:val="15"/>
                <w:color w:val="auto"/>
              </w:rPr>
            </w:pPr>
          </w:p>
        </w:tc>
      </w:tr>
      <w:tr>
        <w:trPr>
          <w:trHeight w:val="226"/>
        </w:trPr>
        <w:tc>
          <w:tcPr>
            <w:tcW w:w="58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304.2</w:t>
            </w:r>
          </w:p>
        </w:tc>
        <w:tc>
          <w:tcPr>
            <w:tcW w:w="100" w:type="dxa"/>
            <w:vAlign w:val="bottom"/>
          </w:tcPr>
          <w:p>
            <w:pPr>
              <w:spacing w:after="0"/>
              <w:rPr>
                <w:sz w:val="19"/>
                <w:szCs w:val="19"/>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383.4</w:t>
            </w:r>
          </w:p>
        </w:tc>
      </w:tr>
      <w:tr>
        <w:trPr>
          <w:trHeight w:val="225"/>
        </w:trPr>
        <w:tc>
          <w:tcPr>
            <w:tcW w:w="5820" w:type="dxa"/>
            <w:vAlign w:val="bottom"/>
          </w:tcPr>
          <w:p>
            <w:pPr>
              <w:spacing w:after="0"/>
              <w:rPr>
                <w:sz w:val="20"/>
                <w:szCs w:val="20"/>
                <w:color w:val="auto"/>
              </w:rPr>
            </w:pPr>
            <w:r>
              <w:rPr>
                <w:rFonts w:ascii="Arial" w:cs="Arial" w:eastAsia="Arial" w:hAnsi="Arial"/>
                <w:sz w:val="18"/>
                <w:szCs w:val="18"/>
                <w:color w:val="auto"/>
              </w:rPr>
              <w:t>Restricted cash, current</w:t>
            </w:r>
          </w:p>
        </w:tc>
        <w:tc>
          <w:tcPr>
            <w:tcW w:w="5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39.9</w:t>
            </w:r>
          </w:p>
        </w:tc>
      </w:tr>
      <w:tr>
        <w:trPr>
          <w:trHeight w:val="226"/>
        </w:trPr>
        <w:tc>
          <w:tcPr>
            <w:tcW w:w="5820" w:type="dxa"/>
            <w:vAlign w:val="bottom"/>
          </w:tcPr>
          <w:p>
            <w:pPr>
              <w:spacing w:after="0"/>
              <w:rPr>
                <w:sz w:val="20"/>
                <w:szCs w:val="20"/>
                <w:color w:val="auto"/>
              </w:rPr>
            </w:pPr>
            <w:r>
              <w:rPr>
                <w:rFonts w:ascii="Arial" w:cs="Arial" w:eastAsia="Arial" w:hAnsi="Arial"/>
                <w:sz w:val="18"/>
                <w:szCs w:val="18"/>
                <w:color w:val="auto"/>
              </w:rPr>
              <w:t>Restricted cash, non-current</w:t>
            </w:r>
          </w:p>
        </w:tc>
        <w:tc>
          <w:tcPr>
            <w:tcW w:w="5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r>
      <w:tr>
        <w:trPr>
          <w:trHeight w:val="219"/>
        </w:trPr>
        <w:tc>
          <w:tcPr>
            <w:tcW w:w="5820" w:type="dxa"/>
            <w:vAlign w:val="bottom"/>
          </w:tcPr>
          <w:p>
            <w:pPr>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385.3</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456.1</w:t>
            </w:r>
          </w:p>
        </w:tc>
      </w:tr>
      <w:tr>
        <w:trPr>
          <w:trHeight w:val="20"/>
        </w:trPr>
        <w:tc>
          <w:tcPr>
            <w:tcW w:w="58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Cash and cash equivalents include $50.7 million and $71.6 million of cash held for gift card programs and advertising funds as of September 30, 2021 and December 31, 2020, respectively. The decrease in cash and cash equivalents between December 31, 2020 and September 30, 2021 was due to the repayment of $220.0 million discussed above under “</w:t>
      </w:r>
      <w:r>
        <w:rPr>
          <w:rFonts w:ascii="Arial" w:cs="Arial" w:eastAsia="Arial" w:hAnsi="Arial"/>
          <w:sz w:val="18"/>
          <w:szCs w:val="18"/>
          <w:i w:val="1"/>
          <w:iCs w:val="1"/>
          <w:color w:val="auto"/>
        </w:rPr>
        <w:t>Use of Credit Facilities</w:t>
      </w:r>
      <w:r>
        <w:rPr>
          <w:rFonts w:ascii="Arial" w:cs="Arial" w:eastAsia="Arial" w:hAnsi="Arial"/>
          <w:sz w:val="18"/>
          <w:szCs w:val="18"/>
          <w:color w:val="auto"/>
        </w:rPr>
        <w:t>,” offset by cash provided by operating activities during the nine months ended September 30, 2021.</w:t>
      </w:r>
    </w:p>
    <w:p>
      <w:pPr>
        <w:spacing w:after="0" w:line="217" w:lineRule="exact"/>
        <w:rPr>
          <w:sz w:val="20"/>
          <w:szCs w:val="20"/>
          <w:color w:val="auto"/>
        </w:rPr>
      </w:pPr>
    </w:p>
    <w:p>
      <w:pPr>
        <w:ind w:right="280" w:firstLine="318"/>
        <w:spacing w:after="0" w:line="264" w:lineRule="auto"/>
        <w:rPr>
          <w:sz w:val="20"/>
          <w:szCs w:val="20"/>
          <w:color w:val="auto"/>
        </w:rPr>
      </w:pPr>
      <w:r>
        <w:rPr>
          <w:rFonts w:ascii="Arial" w:cs="Arial" w:eastAsia="Arial" w:hAnsi="Arial"/>
          <w:sz w:val="18"/>
          <w:szCs w:val="18"/>
          <w:color w:val="auto"/>
        </w:rPr>
        <w:t>We believe that our unrestricted cash and cash equivalents on hand, cash flow from operations, and the $221.7 million of borrowing capacity available under our Credit Facility will provide us with adequate liquidity for the next twelve months.</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Adjusted Free Cash Flow</w:t>
      </w:r>
    </w:p>
    <w:p>
      <w:pPr>
        <w:spacing w:after="0" w:line="244" w:lineRule="exact"/>
        <w:rPr>
          <w:sz w:val="20"/>
          <w:szCs w:val="20"/>
          <w:color w:val="auto"/>
        </w:rPr>
      </w:pPr>
    </w:p>
    <w:p>
      <w:pPr>
        <w:ind w:right="180" w:firstLine="318"/>
        <w:spacing w:after="0" w:line="318" w:lineRule="auto"/>
        <w:rPr>
          <w:sz w:val="20"/>
          <w:szCs w:val="20"/>
          <w:color w:val="auto"/>
        </w:rPr>
      </w:pPr>
      <w:r>
        <w:rPr>
          <w:rFonts w:ascii="Arial" w:cs="Arial" w:eastAsia="Arial" w:hAnsi="Arial"/>
          <w:sz w:val="15"/>
          <w:szCs w:val="15"/>
          <w:color w:val="auto"/>
        </w:rPr>
        <w:t>We define “adjusted free cash flow” for a given period as cash provided by operating activities, plus receipts from notes and equipment contract receivables, less additions to property and equipment. Management uses this liquidity measure in its periodic assessment of, among other things, payment of cash dividends on common stock and repurchases of common stock and we believe it is important for investors to have the same measure used by management for that purpose. Adjusted free cash flow does not represent residual cash flow available for discretionary purposes.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60" w:firstLine="318"/>
        <w:spacing w:after="0" w:line="252" w:lineRule="auto"/>
        <w:rPr>
          <w:sz w:val="20"/>
          <w:szCs w:val="20"/>
          <w:color w:val="auto"/>
        </w:rPr>
      </w:pPr>
      <w:r>
        <w:rPr>
          <w:rFonts w:ascii="Arial" w:cs="Arial" w:eastAsia="Arial" w:hAnsi="Arial"/>
          <w:sz w:val="18"/>
          <w:szCs w:val="18"/>
          <w:color w:val="auto"/>
        </w:rPr>
        <w:t>Adjusted free cash flow is a non-U.S. GAAP measure. This non-U.S. GAAP measure is not defined in the same manner by all companies and may not be comparable to other similarly titled measures of other companies. Non-U.S. GAAP measures should be considered in addition to, and not as a substitute for, the U.S. GAAP information contained within our financial statements. Reconciliation of the cash provided by operating activities to adjusted free cash flow is as follows:</w:t>
      </w:r>
    </w:p>
    <w:p>
      <w:pPr>
        <w:spacing w:after="0" w:line="255" w:lineRule="exact"/>
        <w:rPr>
          <w:sz w:val="20"/>
          <w:szCs w:val="20"/>
          <w:color w:val="auto"/>
        </w:rPr>
      </w:pPr>
    </w:p>
    <w:tbl>
      <w:tblPr>
        <w:tblLayout w:type="fixed"/>
        <w:tblInd w:w="400" w:type="dxa"/>
        <w:tblCellMar>
          <w:top w:w="0" w:type="dxa"/>
          <w:left w:w="0" w:type="dxa"/>
          <w:bottom w:w="0" w:type="dxa"/>
          <w:right w:w="0" w:type="dxa"/>
        </w:tblCellMar>
      </w:tblPr>
      <w:tr>
        <w:trPr>
          <w:trHeight w:val="210"/>
        </w:trPr>
        <w:tc>
          <w:tcPr>
            <w:tcW w:w="5460" w:type="dxa"/>
            <w:vAlign w:val="bottom"/>
          </w:tcPr>
          <w:p>
            <w:pPr>
              <w:spacing w:after="0"/>
              <w:rPr>
                <w:sz w:val="18"/>
                <w:szCs w:val="18"/>
                <w:color w:val="auto"/>
              </w:rPr>
            </w:pPr>
          </w:p>
        </w:tc>
        <w:tc>
          <w:tcPr>
            <w:tcW w:w="3220" w:type="dxa"/>
            <w:vAlign w:val="bottom"/>
            <w:tcBorders>
              <w:bottom w:val="single" w:sz="8" w:color="auto"/>
            </w:tcBorders>
            <w:gridSpan w:val="4"/>
          </w:tcPr>
          <w:p>
            <w:pPr>
              <w:jc w:val="right"/>
              <w:ind w:right="18"/>
              <w:spacing w:after="0"/>
              <w:rPr>
                <w:sz w:val="20"/>
                <w:szCs w:val="20"/>
                <w:color w:val="auto"/>
              </w:rPr>
            </w:pPr>
            <w:r>
              <w:rPr>
                <w:rFonts w:ascii="Arial" w:cs="Arial" w:eastAsia="Arial" w:hAnsi="Arial"/>
                <w:sz w:val="16"/>
                <w:szCs w:val="16"/>
                <w:b w:val="1"/>
                <w:bCs w:val="1"/>
                <w:color w:val="auto"/>
              </w:rPr>
              <w:t>Nine months ended September 30,</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6"/>
        </w:trPr>
        <w:tc>
          <w:tcPr>
            <w:tcW w:w="5460" w:type="dxa"/>
            <w:vAlign w:val="bottom"/>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b w:val="1"/>
                <w:bCs w:val="1"/>
                <w:color w:val="auto"/>
              </w:rPr>
              <w:t>2020</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Variance</w:t>
            </w:r>
          </w:p>
        </w:tc>
      </w:tr>
      <w:tr>
        <w:trPr>
          <w:trHeight w:val="180"/>
        </w:trPr>
        <w:tc>
          <w:tcPr>
            <w:tcW w:w="54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26"/>
        </w:trPr>
        <w:tc>
          <w:tcPr>
            <w:tcW w:w="5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flows provided by operating activities</w:t>
            </w:r>
          </w:p>
        </w:tc>
        <w:tc>
          <w:tcPr>
            <w:tcW w:w="12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145.6</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838"/>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36.7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r>
      <w:tr>
        <w:trPr>
          <w:trHeight w:val="225"/>
        </w:trPr>
        <w:tc>
          <w:tcPr>
            <w:tcW w:w="5460" w:type="dxa"/>
            <w:vAlign w:val="bottom"/>
          </w:tcPr>
          <w:p>
            <w:pPr>
              <w:ind w:left="320"/>
              <w:spacing w:after="0"/>
              <w:rPr>
                <w:sz w:val="20"/>
                <w:szCs w:val="20"/>
                <w:color w:val="auto"/>
              </w:rPr>
            </w:pPr>
            <w:r>
              <w:rPr>
                <w:rFonts w:ascii="Arial" w:cs="Arial" w:eastAsia="Arial" w:hAnsi="Arial"/>
                <w:sz w:val="18"/>
                <w:szCs w:val="18"/>
                <w:color w:val="auto"/>
              </w:rPr>
              <w:t>Receipts from notes and equipment contracts receivable</w:t>
            </w:r>
          </w:p>
        </w:tc>
        <w:tc>
          <w:tcPr>
            <w:tcW w:w="1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25"/>
        </w:trPr>
        <w:tc>
          <w:tcPr>
            <w:tcW w:w="5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Additions to property and equipment</w:t>
            </w:r>
          </w:p>
        </w:tc>
        <w:tc>
          <w:tcPr>
            <w:tcW w:w="12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(9.1)</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9"/>
        </w:trPr>
        <w:tc>
          <w:tcPr>
            <w:tcW w:w="5460" w:type="dxa"/>
            <w:vAlign w:val="bottom"/>
          </w:tcPr>
          <w:p>
            <w:pPr>
              <w:ind w:left="320"/>
              <w:spacing w:after="0"/>
              <w:rPr>
                <w:sz w:val="20"/>
                <w:szCs w:val="20"/>
                <w:color w:val="auto"/>
              </w:rPr>
            </w:pPr>
            <w:r>
              <w:rPr>
                <w:rFonts w:ascii="Arial" w:cs="Arial" w:eastAsia="Arial" w:hAnsi="Arial"/>
                <w:sz w:val="18"/>
                <w:szCs w:val="18"/>
                <w:b w:val="1"/>
                <w:bCs w:val="1"/>
                <w:color w:val="auto"/>
              </w:rPr>
              <w:t>Adjusted free cash flow</w:t>
            </w:r>
          </w:p>
        </w:tc>
        <w:tc>
          <w:tcPr>
            <w:tcW w:w="1240" w:type="dxa"/>
            <w:vAlign w:val="bottom"/>
            <w:tcBorders>
              <w:bottom w:val="single" w:sz="8" w:color="auto"/>
            </w:tcBorders>
          </w:tcPr>
          <w:p>
            <w:pPr>
              <w:jc w:val="right"/>
              <w:ind w:right="736"/>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146.1</w:t>
            </w:r>
          </w:p>
        </w:tc>
        <w:tc>
          <w:tcPr>
            <w:tcW w:w="120" w:type="dxa"/>
            <w:vAlign w:val="bottom"/>
          </w:tcPr>
          <w:p>
            <w:pPr>
              <w:spacing w:after="0"/>
              <w:rPr>
                <w:sz w:val="19"/>
                <w:szCs w:val="19"/>
                <w:color w:val="auto"/>
              </w:rPr>
            </w:pPr>
          </w:p>
        </w:tc>
        <w:tc>
          <w:tcPr>
            <w:tcW w:w="1340" w:type="dxa"/>
            <w:vAlign w:val="bottom"/>
            <w:tcBorders>
              <w:bottom w:val="single" w:sz="8" w:color="auto"/>
            </w:tcBorders>
          </w:tcPr>
          <w:p>
            <w:pPr>
              <w:jc w:val="right"/>
              <w:ind w:right="838"/>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35.6</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w:t>
            </w:r>
          </w:p>
        </w:tc>
      </w:tr>
      <w:tr>
        <w:trPr>
          <w:trHeight w:val="20"/>
        </w:trPr>
        <w:tc>
          <w:tcPr>
            <w:tcW w:w="54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0" w:lineRule="exact"/>
        <w:rPr>
          <w:sz w:val="20"/>
          <w:szCs w:val="20"/>
          <w:color w:val="auto"/>
        </w:rPr>
      </w:pPr>
    </w:p>
    <w:p>
      <w:pPr>
        <w:ind w:right="300" w:firstLine="318"/>
        <w:spacing w:after="0" w:line="255" w:lineRule="auto"/>
        <w:rPr>
          <w:sz w:val="20"/>
          <w:szCs w:val="20"/>
          <w:color w:val="auto"/>
        </w:rPr>
      </w:pPr>
      <w:r>
        <w:rPr>
          <w:rFonts w:ascii="Arial" w:cs="Arial" w:eastAsia="Arial" w:hAnsi="Arial"/>
          <w:sz w:val="18"/>
          <w:szCs w:val="18"/>
          <w:color w:val="auto"/>
        </w:rPr>
        <w:t>We have obligations for guarantees on certain franchisee lease agreements, as disclosed in Note 15 - Commitments and Contingencies, of Notes to Consolidated Financial Statements of Part I, Item 1 of this Form 10-Q. Other than such guarantees, we did not have any off-balance sheet arrangements, as defined in Item 303(a)(4) of SEC Regulation S-K as of September 30, 2021.</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3" w:lineRule="exact"/>
        <w:rPr>
          <w:sz w:val="20"/>
          <w:szCs w:val="20"/>
          <w:color w:val="auto"/>
        </w:rPr>
      </w:pPr>
    </w:p>
    <w:p>
      <w:pPr>
        <w:ind w:right="200" w:firstLine="318"/>
        <w:spacing w:after="0" w:line="365" w:lineRule="auto"/>
        <w:rPr>
          <w:sz w:val="20"/>
          <w:szCs w:val="20"/>
          <w:color w:val="auto"/>
        </w:rPr>
      </w:pPr>
      <w:r>
        <w:rPr>
          <w:rFonts w:ascii="Arial" w:cs="Arial" w:eastAsia="Arial" w:hAnsi="Arial"/>
          <w:sz w:val="15"/>
          <w:szCs w:val="15"/>
          <w:color w:val="auto"/>
        </w:rPr>
        <w:t>As discussed above, in March 2021, we repaid $220 million of borrowings outstanding under our Credit Facility. Other than this transaction, there were no material changes to the contractual obligations table as disclosed in our Annual Report on Form 10-K for the year ended December 31, 2020.</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3" w:lineRule="exact"/>
        <w:rPr>
          <w:sz w:val="20"/>
          <w:szCs w:val="20"/>
          <w:color w:val="auto"/>
        </w:rPr>
      </w:pPr>
    </w:p>
    <w:p>
      <w:pPr>
        <w:ind w:firstLine="318"/>
        <w:spacing w:after="0" w:line="309" w:lineRule="auto"/>
        <w:rPr>
          <w:sz w:val="20"/>
          <w:szCs w:val="20"/>
          <w:color w:val="auto"/>
        </w:rPr>
      </w:pPr>
      <w:r>
        <w:rPr>
          <w:rFonts w:ascii="Arial" w:cs="Arial" w:eastAsia="Arial" w:hAnsi="Arial"/>
          <w:sz w:val="15"/>
          <w:szCs w:val="15"/>
          <w:color w:val="auto"/>
        </w:rPr>
        <w:t>The preparation of financial statements in accordance with U.S. GAAP requires us to make estimates and assumptions affecting the reported amounts of assets and liabilities at the date of the financial statements and the reported amounts of net revenues and expenses in the reporting period. We base our estimates and assumptions on current facts, historical experience and various other factors that we believe to be reasonable under the circumstances, the results of which form the basis for making judgments about the carrying values of assets and liabilities and the accrual of costs and expenses that are not readily apparent from other sources. We continually review the estimates and underlying assumptions to ensure they are appropriate for the circumstances. Accounting assumptions and estimates are inherently uncertain and actual results may differ materially from our estimates.</w:t>
      </w:r>
    </w:p>
    <w:p>
      <w:pPr>
        <w:spacing w:after="0" w:line="152" w:lineRule="exact"/>
        <w:rPr>
          <w:sz w:val="20"/>
          <w:szCs w:val="20"/>
          <w:color w:val="auto"/>
        </w:rPr>
      </w:pPr>
    </w:p>
    <w:p>
      <w:pPr>
        <w:ind w:right="180" w:firstLine="318"/>
        <w:spacing w:after="0" w:line="255" w:lineRule="auto"/>
        <w:rPr>
          <w:sz w:val="20"/>
          <w:szCs w:val="20"/>
          <w:color w:val="auto"/>
        </w:rPr>
      </w:pPr>
      <w:r>
        <w:rPr>
          <w:rFonts w:ascii="Arial" w:cs="Arial" w:eastAsia="Arial" w:hAnsi="Arial"/>
          <w:sz w:val="18"/>
          <w:szCs w:val="18"/>
          <w:color w:val="auto"/>
        </w:rPr>
        <w:t>A summary of our critical accounting estimates is included in Management’s Discussion and Analysis of Financial Condition and Results of Operations contained in our Annual Report on Form 10-K for the year ended December 31, 2020. During the nine months ended September 30, 2021, there were no significant changes in our critical accounting policies or in our critical accounting estimates.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3" w:lineRule="exact"/>
        <w:rPr>
          <w:sz w:val="20"/>
          <w:szCs w:val="20"/>
          <w:color w:val="auto"/>
        </w:rPr>
      </w:pPr>
    </w:p>
    <w:p>
      <w:pPr>
        <w:ind w:right="140" w:firstLine="318"/>
        <w:spacing w:after="0" w:line="264" w:lineRule="auto"/>
        <w:rPr>
          <w:sz w:val="20"/>
          <w:szCs w:val="20"/>
          <w:color w:val="auto"/>
        </w:rPr>
      </w:pPr>
      <w:r>
        <w:rPr>
          <w:rFonts w:ascii="Arial" w:cs="Arial" w:eastAsia="Arial" w:hAnsi="Arial"/>
          <w:sz w:val="18"/>
          <w:szCs w:val="18"/>
          <w:color w:val="auto"/>
        </w:rPr>
        <w:t>The following change from the information contained in the Company’s Annual Report on Form 10-K for the year ended December 31, 2020 took place during the nine months ended September 30, 2021:</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We are only exposed to interest rate risk on borrowings we make under our Credit Facility, borrowings from which are subject to variable interest rates.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we have no borrowings outstanding under the Credit Facility and currently are not exposed to interest rate risk.</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3" w:lineRule="exact"/>
        <w:rPr>
          <w:sz w:val="20"/>
          <w:szCs w:val="20"/>
          <w:color w:val="auto"/>
        </w:rPr>
      </w:pPr>
    </w:p>
    <w:p>
      <w:pPr>
        <w:ind w:right="140" w:firstLine="318"/>
        <w:spacing w:after="0" w:line="250" w:lineRule="auto"/>
        <w:rPr>
          <w:sz w:val="20"/>
          <w:szCs w:val="20"/>
          <w:color w:val="auto"/>
        </w:rPr>
      </w:pPr>
      <w:r>
        <w:rPr>
          <w:rFonts w:ascii="Arial" w:cs="Arial" w:eastAsia="Arial" w:hAnsi="Arial"/>
          <w:sz w:val="18"/>
          <w:szCs w:val="18"/>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such evaluation, the Company’s Chief Executive Officer and Chief Financial Officer have concluded that, as of the end of such period, the Company’s disclosure controls and procedures are effective at the reasonable assurance level.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3"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There have been no changes in the Company’s internal control over financial reporting (as such term is defined in Rules 13a-15(f) and 15d-15(f) under the Exchange Act) during the fiscal quarter to which this report relates that have materially affected, or are reasonably likely to materially affect, the Company’s internal control over financial reporting.</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3" w:lineRule="exact"/>
        <w:rPr>
          <w:sz w:val="20"/>
          <w:szCs w:val="20"/>
          <w:color w:val="auto"/>
        </w:rPr>
      </w:pPr>
    </w:p>
    <w:p>
      <w:pPr>
        <w:ind w:right="120" w:firstLine="318"/>
        <w:spacing w:after="0" w:line="248" w:lineRule="auto"/>
        <w:rPr>
          <w:sz w:val="20"/>
          <w:szCs w:val="20"/>
          <w:color w:val="auto"/>
        </w:rPr>
      </w:pPr>
      <w:r>
        <w:rPr>
          <w:rFonts w:ascii="Arial" w:cs="Arial" w:eastAsia="Arial" w:hAnsi="Arial"/>
          <w:sz w:val="18"/>
          <w:szCs w:val="18"/>
          <w:color w:val="auto"/>
        </w:rPr>
        <w:t>We are subject to various lawsuits, administrative proceedings, audits and claims arising in the ordinary course of business. Some of these lawsuits purport to be class actions and/or seek substantial damages. We are required to record an accrual for litigation loss contingencies that are both probable and reasonably estimable. Legal fees and expenses associated with the defense of all of our litigation are expensed as such fees and expenses are incurred. Management regularly assesses our insurance deductibles, analyzes litigation information with our attorneys and evaluates our loss experience in connection with pending legal proceedings. While we do not presently believe that any of the legal proceedings to which we are currently a party will ultimately have a material adverse impact on us, there can be no assurance that we will prevail in all the proceedings we are party to, or that we will not incur material losses from them.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0" w:lineRule="exact"/>
        <w:rPr>
          <w:sz w:val="20"/>
          <w:szCs w:val="20"/>
          <w:color w:val="auto"/>
        </w:rPr>
      </w:pPr>
    </w:p>
    <w:p>
      <w:pPr>
        <w:ind w:right="2300" w:firstLine="359"/>
        <w:spacing w:after="0" w:line="264" w:lineRule="auto"/>
        <w:rPr>
          <w:sz w:val="20"/>
          <w:szCs w:val="20"/>
          <w:color w:val="auto"/>
        </w:rPr>
      </w:pPr>
      <w:r>
        <w:rPr>
          <w:rFonts w:ascii="Arial" w:cs="Arial" w:eastAsia="Arial" w:hAnsi="Arial"/>
          <w:sz w:val="18"/>
          <w:szCs w:val="18"/>
          <w:color w:val="auto"/>
        </w:rPr>
        <w:t>There are no material changes from the risk factors set forth under Item 1A of Part I of the Company’s Annual Report on Form 10-K for the fiscal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Purchases of Equity Securities by the Company</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50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tcPr>
          <w:p>
            <w:pPr>
              <w:jc w:val="center"/>
              <w:spacing w:after="0" w:line="127" w:lineRule="exact"/>
              <w:rPr>
                <w:sz w:val="20"/>
                <w:szCs w:val="20"/>
                <w:color w:val="auto"/>
              </w:rPr>
            </w:pPr>
            <w:r>
              <w:rPr>
                <w:rFonts w:ascii="Arial" w:cs="Arial" w:eastAsia="Arial" w:hAnsi="Arial"/>
                <w:sz w:val="14"/>
                <w:szCs w:val="14"/>
                <w:b w:val="1"/>
                <w:bCs w:val="1"/>
                <w:color w:val="auto"/>
                <w:w w:val="90"/>
              </w:rPr>
              <w:t>Total number of</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800" w:type="dxa"/>
            <w:vAlign w:val="bottom"/>
            <w:tcBorders>
              <w:top w:val="single" w:sz="8" w:color="auto"/>
            </w:tcBorders>
            <w:vMerge w:val="restart"/>
          </w:tcPr>
          <w:p>
            <w:pPr>
              <w:jc w:val="center"/>
              <w:ind w:right="21"/>
              <w:spacing w:after="0"/>
              <w:rPr>
                <w:sz w:val="20"/>
                <w:szCs w:val="20"/>
                <w:color w:val="auto"/>
              </w:rPr>
            </w:pPr>
            <w:r>
              <w:rPr>
                <w:rFonts w:ascii="Arial" w:cs="Arial" w:eastAsia="Arial" w:hAnsi="Arial"/>
                <w:sz w:val="14"/>
                <w:szCs w:val="14"/>
                <w:b w:val="1"/>
                <w:bCs w:val="1"/>
                <w:color w:val="auto"/>
                <w:w w:val="92"/>
              </w:rPr>
              <w:t>Approximate dollar value of</w:t>
            </w:r>
          </w:p>
        </w:tc>
        <w:tc>
          <w:tcPr>
            <w:tcW w:w="0" w:type="dxa"/>
            <w:vAlign w:val="bottom"/>
          </w:tcPr>
          <w:p>
            <w:pPr>
              <w:spacing w:after="0"/>
              <w:rPr>
                <w:sz w:val="1"/>
                <w:szCs w:val="1"/>
                <w:color w:val="auto"/>
              </w:rPr>
            </w:pPr>
          </w:p>
        </w:tc>
      </w:tr>
      <w:tr>
        <w:trPr>
          <w:trHeight w:val="133"/>
        </w:trPr>
        <w:tc>
          <w:tcPr>
            <w:tcW w:w="4500" w:type="dxa"/>
            <w:vAlign w:val="bottom"/>
          </w:tcPr>
          <w:p>
            <w:pPr>
              <w:spacing w:after="0"/>
              <w:rPr>
                <w:sz w:val="11"/>
                <w:szCs w:val="11"/>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Total number of</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Average price</w:t>
            </w:r>
          </w:p>
        </w:tc>
        <w:tc>
          <w:tcPr>
            <w:tcW w:w="16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6"/>
              </w:rPr>
              <w:t>shares purchased as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5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6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part of publicly</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tcPr>
          <w:p>
            <w:pPr>
              <w:jc w:val="center"/>
              <w:ind w:right="21"/>
              <w:spacing w:after="0" w:line="133" w:lineRule="exact"/>
              <w:rPr>
                <w:sz w:val="20"/>
                <w:szCs w:val="20"/>
                <w:color w:val="auto"/>
              </w:rPr>
            </w:pPr>
            <w:r>
              <w:rPr>
                <w:rFonts w:ascii="Arial" w:cs="Arial" w:eastAsia="Arial" w:hAnsi="Arial"/>
                <w:sz w:val="14"/>
                <w:szCs w:val="14"/>
                <w:b w:val="1"/>
                <w:bCs w:val="1"/>
                <w:color w:val="auto"/>
                <w:w w:val="88"/>
              </w:rPr>
              <w:t>shares that may yet be</w:t>
            </w:r>
          </w:p>
        </w:tc>
        <w:tc>
          <w:tcPr>
            <w:tcW w:w="0" w:type="dxa"/>
            <w:vAlign w:val="bottom"/>
          </w:tcPr>
          <w:p>
            <w:pPr>
              <w:spacing w:after="0"/>
              <w:rPr>
                <w:sz w:val="1"/>
                <w:szCs w:val="1"/>
                <w:color w:val="auto"/>
              </w:rPr>
            </w:pPr>
          </w:p>
        </w:tc>
      </w:tr>
      <w:tr>
        <w:trPr>
          <w:trHeight w:val="133"/>
        </w:trPr>
        <w:tc>
          <w:tcPr>
            <w:tcW w:w="4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5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4"/>
              </w:rPr>
              <w:t>shares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1"/>
              </w:rPr>
              <w:t>paid per</w:t>
            </w:r>
          </w:p>
        </w:tc>
        <w:tc>
          <w:tcPr>
            <w:tcW w:w="16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0"/>
              </w:rPr>
              <w:t>announced plans or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tcPr>
          <w:p>
            <w:pPr>
              <w:jc w:val="center"/>
              <w:ind w:right="41"/>
              <w:spacing w:after="0" w:line="133" w:lineRule="exact"/>
              <w:rPr>
                <w:sz w:val="20"/>
                <w:szCs w:val="20"/>
                <w:color w:val="auto"/>
              </w:rPr>
            </w:pPr>
            <w:r>
              <w:rPr>
                <w:rFonts w:ascii="Arial" w:cs="Arial" w:eastAsia="Arial" w:hAnsi="Arial"/>
                <w:sz w:val="14"/>
                <w:szCs w:val="14"/>
                <w:b w:val="1"/>
                <w:bCs w:val="1"/>
                <w:color w:val="auto"/>
                <w:w w:val="89"/>
              </w:rPr>
              <w:t>purchased under the</w:t>
            </w:r>
          </w:p>
        </w:tc>
        <w:tc>
          <w:tcPr>
            <w:tcW w:w="0" w:type="dxa"/>
            <w:vAlign w:val="bottom"/>
          </w:tcPr>
          <w:p>
            <w:pPr>
              <w:spacing w:after="0"/>
              <w:rPr>
                <w:sz w:val="1"/>
                <w:szCs w:val="1"/>
                <w:color w:val="auto"/>
              </w:rPr>
            </w:pPr>
          </w:p>
        </w:tc>
      </w:tr>
      <w:tr>
        <w:trPr>
          <w:trHeight w:val="184"/>
        </w:trPr>
        <w:tc>
          <w:tcPr>
            <w:tcW w:w="4500" w:type="dxa"/>
            <w:vAlign w:val="bottom"/>
            <w:vMerge w:val="continue"/>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purchased (a)</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5"/>
              </w:rPr>
              <w:t>share</w:t>
            </w:r>
          </w:p>
        </w:tc>
        <w:tc>
          <w:tcPr>
            <w:tcW w:w="100" w:type="dxa"/>
            <w:vAlign w:val="bottom"/>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programs (b)</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9"/>
              </w:rPr>
              <w:t>plans or programs (b)</w:t>
            </w:r>
          </w:p>
        </w:tc>
        <w:tc>
          <w:tcPr>
            <w:tcW w:w="0" w:type="dxa"/>
            <w:vAlign w:val="bottom"/>
          </w:tcPr>
          <w:p>
            <w:pPr>
              <w:spacing w:after="0"/>
              <w:rPr>
                <w:sz w:val="1"/>
                <w:szCs w:val="1"/>
                <w:color w:val="auto"/>
              </w:rPr>
            </w:pPr>
          </w:p>
        </w:tc>
      </w:tr>
      <w:tr>
        <w:trPr>
          <w:trHeight w:val="219"/>
        </w:trPr>
        <w:tc>
          <w:tcPr>
            <w:tcW w:w="4500" w:type="dxa"/>
            <w:vAlign w:val="bottom"/>
          </w:tcPr>
          <w:p>
            <w:pPr>
              <w:ind w:left="20"/>
              <w:spacing w:after="0"/>
              <w:rPr>
                <w:sz w:val="20"/>
                <w:szCs w:val="20"/>
                <w:color w:val="auto"/>
              </w:rPr>
            </w:pPr>
            <w:r>
              <w:rPr>
                <w:rFonts w:ascii="Arial" w:cs="Arial" w:eastAsia="Arial" w:hAnsi="Arial"/>
                <w:sz w:val="18"/>
                <w:szCs w:val="18"/>
                <w:color w:val="auto"/>
              </w:rPr>
              <w:t>July 5, 2021 - August 1, 2021</w:t>
            </w:r>
          </w:p>
        </w:tc>
        <w:tc>
          <w:tcPr>
            <w:tcW w:w="1500" w:type="dxa"/>
            <w:vAlign w:val="bottom"/>
          </w:tcPr>
          <w:p>
            <w:pPr>
              <w:jc w:val="right"/>
              <w:spacing w:after="0"/>
              <w:rPr>
                <w:sz w:val="20"/>
                <w:szCs w:val="20"/>
                <w:color w:val="auto"/>
              </w:rPr>
            </w:pPr>
            <w:r>
              <w:rPr>
                <w:rFonts w:ascii="Arial" w:cs="Arial" w:eastAsia="Arial" w:hAnsi="Arial"/>
                <w:sz w:val="18"/>
                <w:szCs w:val="18"/>
                <w:color w:val="auto"/>
              </w:rPr>
              <w:t>946</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83.27</w:t>
            </w:r>
          </w:p>
        </w:tc>
        <w:tc>
          <w:tcPr>
            <w:tcW w:w="100" w:type="dxa"/>
            <w:vAlign w:val="bottom"/>
          </w:tcPr>
          <w:p>
            <w:pPr>
              <w:spacing w:after="0"/>
              <w:rPr>
                <w:sz w:val="19"/>
                <w:szCs w:val="19"/>
                <w:color w:val="auto"/>
              </w:rPr>
            </w:pPr>
          </w:p>
        </w:tc>
        <w:tc>
          <w:tcPr>
            <w:tcW w:w="1640" w:type="dxa"/>
            <w:vAlign w:val="bottom"/>
          </w:tcPr>
          <w:p>
            <w:pPr>
              <w:ind w:left="14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70,200,000</w:t>
            </w:r>
          </w:p>
        </w:tc>
        <w:tc>
          <w:tcPr>
            <w:tcW w:w="0" w:type="dxa"/>
            <w:vAlign w:val="bottom"/>
          </w:tcPr>
          <w:p>
            <w:pPr>
              <w:spacing w:after="0"/>
              <w:rPr>
                <w:sz w:val="1"/>
                <w:szCs w:val="1"/>
                <w:color w:val="auto"/>
              </w:rPr>
            </w:pPr>
          </w:p>
        </w:tc>
      </w:tr>
      <w:tr>
        <w:trPr>
          <w:trHeight w:val="225"/>
        </w:trPr>
        <w:tc>
          <w:tcPr>
            <w:tcW w:w="4500" w:type="dxa"/>
            <w:vAlign w:val="bottom"/>
          </w:tcPr>
          <w:p>
            <w:pPr>
              <w:ind w:left="20"/>
              <w:spacing w:after="0"/>
              <w:rPr>
                <w:sz w:val="20"/>
                <w:szCs w:val="20"/>
                <w:color w:val="auto"/>
              </w:rPr>
            </w:pPr>
            <w:r>
              <w:rPr>
                <w:rFonts w:ascii="Arial" w:cs="Arial" w:eastAsia="Arial" w:hAnsi="Arial"/>
                <w:sz w:val="18"/>
                <w:szCs w:val="18"/>
                <w:color w:val="auto"/>
              </w:rPr>
              <w:t>August 2, 2021 - August 29, 2021</w:t>
            </w:r>
          </w:p>
        </w:tc>
        <w:tc>
          <w:tcPr>
            <w:tcW w:w="1500" w:type="dxa"/>
            <w:vAlign w:val="bottom"/>
          </w:tcPr>
          <w:p>
            <w:pPr>
              <w:jc w:val="right"/>
              <w:spacing w:after="0"/>
              <w:rPr>
                <w:sz w:val="20"/>
                <w:szCs w:val="20"/>
                <w:color w:val="auto"/>
              </w:rPr>
            </w:pPr>
            <w:r>
              <w:rPr>
                <w:rFonts w:ascii="Arial" w:cs="Arial" w:eastAsia="Arial" w:hAnsi="Arial"/>
                <w:sz w:val="18"/>
                <w:szCs w:val="18"/>
                <w:color w:val="auto"/>
              </w:rPr>
              <w:t>533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73.69</w:t>
            </w:r>
          </w:p>
        </w:tc>
        <w:tc>
          <w:tcPr>
            <w:tcW w:w="100" w:type="dxa"/>
            <w:vAlign w:val="bottom"/>
          </w:tcPr>
          <w:p>
            <w:pPr>
              <w:spacing w:after="0"/>
              <w:rPr>
                <w:sz w:val="19"/>
                <w:szCs w:val="19"/>
                <w:color w:val="auto"/>
              </w:rPr>
            </w:pPr>
          </w:p>
        </w:tc>
        <w:tc>
          <w:tcPr>
            <w:tcW w:w="1640" w:type="dxa"/>
            <w:vAlign w:val="bottom"/>
          </w:tcPr>
          <w:p>
            <w:pPr>
              <w:ind w:left="14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70,200,000</w:t>
            </w:r>
          </w:p>
        </w:tc>
        <w:tc>
          <w:tcPr>
            <w:tcW w:w="0" w:type="dxa"/>
            <w:vAlign w:val="bottom"/>
          </w:tcPr>
          <w:p>
            <w:pPr>
              <w:spacing w:after="0"/>
              <w:rPr>
                <w:sz w:val="1"/>
                <w:szCs w:val="1"/>
                <w:color w:val="auto"/>
              </w:rPr>
            </w:pPr>
          </w:p>
        </w:tc>
      </w:tr>
      <w:tr>
        <w:trPr>
          <w:trHeight w:val="226"/>
        </w:trPr>
        <w:tc>
          <w:tcPr>
            <w:tcW w:w="4500" w:type="dxa"/>
            <w:vAlign w:val="bottom"/>
          </w:tcPr>
          <w:p>
            <w:pPr>
              <w:ind w:left="20"/>
              <w:spacing w:after="0"/>
              <w:rPr>
                <w:sz w:val="20"/>
                <w:szCs w:val="20"/>
                <w:color w:val="auto"/>
              </w:rPr>
            </w:pPr>
            <w:r>
              <w:rPr>
                <w:rFonts w:ascii="Arial" w:cs="Arial" w:eastAsia="Arial" w:hAnsi="Arial"/>
                <w:sz w:val="18"/>
                <w:szCs w:val="18"/>
                <w:color w:val="auto"/>
              </w:rPr>
              <w:t>August 30, 2021 - October 3, 2021</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79.28</w:t>
            </w:r>
          </w:p>
        </w:tc>
        <w:tc>
          <w:tcPr>
            <w:tcW w:w="100" w:type="dxa"/>
            <w:vAlign w:val="bottom"/>
          </w:tcPr>
          <w:p>
            <w:pPr>
              <w:spacing w:after="0"/>
              <w:rPr>
                <w:sz w:val="19"/>
                <w:szCs w:val="19"/>
                <w:color w:val="auto"/>
              </w:rPr>
            </w:pPr>
          </w:p>
        </w:tc>
        <w:tc>
          <w:tcPr>
            <w:tcW w:w="164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70,200,000</w:t>
            </w:r>
          </w:p>
        </w:tc>
        <w:tc>
          <w:tcPr>
            <w:tcW w:w="0" w:type="dxa"/>
            <w:vAlign w:val="bottom"/>
          </w:tcPr>
          <w:p>
            <w:pPr>
              <w:spacing w:after="0"/>
              <w:rPr>
                <w:sz w:val="1"/>
                <w:szCs w:val="1"/>
                <w:color w:val="auto"/>
              </w:rPr>
            </w:pPr>
          </w:p>
        </w:tc>
      </w:tr>
      <w:tr>
        <w:trPr>
          <w:trHeight w:val="219"/>
        </w:trPr>
        <w:tc>
          <w:tcPr>
            <w:tcW w:w="450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1,762</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79.73</w:t>
            </w:r>
          </w:p>
        </w:tc>
        <w:tc>
          <w:tcPr>
            <w:tcW w:w="100" w:type="dxa"/>
            <w:vAlign w:val="bottom"/>
          </w:tcPr>
          <w:p>
            <w:pPr>
              <w:spacing w:after="0"/>
              <w:rPr>
                <w:sz w:val="19"/>
                <w:szCs w:val="19"/>
                <w:color w:val="auto"/>
              </w:rPr>
            </w:pPr>
          </w:p>
        </w:tc>
        <w:tc>
          <w:tcPr>
            <w:tcW w:w="164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70,200,000</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ind w:left="240" w:right="120" w:hanging="234"/>
        <w:spacing w:after="0" w:line="270" w:lineRule="auto"/>
        <w:tabs>
          <w:tab w:leader="none" w:pos="157" w:val="left"/>
        </w:tabs>
        <w:numPr>
          <w:ilvl w:val="0"/>
          <w:numId w:val="20"/>
        </w:numPr>
        <w:rPr>
          <w:rFonts w:ascii="Arial" w:cs="Arial" w:eastAsia="Arial" w:hAnsi="Arial"/>
          <w:sz w:val="18"/>
          <w:szCs w:val="18"/>
          <w:color w:val="auto"/>
          <w:vertAlign w:val="superscript"/>
        </w:rPr>
      </w:pPr>
      <w:r>
        <w:rPr>
          <w:rFonts w:ascii="Arial" w:cs="Arial" w:eastAsia="Arial" w:hAnsi="Arial"/>
          <w:sz w:val="13"/>
          <w:szCs w:val="13"/>
          <w:color w:val="auto"/>
        </w:rPr>
        <w:t>These amounts represent shares owned and tendered by employees to satisfy tax withholding obligations arising upon vesting of restricted stock awards. Shares so surrendered by the participants are repurchased by us pursuant to the terms of the plan and the applicable individual award agreements under which the shares were issued and not pursuant to publicly announced repurchase authorizations.</w:t>
      </w:r>
    </w:p>
    <w:p>
      <w:pPr>
        <w:spacing w:after="0" w:line="1" w:lineRule="exact"/>
        <w:rPr>
          <w:rFonts w:ascii="Arial" w:cs="Arial" w:eastAsia="Arial" w:hAnsi="Arial"/>
          <w:sz w:val="18"/>
          <w:szCs w:val="18"/>
          <w:color w:val="auto"/>
          <w:vertAlign w:val="superscript"/>
        </w:rPr>
      </w:pPr>
    </w:p>
    <w:p>
      <w:pPr>
        <w:jc w:val="both"/>
        <w:ind w:left="240" w:hanging="234"/>
        <w:spacing w:after="0" w:line="212" w:lineRule="auto"/>
        <w:tabs>
          <w:tab w:leader="none" w:pos="254" w:val="left"/>
        </w:tabs>
        <w:numPr>
          <w:ilvl w:val="0"/>
          <w:numId w:val="20"/>
        </w:numPr>
        <w:rPr>
          <w:rFonts w:ascii="Arial" w:cs="Arial" w:eastAsia="Arial" w:hAnsi="Arial"/>
          <w:sz w:val="23"/>
          <w:szCs w:val="23"/>
          <w:color w:val="auto"/>
          <w:vertAlign w:val="superscript"/>
        </w:rPr>
      </w:pPr>
      <w:r>
        <w:rPr>
          <w:rFonts w:ascii="Arial" w:cs="Arial" w:eastAsia="Arial" w:hAnsi="Arial"/>
          <w:sz w:val="16"/>
          <w:szCs w:val="16"/>
          <w:color w:val="auto"/>
        </w:rPr>
        <w:t>In February 2019, the Company’s Board of Directors approved the 2019 Repurchase Program authorizing the Company to repurchase up to $200 million of the Company's common stock. The 2019 Repurchase Program, as approved by the Board of Directors, does not require the repurchase of a specific number of shares and can be terminated at any time.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380" w:type="dxa"/>
            <w:vAlign w:val="bottom"/>
          </w:tcPr>
          <w:p>
            <w:pPr>
              <w:jc w:val="right"/>
              <w:ind w:right="32"/>
              <w:spacing w:after="0"/>
              <w:rPr>
                <w:sz w:val="20"/>
                <w:szCs w:val="20"/>
                <w:color w:val="auto"/>
              </w:rPr>
            </w:pPr>
            <w:r>
              <w:rPr>
                <w:rFonts w:ascii="Arial" w:cs="Arial" w:eastAsia="Arial" w:hAnsi="Arial"/>
                <w:sz w:val="18"/>
                <w:szCs w:val="18"/>
                <w:b w:val="1"/>
                <w:bCs w:val="1"/>
                <w:color w:val="auto"/>
                <w:w w:val="90"/>
              </w:rPr>
              <w:t>Item 6. Exhibits.</w:t>
            </w:r>
          </w:p>
        </w:tc>
        <w:tc>
          <w:tcPr>
            <w:tcW w:w="1060" w:type="dxa"/>
            <w:vAlign w:val="bottom"/>
          </w:tcPr>
          <w:p>
            <w:pPr>
              <w:spacing w:after="0"/>
              <w:rPr>
                <w:sz w:val="19"/>
                <w:szCs w:val="19"/>
                <w:color w:val="auto"/>
              </w:rPr>
            </w:pPr>
          </w:p>
        </w:tc>
        <w:tc>
          <w:tcPr>
            <w:tcW w:w="7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25"/>
        </w:trPr>
        <w:tc>
          <w:tcPr>
            <w:tcW w:w="1380" w:type="dxa"/>
            <w:vAlign w:val="bottom"/>
          </w:tcPr>
          <w:p>
            <w:pPr>
              <w:jc w:val="right"/>
              <w:ind w:right="212"/>
              <w:spacing w:after="0"/>
              <w:rPr>
                <w:sz w:val="20"/>
                <w:szCs w:val="20"/>
                <w:color w:val="auto"/>
              </w:rPr>
            </w:pPr>
            <w:r>
              <w:rPr>
                <w:rFonts w:ascii="Arial" w:cs="Arial" w:eastAsia="Arial" w:hAnsi="Arial"/>
                <w:sz w:val="18"/>
                <w:szCs w:val="18"/>
                <w:color w:val="auto"/>
              </w:rPr>
              <w:t>*31.1</w:t>
            </w:r>
          </w:p>
        </w:tc>
        <w:tc>
          <w:tcPr>
            <w:tcW w:w="8540" w:type="dxa"/>
            <w:vAlign w:val="bottom"/>
            <w:tcBorders>
              <w:bottom w:val="single" w:sz="8" w:color="0000FF"/>
            </w:tcBorders>
            <w:gridSpan w:val="3"/>
          </w:tcPr>
          <w:p>
            <w:pPr>
              <w:spacing w:after="0"/>
              <w:rPr>
                <w:rFonts w:ascii="Arial" w:cs="Arial" w:eastAsia="Arial" w:hAnsi="Arial"/>
                <w:sz w:val="18"/>
                <w:szCs w:val="18"/>
                <w:color w:val="0000FF"/>
                <w:w w:val="89"/>
              </w:rPr>
            </w:pPr>
            <w:hyperlink w:anchor="page54">
              <w:r>
                <w:rPr>
                  <w:rFonts w:ascii="Arial" w:cs="Arial" w:eastAsia="Arial" w:hAnsi="Arial"/>
                  <w:sz w:val="18"/>
                  <w:szCs w:val="18"/>
                  <w:color w:val="0000FF"/>
                  <w:w w:val="89"/>
                </w:rPr>
                <w:t>Certification of Chief Executive Officer pursuant to Rule 13a-14(a) of the Securities Exchange Act of 1934, as amended.</w:t>
              </w:r>
            </w:hyperlink>
          </w:p>
        </w:tc>
        <w:tc>
          <w:tcPr>
            <w:tcW w:w="1000" w:type="dxa"/>
            <w:vAlign w:val="bottom"/>
            <w:gridSpan w:val="2"/>
          </w:tcPr>
          <w:p>
            <w:pPr>
              <w:spacing w:after="0"/>
              <w:rPr>
                <w:sz w:val="24"/>
                <w:szCs w:val="24"/>
                <w:color w:val="auto"/>
              </w:rPr>
            </w:pPr>
          </w:p>
        </w:tc>
      </w:tr>
      <w:tr>
        <w:trPr>
          <w:trHeight w:val="205"/>
        </w:trPr>
        <w:tc>
          <w:tcPr>
            <w:tcW w:w="1380" w:type="dxa"/>
            <w:vAlign w:val="bottom"/>
          </w:tcPr>
          <w:p>
            <w:pPr>
              <w:jc w:val="right"/>
              <w:ind w:right="212"/>
              <w:spacing w:after="0" w:line="205" w:lineRule="exact"/>
              <w:rPr>
                <w:sz w:val="20"/>
                <w:szCs w:val="20"/>
                <w:color w:val="auto"/>
              </w:rPr>
            </w:pPr>
            <w:r>
              <w:rPr>
                <w:rFonts w:ascii="Arial" w:cs="Arial" w:eastAsia="Arial" w:hAnsi="Arial"/>
                <w:sz w:val="18"/>
                <w:szCs w:val="18"/>
                <w:color w:val="auto"/>
              </w:rPr>
              <w:t>*31.2</w:t>
            </w:r>
          </w:p>
        </w:tc>
        <w:tc>
          <w:tcPr>
            <w:tcW w:w="8500" w:type="dxa"/>
            <w:vAlign w:val="bottom"/>
            <w:tcBorders>
              <w:bottom w:val="single" w:sz="8" w:color="0000FF"/>
            </w:tcBorders>
            <w:gridSpan w:val="2"/>
          </w:tcPr>
          <w:p>
            <w:pPr>
              <w:spacing w:after="0" w:line="205" w:lineRule="exact"/>
              <w:rPr>
                <w:rFonts w:ascii="Arial" w:cs="Arial" w:eastAsia="Arial" w:hAnsi="Arial"/>
                <w:sz w:val="18"/>
                <w:szCs w:val="18"/>
                <w:color w:val="0000FF"/>
                <w:w w:val="89"/>
              </w:rPr>
            </w:pPr>
            <w:hyperlink w:anchor="page55">
              <w:r>
                <w:rPr>
                  <w:rFonts w:ascii="Arial" w:cs="Arial" w:eastAsia="Arial" w:hAnsi="Arial"/>
                  <w:sz w:val="18"/>
                  <w:szCs w:val="18"/>
                  <w:color w:val="0000FF"/>
                  <w:w w:val="89"/>
                </w:rPr>
                <w:t>Certification of Chief Financial Officer pursuant to Rule 13a-14(a) of the Securities Exchange Act of 1934, as amended.</w:t>
              </w:r>
            </w:hyperlink>
          </w:p>
        </w:tc>
        <w:tc>
          <w:tcPr>
            <w:tcW w:w="1040" w:type="dxa"/>
            <w:vAlign w:val="bottom"/>
            <w:gridSpan w:val="3"/>
          </w:tcPr>
          <w:p>
            <w:pPr>
              <w:spacing w:after="0"/>
              <w:rPr>
                <w:sz w:val="17"/>
                <w:szCs w:val="17"/>
                <w:color w:val="auto"/>
              </w:rPr>
            </w:pPr>
          </w:p>
        </w:tc>
      </w:tr>
      <w:tr>
        <w:trPr>
          <w:trHeight w:val="205"/>
        </w:trPr>
        <w:tc>
          <w:tcPr>
            <w:tcW w:w="1380" w:type="dxa"/>
            <w:vAlign w:val="bottom"/>
          </w:tcPr>
          <w:p>
            <w:pPr>
              <w:jc w:val="right"/>
              <w:ind w:right="212"/>
              <w:spacing w:after="0" w:line="205" w:lineRule="exact"/>
              <w:rPr>
                <w:sz w:val="20"/>
                <w:szCs w:val="20"/>
                <w:color w:val="auto"/>
              </w:rPr>
            </w:pPr>
            <w:r>
              <w:rPr>
                <w:rFonts w:ascii="Arial" w:cs="Arial" w:eastAsia="Arial" w:hAnsi="Arial"/>
                <w:sz w:val="18"/>
                <w:szCs w:val="18"/>
                <w:color w:val="auto"/>
              </w:rPr>
              <w:t>*32.1</w:t>
            </w:r>
          </w:p>
        </w:tc>
        <w:tc>
          <w:tcPr>
            <w:tcW w:w="9540" w:type="dxa"/>
            <w:vAlign w:val="bottom"/>
            <w:tcBorders>
              <w:bottom w:val="single" w:sz="8" w:color="0E32E1"/>
            </w:tcBorders>
            <w:gridSpan w:val="5"/>
          </w:tcPr>
          <w:p>
            <w:pPr>
              <w:spacing w:after="0" w:line="205" w:lineRule="exact"/>
              <w:rPr>
                <w:rFonts w:ascii="Arial" w:cs="Arial" w:eastAsia="Arial" w:hAnsi="Arial"/>
                <w:sz w:val="18"/>
                <w:szCs w:val="18"/>
                <w:color w:val="0E32E1"/>
                <w:w w:val="89"/>
              </w:rPr>
            </w:pPr>
            <w:hyperlink w:anchor="page56">
              <w:r>
                <w:rPr>
                  <w:rFonts w:ascii="Arial" w:cs="Arial" w:eastAsia="Arial" w:hAnsi="Arial"/>
                  <w:sz w:val="18"/>
                  <w:szCs w:val="18"/>
                  <w:color w:val="0E32E1"/>
                  <w:w w:val="89"/>
                </w:rPr>
                <w:t>Certification of Chief Executive Officer pursuant to 18 U.S.C. Section 1350, as adopted pursuant to Section 906 of the Sarbanes-Oxley</w:t>
              </w:r>
            </w:hyperlink>
          </w:p>
        </w:tc>
      </w:tr>
      <w:tr>
        <w:trPr>
          <w:trHeight w:val="152"/>
        </w:trPr>
        <w:tc>
          <w:tcPr>
            <w:tcW w:w="1380" w:type="dxa"/>
            <w:vAlign w:val="bottom"/>
          </w:tcPr>
          <w:p>
            <w:pPr>
              <w:spacing w:after="0"/>
              <w:rPr>
                <w:sz w:val="13"/>
                <w:szCs w:val="13"/>
                <w:color w:val="auto"/>
              </w:rPr>
            </w:pPr>
          </w:p>
        </w:tc>
        <w:tc>
          <w:tcPr>
            <w:tcW w:w="1060" w:type="dxa"/>
            <w:vAlign w:val="bottom"/>
            <w:tcBorders>
              <w:bottom w:val="single" w:sz="8" w:color="0E32E1"/>
            </w:tcBorders>
          </w:tcPr>
          <w:p>
            <w:pPr>
              <w:spacing w:after="0" w:line="152" w:lineRule="exact"/>
              <w:rPr>
                <w:rFonts w:ascii="Arial" w:cs="Arial" w:eastAsia="Arial" w:hAnsi="Arial"/>
                <w:sz w:val="17"/>
                <w:szCs w:val="17"/>
                <w:color w:val="0E32E1"/>
                <w:w w:val="99"/>
              </w:rPr>
            </w:pPr>
            <w:hyperlink w:anchor="page56">
              <w:r>
                <w:rPr>
                  <w:rFonts w:ascii="Arial" w:cs="Arial" w:eastAsia="Arial" w:hAnsi="Arial"/>
                  <w:sz w:val="17"/>
                  <w:szCs w:val="17"/>
                  <w:color w:val="0E32E1"/>
                  <w:w w:val="99"/>
                </w:rPr>
                <w:t>Act of 2002.**</w:t>
              </w:r>
            </w:hyperlink>
          </w:p>
        </w:tc>
        <w:tc>
          <w:tcPr>
            <w:tcW w:w="8480" w:type="dxa"/>
            <w:vAlign w:val="bottom"/>
            <w:gridSpan w:val="4"/>
          </w:tcPr>
          <w:p>
            <w:pPr>
              <w:spacing w:after="0"/>
              <w:rPr>
                <w:sz w:val="13"/>
                <w:szCs w:val="13"/>
                <w:color w:val="auto"/>
              </w:rPr>
            </w:pPr>
          </w:p>
        </w:tc>
      </w:tr>
      <w:tr>
        <w:trPr>
          <w:trHeight w:val="205"/>
        </w:trPr>
        <w:tc>
          <w:tcPr>
            <w:tcW w:w="1380" w:type="dxa"/>
            <w:vAlign w:val="bottom"/>
          </w:tcPr>
          <w:p>
            <w:pPr>
              <w:jc w:val="right"/>
              <w:ind w:right="212"/>
              <w:spacing w:after="0" w:line="205" w:lineRule="exact"/>
              <w:rPr>
                <w:sz w:val="20"/>
                <w:szCs w:val="20"/>
                <w:color w:val="auto"/>
              </w:rPr>
            </w:pPr>
            <w:r>
              <w:rPr>
                <w:rFonts w:ascii="Arial" w:cs="Arial" w:eastAsia="Arial" w:hAnsi="Arial"/>
                <w:sz w:val="18"/>
                <w:szCs w:val="18"/>
                <w:color w:val="auto"/>
              </w:rPr>
              <w:t>*32.2</w:t>
            </w:r>
          </w:p>
        </w:tc>
        <w:tc>
          <w:tcPr>
            <w:tcW w:w="9540" w:type="dxa"/>
            <w:vAlign w:val="bottom"/>
            <w:gridSpan w:val="5"/>
          </w:tcPr>
          <w:p>
            <w:pPr>
              <w:spacing w:after="0" w:line="205" w:lineRule="exact"/>
              <w:rPr>
                <w:rFonts w:ascii="Arial" w:cs="Arial" w:eastAsia="Arial" w:hAnsi="Arial"/>
                <w:sz w:val="18"/>
                <w:szCs w:val="18"/>
                <w:color w:val="0E32E1"/>
                <w:w w:val="89"/>
              </w:rPr>
            </w:pPr>
            <w:hyperlink w:anchor="page57">
              <w:r>
                <w:rPr>
                  <w:rFonts w:ascii="Arial" w:cs="Arial" w:eastAsia="Arial" w:hAnsi="Arial"/>
                  <w:sz w:val="18"/>
                  <w:szCs w:val="18"/>
                  <w:color w:val="0E32E1"/>
                  <w:w w:val="89"/>
                </w:rPr>
                <w:t>Certification of Chief Financial Officer pursuant to 18 U.S.C. Section 1350, as adopted pursuant to Section 906 of the Sarbanes-Oxley</w:t>
              </w:r>
            </w:hyperlink>
          </w:p>
        </w:tc>
      </w:tr>
      <w:tr>
        <w:trPr>
          <w:trHeight w:val="152"/>
        </w:trPr>
        <w:tc>
          <w:tcPr>
            <w:tcW w:w="1380" w:type="dxa"/>
            <w:vAlign w:val="bottom"/>
          </w:tcPr>
          <w:p>
            <w:pPr>
              <w:spacing w:after="0"/>
              <w:rPr>
                <w:sz w:val="13"/>
                <w:szCs w:val="13"/>
                <w:color w:val="auto"/>
              </w:rPr>
            </w:pPr>
          </w:p>
        </w:tc>
        <w:tc>
          <w:tcPr>
            <w:tcW w:w="1060" w:type="dxa"/>
            <w:vAlign w:val="bottom"/>
            <w:tcBorders>
              <w:top w:val="single" w:sz="8" w:color="0E32E1"/>
              <w:bottom w:val="single" w:sz="8" w:color="0E32E1"/>
            </w:tcBorders>
          </w:tcPr>
          <w:p>
            <w:pPr>
              <w:spacing w:after="0" w:line="152" w:lineRule="exact"/>
              <w:rPr>
                <w:rFonts w:ascii="Arial" w:cs="Arial" w:eastAsia="Arial" w:hAnsi="Arial"/>
                <w:sz w:val="17"/>
                <w:szCs w:val="17"/>
                <w:color w:val="0E32E1"/>
                <w:w w:val="99"/>
              </w:rPr>
            </w:pPr>
            <w:hyperlink w:anchor="page57">
              <w:r>
                <w:rPr>
                  <w:rFonts w:ascii="Arial" w:cs="Arial" w:eastAsia="Arial" w:hAnsi="Arial"/>
                  <w:sz w:val="17"/>
                  <w:szCs w:val="17"/>
                  <w:color w:val="0E32E1"/>
                  <w:w w:val="99"/>
                </w:rPr>
                <w:t>Act of 2002.**</w:t>
              </w:r>
            </w:hyperlink>
          </w:p>
        </w:tc>
        <w:tc>
          <w:tcPr>
            <w:tcW w:w="8440" w:type="dxa"/>
            <w:vAlign w:val="bottom"/>
            <w:tcBorders>
              <w:top w:val="single" w:sz="8" w:color="0E32E1"/>
            </w:tcBorders>
            <w:gridSpan w:val="3"/>
          </w:tcPr>
          <w:p>
            <w:pPr>
              <w:spacing w:after="0"/>
              <w:rPr>
                <w:sz w:val="13"/>
                <w:szCs w:val="13"/>
                <w:color w:val="auto"/>
              </w:rPr>
            </w:pPr>
          </w:p>
        </w:tc>
        <w:tc>
          <w:tcPr>
            <w:tcW w:w="40" w:type="dxa"/>
            <w:vAlign w:val="bottom"/>
          </w:tcPr>
          <w:p>
            <w:pPr>
              <w:spacing w:after="0"/>
              <w:rPr>
                <w:sz w:val="13"/>
                <w:szCs w:val="13"/>
                <w:color w:val="auto"/>
              </w:rPr>
            </w:pPr>
          </w:p>
        </w:tc>
      </w:tr>
      <w:tr>
        <w:trPr>
          <w:trHeight w:val="193"/>
        </w:trPr>
        <w:tc>
          <w:tcPr>
            <w:tcW w:w="1380" w:type="dxa"/>
            <w:vAlign w:val="bottom"/>
          </w:tcPr>
          <w:p>
            <w:pPr>
              <w:jc w:val="right"/>
              <w:ind w:right="212"/>
              <w:spacing w:after="0" w:line="193" w:lineRule="exact"/>
              <w:rPr>
                <w:sz w:val="20"/>
                <w:szCs w:val="20"/>
                <w:color w:val="auto"/>
              </w:rPr>
            </w:pPr>
            <w:r>
              <w:rPr>
                <w:rFonts w:ascii="Arial" w:cs="Arial" w:eastAsia="Arial" w:hAnsi="Arial"/>
                <w:sz w:val="18"/>
                <w:szCs w:val="18"/>
                <w:color w:val="auto"/>
              </w:rPr>
              <w:t>101.INS</w:t>
            </w:r>
          </w:p>
        </w:tc>
        <w:tc>
          <w:tcPr>
            <w:tcW w:w="9540" w:type="dxa"/>
            <w:vAlign w:val="bottom"/>
            <w:gridSpan w:val="5"/>
          </w:tcPr>
          <w:p>
            <w:pPr>
              <w:spacing w:after="0" w:line="193" w:lineRule="exact"/>
              <w:rPr>
                <w:sz w:val="20"/>
                <w:szCs w:val="20"/>
                <w:color w:val="auto"/>
              </w:rPr>
            </w:pPr>
            <w:r>
              <w:rPr>
                <w:rFonts w:ascii="Arial" w:cs="Arial" w:eastAsia="Arial" w:hAnsi="Arial"/>
                <w:sz w:val="18"/>
                <w:szCs w:val="18"/>
                <w:color w:val="auto"/>
                <w:w w:val="89"/>
              </w:rPr>
              <w:t>XBRL Instance Document - the instance document does not appear in the Interactive Data File because its XBRL tags are embedded</w:t>
            </w:r>
          </w:p>
        </w:tc>
      </w:tr>
      <w:tr>
        <w:trPr>
          <w:trHeight w:val="223"/>
        </w:trPr>
        <w:tc>
          <w:tcPr>
            <w:tcW w:w="1380" w:type="dxa"/>
            <w:vAlign w:val="bottom"/>
          </w:tcPr>
          <w:p>
            <w:pPr>
              <w:spacing w:after="0"/>
              <w:rPr>
                <w:sz w:val="19"/>
                <w:szCs w:val="19"/>
                <w:color w:val="auto"/>
              </w:rPr>
            </w:pPr>
          </w:p>
        </w:tc>
        <w:tc>
          <w:tcPr>
            <w:tcW w:w="9540" w:type="dxa"/>
            <w:vAlign w:val="bottom"/>
            <w:gridSpan w:val="5"/>
          </w:tcPr>
          <w:p>
            <w:pPr>
              <w:ind w:left="240"/>
              <w:spacing w:after="0"/>
              <w:rPr>
                <w:sz w:val="20"/>
                <w:szCs w:val="20"/>
                <w:color w:val="auto"/>
              </w:rPr>
            </w:pPr>
            <w:r>
              <w:rPr>
                <w:rFonts w:ascii="Arial" w:cs="Arial" w:eastAsia="Arial" w:hAnsi="Arial"/>
                <w:sz w:val="18"/>
                <w:szCs w:val="18"/>
                <w:color w:val="auto"/>
              </w:rPr>
              <w:t>within the Inline XBRL document.</w:t>
            </w:r>
          </w:p>
        </w:tc>
      </w:tr>
      <w:tr>
        <w:trPr>
          <w:trHeight w:val="225"/>
        </w:trPr>
        <w:tc>
          <w:tcPr>
            <w:tcW w:w="1380" w:type="dxa"/>
            <w:vAlign w:val="bottom"/>
          </w:tcPr>
          <w:p>
            <w:pPr>
              <w:jc w:val="right"/>
              <w:ind w:right="212"/>
              <w:spacing w:after="0"/>
              <w:rPr>
                <w:sz w:val="20"/>
                <w:szCs w:val="20"/>
                <w:color w:val="auto"/>
              </w:rPr>
            </w:pPr>
            <w:r>
              <w:rPr>
                <w:rFonts w:ascii="Arial" w:cs="Arial" w:eastAsia="Arial" w:hAnsi="Arial"/>
                <w:sz w:val="18"/>
                <w:szCs w:val="18"/>
                <w:color w:val="auto"/>
              </w:rPr>
              <w:t>101.SCH</w:t>
            </w:r>
          </w:p>
        </w:tc>
        <w:tc>
          <w:tcPr>
            <w:tcW w:w="9540" w:type="dxa"/>
            <w:vAlign w:val="bottom"/>
            <w:gridSpan w:val="5"/>
          </w:tcPr>
          <w:p>
            <w:pPr>
              <w:spacing w:after="0"/>
              <w:rPr>
                <w:sz w:val="20"/>
                <w:szCs w:val="20"/>
                <w:color w:val="auto"/>
              </w:rPr>
            </w:pPr>
            <w:r>
              <w:rPr>
                <w:rFonts w:ascii="Arial" w:cs="Arial" w:eastAsia="Arial" w:hAnsi="Arial"/>
                <w:sz w:val="18"/>
                <w:szCs w:val="18"/>
                <w:color w:val="auto"/>
              </w:rPr>
              <w:t>Inline XBRL Schema Document.***</w:t>
            </w:r>
          </w:p>
        </w:tc>
      </w:tr>
      <w:tr>
        <w:trPr>
          <w:trHeight w:val="225"/>
        </w:trPr>
        <w:tc>
          <w:tcPr>
            <w:tcW w:w="1380" w:type="dxa"/>
            <w:vAlign w:val="bottom"/>
          </w:tcPr>
          <w:p>
            <w:pPr>
              <w:jc w:val="right"/>
              <w:ind w:right="212"/>
              <w:spacing w:after="0"/>
              <w:rPr>
                <w:sz w:val="20"/>
                <w:szCs w:val="20"/>
                <w:color w:val="auto"/>
              </w:rPr>
            </w:pPr>
            <w:r>
              <w:rPr>
                <w:rFonts w:ascii="Arial" w:cs="Arial" w:eastAsia="Arial" w:hAnsi="Arial"/>
                <w:sz w:val="18"/>
                <w:szCs w:val="18"/>
                <w:color w:val="auto"/>
              </w:rPr>
              <w:t>101.CAL</w:t>
            </w:r>
          </w:p>
        </w:tc>
        <w:tc>
          <w:tcPr>
            <w:tcW w:w="9540" w:type="dxa"/>
            <w:vAlign w:val="bottom"/>
            <w:gridSpan w:val="5"/>
          </w:tcPr>
          <w:p>
            <w:pPr>
              <w:spacing w:after="0"/>
              <w:rPr>
                <w:sz w:val="20"/>
                <w:szCs w:val="20"/>
                <w:color w:val="auto"/>
              </w:rPr>
            </w:pPr>
            <w:r>
              <w:rPr>
                <w:rFonts w:ascii="Arial" w:cs="Arial" w:eastAsia="Arial" w:hAnsi="Arial"/>
                <w:sz w:val="18"/>
                <w:szCs w:val="18"/>
                <w:color w:val="auto"/>
              </w:rPr>
              <w:t>Inline XBRL Calculation Linkbase Document.***</w:t>
            </w:r>
          </w:p>
        </w:tc>
      </w:tr>
      <w:tr>
        <w:trPr>
          <w:trHeight w:val="225"/>
        </w:trPr>
        <w:tc>
          <w:tcPr>
            <w:tcW w:w="1380" w:type="dxa"/>
            <w:vAlign w:val="bottom"/>
          </w:tcPr>
          <w:p>
            <w:pPr>
              <w:jc w:val="right"/>
              <w:ind w:right="212"/>
              <w:spacing w:after="0"/>
              <w:rPr>
                <w:sz w:val="20"/>
                <w:szCs w:val="20"/>
                <w:color w:val="auto"/>
              </w:rPr>
            </w:pPr>
            <w:r>
              <w:rPr>
                <w:rFonts w:ascii="Arial" w:cs="Arial" w:eastAsia="Arial" w:hAnsi="Arial"/>
                <w:sz w:val="18"/>
                <w:szCs w:val="18"/>
                <w:color w:val="auto"/>
              </w:rPr>
              <w:t>101.DEF</w:t>
            </w:r>
          </w:p>
        </w:tc>
        <w:tc>
          <w:tcPr>
            <w:tcW w:w="9540" w:type="dxa"/>
            <w:vAlign w:val="bottom"/>
            <w:gridSpan w:val="5"/>
          </w:tcPr>
          <w:p>
            <w:pPr>
              <w:spacing w:after="0"/>
              <w:rPr>
                <w:sz w:val="20"/>
                <w:szCs w:val="20"/>
                <w:color w:val="auto"/>
              </w:rPr>
            </w:pPr>
            <w:r>
              <w:rPr>
                <w:rFonts w:ascii="Arial" w:cs="Arial" w:eastAsia="Arial" w:hAnsi="Arial"/>
                <w:sz w:val="18"/>
                <w:szCs w:val="18"/>
                <w:color w:val="auto"/>
              </w:rPr>
              <w:t>Inline XBRL Definition Linkbase Document.***</w:t>
            </w:r>
          </w:p>
        </w:tc>
      </w:tr>
      <w:tr>
        <w:trPr>
          <w:trHeight w:val="225"/>
        </w:trPr>
        <w:tc>
          <w:tcPr>
            <w:tcW w:w="1380" w:type="dxa"/>
            <w:vAlign w:val="bottom"/>
          </w:tcPr>
          <w:p>
            <w:pPr>
              <w:jc w:val="right"/>
              <w:ind w:right="212"/>
              <w:spacing w:after="0"/>
              <w:rPr>
                <w:sz w:val="20"/>
                <w:szCs w:val="20"/>
                <w:color w:val="auto"/>
              </w:rPr>
            </w:pPr>
            <w:r>
              <w:rPr>
                <w:rFonts w:ascii="Arial" w:cs="Arial" w:eastAsia="Arial" w:hAnsi="Arial"/>
                <w:sz w:val="18"/>
                <w:szCs w:val="18"/>
                <w:color w:val="auto"/>
              </w:rPr>
              <w:t>101.LAB</w:t>
            </w:r>
          </w:p>
        </w:tc>
        <w:tc>
          <w:tcPr>
            <w:tcW w:w="9540" w:type="dxa"/>
            <w:vAlign w:val="bottom"/>
            <w:gridSpan w:val="5"/>
          </w:tcPr>
          <w:p>
            <w:pPr>
              <w:spacing w:after="0"/>
              <w:rPr>
                <w:sz w:val="20"/>
                <w:szCs w:val="20"/>
                <w:color w:val="auto"/>
              </w:rPr>
            </w:pPr>
            <w:r>
              <w:rPr>
                <w:rFonts w:ascii="Arial" w:cs="Arial" w:eastAsia="Arial" w:hAnsi="Arial"/>
                <w:sz w:val="18"/>
                <w:szCs w:val="18"/>
                <w:color w:val="auto"/>
              </w:rPr>
              <w:t>Inline XBRL Label Linkbase Document.***</w:t>
            </w:r>
          </w:p>
        </w:tc>
      </w:tr>
      <w:tr>
        <w:trPr>
          <w:trHeight w:val="225"/>
        </w:trPr>
        <w:tc>
          <w:tcPr>
            <w:tcW w:w="1380" w:type="dxa"/>
            <w:vAlign w:val="bottom"/>
          </w:tcPr>
          <w:p>
            <w:pPr>
              <w:jc w:val="right"/>
              <w:ind w:right="212"/>
              <w:spacing w:after="0"/>
              <w:rPr>
                <w:sz w:val="20"/>
                <w:szCs w:val="20"/>
                <w:color w:val="auto"/>
              </w:rPr>
            </w:pPr>
            <w:r>
              <w:rPr>
                <w:rFonts w:ascii="Arial" w:cs="Arial" w:eastAsia="Arial" w:hAnsi="Arial"/>
                <w:sz w:val="18"/>
                <w:szCs w:val="18"/>
                <w:color w:val="auto"/>
              </w:rPr>
              <w:t>101.PRE</w:t>
            </w:r>
          </w:p>
        </w:tc>
        <w:tc>
          <w:tcPr>
            <w:tcW w:w="9540" w:type="dxa"/>
            <w:vAlign w:val="bottom"/>
            <w:gridSpan w:val="5"/>
          </w:tcPr>
          <w:p>
            <w:pPr>
              <w:spacing w:after="0"/>
              <w:rPr>
                <w:sz w:val="20"/>
                <w:szCs w:val="20"/>
                <w:color w:val="auto"/>
              </w:rPr>
            </w:pPr>
            <w:r>
              <w:rPr>
                <w:rFonts w:ascii="Arial" w:cs="Arial" w:eastAsia="Arial" w:hAnsi="Arial"/>
                <w:sz w:val="18"/>
                <w:szCs w:val="18"/>
                <w:color w:val="auto"/>
              </w:rPr>
              <w:t>Inline XBRL Presentation Linkbase Document.***</w:t>
            </w:r>
          </w:p>
        </w:tc>
      </w:tr>
    </w:tbl>
    <w:p>
      <w:pPr>
        <w:spacing w:after="0" w:line="2" w:lineRule="exact"/>
        <w:rPr>
          <w:sz w:val="20"/>
          <w:szCs w:val="20"/>
          <w:color w:val="auto"/>
        </w:rPr>
      </w:pPr>
    </w:p>
    <w:p>
      <w:pPr>
        <w:ind w:left="1380" w:hanging="623"/>
        <w:spacing w:after="0"/>
        <w:tabs>
          <w:tab w:leader="none" w:pos="13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11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16" w:lineRule="exact"/>
        <w:rPr>
          <w:rFonts w:ascii="Arial" w:cs="Arial" w:eastAsia="Arial" w:hAnsi="Arial"/>
          <w:sz w:val="18"/>
          <w:szCs w:val="18"/>
          <w:color w:val="auto"/>
        </w:rPr>
      </w:pPr>
    </w:p>
    <w:p>
      <w:pPr>
        <w:ind w:left="480" w:right="140" w:hanging="474"/>
        <w:spacing w:after="0" w:line="245" w:lineRule="auto"/>
        <w:tabs>
          <w:tab w:leader="none" w:pos="353"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certifications attached as Exhibits 32.1 and 32.2 accompany this Quarterly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2" w:lineRule="exact"/>
        <w:rPr>
          <w:rFonts w:ascii="Arial" w:cs="Arial" w:eastAsia="Arial" w:hAnsi="Arial"/>
          <w:sz w:val="18"/>
          <w:szCs w:val="18"/>
          <w:color w:val="auto"/>
        </w:rPr>
      </w:pPr>
    </w:p>
    <w:p>
      <w:pPr>
        <w:ind w:left="480" w:hanging="474"/>
        <w:spacing w:after="0" w:line="270" w:lineRule="auto"/>
        <w:tabs>
          <w:tab w:leader="none" w:pos="361" w:val="left"/>
        </w:tabs>
        <w:numPr>
          <w:ilvl w:val="0"/>
          <w:numId w:val="23"/>
        </w:numPr>
        <w:rPr>
          <w:rFonts w:ascii="Arial" w:cs="Arial" w:eastAsia="Arial" w:hAnsi="Arial"/>
          <w:sz w:val="17"/>
          <w:szCs w:val="17"/>
          <w:color w:val="auto"/>
        </w:rPr>
      </w:pPr>
      <w:r>
        <w:rPr>
          <w:rFonts w:ascii="Arial" w:cs="Arial" w:eastAsia="Arial" w:hAnsi="Arial"/>
          <w:sz w:val="17"/>
          <w:szCs w:val="17"/>
          <w:color w:val="auto"/>
        </w:rPr>
        <w:t>Pursuant to Rule 406T of Regulation S-T, the interactive data files on Exhibit 101 and 104 hereto are deemed not filed or part of a registration statement or prospectus for purposes of Section 11 or 12 of the Securities Act of 1933, as amended, are deemed not filed for purposes of Section 18 of the Securities and Exchange Act of 1934, as amended, and otherwise are not subject to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20"/>
          </w:cols>
          <w:pgMar w:left="320" w:top="122" w:right="45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223" w:lineRule="exact"/>
        <w:rPr>
          <w:sz w:val="20"/>
          <w:szCs w:val="20"/>
          <w:color w:val="auto"/>
        </w:rPr>
      </w:pPr>
    </w:p>
    <w:p>
      <w:pPr>
        <w:ind w:firstLine="636"/>
        <w:spacing w:after="0" w:line="26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Dine Brands Global, Inc.</w:t>
      </w:r>
    </w:p>
    <w:p>
      <w:pPr>
        <w:ind w:left="45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55" w:lineRule="exact"/>
        <w:rPr>
          <w:sz w:val="20"/>
          <w:szCs w:val="20"/>
          <w:color w:val="auto"/>
        </w:rPr>
      </w:pPr>
    </w:p>
    <w:p>
      <w:pPr>
        <w:ind w:left="820"/>
        <w:spacing w:after="0"/>
        <w:tabs>
          <w:tab w:leader="none" w:pos="5800" w:val="left"/>
          <w:tab w:leader="none" w:pos="7440" w:val="left"/>
        </w:tabs>
        <w:rPr>
          <w:sz w:val="20"/>
          <w:szCs w:val="20"/>
          <w:color w:val="auto"/>
        </w:rPr>
      </w:pPr>
      <w:r>
        <w:rPr>
          <w:rFonts w:ascii="Arial" w:cs="Arial" w:eastAsia="Arial" w:hAnsi="Arial"/>
          <w:sz w:val="18"/>
          <w:szCs w:val="18"/>
          <w:color w:val="auto"/>
        </w:rPr>
        <w:t>Dated: 4th day of November,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John W. Peyton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3874135</wp:posOffset>
            </wp:positionH>
            <wp:positionV relativeFrom="paragraph">
              <wp:posOffset>10795</wp:posOffset>
            </wp:positionV>
            <wp:extent cx="25749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74925" cy="8255"/>
                    </a:xfrm>
                    <a:prstGeom prst="rect">
                      <a:avLst/>
                    </a:prstGeom>
                    <a:noFill/>
                  </pic:spPr>
                </pic:pic>
              </a:graphicData>
            </a:graphic>
          </wp:anchor>
        </w:drawing>
      </w:r>
    </w:p>
    <w:p>
      <w:pPr>
        <w:jc w:val="center"/>
        <w:ind w:left="5000"/>
        <w:spacing w:after="0"/>
        <w:rPr>
          <w:sz w:val="20"/>
          <w:szCs w:val="20"/>
          <w:color w:val="auto"/>
        </w:rPr>
      </w:pPr>
      <w:r>
        <w:rPr>
          <w:rFonts w:ascii="Arial" w:cs="Arial" w:eastAsia="Arial" w:hAnsi="Arial"/>
          <w:sz w:val="18"/>
          <w:szCs w:val="18"/>
          <w:color w:val="auto"/>
        </w:rPr>
        <w:t>John W. Peyton</w:t>
      </w:r>
    </w:p>
    <w:p>
      <w:pPr>
        <w:jc w:val="center"/>
        <w:ind w:left="5000"/>
        <w:spacing w:after="0" w:line="199" w:lineRule="auto"/>
        <w:rPr>
          <w:sz w:val="20"/>
          <w:szCs w:val="20"/>
          <w:color w:val="auto"/>
        </w:rPr>
      </w:pPr>
      <w:r>
        <w:rPr>
          <w:rFonts w:ascii="Arial" w:cs="Arial" w:eastAsia="Arial" w:hAnsi="Arial"/>
          <w:sz w:val="18"/>
          <w:szCs w:val="18"/>
          <w:i w:val="1"/>
          <w:iCs w:val="1"/>
          <w:color w:val="auto"/>
        </w:rPr>
        <w:t>Chief Executive Officer</w:t>
      </w:r>
    </w:p>
    <w:p>
      <w:pPr>
        <w:spacing w:after="0" w:line="1" w:lineRule="exact"/>
        <w:rPr>
          <w:sz w:val="20"/>
          <w:szCs w:val="20"/>
          <w:color w:val="auto"/>
        </w:rPr>
      </w:pPr>
    </w:p>
    <w:p>
      <w:pPr>
        <w:jc w:val="center"/>
        <w:ind w:left="5000"/>
        <w:spacing w:after="0"/>
        <w:rPr>
          <w:sz w:val="20"/>
          <w:szCs w:val="20"/>
          <w:color w:val="auto"/>
        </w:rPr>
      </w:pPr>
      <w:r>
        <w:rPr>
          <w:rFonts w:ascii="Arial" w:cs="Arial" w:eastAsia="Arial" w:hAnsi="Arial"/>
          <w:sz w:val="18"/>
          <w:szCs w:val="18"/>
          <w:i w:val="1"/>
          <w:iCs w:val="1"/>
          <w:color w:val="auto"/>
        </w:rPr>
        <w:t>(Principal Executive Officer)</w:t>
      </w:r>
    </w:p>
    <w:p>
      <w:pPr>
        <w:spacing w:after="0" w:line="256" w:lineRule="exact"/>
        <w:rPr>
          <w:sz w:val="20"/>
          <w:szCs w:val="20"/>
          <w:color w:val="auto"/>
        </w:rPr>
      </w:pPr>
    </w:p>
    <w:p>
      <w:pPr>
        <w:ind w:left="820"/>
        <w:spacing w:after="0"/>
        <w:tabs>
          <w:tab w:leader="none" w:pos="5800" w:val="left"/>
          <w:tab w:leader="none" w:pos="7440" w:val="left"/>
        </w:tabs>
        <w:rPr>
          <w:sz w:val="20"/>
          <w:szCs w:val="20"/>
          <w:color w:val="auto"/>
        </w:rPr>
      </w:pPr>
      <w:r>
        <w:rPr>
          <w:rFonts w:ascii="Arial" w:cs="Arial" w:eastAsia="Arial" w:hAnsi="Arial"/>
          <w:sz w:val="18"/>
          <w:szCs w:val="18"/>
          <w:color w:val="auto"/>
        </w:rPr>
        <w:t>Dated: 4th day of November,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Vance Y.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3874135</wp:posOffset>
            </wp:positionH>
            <wp:positionV relativeFrom="paragraph">
              <wp:posOffset>10795</wp:posOffset>
            </wp:positionV>
            <wp:extent cx="25749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74925" cy="8255"/>
                    </a:xfrm>
                    <a:prstGeom prst="rect">
                      <a:avLst/>
                    </a:prstGeom>
                    <a:noFill/>
                  </pic:spPr>
                </pic:pic>
              </a:graphicData>
            </a:graphic>
          </wp:anchor>
        </w:drawing>
      </w:r>
    </w:p>
    <w:p>
      <w:pPr>
        <w:jc w:val="center"/>
        <w:ind w:left="5000"/>
        <w:spacing w:after="0"/>
        <w:rPr>
          <w:sz w:val="20"/>
          <w:szCs w:val="20"/>
          <w:color w:val="auto"/>
        </w:rPr>
      </w:pPr>
      <w:r>
        <w:rPr>
          <w:rFonts w:ascii="Arial" w:cs="Arial" w:eastAsia="Arial" w:hAnsi="Arial"/>
          <w:sz w:val="18"/>
          <w:szCs w:val="18"/>
          <w:color w:val="auto"/>
        </w:rPr>
        <w:t>Vance Y. Chang</w:t>
      </w:r>
    </w:p>
    <w:p>
      <w:pPr>
        <w:jc w:val="center"/>
        <w:ind w:left="5000"/>
        <w:spacing w:after="0" w:line="199" w:lineRule="auto"/>
        <w:rPr>
          <w:sz w:val="20"/>
          <w:szCs w:val="20"/>
          <w:color w:val="auto"/>
        </w:rPr>
      </w:pPr>
      <w:r>
        <w:rPr>
          <w:rFonts w:ascii="Arial" w:cs="Arial" w:eastAsia="Arial" w:hAnsi="Arial"/>
          <w:sz w:val="18"/>
          <w:szCs w:val="18"/>
          <w:i w:val="1"/>
          <w:iCs w:val="1"/>
          <w:color w:val="auto"/>
        </w:rPr>
        <w:t>Chief Financial Officer</w:t>
      </w:r>
    </w:p>
    <w:p>
      <w:pPr>
        <w:spacing w:after="0" w:line="1" w:lineRule="exact"/>
        <w:rPr>
          <w:sz w:val="20"/>
          <w:szCs w:val="20"/>
          <w:color w:val="auto"/>
        </w:rPr>
      </w:pPr>
    </w:p>
    <w:p>
      <w:pPr>
        <w:jc w:val="center"/>
        <w:ind w:left="5000"/>
        <w:spacing w:after="0"/>
        <w:rPr>
          <w:sz w:val="20"/>
          <w:szCs w:val="20"/>
          <w:color w:val="auto"/>
        </w:rPr>
      </w:pPr>
      <w:r>
        <w:rPr>
          <w:rFonts w:ascii="Arial" w:cs="Arial" w:eastAsia="Arial" w:hAnsi="Arial"/>
          <w:sz w:val="18"/>
          <w:szCs w:val="18"/>
          <w:i w:val="1"/>
          <w:iCs w:val="1"/>
          <w:color w:val="auto"/>
        </w:rPr>
        <w:t>(Principal Financial Officer)</w:t>
      </w:r>
    </w:p>
    <w:p>
      <w:pPr>
        <w:spacing w:after="0" w:line="230" w:lineRule="exact"/>
        <w:rPr>
          <w:sz w:val="20"/>
          <w:szCs w:val="20"/>
          <w:color w:val="auto"/>
        </w:rPr>
      </w:pPr>
    </w:p>
    <w:p>
      <w:pPr>
        <w:ind w:left="820"/>
        <w:spacing w:after="0"/>
        <w:tabs>
          <w:tab w:leader="none" w:pos="5800" w:val="left"/>
          <w:tab w:leader="none" w:pos="7560" w:val="left"/>
        </w:tabs>
        <w:rPr>
          <w:sz w:val="20"/>
          <w:szCs w:val="20"/>
          <w:color w:val="auto"/>
        </w:rPr>
      </w:pPr>
      <w:r>
        <w:rPr>
          <w:rFonts w:ascii="Arial" w:cs="Arial" w:eastAsia="Arial" w:hAnsi="Arial"/>
          <w:sz w:val="18"/>
          <w:szCs w:val="18"/>
          <w:color w:val="auto"/>
        </w:rPr>
        <w:t>Dated: 4th day of November,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Allison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3874135</wp:posOffset>
            </wp:positionH>
            <wp:positionV relativeFrom="paragraph">
              <wp:posOffset>10795</wp:posOffset>
            </wp:positionV>
            <wp:extent cx="25749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574925" cy="8255"/>
                    </a:xfrm>
                    <a:prstGeom prst="rect">
                      <a:avLst/>
                    </a:prstGeom>
                    <a:noFill/>
                  </pic:spPr>
                </pic:pic>
              </a:graphicData>
            </a:graphic>
          </wp:anchor>
        </w:drawing>
      </w:r>
    </w:p>
    <w:p>
      <w:pPr>
        <w:jc w:val="center"/>
        <w:ind w:left="5000"/>
        <w:spacing w:after="0"/>
        <w:rPr>
          <w:sz w:val="20"/>
          <w:szCs w:val="20"/>
          <w:color w:val="auto"/>
        </w:rPr>
      </w:pPr>
      <w:r>
        <w:rPr>
          <w:rFonts w:ascii="Arial" w:cs="Arial" w:eastAsia="Arial" w:hAnsi="Arial"/>
          <w:sz w:val="18"/>
          <w:szCs w:val="18"/>
          <w:color w:val="auto"/>
        </w:rPr>
        <w:t>Allison Hall</w:t>
      </w:r>
    </w:p>
    <w:p>
      <w:pPr>
        <w:jc w:val="center"/>
        <w:ind w:left="5000"/>
        <w:spacing w:after="0" w:line="199" w:lineRule="auto"/>
        <w:rPr>
          <w:sz w:val="20"/>
          <w:szCs w:val="20"/>
          <w:color w:val="auto"/>
        </w:rPr>
      </w:pPr>
      <w:r>
        <w:rPr>
          <w:rFonts w:ascii="Arial" w:cs="Arial" w:eastAsia="Arial" w:hAnsi="Arial"/>
          <w:sz w:val="18"/>
          <w:szCs w:val="18"/>
          <w:i w:val="1"/>
          <w:iCs w:val="1"/>
          <w:color w:val="auto"/>
        </w:rPr>
        <w:t>Chief Accounting Officer</w:t>
      </w:r>
    </w:p>
    <w:p>
      <w:pPr>
        <w:spacing w:after="0" w:line="1" w:lineRule="exact"/>
        <w:rPr>
          <w:sz w:val="20"/>
          <w:szCs w:val="20"/>
          <w:color w:val="auto"/>
        </w:rPr>
      </w:pPr>
    </w:p>
    <w:p>
      <w:pPr>
        <w:jc w:val="center"/>
        <w:ind w:left="5000"/>
        <w:spacing w:after="0"/>
        <w:rPr>
          <w:sz w:val="20"/>
          <w:szCs w:val="20"/>
          <w:color w:val="auto"/>
        </w:rPr>
      </w:pPr>
      <w:r>
        <w:rPr>
          <w:rFonts w:ascii="Arial" w:cs="Arial" w:eastAsia="Arial" w:hAnsi="Arial"/>
          <w:sz w:val="18"/>
          <w:szCs w:val="18"/>
          <w:i w:val="1"/>
          <w:i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720"/>
          </w:cols>
          <w:pgMar w:left="320" w:top="122" w:right="85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I, John W. Peyton, certify that:</w:t>
      </w:r>
    </w:p>
    <w:p>
      <w:pPr>
        <w:spacing w:after="0" w:line="217" w:lineRule="exact"/>
        <w:rPr>
          <w:sz w:val="20"/>
          <w:szCs w:val="20"/>
          <w:color w:val="auto"/>
        </w:rPr>
      </w:pPr>
    </w:p>
    <w:p>
      <w:pPr>
        <w:ind w:left="660" w:hanging="654"/>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Dine Brands Global, Inc.;</w:t>
      </w:r>
    </w:p>
    <w:p>
      <w:pPr>
        <w:spacing w:after="0" w:line="217" w:lineRule="exact"/>
        <w:rPr>
          <w:rFonts w:ascii="Arial" w:cs="Arial" w:eastAsia="Arial" w:hAnsi="Arial"/>
          <w:sz w:val="18"/>
          <w:szCs w:val="18"/>
          <w:color w:val="auto"/>
        </w:rPr>
      </w:pPr>
    </w:p>
    <w:p>
      <w:pPr>
        <w:ind w:right="300" w:firstLine="6"/>
        <w:spacing w:after="0" w:line="365" w:lineRule="auto"/>
        <w:tabs>
          <w:tab w:leader="none" w:pos="653" w:val="left"/>
        </w:tabs>
        <w:numPr>
          <w:ilvl w:val="0"/>
          <w:numId w:val="2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Arial" w:cs="Arial" w:eastAsia="Arial" w:hAnsi="Arial"/>
          <w:sz w:val="15"/>
          <w:szCs w:val="15"/>
          <w:color w:val="auto"/>
        </w:rPr>
      </w:pPr>
    </w:p>
    <w:p>
      <w:pPr>
        <w:ind w:right="280" w:firstLine="6"/>
        <w:spacing w:after="0" w:line="294" w:lineRule="auto"/>
        <w:tabs>
          <w:tab w:leader="none" w:pos="653"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7" w:lineRule="exact"/>
        <w:rPr>
          <w:rFonts w:ascii="Arial" w:cs="Arial" w:eastAsia="Arial" w:hAnsi="Arial"/>
          <w:sz w:val="17"/>
          <w:szCs w:val="17"/>
          <w:color w:val="auto"/>
        </w:rPr>
      </w:pPr>
    </w:p>
    <w:p>
      <w:pPr>
        <w:ind w:right="40" w:firstLine="6"/>
        <w:spacing w:after="0" w:line="255" w:lineRule="auto"/>
        <w:tabs>
          <w:tab w:leader="none" w:pos="653"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rFonts w:ascii="Arial" w:cs="Arial" w:eastAsia="Arial" w:hAnsi="Arial"/>
          <w:sz w:val="18"/>
          <w:szCs w:val="18"/>
          <w:color w:val="auto"/>
        </w:rPr>
      </w:pPr>
    </w:p>
    <w:p>
      <w:pPr>
        <w:ind w:right="100" w:firstLine="642"/>
        <w:spacing w:after="0" w:line="255" w:lineRule="auto"/>
        <w:tabs>
          <w:tab w:leader="none" w:pos="1287"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8"/>
          <w:szCs w:val="18"/>
          <w:color w:val="auto"/>
        </w:rPr>
      </w:pPr>
    </w:p>
    <w:p>
      <w:pPr>
        <w:ind w:right="60" w:firstLine="642"/>
        <w:spacing w:after="0" w:line="255" w:lineRule="auto"/>
        <w:tabs>
          <w:tab w:leader="none" w:pos="1297"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8"/>
          <w:szCs w:val="18"/>
          <w:color w:val="auto"/>
        </w:rPr>
      </w:pPr>
    </w:p>
    <w:p>
      <w:pPr>
        <w:ind w:right="420" w:firstLine="642"/>
        <w:spacing w:after="0" w:line="365" w:lineRule="auto"/>
        <w:tabs>
          <w:tab w:leader="none" w:pos="1300" w:val="left"/>
        </w:tabs>
        <w:numPr>
          <w:ilvl w:val="1"/>
          <w:numId w:val="2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Arial" w:cs="Arial" w:eastAsia="Arial" w:hAnsi="Arial"/>
          <w:sz w:val="15"/>
          <w:szCs w:val="15"/>
          <w:color w:val="auto"/>
        </w:rPr>
      </w:pPr>
    </w:p>
    <w:p>
      <w:pPr>
        <w:ind w:right="380" w:firstLine="642"/>
        <w:spacing w:after="0" w:line="255" w:lineRule="auto"/>
        <w:tabs>
          <w:tab w:leader="none" w:pos="1297"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Arial" w:cs="Arial" w:eastAsia="Arial" w:hAnsi="Arial"/>
          <w:sz w:val="18"/>
          <w:szCs w:val="18"/>
          <w:color w:val="auto"/>
        </w:rPr>
      </w:pPr>
    </w:p>
    <w:p>
      <w:pPr>
        <w:ind w:right="200" w:firstLine="6"/>
        <w:spacing w:after="0" w:line="294" w:lineRule="auto"/>
        <w:tabs>
          <w:tab w:leader="none" w:pos="653"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7" w:lineRule="exact"/>
        <w:rPr>
          <w:rFonts w:ascii="Arial" w:cs="Arial" w:eastAsia="Arial" w:hAnsi="Arial"/>
          <w:sz w:val="17"/>
          <w:szCs w:val="17"/>
          <w:color w:val="auto"/>
        </w:rPr>
      </w:pPr>
    </w:p>
    <w:p>
      <w:pPr>
        <w:ind w:right="640" w:firstLine="642"/>
        <w:spacing w:after="0" w:line="294" w:lineRule="auto"/>
        <w:tabs>
          <w:tab w:leader="none" w:pos="1287" w:val="left"/>
        </w:tabs>
        <w:numPr>
          <w:ilvl w:val="1"/>
          <w:numId w:val="2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7" w:lineRule="exact"/>
        <w:rPr>
          <w:rFonts w:ascii="Arial" w:cs="Arial" w:eastAsia="Arial" w:hAnsi="Arial"/>
          <w:sz w:val="17"/>
          <w:szCs w:val="17"/>
          <w:color w:val="auto"/>
        </w:rPr>
      </w:pPr>
    </w:p>
    <w:p>
      <w:pPr>
        <w:ind w:right="320" w:firstLine="642"/>
        <w:spacing w:after="0" w:line="264" w:lineRule="auto"/>
        <w:tabs>
          <w:tab w:leader="none" w:pos="1297"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0" w:lineRule="exact"/>
        <w:rPr>
          <w:sz w:val="20"/>
          <w:szCs w:val="20"/>
          <w:color w:val="auto"/>
        </w:rPr>
      </w:pPr>
    </w:p>
    <w:p>
      <w:pPr>
        <w:ind w:left="820"/>
        <w:spacing w:after="0"/>
        <w:tabs>
          <w:tab w:leader="none" w:pos="8380" w:val="left"/>
        </w:tabs>
        <w:rPr>
          <w:sz w:val="20"/>
          <w:szCs w:val="20"/>
          <w:color w:val="auto"/>
        </w:rPr>
      </w:pPr>
      <w:r>
        <w:rPr>
          <w:rFonts w:ascii="Arial" w:cs="Arial" w:eastAsia="Arial" w:hAnsi="Arial"/>
          <w:sz w:val="18"/>
          <w:szCs w:val="18"/>
          <w:color w:val="auto"/>
        </w:rPr>
        <w:t>Dated: 4th day of November, 2021</w:t>
      </w:r>
      <w:r>
        <w:rPr>
          <w:sz w:val="20"/>
          <w:szCs w:val="20"/>
          <w:color w:val="auto"/>
        </w:rPr>
        <w:tab/>
      </w:r>
      <w:r>
        <w:rPr>
          <w:rFonts w:ascii="Arial" w:cs="Arial" w:eastAsia="Arial" w:hAnsi="Arial"/>
          <w:sz w:val="15"/>
          <w:szCs w:val="15"/>
          <w:color w:val="auto"/>
        </w:rPr>
        <w:t>/s/ John W. Peyton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4580890</wp:posOffset>
            </wp:positionH>
            <wp:positionV relativeFrom="paragraph">
              <wp:posOffset>10795</wp:posOffset>
            </wp:positionV>
            <wp:extent cx="233045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330450" cy="8255"/>
                    </a:xfrm>
                    <a:prstGeom prst="rect">
                      <a:avLst/>
                    </a:prstGeom>
                    <a:noFill/>
                  </pic:spPr>
                </pic:pic>
              </a:graphicData>
            </a:graphic>
          </wp:anchor>
        </w:drawing>
      </w:r>
    </w:p>
    <w:p>
      <w:pPr>
        <w:jc w:val="center"/>
        <w:ind w:left="6840"/>
        <w:spacing w:after="0"/>
        <w:rPr>
          <w:sz w:val="20"/>
          <w:szCs w:val="20"/>
          <w:color w:val="auto"/>
        </w:rPr>
      </w:pPr>
      <w:r>
        <w:rPr>
          <w:rFonts w:ascii="Arial" w:cs="Arial" w:eastAsia="Arial" w:hAnsi="Arial"/>
          <w:sz w:val="18"/>
          <w:szCs w:val="18"/>
          <w:color w:val="auto"/>
        </w:rPr>
        <w:t>John W. Peyton</w:t>
      </w:r>
    </w:p>
    <w:p>
      <w:pPr>
        <w:jc w:val="center"/>
        <w:ind w:left="6840"/>
        <w:spacing w:after="0" w:line="199" w:lineRule="auto"/>
        <w:rPr>
          <w:sz w:val="20"/>
          <w:szCs w:val="20"/>
          <w:color w:val="auto"/>
        </w:rPr>
      </w:pPr>
      <w:r>
        <w:rPr>
          <w:rFonts w:ascii="Arial" w:cs="Arial" w:eastAsia="Arial" w:hAnsi="Arial"/>
          <w:sz w:val="18"/>
          <w:szCs w:val="18"/>
          <w:i w:val="1"/>
          <w:iCs w:val="1"/>
          <w:color w:val="auto"/>
        </w:rPr>
        <w:t>Chief Executive Officer</w:t>
      </w:r>
    </w:p>
    <w:p>
      <w:pPr>
        <w:spacing w:after="0" w:line="1" w:lineRule="exact"/>
        <w:rPr>
          <w:sz w:val="20"/>
          <w:szCs w:val="20"/>
          <w:color w:val="auto"/>
        </w:rPr>
      </w:pPr>
    </w:p>
    <w:p>
      <w:pPr>
        <w:jc w:val="center"/>
        <w:ind w:left="68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876"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I, Vance Y. Chang, certify that:</w:t>
      </w:r>
    </w:p>
    <w:p>
      <w:pPr>
        <w:spacing w:after="0" w:line="217" w:lineRule="exact"/>
        <w:rPr>
          <w:sz w:val="20"/>
          <w:szCs w:val="20"/>
          <w:color w:val="auto"/>
        </w:rPr>
      </w:pPr>
    </w:p>
    <w:p>
      <w:pPr>
        <w:ind w:left="660" w:hanging="654"/>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Dine Brands Global, Inc.;</w:t>
      </w:r>
    </w:p>
    <w:p>
      <w:pPr>
        <w:spacing w:after="0" w:line="217" w:lineRule="exact"/>
        <w:rPr>
          <w:rFonts w:ascii="Arial" w:cs="Arial" w:eastAsia="Arial" w:hAnsi="Arial"/>
          <w:sz w:val="18"/>
          <w:szCs w:val="18"/>
          <w:color w:val="auto"/>
        </w:rPr>
      </w:pPr>
    </w:p>
    <w:p>
      <w:pPr>
        <w:ind w:right="300" w:firstLine="6"/>
        <w:spacing w:after="0" w:line="365" w:lineRule="auto"/>
        <w:tabs>
          <w:tab w:leader="none" w:pos="653" w:val="left"/>
        </w:tabs>
        <w:numPr>
          <w:ilvl w:val="0"/>
          <w:numId w:val="2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Arial" w:cs="Arial" w:eastAsia="Arial" w:hAnsi="Arial"/>
          <w:sz w:val="15"/>
          <w:szCs w:val="15"/>
          <w:color w:val="auto"/>
        </w:rPr>
      </w:pPr>
    </w:p>
    <w:p>
      <w:pPr>
        <w:ind w:right="280" w:firstLine="6"/>
        <w:spacing w:after="0" w:line="294" w:lineRule="auto"/>
        <w:tabs>
          <w:tab w:leader="none" w:pos="653"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7" w:lineRule="exact"/>
        <w:rPr>
          <w:rFonts w:ascii="Arial" w:cs="Arial" w:eastAsia="Arial" w:hAnsi="Arial"/>
          <w:sz w:val="17"/>
          <w:szCs w:val="17"/>
          <w:color w:val="auto"/>
        </w:rPr>
      </w:pPr>
    </w:p>
    <w:p>
      <w:pPr>
        <w:ind w:right="40" w:firstLine="6"/>
        <w:spacing w:after="0" w:line="255" w:lineRule="auto"/>
        <w:tabs>
          <w:tab w:leader="none" w:pos="65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rFonts w:ascii="Arial" w:cs="Arial" w:eastAsia="Arial" w:hAnsi="Arial"/>
          <w:sz w:val="18"/>
          <w:szCs w:val="18"/>
          <w:color w:val="auto"/>
        </w:rPr>
      </w:pPr>
    </w:p>
    <w:p>
      <w:pPr>
        <w:ind w:right="100" w:firstLine="642"/>
        <w:spacing w:after="0" w:line="255" w:lineRule="auto"/>
        <w:tabs>
          <w:tab w:leader="none" w:pos="1287"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8"/>
          <w:szCs w:val="18"/>
          <w:color w:val="auto"/>
        </w:rPr>
      </w:pPr>
    </w:p>
    <w:p>
      <w:pPr>
        <w:ind w:right="60" w:firstLine="642"/>
        <w:spacing w:after="0" w:line="255" w:lineRule="auto"/>
        <w:tabs>
          <w:tab w:leader="none" w:pos="1297"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8"/>
          <w:szCs w:val="18"/>
          <w:color w:val="auto"/>
        </w:rPr>
      </w:pPr>
    </w:p>
    <w:p>
      <w:pPr>
        <w:ind w:right="420" w:firstLine="642"/>
        <w:spacing w:after="0" w:line="365" w:lineRule="auto"/>
        <w:tabs>
          <w:tab w:leader="none" w:pos="1300" w:val="left"/>
        </w:tabs>
        <w:numPr>
          <w:ilvl w:val="1"/>
          <w:numId w:val="2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Arial" w:cs="Arial" w:eastAsia="Arial" w:hAnsi="Arial"/>
          <w:sz w:val="15"/>
          <w:szCs w:val="15"/>
          <w:color w:val="auto"/>
        </w:rPr>
      </w:pPr>
    </w:p>
    <w:p>
      <w:pPr>
        <w:ind w:right="380" w:firstLine="642"/>
        <w:spacing w:after="0" w:line="255" w:lineRule="auto"/>
        <w:tabs>
          <w:tab w:leader="none" w:pos="1297"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Arial" w:cs="Arial" w:eastAsia="Arial" w:hAnsi="Arial"/>
          <w:sz w:val="18"/>
          <w:szCs w:val="18"/>
          <w:color w:val="auto"/>
        </w:rPr>
      </w:pPr>
    </w:p>
    <w:p>
      <w:pPr>
        <w:ind w:right="200" w:firstLine="6"/>
        <w:spacing w:after="0" w:line="294" w:lineRule="auto"/>
        <w:tabs>
          <w:tab w:leader="none" w:pos="653"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7" w:lineRule="exact"/>
        <w:rPr>
          <w:rFonts w:ascii="Arial" w:cs="Arial" w:eastAsia="Arial" w:hAnsi="Arial"/>
          <w:sz w:val="17"/>
          <w:szCs w:val="17"/>
          <w:color w:val="auto"/>
        </w:rPr>
      </w:pPr>
    </w:p>
    <w:p>
      <w:pPr>
        <w:ind w:right="640" w:firstLine="642"/>
        <w:spacing w:after="0" w:line="294" w:lineRule="auto"/>
        <w:tabs>
          <w:tab w:leader="none" w:pos="1287" w:val="left"/>
        </w:tabs>
        <w:numPr>
          <w:ilvl w:val="1"/>
          <w:numId w:val="2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7" w:lineRule="exact"/>
        <w:rPr>
          <w:rFonts w:ascii="Arial" w:cs="Arial" w:eastAsia="Arial" w:hAnsi="Arial"/>
          <w:sz w:val="17"/>
          <w:szCs w:val="17"/>
          <w:color w:val="auto"/>
        </w:rPr>
      </w:pPr>
    </w:p>
    <w:p>
      <w:pPr>
        <w:ind w:right="320" w:firstLine="642"/>
        <w:spacing w:after="0" w:line="264" w:lineRule="auto"/>
        <w:tabs>
          <w:tab w:leader="none" w:pos="1297"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0" w:lineRule="exact"/>
        <w:rPr>
          <w:sz w:val="20"/>
          <w:szCs w:val="20"/>
          <w:color w:val="auto"/>
        </w:rPr>
      </w:pPr>
    </w:p>
    <w:p>
      <w:pPr>
        <w:ind w:left="820"/>
        <w:spacing w:after="0"/>
        <w:tabs>
          <w:tab w:leader="none" w:pos="8340" w:val="left"/>
        </w:tabs>
        <w:rPr>
          <w:sz w:val="20"/>
          <w:szCs w:val="20"/>
          <w:color w:val="auto"/>
        </w:rPr>
      </w:pPr>
      <w:r>
        <w:rPr>
          <w:rFonts w:ascii="Arial" w:cs="Arial" w:eastAsia="Arial" w:hAnsi="Arial"/>
          <w:sz w:val="18"/>
          <w:szCs w:val="18"/>
          <w:color w:val="auto"/>
        </w:rPr>
        <w:t>Dated: 4th day of November, 2021</w:t>
      </w:r>
      <w:r>
        <w:rPr>
          <w:sz w:val="20"/>
          <w:szCs w:val="20"/>
          <w:color w:val="auto"/>
        </w:rPr>
        <w:tab/>
      </w:r>
      <w:r>
        <w:rPr>
          <w:rFonts w:ascii="Arial" w:cs="Arial" w:eastAsia="Arial" w:hAnsi="Arial"/>
          <w:sz w:val="15"/>
          <w:szCs w:val="15"/>
          <w:color w:val="auto"/>
        </w:rPr>
        <w:t>/s/ Vance Y.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4589145</wp:posOffset>
            </wp:positionH>
            <wp:positionV relativeFrom="paragraph">
              <wp:posOffset>10795</wp:posOffset>
            </wp:positionV>
            <wp:extent cx="229679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296795" cy="8255"/>
                    </a:xfrm>
                    <a:prstGeom prst="rect">
                      <a:avLst/>
                    </a:prstGeom>
                    <a:noFill/>
                  </pic:spPr>
                </pic:pic>
              </a:graphicData>
            </a:graphic>
          </wp:anchor>
        </w:drawing>
      </w:r>
    </w:p>
    <w:p>
      <w:pPr>
        <w:jc w:val="center"/>
        <w:ind w:left="6800"/>
        <w:spacing w:after="0"/>
        <w:rPr>
          <w:sz w:val="20"/>
          <w:szCs w:val="20"/>
          <w:color w:val="auto"/>
        </w:rPr>
      </w:pPr>
      <w:r>
        <w:rPr>
          <w:rFonts w:ascii="Arial" w:cs="Arial" w:eastAsia="Arial" w:hAnsi="Arial"/>
          <w:sz w:val="18"/>
          <w:szCs w:val="18"/>
          <w:color w:val="auto"/>
        </w:rPr>
        <w:t>Vance Y. Chang</w:t>
      </w:r>
    </w:p>
    <w:p>
      <w:pPr>
        <w:jc w:val="center"/>
        <w:ind w:left="6800"/>
        <w:spacing w:after="0" w:line="199" w:lineRule="auto"/>
        <w:rPr>
          <w:sz w:val="20"/>
          <w:szCs w:val="20"/>
          <w:color w:val="auto"/>
        </w:rPr>
      </w:pPr>
      <w:r>
        <w:rPr>
          <w:rFonts w:ascii="Arial" w:cs="Arial" w:eastAsia="Arial" w:hAnsi="Arial"/>
          <w:sz w:val="18"/>
          <w:szCs w:val="18"/>
          <w:i w:val="1"/>
          <w:iCs w:val="1"/>
          <w:color w:val="auto"/>
        </w:rPr>
        <w:t>Chief Financial Officer</w:t>
      </w:r>
    </w:p>
    <w:p>
      <w:pPr>
        <w:spacing w:after="0" w:line="1" w:lineRule="exact"/>
        <w:rPr>
          <w:sz w:val="20"/>
          <w:szCs w:val="20"/>
          <w:color w:val="auto"/>
        </w:rPr>
      </w:pPr>
    </w:p>
    <w:p>
      <w:pPr>
        <w:jc w:val="center"/>
        <w:ind w:left="680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876"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6" w:lineRule="exact"/>
        <w:rPr>
          <w:sz w:val="20"/>
          <w:szCs w:val="20"/>
          <w:color w:val="auto"/>
        </w:rPr>
      </w:pPr>
    </w:p>
    <w:p>
      <w:pPr>
        <w:ind w:right="220" w:firstLine="636"/>
        <w:spacing w:after="0" w:line="252" w:lineRule="auto"/>
        <w:rPr>
          <w:sz w:val="20"/>
          <w:szCs w:val="20"/>
          <w:color w:val="auto"/>
        </w:rPr>
      </w:pPr>
      <w:r>
        <w:rPr>
          <w:rFonts w:ascii="Arial" w:cs="Arial" w:eastAsia="Arial" w:hAnsi="Arial"/>
          <w:sz w:val="18"/>
          <w:szCs w:val="18"/>
          <w:color w:val="auto"/>
        </w:rPr>
        <w:t>In connection with the Quarterly Report on Form 10-Q of Dine Brands Global, Inc. (the “Company”) for the quarter ended September 30, 2021, as filed with the Securities and Exchange Commission on the 4th day of November, 2021 (the “Report”), John W. Peyton, as Chief Executive Officer of the Company, hereby certifies, pursuant to 18 U.S.C. Section 1350, as adopted pursuant to Section 906 of the Sarbanes-Oxley Act of 2002, to the best of his knowledge, that:</w:t>
      </w:r>
    </w:p>
    <w:p>
      <w:pPr>
        <w:spacing w:after="0" w:line="191" w:lineRule="exact"/>
        <w:rPr>
          <w:sz w:val="20"/>
          <w:szCs w:val="20"/>
          <w:color w:val="auto"/>
        </w:rPr>
      </w:pPr>
    </w:p>
    <w:p>
      <w:pPr>
        <w:ind w:left="1640" w:hanging="521"/>
        <w:spacing w:after="0"/>
        <w:tabs>
          <w:tab w:leader="none" w:pos="16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as amended; and</w:t>
      </w:r>
    </w:p>
    <w:p>
      <w:pPr>
        <w:spacing w:after="0" w:line="251" w:lineRule="exact"/>
        <w:rPr>
          <w:rFonts w:ascii="Arial" w:cs="Arial" w:eastAsia="Arial" w:hAnsi="Arial"/>
          <w:sz w:val="15"/>
          <w:szCs w:val="15"/>
          <w:color w:val="auto"/>
        </w:rPr>
      </w:pPr>
    </w:p>
    <w:p>
      <w:pPr>
        <w:ind w:left="1640" w:hanging="521"/>
        <w:spacing w:after="0"/>
        <w:tabs>
          <w:tab w:leader="none" w:pos="16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45" w:lineRule="exact"/>
        <w:rPr>
          <w:sz w:val="20"/>
          <w:szCs w:val="20"/>
          <w:color w:val="auto"/>
        </w:rPr>
      </w:pPr>
    </w:p>
    <w:p>
      <w:pPr>
        <w:ind w:left="20"/>
        <w:spacing w:after="0"/>
        <w:tabs>
          <w:tab w:leader="none" w:pos="780" w:val="left"/>
          <w:tab w:leader="none" w:pos="85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4th day of November, 2021</w:t>
      </w:r>
      <w:r>
        <w:rPr>
          <w:sz w:val="20"/>
          <w:szCs w:val="20"/>
          <w:color w:val="auto"/>
        </w:rPr>
        <w:tab/>
      </w:r>
      <w:r>
        <w:rPr>
          <w:rFonts w:ascii="Arial" w:cs="Arial" w:eastAsia="Arial" w:hAnsi="Arial"/>
          <w:sz w:val="15"/>
          <w:szCs w:val="15"/>
          <w:color w:val="auto"/>
        </w:rPr>
        <w:t>/s/ John W. Peyton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4723765</wp:posOffset>
            </wp:positionH>
            <wp:positionV relativeFrom="paragraph">
              <wp:posOffset>10795</wp:posOffset>
            </wp:positionV>
            <wp:extent cx="224663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246630" cy="8255"/>
                    </a:xfrm>
                    <a:prstGeom prst="rect">
                      <a:avLst/>
                    </a:prstGeom>
                    <a:noFill/>
                  </pic:spPr>
                </pic:pic>
              </a:graphicData>
            </a:graphic>
          </wp:anchor>
        </w:drawing>
      </w:r>
    </w:p>
    <w:p>
      <w:pPr>
        <w:jc w:val="center"/>
        <w:ind w:left="7160"/>
        <w:spacing w:after="0"/>
        <w:rPr>
          <w:sz w:val="20"/>
          <w:szCs w:val="20"/>
          <w:color w:val="auto"/>
        </w:rPr>
      </w:pPr>
      <w:r>
        <w:rPr>
          <w:rFonts w:ascii="Arial" w:cs="Arial" w:eastAsia="Arial" w:hAnsi="Arial"/>
          <w:sz w:val="18"/>
          <w:szCs w:val="18"/>
          <w:color w:val="auto"/>
        </w:rPr>
        <w:t>John W. Peyton</w:t>
      </w:r>
    </w:p>
    <w:p>
      <w:pPr>
        <w:jc w:val="center"/>
        <w:ind w:left="7160"/>
        <w:spacing w:after="0" w:line="199" w:lineRule="auto"/>
        <w:rPr>
          <w:sz w:val="20"/>
          <w:szCs w:val="20"/>
          <w:color w:val="auto"/>
        </w:rPr>
      </w:pPr>
      <w:r>
        <w:rPr>
          <w:rFonts w:ascii="Arial" w:cs="Arial" w:eastAsia="Arial" w:hAnsi="Arial"/>
          <w:sz w:val="18"/>
          <w:szCs w:val="18"/>
          <w:i w:val="1"/>
          <w:iCs w:val="1"/>
          <w:color w:val="auto"/>
        </w:rPr>
        <w:t>Chief Executive Officer</w:t>
      </w:r>
    </w:p>
    <w:p>
      <w:pPr>
        <w:spacing w:after="0" w:line="1" w:lineRule="exact"/>
        <w:rPr>
          <w:sz w:val="20"/>
          <w:szCs w:val="20"/>
          <w:color w:val="auto"/>
        </w:rPr>
      </w:pPr>
    </w:p>
    <w:p>
      <w:pPr>
        <w:jc w:val="center"/>
        <w:ind w:left="7160"/>
        <w:spacing w:after="0"/>
        <w:rPr>
          <w:sz w:val="20"/>
          <w:szCs w:val="20"/>
          <w:color w:val="auto"/>
        </w:rPr>
      </w:pPr>
      <w:r>
        <w:rPr>
          <w:rFonts w:ascii="Arial" w:cs="Arial" w:eastAsia="Arial" w:hAnsi="Arial"/>
          <w:sz w:val="18"/>
          <w:szCs w:val="18"/>
          <w:i w:val="1"/>
          <w:iCs w:val="1"/>
          <w:color w:val="auto"/>
        </w:rPr>
        <w:t>(Principal Executive Officer)</w:t>
      </w:r>
    </w:p>
    <w:p>
      <w:pPr>
        <w:spacing w:after="0" w:line="309" w:lineRule="exact"/>
        <w:rPr>
          <w:sz w:val="20"/>
          <w:szCs w:val="20"/>
          <w:color w:val="auto"/>
        </w:rPr>
      </w:pPr>
    </w:p>
    <w:p>
      <w:pPr>
        <w:ind w:right="120" w:firstLine="636"/>
        <w:spacing w:after="0" w:line="271" w:lineRule="auto"/>
        <w:rPr>
          <w:sz w:val="20"/>
          <w:szCs w:val="20"/>
          <w:color w:val="auto"/>
        </w:rPr>
      </w:pPr>
      <w:r>
        <w:rPr>
          <w:rFonts w:ascii="Arial" w:cs="Arial" w:eastAsia="Arial" w:hAnsi="Arial"/>
          <w:sz w:val="17"/>
          <w:szCs w:val="17"/>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 This certification shall not be deemed to be incorporated by reference into any filing under the Securities Act of 1933 or the Exchange Act except to the extent the Company expressly and specifically incorporates it by reference in such filing.</w:t>
      </w:r>
    </w:p>
    <w:p>
      <w:pPr>
        <w:sectPr>
          <w:pgSz w:w="11900" w:h="16838" w:orient="portrait"/>
          <w:cols w:equalWidth="0" w:num="1">
            <w:col w:w="11240"/>
          </w:cols>
          <w:pgMar w:left="320" w:top="876"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6" w:lineRule="exact"/>
        <w:rPr>
          <w:sz w:val="20"/>
          <w:szCs w:val="20"/>
          <w:color w:val="auto"/>
        </w:rPr>
      </w:pPr>
    </w:p>
    <w:p>
      <w:pPr>
        <w:ind w:right="220" w:firstLine="636"/>
        <w:spacing w:after="0" w:line="252" w:lineRule="auto"/>
        <w:rPr>
          <w:sz w:val="20"/>
          <w:szCs w:val="20"/>
          <w:color w:val="auto"/>
        </w:rPr>
      </w:pPr>
      <w:r>
        <w:rPr>
          <w:rFonts w:ascii="Arial" w:cs="Arial" w:eastAsia="Arial" w:hAnsi="Arial"/>
          <w:sz w:val="18"/>
          <w:szCs w:val="18"/>
          <w:color w:val="auto"/>
        </w:rPr>
        <w:t>In connection with the Quarterly Report on Form 10-Q of Dine Brands Global, Inc. (the “Company”) for the quarter ended September 30, 2021, as filed with the Securities and Exchange Commission on the 4th day of November, 2021 (the “Report”), Vance Y. Chang, as Chief Financial Officer of the Company, hereby certifies, pursuant to 18 U.S.C. Section 1350, as adopted pursuant to Section 906 of the Sarbanes-Oxley Act of 2002, to the best of his knowledge, that:</w:t>
      </w:r>
    </w:p>
    <w:p>
      <w:pPr>
        <w:spacing w:after="0" w:line="191" w:lineRule="exact"/>
        <w:rPr>
          <w:sz w:val="20"/>
          <w:szCs w:val="20"/>
          <w:color w:val="auto"/>
        </w:rPr>
      </w:pPr>
    </w:p>
    <w:p>
      <w:pPr>
        <w:ind w:left="1640" w:hanging="521"/>
        <w:spacing w:after="0"/>
        <w:tabs>
          <w:tab w:leader="none" w:pos="16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as amended; and</w:t>
      </w:r>
    </w:p>
    <w:p>
      <w:pPr>
        <w:spacing w:after="0" w:line="251" w:lineRule="exact"/>
        <w:rPr>
          <w:rFonts w:ascii="Arial" w:cs="Arial" w:eastAsia="Arial" w:hAnsi="Arial"/>
          <w:sz w:val="15"/>
          <w:szCs w:val="15"/>
          <w:color w:val="auto"/>
        </w:rPr>
      </w:pPr>
    </w:p>
    <w:p>
      <w:pPr>
        <w:ind w:left="1640" w:hanging="521"/>
        <w:spacing w:after="0"/>
        <w:tabs>
          <w:tab w:leader="none" w:pos="16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45" w:lineRule="exact"/>
        <w:rPr>
          <w:sz w:val="20"/>
          <w:szCs w:val="20"/>
          <w:color w:val="auto"/>
        </w:rPr>
      </w:pPr>
    </w:p>
    <w:p>
      <w:pPr>
        <w:ind w:left="20"/>
        <w:spacing w:after="0"/>
        <w:tabs>
          <w:tab w:leader="none" w:pos="780" w:val="left"/>
          <w:tab w:leader="none" w:pos="85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4th day of November, 2021</w:t>
      </w:r>
      <w:r>
        <w:rPr>
          <w:sz w:val="20"/>
          <w:szCs w:val="20"/>
          <w:color w:val="auto"/>
        </w:rPr>
        <w:tab/>
      </w:r>
      <w:r>
        <w:rPr>
          <w:rFonts w:ascii="Arial" w:cs="Arial" w:eastAsia="Arial" w:hAnsi="Arial"/>
          <w:sz w:val="15"/>
          <w:szCs w:val="15"/>
          <w:color w:val="auto"/>
        </w:rPr>
        <w:t>/s/ Vance Y.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4757420</wp:posOffset>
            </wp:positionH>
            <wp:positionV relativeFrom="paragraph">
              <wp:posOffset>10795</wp:posOffset>
            </wp:positionV>
            <wp:extent cx="222123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221230" cy="8255"/>
                    </a:xfrm>
                    <a:prstGeom prst="rect">
                      <a:avLst/>
                    </a:prstGeom>
                    <a:noFill/>
                  </pic:spPr>
                </pic:pic>
              </a:graphicData>
            </a:graphic>
          </wp:anchor>
        </w:drawing>
      </w:r>
    </w:p>
    <w:p>
      <w:pPr>
        <w:jc w:val="center"/>
        <w:ind w:left="7220"/>
        <w:spacing w:after="0"/>
        <w:rPr>
          <w:sz w:val="20"/>
          <w:szCs w:val="20"/>
          <w:color w:val="auto"/>
        </w:rPr>
      </w:pPr>
      <w:r>
        <w:rPr>
          <w:rFonts w:ascii="Arial" w:cs="Arial" w:eastAsia="Arial" w:hAnsi="Arial"/>
          <w:sz w:val="18"/>
          <w:szCs w:val="18"/>
          <w:color w:val="auto"/>
        </w:rPr>
        <w:t>Vance Y. Chang</w:t>
      </w:r>
    </w:p>
    <w:p>
      <w:pPr>
        <w:jc w:val="center"/>
        <w:ind w:left="7220"/>
        <w:spacing w:after="0" w:line="199" w:lineRule="auto"/>
        <w:rPr>
          <w:sz w:val="20"/>
          <w:szCs w:val="20"/>
          <w:color w:val="auto"/>
        </w:rPr>
      </w:pPr>
      <w:r>
        <w:rPr>
          <w:rFonts w:ascii="Arial" w:cs="Arial" w:eastAsia="Arial" w:hAnsi="Arial"/>
          <w:sz w:val="18"/>
          <w:szCs w:val="18"/>
          <w:i w:val="1"/>
          <w:iCs w:val="1"/>
          <w:color w:val="auto"/>
        </w:rPr>
        <w:t>Chief Financial Officer</w:t>
      </w:r>
    </w:p>
    <w:p>
      <w:pPr>
        <w:spacing w:after="0" w:line="1" w:lineRule="exact"/>
        <w:rPr>
          <w:sz w:val="20"/>
          <w:szCs w:val="20"/>
          <w:color w:val="auto"/>
        </w:rPr>
      </w:pPr>
    </w:p>
    <w:p>
      <w:pPr>
        <w:jc w:val="center"/>
        <w:ind w:left="7220"/>
        <w:spacing w:after="0"/>
        <w:rPr>
          <w:sz w:val="20"/>
          <w:szCs w:val="20"/>
          <w:color w:val="auto"/>
        </w:rPr>
      </w:pPr>
      <w:r>
        <w:rPr>
          <w:rFonts w:ascii="Arial" w:cs="Arial" w:eastAsia="Arial" w:hAnsi="Arial"/>
          <w:sz w:val="18"/>
          <w:szCs w:val="18"/>
          <w:i w:val="1"/>
          <w:iCs w:val="1"/>
          <w:color w:val="auto"/>
        </w:rPr>
        <w:t>(Principal Financial Officer)</w:t>
      </w:r>
    </w:p>
    <w:p>
      <w:pPr>
        <w:spacing w:after="0" w:line="309" w:lineRule="exact"/>
        <w:rPr>
          <w:sz w:val="20"/>
          <w:szCs w:val="20"/>
          <w:color w:val="auto"/>
        </w:rPr>
      </w:pPr>
    </w:p>
    <w:p>
      <w:pPr>
        <w:ind w:right="120" w:firstLine="636"/>
        <w:spacing w:after="0" w:line="271" w:lineRule="auto"/>
        <w:rPr>
          <w:sz w:val="20"/>
          <w:szCs w:val="20"/>
          <w:color w:val="auto"/>
        </w:rPr>
      </w:pPr>
      <w:r>
        <w:rPr>
          <w:rFonts w:ascii="Arial" w:cs="Arial" w:eastAsia="Arial" w:hAnsi="Arial"/>
          <w:sz w:val="17"/>
          <w:szCs w:val="17"/>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 This certification shall not be deemed to be incorporated by reference into any filing under the Securities Act of 1933 or the Exchange Act except to the extent the Company expressly and specifically incorporates it by reference in such filing.</w:t>
      </w:r>
    </w:p>
    <w:sectPr>
      <w:pgSz w:w="11900" w:h="16838" w:orient="portrait"/>
      <w:cols w:equalWidth="0" w:num="1">
        <w:col w:w="11240"/>
      </w:cols>
      <w:pgMar w:left="320" w:top="8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upperLetter"/>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1."/>
      <w:numFmt w:val="decimal"/>
      <w:start w:val="7"/>
    </w:lvl>
    <w:lvl w:ilvl="1">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lowerLetter"/>
      <w:start w:val="1"/>
    </w:lvl>
    <w:lvl w:ilvl="1">
      <w:lvlJc w:val="left"/>
      <w:lvlText w:val="(%2)"/>
      <w:numFmt w:val="lowerLetter"/>
      <w:start w:val="1"/>
    </w:lvl>
  </w:abstractNum>
  <w:abstractNum w:abstractNumId="13">
    <w:nsid w:val="436C6125"/>
    <w:multiLevelType w:val="hybridMultilevel"/>
    <w:lvl w:ilvl="0">
      <w:lvlJc w:val="left"/>
      <w:lvlText w:val="(%1)"/>
      <w:numFmt w:val="lowerLetter"/>
      <w:start w:val="2"/>
    </w:lvl>
    <w:lvl w:ilvl="1">
      <w:lvlJc w:val="left"/>
      <w:lvlText w:val="%2"/>
      <w:numFmt w:val="lowerLetter"/>
      <w:start w:val="1"/>
    </w:lvl>
  </w:abstractNum>
  <w:abstractNum w:abstractNumId="14">
    <w:nsid w:val="628C895D"/>
    <w:multiLevelType w:val="hybridMultilevel"/>
    <w:lvl w:ilvl="0">
      <w:lvlJc w:val="left"/>
      <w:lvlText w:val="(%1)"/>
      <w:numFmt w:val="lowerLetter"/>
      <w:start w:val="3"/>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1)"/>
      <w:numFmt w:val="lowerLetter"/>
      <w:start w:val="1"/>
    </w:lvl>
  </w:abstractNum>
  <w:abstractNum w:abstractNumId="20">
    <w:nsid w:val="75A2A8D4"/>
    <w:multiLevelType w:val="hybridMultilevel"/>
    <w:lvl w:ilvl="0">
      <w:lvlJc w:val="left"/>
      <w:lvlText w:val="*"/>
      <w:numFmt w:val="bullet"/>
      <w:start w:val="1"/>
    </w:lvl>
    <w:lvl w:ilvl="1">
      <w:lvlJc w:val="left"/>
      <w:lvlText w:val="%2"/>
      <w:numFmt w:val="decimal"/>
      <w:start w:val="104"/>
    </w:lvl>
  </w:abstractNum>
  <w:abstractNum w:abstractNumId="21">
    <w:nsid w:val="8EDBDAB"/>
    <w:multiLevelType w:val="hybridMultilevel"/>
    <w:lvl w:ilvl="0">
      <w:lvlJc w:val="left"/>
      <w:lvlText w:val="**"/>
      <w:numFmt w:val="bullet"/>
      <w:start w:val="1"/>
    </w:lvl>
    <w:lvl w:ilvl="1">
      <w:lvlJc w:val="left"/>
      <w:lvlText w:val="%2"/>
      <w:numFmt w:val="decimal"/>
      <w:start w:val="1"/>
    </w:lvl>
  </w:abstractNum>
  <w:abstractNum w:abstractNumId="22">
    <w:nsid w:val="79838CB2"/>
    <w:multiLevelType w:val="hybridMultilevel"/>
    <w:lvl w:ilvl="0">
      <w:lvlJc w:val="left"/>
      <w:lvlText w:val="***"/>
      <w:numFmt w:val="bullet"/>
      <w:start w:val="1"/>
    </w:lvl>
    <w:lvl w:ilvl="1">
      <w:lvlJc w:val="left"/>
      <w:lvlText w:val="%2"/>
      <w:numFmt w:val="decimal"/>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2021-11-04T05:34:32Z</dcterms:created>
  <dcterms:modified xsi:type="dcterms:W3CDTF">2021-11-04T05:34:32Z</dcterms:modified>
</cp:coreProperties>
</file>