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 w:lineRule="exact"/>
        <w:rPr>
          <w:sz w:val="24"/>
          <w:szCs w:val="24"/>
          <w:color w:val="auto"/>
        </w:rPr>
      </w:pPr>
    </w:p>
    <w:p>
      <w:pPr>
        <w:ind w:right="640" w:firstLine="8"/>
        <w:spacing w:after="0" w:line="250" w:lineRule="auto"/>
        <w:tabs>
          <w:tab w:leader="none" w:pos="43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right="320" w:firstLine="8"/>
        <w:spacing w:after="0" w:line="258" w:lineRule="auto"/>
        <w:tabs>
          <w:tab w:leader="none" w:pos="391"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001-15283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982345</wp:posOffset>
            </wp:positionH>
            <wp:positionV relativeFrom="paragraph">
              <wp:posOffset>19685</wp:posOffset>
            </wp:positionV>
            <wp:extent cx="145732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7325" cy="72898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19685</wp:posOffset>
            </wp:positionV>
            <wp:extent cx="1457325" cy="728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32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32"/>
          <w:szCs w:val="32"/>
          <w:b w:val="1"/>
          <w:bCs w:val="1"/>
          <w:color w:val="auto"/>
        </w:rPr>
        <w:t>Dine Brands Global,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76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95-3038279</w:t>
            </w:r>
          </w:p>
        </w:tc>
      </w:tr>
      <w:tr>
        <w:trPr>
          <w:trHeight w:val="216"/>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76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6"/>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10 West Walnut Street, 5th Floor</w:t>
            </w:r>
          </w:p>
        </w:tc>
        <w:tc>
          <w:tcPr>
            <w:tcW w:w="276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91103</w:t>
            </w:r>
          </w:p>
        </w:tc>
      </w:tr>
      <w:tr>
        <w:trPr>
          <w:trHeight w:val="216"/>
        </w:trPr>
        <w:tc>
          <w:tcPr>
            <w:tcW w:w="4700" w:type="dxa"/>
            <w:vAlign w:val="bottom"/>
          </w:tcPr>
          <w:p>
            <w:pPr>
              <w:jc w:val="right"/>
              <w:ind w:right="2279"/>
              <w:spacing w:after="0"/>
              <w:rPr>
                <w:sz w:val="20"/>
                <w:szCs w:val="20"/>
                <w:color w:val="auto"/>
              </w:rPr>
            </w:pPr>
            <w:r>
              <w:rPr>
                <w:rFonts w:ascii="Times New Roman" w:cs="Times New Roman" w:eastAsia="Times New Roman" w:hAnsi="Times New Roman"/>
                <w:sz w:val="16"/>
                <w:szCs w:val="16"/>
                <w:b w:val="1"/>
                <w:bCs w:val="1"/>
                <w:color w:val="auto"/>
              </w:rPr>
              <w:t>Pasadena CA</w:t>
            </w:r>
          </w:p>
        </w:tc>
        <w:tc>
          <w:tcPr>
            <w:tcW w:w="2760" w:type="dxa"/>
            <w:vAlign w:val="bottom"/>
          </w:tcPr>
          <w:p>
            <w:pPr>
              <w:spacing w:after="0"/>
              <w:rPr>
                <w:sz w:val="18"/>
                <w:szCs w:val="18"/>
                <w:color w:val="auto"/>
              </w:rPr>
            </w:pPr>
          </w:p>
        </w:tc>
      </w:tr>
      <w:tr>
        <w:trPr>
          <w:trHeight w:val="216"/>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76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(Zip Code)</w:t>
            </w:r>
          </w:p>
        </w:tc>
      </w:tr>
      <w:tr>
        <w:trPr>
          <w:trHeight w:val="324"/>
        </w:trPr>
        <w:tc>
          <w:tcPr>
            <w:tcW w:w="47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(818) 240-6055</w:t>
            </w:r>
          </w:p>
        </w:tc>
        <w:tc>
          <w:tcPr>
            <w:tcW w:w="2760" w:type="dxa"/>
            <w:vAlign w:val="bottom"/>
          </w:tcPr>
          <w:p>
            <w:pPr>
              <w:spacing w:after="0"/>
              <w:rPr>
                <w:sz w:val="24"/>
                <w:szCs w:val="24"/>
                <w:color w:val="auto"/>
              </w:rPr>
            </w:pPr>
          </w:p>
        </w:tc>
      </w:tr>
    </w:tbl>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4"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86"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4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04"/>
        </w:trPr>
        <w:tc>
          <w:tcPr>
            <w:tcW w:w="4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80" w:type="dxa"/>
            <w:vAlign w:val="bottom"/>
          </w:tcPr>
          <w:p>
            <w:pPr>
              <w:spacing w:after="0"/>
              <w:rPr>
                <w:sz w:val="17"/>
                <w:szCs w:val="17"/>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DIN</w:t>
            </w:r>
          </w:p>
        </w:tc>
        <w:tc>
          <w:tcPr>
            <w:tcW w:w="4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298" w:lineRule="exact"/>
        <w:rPr>
          <w:sz w:val="24"/>
          <w:szCs w:val="24"/>
          <w:color w:val="auto"/>
        </w:rPr>
      </w:pPr>
    </w:p>
    <w:p>
      <w:pPr>
        <w:ind w:right="28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ind w:right="300" w:firstLine="45"/>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20" w:firstLine="45"/>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240" w:type="dxa"/>
        <w:tblCellMar>
          <w:top w:w="0" w:type="dxa"/>
          <w:left w:w="0" w:type="dxa"/>
          <w:bottom w:w="0" w:type="dxa"/>
          <w:right w:w="0" w:type="dxa"/>
        </w:tblCellMar>
      </w:tblPr>
      <w:tr>
        <w:trPr>
          <w:trHeight w:val="211"/>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35" w:lineRule="exact"/>
        <w:rPr>
          <w:sz w:val="24"/>
          <w:szCs w:val="24"/>
          <w:color w:val="auto"/>
        </w:rPr>
      </w:pPr>
    </w:p>
    <w:p>
      <w:pPr>
        <w:ind w:right="140"/>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100" w:right="2540" w:hanging="8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July 26, 2024, the Registrant had 15,299,015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309"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3"/>
        </w:trPr>
        <w:tc>
          <w:tcPr>
            <w:tcW w:w="10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928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FINANCIAL INFORMATION</w:t>
            </w:r>
          </w:p>
        </w:tc>
        <w:tc>
          <w:tcPr>
            <w:tcW w:w="800" w:type="dxa"/>
            <w:vAlign w:val="bottom"/>
            <w:gridSpan w:val="4"/>
          </w:tcPr>
          <w:p>
            <w:pPr>
              <w:jc w:val="right"/>
              <w:ind w:right="40"/>
              <w:spacing w:after="0" w:line="182"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1—Financial Statements</w:t>
            </w:r>
          </w:p>
        </w:tc>
        <w:tc>
          <w:tcPr>
            <w:tcW w:w="7020" w:type="dxa"/>
            <w:vAlign w:val="bottom"/>
            <w:gridSpan w:val="10"/>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Balance Sheets - June 30, 2024 (unaudited) and December 31, 2023</w:t>
            </w: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(unaudited) - Three and Six Months Ended June 30, 2024 and 2023</w:t>
            </w:r>
          </w:p>
        </w:tc>
        <w:tc>
          <w:tcPr>
            <w:tcW w:w="480" w:type="dxa"/>
            <w:vAlign w:val="bottom"/>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Deficit (unaudited) - Three and Six Months Ended June 30, 2024 and 2023</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(unaudited) - Six Months Ended June 30, 2024 and 2023</w:t>
            </w:r>
          </w:p>
        </w:tc>
        <w:tc>
          <w:tcPr>
            <w:tcW w:w="144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2120" w:type="dxa"/>
            <w:vAlign w:val="bottom"/>
            <w:gridSpan w:val="3"/>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2—Management’s Discussion and Analysis of Financial Condition and Results of Operations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3—Quantitative and Qualitative Disclosures about Market Risk</w:t>
            </w:r>
          </w:p>
        </w:tc>
        <w:tc>
          <w:tcPr>
            <w:tcW w:w="2200" w:type="dxa"/>
            <w:vAlign w:val="bottom"/>
            <w:tcBorders>
              <w:top w:val="single" w:sz="8" w:color="0000FF"/>
            </w:tcBorders>
            <w:gridSpan w:val="3"/>
          </w:tcPr>
          <w:p>
            <w:pPr>
              <w:spacing w:after="0"/>
              <w:rPr>
                <w:sz w:val="18"/>
                <w:szCs w:val="18"/>
                <w:color w:val="auto"/>
              </w:rPr>
            </w:pPr>
          </w:p>
        </w:tc>
        <w:tc>
          <w:tcPr>
            <w:tcW w:w="212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300" w:type="dxa"/>
            <w:vAlign w:val="bottom"/>
            <w:vMerge w:val="restart"/>
          </w:tcPr>
          <w:p>
            <w:pPr>
              <w:spacing w:after="0"/>
              <w:rPr>
                <w:sz w:val="18"/>
                <w:szCs w:val="18"/>
                <w:color w:val="auto"/>
              </w:rPr>
            </w:pP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4—Controls and Procedures</w:t>
            </w:r>
          </w:p>
        </w:tc>
        <w:tc>
          <w:tcPr>
            <w:tcW w:w="6860" w:type="dxa"/>
            <w:vAlign w:val="bottom"/>
            <w:gridSpan w:val="9"/>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2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Item 1—Legal Proceedings</w:t>
            </w:r>
          </w:p>
        </w:tc>
        <w:tc>
          <w:tcPr>
            <w:tcW w:w="7300" w:type="dxa"/>
            <w:vAlign w:val="bottom"/>
            <w:gridSpan w:val="1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Item 1A—Risk Factors</w:t>
            </w:r>
          </w:p>
        </w:tc>
        <w:tc>
          <w:tcPr>
            <w:tcW w:w="7600" w:type="dxa"/>
            <w:vAlign w:val="bottom"/>
            <w:gridSpan w:val="15"/>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2—Unregistered Sales of Equity Securities and Use of Proceeds</w:t>
            </w:r>
          </w:p>
        </w:tc>
        <w:tc>
          <w:tcPr>
            <w:tcW w:w="4280" w:type="dxa"/>
            <w:vAlign w:val="bottom"/>
            <w:gridSpan w:val="5"/>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3—Defaults Upon Senior Securities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4—Mine Safety Disclosures</w:t>
            </w:r>
          </w:p>
        </w:tc>
        <w:tc>
          <w:tcPr>
            <w:tcW w:w="540" w:type="dxa"/>
            <w:vAlign w:val="bottom"/>
            <w:tcBorders>
              <w:top w:val="single" w:sz="8" w:color="0000FF"/>
            </w:tcBorders>
          </w:tcPr>
          <w:p>
            <w:pPr>
              <w:spacing w:after="0"/>
              <w:rPr>
                <w:sz w:val="18"/>
                <w:szCs w:val="18"/>
                <w:color w:val="auto"/>
              </w:rPr>
            </w:pPr>
          </w:p>
        </w:tc>
        <w:tc>
          <w:tcPr>
            <w:tcW w:w="6320" w:type="dxa"/>
            <w:vAlign w:val="bottom"/>
            <w:gridSpan w:val="8"/>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Item 5—Other Information</w:t>
            </w:r>
          </w:p>
        </w:tc>
        <w:tc>
          <w:tcPr>
            <w:tcW w:w="7320" w:type="dxa"/>
            <w:vAlign w:val="bottom"/>
            <w:gridSpan w:val="13"/>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6—Exhibits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80" w:type="dxa"/>
            <w:vAlign w:val="bottom"/>
            <w:tcBorders>
              <w:top w:val="single" w:sz="8" w:color="0000FF"/>
            </w:tcBorders>
          </w:tcPr>
          <w:p>
            <w:pPr>
              <w:spacing w:after="0"/>
              <w:rPr>
                <w:sz w:val="18"/>
                <w:szCs w:val="18"/>
                <w:color w:val="auto"/>
              </w:rPr>
            </w:pPr>
          </w:p>
        </w:tc>
        <w:tc>
          <w:tcPr>
            <w:tcW w:w="8040" w:type="dxa"/>
            <w:vAlign w:val="bottom"/>
            <w:gridSpan w:val="16"/>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8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factors, which may cause actual results to be materially different from those expressed or implied in such statements. These factors include, but are not limited to: general economic conditions, including the impact of inflation, particularly as it may impact our franchisees directly;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natural disasters, pandemics, epidemics, or other serious incidents; our success with development initiatives outside of our core business; the adequacy of our internal controls over financial reporting and future changes in accounting standards; and other factors discussed from time to time in the "Risk Factors" section of the Corporation's Annual Report on Form 10-K for the fiscal year ended December 31, 2023 and in the Corporation's other filings with the Securities and Exchange Commission, many of which are beyond our control.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Quarter End</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2024 began on January 1, 2024 and ended on March 31, 2024, and the second fiscal quarter of 2024 ended on June 30, 2024. The first fiscal quarter of 2023 began on January 2, 2023 and ended on April 2, 2023, and the second fiscal quarter of 2023 ended on July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6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0"/>
        </w:trPr>
        <w:tc>
          <w:tcPr>
            <w:tcW w:w="6960" w:type="dxa"/>
            <w:vAlign w:val="bottom"/>
          </w:tcPr>
          <w:p>
            <w:pPr>
              <w:ind w:left="32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153,534</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146,034</w:t>
            </w:r>
          </w:p>
        </w:tc>
        <w:tc>
          <w:tcPr>
            <w:tcW w:w="0" w:type="dxa"/>
            <w:vAlign w:val="bottom"/>
          </w:tcPr>
          <w:p>
            <w:pPr>
              <w:spacing w:after="0"/>
              <w:rPr>
                <w:sz w:val="1"/>
                <w:szCs w:val="1"/>
                <w:color w:val="auto"/>
              </w:rPr>
            </w:pPr>
          </w:p>
        </w:tc>
      </w:tr>
      <w:tr>
        <w:trPr>
          <w:trHeight w:val="21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of $3,772 (2024) and $4,462 (2023)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127,937</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45,357</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35,058</w:t>
            </w:r>
          </w:p>
        </w:tc>
        <w:tc>
          <w:tcPr>
            <w:tcW w:w="0" w:type="dxa"/>
            <w:vAlign w:val="bottom"/>
          </w:tcPr>
          <w:p>
            <w:pPr>
              <w:spacing w:after="0"/>
              <w:rPr>
                <w:sz w:val="1"/>
                <w:szCs w:val="1"/>
                <w:color w:val="auto"/>
              </w:rPr>
            </w:pPr>
          </w:p>
        </w:tc>
      </w:tr>
      <w:tr>
        <w:trPr>
          <w:trHeight w:val="21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gift card costs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29,545</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income taxes</w:t>
            </w:r>
          </w:p>
        </w:tc>
        <w:tc>
          <w:tcPr>
            <w:tcW w:w="34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15,759</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319,602</w:t>
            </w: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357,778</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restricted cash</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158,101</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161,891</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275,214</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rent receivable</w:t>
            </w:r>
          </w:p>
        </w:tc>
        <w:tc>
          <w:tcPr>
            <w:tcW w:w="34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28,888</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33,326</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receivables, net of allowance of $652 (2024) and $5,002 (2023)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35,602</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254,062</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254,062</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580,793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586,033</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34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18,195</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16,881</w:t>
            </w:r>
          </w:p>
        </w:tc>
        <w:tc>
          <w:tcPr>
            <w:tcW w:w="0" w:type="dxa"/>
            <w:vAlign w:val="bottom"/>
          </w:tcPr>
          <w:p>
            <w:pPr>
              <w:spacing w:after="0"/>
              <w:rPr>
                <w:sz w:val="1"/>
                <w:szCs w:val="1"/>
                <w:color w:val="auto"/>
              </w:rPr>
            </w:pPr>
          </w:p>
        </w:tc>
      </w:tr>
      <w:tr>
        <w:trPr>
          <w:trHeight w:val="212"/>
        </w:trPr>
        <w:tc>
          <w:tcPr>
            <w:tcW w:w="69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1,693,502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1,740,287</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34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34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36,193</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Gift card liability</w:t>
            </w:r>
          </w:p>
        </w:tc>
        <w:tc>
          <w:tcPr>
            <w:tcW w:w="34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142,206</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175,640</w:t>
            </w:r>
          </w:p>
        </w:tc>
        <w:tc>
          <w:tcPr>
            <w:tcW w:w="0" w:type="dxa"/>
            <w:vAlign w:val="bottom"/>
          </w:tcPr>
          <w:p>
            <w:pPr>
              <w:spacing w:after="0"/>
              <w:rPr>
                <w:sz w:val="1"/>
                <w:szCs w:val="1"/>
                <w:color w:val="auto"/>
              </w:rPr>
            </w:pPr>
          </w:p>
        </w:tc>
      </w:tr>
      <w:tr>
        <w:trPr>
          <w:trHeight w:val="21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maturities of operating lease obligations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63,498</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Current maturities of finance lease and financing obligations</w:t>
            </w:r>
          </w:p>
        </w:tc>
        <w:tc>
          <w:tcPr>
            <w:tcW w:w="34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7,243</w:t>
            </w:r>
          </w:p>
        </w:tc>
        <w:tc>
          <w:tcPr>
            <w:tcW w:w="0" w:type="dxa"/>
            <w:vAlign w:val="bottom"/>
          </w:tcPr>
          <w:p>
            <w:pPr>
              <w:spacing w:after="0"/>
              <w:rPr>
                <w:sz w:val="1"/>
                <w:szCs w:val="1"/>
                <w:color w:val="auto"/>
              </w:rPr>
            </w:pPr>
          </w:p>
        </w:tc>
      </w:tr>
      <w:tr>
        <w:trPr>
          <w:trHeight w:val="21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23,211</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advertising expenses</w:t>
            </w:r>
          </w:p>
        </w:tc>
        <w:tc>
          <w:tcPr>
            <w:tcW w:w="34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9,446</w:t>
            </w:r>
          </w:p>
        </w:tc>
        <w:tc>
          <w:tcPr>
            <w:tcW w:w="0" w:type="dxa"/>
            <w:vAlign w:val="bottom"/>
          </w:tcPr>
          <w:p>
            <w:pPr>
              <w:spacing w:after="0"/>
              <w:rPr>
                <w:sz w:val="1"/>
                <w:szCs w:val="1"/>
                <w:color w:val="auto"/>
              </w:rPr>
            </w:pPr>
          </w:p>
        </w:tc>
      </w:tr>
      <w:tr>
        <w:trPr>
          <w:trHeight w:val="21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payable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7,827</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accrued expenses</w:t>
            </w:r>
          </w:p>
        </w:tc>
        <w:tc>
          <w:tcPr>
            <w:tcW w:w="34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29,135</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37,394</w:t>
            </w:r>
          </w:p>
        </w:tc>
        <w:tc>
          <w:tcPr>
            <w:tcW w:w="0" w:type="dxa"/>
            <w:vAlign w:val="bottom"/>
          </w:tcPr>
          <w:p>
            <w:pPr>
              <w:spacing w:after="0"/>
              <w:rPr>
                <w:sz w:val="1"/>
                <w:szCs w:val="1"/>
                <w:color w:val="auto"/>
              </w:rPr>
            </w:pPr>
          </w:p>
        </w:tc>
      </w:tr>
      <w:tr>
        <w:trPr>
          <w:trHeight w:val="207"/>
        </w:trPr>
        <w:tc>
          <w:tcPr>
            <w:tcW w:w="69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394,171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460,452</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less current maturities</w:t>
            </w:r>
          </w:p>
        </w:tc>
        <w:tc>
          <w:tcPr>
            <w:tcW w:w="34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1,085,510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1,084,502</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obligations, less current maturities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269,097</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obligations, less current maturities</w:t>
            </w:r>
          </w:p>
        </w:tc>
        <w:tc>
          <w:tcPr>
            <w:tcW w:w="34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34,389</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obligations, less current maturities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26,984</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4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58,898</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60,829</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franchise revenue, long-term</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38,658</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15,930</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16,350</w:t>
            </w:r>
          </w:p>
        </w:tc>
        <w:tc>
          <w:tcPr>
            <w:tcW w:w="0" w:type="dxa"/>
            <w:vAlign w:val="bottom"/>
          </w:tcPr>
          <w:p>
            <w:pPr>
              <w:spacing w:after="0"/>
              <w:rPr>
                <w:sz w:val="1"/>
                <w:szCs w:val="1"/>
                <w:color w:val="auto"/>
              </w:rPr>
            </w:pPr>
          </w:p>
        </w:tc>
      </w:tr>
      <w:tr>
        <w:trPr>
          <w:trHeight w:val="207"/>
        </w:trPr>
        <w:tc>
          <w:tcPr>
            <w:tcW w:w="69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1,925,204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1,991,261</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4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Preferred stock, $1 par value, 10,000,000 shares authorized; no shares issued and outstanding</w:t>
            </w:r>
          </w:p>
        </w:tc>
        <w:tc>
          <w:tcPr>
            <w:tcW w:w="34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69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Common stock, $0.01 par value; shares: 40,000,000 authorized; June 30, 2024 - 24,814,459 issued,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13"/>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15,299,270 outstanding; December 31, 2023 - 24,870,529 issued, 15,344,768 outstanding</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4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249,265</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256,542</w:t>
            </w:r>
          </w:p>
        </w:tc>
        <w:tc>
          <w:tcPr>
            <w:tcW w:w="0" w:type="dxa"/>
            <w:vAlign w:val="bottom"/>
          </w:tcPr>
          <w:p>
            <w:pPr>
              <w:spacing w:after="0"/>
              <w:rPr>
                <w:sz w:val="1"/>
                <w:szCs w:val="1"/>
                <w:color w:val="auto"/>
              </w:rPr>
            </w:pPr>
          </w:p>
        </w:tc>
      </w:tr>
      <w:tr>
        <w:trPr>
          <w:trHeight w:val="213"/>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150,008</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Treasury stock, at cost; shares: June 30, 2024 - 9,515,189; December 31, 2023 - 9,525,761</w:t>
            </w:r>
          </w:p>
        </w:tc>
        <w:tc>
          <w:tcPr>
            <w:tcW w:w="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(656,118)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(657,709)</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34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(231,702)</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(250,974)</w:t>
            </w:r>
          </w:p>
        </w:tc>
        <w:tc>
          <w:tcPr>
            <w:tcW w:w="0" w:type="dxa"/>
            <w:vAlign w:val="bottom"/>
          </w:tcPr>
          <w:p>
            <w:pPr>
              <w:spacing w:after="0"/>
              <w:rPr>
                <w:sz w:val="1"/>
                <w:szCs w:val="1"/>
                <w:color w:val="auto"/>
              </w:rPr>
            </w:pPr>
          </w:p>
        </w:tc>
      </w:tr>
      <w:tr>
        <w:trPr>
          <w:trHeight w:val="212"/>
        </w:trPr>
        <w:tc>
          <w:tcPr>
            <w:tcW w:w="69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3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1,693,502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1,740,287</w:t>
            </w:r>
          </w:p>
        </w:tc>
        <w:tc>
          <w:tcPr>
            <w:tcW w:w="0" w:type="dxa"/>
            <w:vAlign w:val="bottom"/>
          </w:tcPr>
          <w:p>
            <w:pPr>
              <w:spacing w:after="0"/>
              <w:rPr>
                <w:sz w:val="1"/>
                <w:szCs w:val="1"/>
                <w:color w:val="auto"/>
              </w:rPr>
            </w:pPr>
          </w:p>
        </w:tc>
      </w:tr>
      <w:tr>
        <w:trPr>
          <w:trHeight w:val="21"/>
        </w:trPr>
        <w:tc>
          <w:tcPr>
            <w:tcW w:w="6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ectPr>
          <w:pgSz w:w="11900" w:h="16838" w:orient="portrait"/>
          <w:cols w:equalWidth="0" w:num="1">
            <w:col w:w="11140"/>
          </w:cols>
          <w:pgMar w:left="320" w:top="225" w:right="4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 revenues:</w:t>
            </w:r>
          </w:p>
        </w:tc>
        <w:tc>
          <w:tcPr>
            <w:tcW w:w="46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Royalties, franchise fees and other</w:t>
            </w:r>
          </w:p>
        </w:tc>
        <w:tc>
          <w:tcPr>
            <w:tcW w:w="4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101,980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101,938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202,596</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204,863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Advertising revenues</w:t>
            </w:r>
          </w:p>
        </w:tc>
        <w:tc>
          <w:tcPr>
            <w:tcW w:w="46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74,518</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75,979</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149,779</w:t>
            </w:r>
          </w:p>
        </w:tc>
        <w:tc>
          <w:tcPr>
            <w:tcW w:w="12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153,016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franchise revenues</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176,498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352,375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357,879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Company restaurant sales</w:t>
            </w:r>
          </w:p>
        </w:tc>
        <w:tc>
          <w:tcPr>
            <w:tcW w:w="46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Rental revenues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61,391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 revenues</w:t>
            </w:r>
          </w:p>
        </w:tc>
        <w:tc>
          <w:tcPr>
            <w:tcW w:w="46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2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revenues</w:t>
            </w:r>
          </w:p>
        </w:tc>
        <w:tc>
          <w:tcPr>
            <w:tcW w:w="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206,267</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208,415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412,502</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422,182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46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 expenses: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Advertising expenses</w:t>
            </w:r>
          </w:p>
        </w:tc>
        <w:tc>
          <w:tcPr>
            <w:tcW w:w="46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74,518</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75,979</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149,779</w:t>
            </w:r>
          </w:p>
        </w:tc>
        <w:tc>
          <w:tcPr>
            <w:tcW w:w="1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Bad debt (credit) expense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franchise expenses</w:t>
            </w:r>
          </w:p>
        </w:tc>
        <w:tc>
          <w:tcPr>
            <w:tcW w:w="46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11,164</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10,580</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22,193</w:t>
            </w:r>
          </w:p>
        </w:tc>
        <w:tc>
          <w:tcPr>
            <w:tcW w:w="12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franchise expenses</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88,280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171,426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175,646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Company restaurant expenses</w:t>
            </w:r>
          </w:p>
        </w:tc>
        <w:tc>
          <w:tcPr>
            <w:tcW w:w="46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Rental expenses: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from finance leases</w:t>
            </w:r>
          </w:p>
        </w:tc>
        <w:tc>
          <w:tcPr>
            <w:tcW w:w="46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1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rental expenses</w:t>
            </w:r>
          </w:p>
        </w:tc>
        <w:tc>
          <w:tcPr>
            <w:tcW w:w="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20,911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21,573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42,126</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rental expenses</w:t>
            </w:r>
          </w:p>
        </w:tc>
        <w:tc>
          <w:tcPr>
            <w:tcW w:w="46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21,650</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22,268</w:t>
            </w: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43,605</w:t>
            </w:r>
          </w:p>
        </w:tc>
        <w:tc>
          <w:tcPr>
            <w:tcW w:w="1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Financing expenses</w:t>
            </w:r>
          </w:p>
        </w:tc>
        <w:tc>
          <w:tcPr>
            <w:tcW w:w="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cost of revenues</w:t>
            </w:r>
          </w:p>
        </w:tc>
        <w:tc>
          <w:tcPr>
            <w:tcW w:w="460" w:type="dxa"/>
            <w:vAlign w:val="bottom"/>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106,996</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111,073</w:t>
            </w:r>
          </w:p>
        </w:tc>
        <w:tc>
          <w:tcPr>
            <w:tcW w:w="10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215,807</w:t>
            </w:r>
          </w:p>
        </w:tc>
        <w:tc>
          <w:tcPr>
            <w:tcW w:w="12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221,224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97,342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196,695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200,958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46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46,858</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47,840</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99,045</w:t>
            </w:r>
          </w:p>
        </w:tc>
        <w:tc>
          <w:tcPr>
            <w:tcW w:w="1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32,490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Closure and impairment charges</w:t>
            </w:r>
          </w:p>
        </w:tc>
        <w:tc>
          <w:tcPr>
            <w:tcW w:w="46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46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(gain) on disposition of assets</w:t>
            </w:r>
          </w:p>
        </w:tc>
        <w:tc>
          <w:tcPr>
            <w:tcW w:w="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6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31,224</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24,437</w:t>
            </w: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55,270</w:t>
            </w:r>
          </w:p>
        </w:tc>
        <w:tc>
          <w:tcPr>
            <w:tcW w:w="1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(14,615)</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6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23,182</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18,248</w:t>
            </w: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40,655</w:t>
            </w:r>
          </w:p>
        </w:tc>
        <w:tc>
          <w:tcPr>
            <w:tcW w:w="1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(loss) income net of tax:</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460" w:type="dxa"/>
            <w:vAlign w:val="bottom"/>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4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23,179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18,247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40,650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46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46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40,655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Net income allocated to unvested participating restricted stock</w:t>
            </w:r>
          </w:p>
        </w:tc>
        <w:tc>
          <w:tcPr>
            <w:tcW w:w="460" w:type="dxa"/>
            <w:vAlign w:val="bottom"/>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12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0" w:type="dxa"/>
            <w:vAlign w:val="bottom"/>
          </w:tcPr>
          <w:p>
            <w:pPr>
              <w:spacing w:after="0"/>
              <w:rPr>
                <w:sz w:val="1"/>
                <w:szCs w:val="1"/>
                <w:color w:val="auto"/>
              </w:rPr>
            </w:pPr>
          </w:p>
        </w:tc>
      </w:tr>
      <w:tr>
        <w:trPr>
          <w:trHeight w:val="212"/>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4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22,479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17,802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39,449</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5480" w:type="dxa"/>
            <w:vAlign w:val="bottom"/>
            <w:shd w:val="clear" w:color="auto" w:fill="CCEEFF"/>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 per share: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0"/>
                <w:szCs w:val="20"/>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460" w:type="dxa"/>
            <w:vAlign w:val="bottom"/>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46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46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14,962</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460" w:type="dxa"/>
            <w:vAlign w:val="bottom"/>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14,943</w:t>
            </w:r>
          </w:p>
        </w:tc>
        <w:tc>
          <w:tcPr>
            <w:tcW w:w="100" w:type="dxa"/>
            <w:vAlign w:val="bottom"/>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15,317</w:t>
            </w:r>
          </w:p>
        </w:tc>
        <w:tc>
          <w:tcPr>
            <w:tcW w:w="10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14,962</w:t>
            </w:r>
          </w:p>
        </w:tc>
        <w:tc>
          <w:tcPr>
            <w:tcW w:w="120" w:type="dxa"/>
            <w:vAlign w:val="bottom"/>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ectPr>
          <w:pgSz w:w="11900" w:h="16838" w:orient="portrait"/>
          <w:cols w:equalWidth="0" w:num="1">
            <w:col w:w="11260"/>
          </w:cols>
          <w:pgMar w:left="30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225"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w:t>
      </w:r>
    </w:p>
    <w:p>
      <w:pPr>
        <w:spacing w:after="0" w:line="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 thousands except shares)</w:t>
      </w:r>
    </w:p>
    <w:p>
      <w:pPr>
        <w:spacing w:after="0" w:line="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10"/>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62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5"/>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7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4"/>
                <w:szCs w:val="14"/>
                <w:color w:val="auto"/>
              </w:rPr>
            </w:pPr>
          </w:p>
        </w:tc>
        <w:tc>
          <w:tcPr>
            <w:tcW w:w="8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00" w:type="dxa"/>
            <w:vAlign w:val="bottom"/>
            <w:tcBorders>
              <w:right w:val="single" w:sz="8" w:color="CCEEFF"/>
            </w:tcBorders>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15,453,001</w:t>
            </w:r>
          </w:p>
        </w:tc>
        <w:tc>
          <w:tcPr>
            <w:tcW w:w="120" w:type="dxa"/>
            <w:vAlign w:val="bottom"/>
            <w:tcBorders>
              <w:right w:val="single" w:sz="8" w:color="CCEEFF"/>
            </w:tcBorders>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right w:val="single" w:sz="8" w:color="CCEEFF"/>
            </w:tcBorders>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245,680</w:t>
            </w:r>
          </w:p>
        </w:tc>
        <w:tc>
          <w:tcPr>
            <w:tcW w:w="100" w:type="dxa"/>
            <w:vAlign w:val="bottom"/>
            <w:tcBorders>
              <w:righ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159,597</w:t>
            </w:r>
          </w:p>
        </w:tc>
        <w:tc>
          <w:tcPr>
            <w:tcW w:w="120" w:type="dxa"/>
            <w:vAlign w:val="bottom"/>
            <w:tcBorders>
              <w:right w:val="single" w:sz="8" w:color="CCEEFF"/>
            </w:tcBorders>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7"/>
              </w:rPr>
              <w:t>(66)</w:t>
            </w:r>
          </w:p>
        </w:tc>
        <w:tc>
          <w:tcPr>
            <w:tcW w:w="20" w:type="dxa"/>
            <w:vAlign w:val="bottom"/>
          </w:tcPr>
          <w:p>
            <w:pPr>
              <w:spacing w:after="0"/>
              <w:rPr>
                <w:sz w:val="18"/>
                <w:szCs w:val="18"/>
                <w:color w:val="auto"/>
              </w:rPr>
            </w:pPr>
          </w:p>
        </w:tc>
        <w:tc>
          <w:tcPr>
            <w:tcW w:w="80" w:type="dxa"/>
            <w:vAlign w:val="bottom"/>
            <w:tcBorders>
              <w:righ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9,377,123</w:t>
            </w:r>
          </w:p>
        </w:tc>
        <w:tc>
          <w:tcPr>
            <w:tcW w:w="80" w:type="dxa"/>
            <w:vAlign w:val="bottom"/>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(650,264)</w:t>
            </w:r>
          </w:p>
        </w:tc>
        <w:tc>
          <w:tcPr>
            <w:tcW w:w="80" w:type="dxa"/>
            <w:vAlign w:val="bottom"/>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(244,805)</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23,182</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79"/>
              <w:spacing w:after="0"/>
              <w:rPr>
                <w:sz w:val="20"/>
                <w:szCs w:val="20"/>
                <w:color w:val="auto"/>
              </w:rPr>
            </w:pPr>
            <w:r>
              <w:rPr>
                <w:rFonts w:ascii="Times New Roman" w:cs="Times New Roman" w:eastAsia="Times New Roman" w:hAnsi="Times New Roman"/>
                <w:sz w:val="16"/>
                <w:szCs w:val="16"/>
                <w:color w:val="auto"/>
                <w:w w:val="96"/>
              </w:rPr>
              <w:t>(3)</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141,142</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10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10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0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(7,807)</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(7,771)</w:t>
            </w:r>
          </w:p>
        </w:tc>
        <w:tc>
          <w:tcPr>
            <w:tcW w:w="0" w:type="dxa"/>
            <w:vAlign w:val="bottom"/>
          </w:tcPr>
          <w:p>
            <w:pPr>
              <w:spacing w:after="0"/>
              <w:rPr>
                <w:sz w:val="1"/>
                <w:szCs w:val="1"/>
                <w:color w:val="auto"/>
              </w:rPr>
            </w:pPr>
          </w:p>
        </w:tc>
      </w:tr>
      <w:tr>
        <w:trPr>
          <w:trHeight w:val="162"/>
        </w:trPr>
        <w:tc>
          <w:tcPr>
            <w:tcW w:w="3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4"/>
            <w:vMerge w:val="restart"/>
          </w:tcPr>
          <w:p>
            <w:pPr>
              <w:jc w:val="center"/>
              <w:ind w:left="4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00" w:type="dxa"/>
            <w:vAlign w:val="bottom"/>
            <w:tcBorders>
              <w:right w:val="single" w:sz="8" w:color="CCEEFF"/>
            </w:tcBorders>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15,299,270</w:t>
            </w:r>
          </w:p>
        </w:tc>
        <w:tc>
          <w:tcPr>
            <w:tcW w:w="120" w:type="dxa"/>
            <w:vAlign w:val="bottom"/>
            <w:tcBorders>
              <w:right w:val="single" w:sz="8" w:color="CCEEFF"/>
            </w:tcBorders>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right w:val="single" w:sz="8" w:color="CCEEFF"/>
            </w:tcBorders>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249,265</w:t>
            </w:r>
          </w:p>
        </w:tc>
        <w:tc>
          <w:tcPr>
            <w:tcW w:w="100" w:type="dxa"/>
            <w:vAlign w:val="bottom"/>
            <w:tcBorders>
              <w:right w:val="single" w:sz="8" w:color="CCEEFF"/>
            </w:tcBorders>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174,972</w:t>
            </w:r>
          </w:p>
        </w:tc>
        <w:tc>
          <w:tcPr>
            <w:tcW w:w="120" w:type="dxa"/>
            <w:vAlign w:val="bottom"/>
            <w:tcBorders>
              <w:right w:val="single" w:sz="8" w:color="CCEEFF"/>
            </w:tcBorders>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7"/>
              </w:rPr>
              <w:t>(69)</w:t>
            </w:r>
          </w:p>
        </w:tc>
        <w:tc>
          <w:tcPr>
            <w:tcW w:w="20" w:type="dxa"/>
            <w:vAlign w:val="bottom"/>
          </w:tcPr>
          <w:p>
            <w:pPr>
              <w:spacing w:after="0"/>
              <w:rPr>
                <w:sz w:val="20"/>
                <w:szCs w:val="20"/>
                <w:color w:val="auto"/>
              </w:rPr>
            </w:pPr>
          </w:p>
        </w:tc>
        <w:tc>
          <w:tcPr>
            <w:tcW w:w="80" w:type="dxa"/>
            <w:vAlign w:val="bottom"/>
            <w:tcBorders>
              <w:right w:val="single" w:sz="8" w:color="CCEEFF"/>
            </w:tcBorders>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9,515,189</w:t>
            </w:r>
          </w:p>
        </w:tc>
        <w:tc>
          <w:tcPr>
            <w:tcW w:w="80" w:type="dxa"/>
            <w:vAlign w:val="bottom"/>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(656,118)</w:t>
            </w:r>
          </w:p>
        </w:tc>
        <w:tc>
          <w:tcPr>
            <w:tcW w:w="80" w:type="dxa"/>
            <w:vAlign w:val="bottom"/>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(231,702)</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4"/>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0"/>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62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5"/>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7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4"/>
                <w:szCs w:val="14"/>
                <w:color w:val="auto"/>
              </w:rPr>
            </w:pPr>
          </w:p>
        </w:tc>
        <w:tc>
          <w:tcPr>
            <w:tcW w:w="8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00" w:type="dxa"/>
            <w:vAlign w:val="bottom"/>
            <w:tcBorders>
              <w:left w:val="single" w:sz="8" w:color="CCEEFF"/>
            </w:tcBorders>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15,344,768</w:t>
            </w:r>
          </w:p>
        </w:tc>
        <w:tc>
          <w:tcPr>
            <w:tcW w:w="120" w:type="dxa"/>
            <w:vAlign w:val="bottom"/>
            <w:tcBorders>
              <w:left w:val="single" w:sz="8" w:color="CCEEFF"/>
            </w:tcBorders>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left w:val="single" w:sz="8" w:color="CCEEFF"/>
            </w:tcBorders>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256,542</w:t>
            </w:r>
          </w:p>
        </w:tc>
        <w:tc>
          <w:tcPr>
            <w:tcW w:w="100" w:type="dxa"/>
            <w:vAlign w:val="bottom"/>
            <w:tcBorders>
              <w:lef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150,008</w:t>
            </w:r>
          </w:p>
        </w:tc>
        <w:tc>
          <w:tcPr>
            <w:tcW w:w="120" w:type="dxa"/>
            <w:vAlign w:val="bottom"/>
            <w:tcBorders>
              <w:left w:val="single" w:sz="8" w:color="CCEEFF"/>
            </w:tcBorders>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9,525,761</w:t>
            </w:r>
          </w:p>
        </w:tc>
        <w:tc>
          <w:tcPr>
            <w:tcW w:w="80" w:type="dxa"/>
            <w:vAlign w:val="bottom"/>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(657,709)</w:t>
            </w:r>
          </w:p>
        </w:tc>
        <w:tc>
          <w:tcPr>
            <w:tcW w:w="80" w:type="dxa"/>
            <w:vAlign w:val="bottom"/>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(250,974)</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left="6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40,655</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 w:type="dxa"/>
            <w:vAlign w:val="bottom"/>
            <w:tcBorders>
              <w:lef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left="6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269,621</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100" w:type="dxa"/>
            <w:vAlign w:val="bottom"/>
            <w:tcBorders>
              <w:lef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280,193</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(13,590)</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(280,193)</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13,591</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left="6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100" w:type="dxa"/>
            <w:vAlign w:val="bottom"/>
            <w:tcBorders>
              <w:lef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(52,040)</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left="6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8,757</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00" w:type="dxa"/>
            <w:vAlign w:val="bottom"/>
            <w:tcBorders>
              <w:lef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(15,691)</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(15,619)</w:t>
            </w:r>
          </w:p>
        </w:tc>
        <w:tc>
          <w:tcPr>
            <w:tcW w:w="0" w:type="dxa"/>
            <w:vAlign w:val="bottom"/>
          </w:tcPr>
          <w:p>
            <w:pPr>
              <w:spacing w:after="0"/>
              <w:rPr>
                <w:sz w:val="1"/>
                <w:szCs w:val="1"/>
                <w:color w:val="auto"/>
              </w:rPr>
            </w:pPr>
          </w:p>
        </w:tc>
      </w:tr>
      <w:tr>
        <w:trPr>
          <w:trHeight w:val="162"/>
        </w:trPr>
        <w:tc>
          <w:tcPr>
            <w:tcW w:w="3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4"/>
            <w:vMerge w:val="restart"/>
          </w:tcPr>
          <w:p>
            <w:pPr>
              <w:jc w:val="center"/>
              <w:ind w:left="4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00" w:type="dxa"/>
            <w:vAlign w:val="bottom"/>
            <w:tcBorders>
              <w:left w:val="single" w:sz="8" w:color="CCEEFF"/>
            </w:tcBorders>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15,299,270</w:t>
            </w:r>
          </w:p>
        </w:tc>
        <w:tc>
          <w:tcPr>
            <w:tcW w:w="120" w:type="dxa"/>
            <w:vAlign w:val="bottom"/>
            <w:tcBorders>
              <w:left w:val="single" w:sz="8" w:color="CCEEFF"/>
            </w:tcBorders>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left w:val="single" w:sz="8" w:color="CCEEFF"/>
            </w:tcBorders>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249,265</w:t>
            </w:r>
          </w:p>
        </w:tc>
        <w:tc>
          <w:tcPr>
            <w:tcW w:w="100" w:type="dxa"/>
            <w:vAlign w:val="bottom"/>
            <w:tcBorders>
              <w:left w:val="single" w:sz="8" w:color="CCEEFF"/>
            </w:tcBorders>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174,972</w:t>
            </w:r>
          </w:p>
        </w:tc>
        <w:tc>
          <w:tcPr>
            <w:tcW w:w="120" w:type="dxa"/>
            <w:vAlign w:val="bottom"/>
            <w:tcBorders>
              <w:left w:val="single" w:sz="8" w:color="CCEEFF"/>
            </w:tcBorders>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9,515,189</w:t>
            </w:r>
          </w:p>
        </w:tc>
        <w:tc>
          <w:tcPr>
            <w:tcW w:w="80" w:type="dxa"/>
            <w:vAlign w:val="bottom"/>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(656,118)</w:t>
            </w:r>
          </w:p>
        </w:tc>
        <w:tc>
          <w:tcPr>
            <w:tcW w:w="80" w:type="dxa"/>
            <w:vAlign w:val="bottom"/>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(231,702)</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w:t>
      </w:r>
    </w:p>
    <w:p>
      <w:pPr>
        <w:spacing w:after="0" w:line="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 thousands except shares)</w:t>
      </w:r>
    </w:p>
    <w:p>
      <w:pPr>
        <w:spacing w:after="0" w:line="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9"/>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Three Months Ended June 30, 2023</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2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Retained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7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4"/>
                <w:szCs w:val="14"/>
                <w:color w:val="auto"/>
              </w:rPr>
            </w:pPr>
          </w:p>
        </w:tc>
        <w:tc>
          <w:tcPr>
            <w:tcW w:w="8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80" w:type="dxa"/>
            <w:vAlign w:val="bottom"/>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15,674,739</w:t>
            </w:r>
          </w:p>
        </w:tc>
        <w:tc>
          <w:tcPr>
            <w:tcW w:w="100" w:type="dxa"/>
            <w:vAlign w:val="bottom"/>
            <w:tcBorders>
              <w:lef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left w:val="single" w:sz="8" w:color="CCEEFF"/>
            </w:tcBorders>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248,187</w:t>
            </w:r>
          </w:p>
        </w:tc>
        <w:tc>
          <w:tcPr>
            <w:tcW w:w="100" w:type="dxa"/>
            <w:vAlign w:val="bottom"/>
            <w:tcBorders>
              <w:lef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shd w:val="clear" w:color="auto" w:fill="CCEEFF"/>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103,931</w:t>
            </w:r>
          </w:p>
        </w:tc>
        <w:tc>
          <w:tcPr>
            <w:tcW w:w="100" w:type="dxa"/>
            <w:vAlign w:val="bottom"/>
            <w:tcBorders>
              <w:lef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lef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9,240,633</w:t>
            </w:r>
          </w:p>
        </w:tc>
        <w:tc>
          <w:tcPr>
            <w:tcW w:w="80" w:type="dxa"/>
            <w:vAlign w:val="bottom"/>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 (640,986)</w:t>
            </w:r>
          </w:p>
        </w:tc>
        <w:tc>
          <w:tcPr>
            <w:tcW w:w="80" w:type="dxa"/>
            <w:vAlign w:val="bottom"/>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 (288,683)</w:t>
            </w:r>
          </w:p>
        </w:tc>
        <w:tc>
          <w:tcPr>
            <w:tcW w:w="0" w:type="dxa"/>
            <w:vAlign w:val="bottom"/>
          </w:tcPr>
          <w:p>
            <w:pPr>
              <w:spacing w:after="0"/>
              <w:rPr>
                <w:sz w:val="1"/>
                <w:szCs w:val="1"/>
                <w:color w:val="auto"/>
              </w:rPr>
            </w:pPr>
          </w:p>
        </w:tc>
      </w:tr>
      <w:tr>
        <w:trPr>
          <w:trHeight w:val="21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18,248</w:t>
            </w:r>
          </w:p>
        </w:tc>
        <w:tc>
          <w:tcPr>
            <w:tcW w:w="0" w:type="dxa"/>
            <w:vAlign w:val="bottom"/>
          </w:tcPr>
          <w:p>
            <w:pPr>
              <w:spacing w:after="0"/>
              <w:rPr>
                <w:sz w:val="1"/>
                <w:szCs w:val="1"/>
                <w:color w:val="auto"/>
              </w:rPr>
            </w:pPr>
          </w:p>
        </w:tc>
      </w:tr>
      <w:tr>
        <w:trPr>
          <w:trHeight w:val="22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 w:type="dxa"/>
            <w:vAlign w:val="bottom"/>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137,632</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(9,017)</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(9,017)</w:t>
            </w:r>
          </w:p>
        </w:tc>
        <w:tc>
          <w:tcPr>
            <w:tcW w:w="0" w:type="dxa"/>
            <w:vAlign w:val="bottom"/>
          </w:tcPr>
          <w:p>
            <w:pPr>
              <w:spacing w:after="0"/>
              <w:rPr>
                <w:sz w:val="1"/>
                <w:szCs w:val="1"/>
                <w:color w:val="auto"/>
              </w:rPr>
            </w:pPr>
          </w:p>
        </w:tc>
      </w:tr>
      <w:tr>
        <w:trPr>
          <w:trHeight w:val="22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80" w:type="dxa"/>
            <w:vAlign w:val="bottom"/>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76,000</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(76,000)</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3,784</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0" w:type="dxa"/>
            <w:vAlign w:val="bottom"/>
          </w:tcPr>
          <w:p>
            <w:pPr>
              <w:spacing w:after="0"/>
              <w:rPr>
                <w:sz w:val="1"/>
                <w:szCs w:val="1"/>
                <w:color w:val="auto"/>
              </w:rPr>
            </w:pPr>
          </w:p>
        </w:tc>
      </w:tr>
      <w:tr>
        <w:trPr>
          <w:trHeight w:val="21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80" w:type="dxa"/>
            <w:vAlign w:val="bottom"/>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(6,728)</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1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w:t>
            </w:r>
          </w:p>
        </w:tc>
        <w:tc>
          <w:tcPr>
            <w:tcW w:w="0" w:type="dxa"/>
            <w:vAlign w:val="bottom"/>
          </w:tcPr>
          <w:p>
            <w:pPr>
              <w:spacing w:after="0"/>
              <w:rPr>
                <w:sz w:val="1"/>
                <w:szCs w:val="1"/>
                <w:color w:val="auto"/>
              </w:rPr>
            </w:pPr>
          </w:p>
        </w:tc>
      </w:tr>
      <w:tr>
        <w:trPr>
          <w:trHeight w:val="22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80" w:type="dxa"/>
            <w:vAlign w:val="bottom"/>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(7,953)</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(7,953)</w:t>
            </w:r>
          </w:p>
        </w:tc>
        <w:tc>
          <w:tcPr>
            <w:tcW w:w="0" w:type="dxa"/>
            <w:vAlign w:val="bottom"/>
          </w:tcPr>
          <w:p>
            <w:pPr>
              <w:spacing w:after="0"/>
              <w:rPr>
                <w:sz w:val="1"/>
                <w:szCs w:val="1"/>
                <w:color w:val="auto"/>
              </w:rPr>
            </w:pPr>
          </w:p>
        </w:tc>
      </w:tr>
      <w:tr>
        <w:trPr>
          <w:trHeight w:val="162"/>
        </w:trPr>
        <w:tc>
          <w:tcPr>
            <w:tcW w:w="33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80" w:type="dxa"/>
            <w:vAlign w:val="bottom"/>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15,587,934</w:t>
            </w:r>
          </w:p>
        </w:tc>
        <w:tc>
          <w:tcPr>
            <w:tcW w:w="100" w:type="dxa"/>
            <w:vAlign w:val="bottom"/>
            <w:tcBorders>
              <w:left w:val="single" w:sz="8" w:color="CCEEFF"/>
            </w:tcBorders>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left w:val="single" w:sz="8" w:color="CCEEFF"/>
            </w:tcBorders>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250,808</w:t>
            </w:r>
          </w:p>
        </w:tc>
        <w:tc>
          <w:tcPr>
            <w:tcW w:w="100" w:type="dxa"/>
            <w:vAlign w:val="bottom"/>
            <w:tcBorders>
              <w:left w:val="single" w:sz="8" w:color="CCEEFF"/>
            </w:tcBorders>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shd w:val="clear" w:color="auto" w:fill="CCEEFF"/>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114,226</w:t>
            </w:r>
          </w:p>
        </w:tc>
        <w:tc>
          <w:tcPr>
            <w:tcW w:w="100" w:type="dxa"/>
            <w:vAlign w:val="bottom"/>
            <w:tcBorders>
              <w:left w:val="single" w:sz="8" w:color="CCEEFF"/>
            </w:tcBorders>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left w:val="single" w:sz="8" w:color="CCEEFF"/>
            </w:tcBorders>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9,302,265</w:t>
            </w:r>
          </w:p>
        </w:tc>
        <w:tc>
          <w:tcPr>
            <w:tcW w:w="80" w:type="dxa"/>
            <w:vAlign w:val="bottom"/>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 (646,219)</w:t>
            </w:r>
          </w:p>
        </w:tc>
        <w:tc>
          <w:tcPr>
            <w:tcW w:w="80" w:type="dxa"/>
            <w:vAlign w:val="bottom"/>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 (281,001)</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Six Months Ended June 30, 2023</w:t>
            </w: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62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7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4"/>
                <w:szCs w:val="14"/>
                <w:color w:val="auto"/>
              </w:rPr>
            </w:pPr>
          </w:p>
        </w:tc>
        <w:tc>
          <w:tcPr>
            <w:tcW w:w="8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20" w:type="dxa"/>
            <w:vAlign w:val="bottom"/>
          </w:tcPr>
          <w:p>
            <w:pPr>
              <w:spacing w:after="0"/>
              <w:rPr>
                <w:sz w:val="18"/>
                <w:szCs w:val="18"/>
                <w:color w:val="auto"/>
              </w:rPr>
            </w:pPr>
          </w:p>
        </w:tc>
        <w:tc>
          <w:tcPr>
            <w:tcW w:w="80" w:type="dxa"/>
            <w:vAlign w:val="bottom"/>
            <w:tcBorders>
              <w:right w:val="single" w:sz="8" w:color="CCEEFF"/>
            </w:tcBorders>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15,599,239</w:t>
            </w:r>
          </w:p>
        </w:tc>
        <w:tc>
          <w:tcPr>
            <w:tcW w:w="100" w:type="dxa"/>
            <w:vAlign w:val="bottom"/>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right w:val="single" w:sz="8" w:color="CCEEFF"/>
            </w:tcBorders>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259,339</w:t>
            </w:r>
          </w:p>
        </w:tc>
        <w:tc>
          <w:tcPr>
            <w:tcW w:w="100" w:type="dxa"/>
            <w:vAlign w:val="bottom"/>
            <w:tcBorders>
              <w:righ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84,538</w:t>
            </w:r>
          </w:p>
        </w:tc>
        <w:tc>
          <w:tcPr>
            <w:tcW w:w="100" w:type="dxa"/>
            <w:vAlign w:val="bottom"/>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righ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9,360,733</w:t>
            </w:r>
          </w:p>
        </w:tc>
        <w:tc>
          <w:tcPr>
            <w:tcW w:w="80" w:type="dxa"/>
            <w:vAlign w:val="bottom"/>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(645,146)</w:t>
            </w:r>
          </w:p>
        </w:tc>
        <w:tc>
          <w:tcPr>
            <w:tcW w:w="80" w:type="dxa"/>
            <w:vAlign w:val="bottom"/>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(301,084)</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45,658</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212,492</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(14,017)</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(14,017)</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270,960</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(9,131)</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(270,960)</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12,944</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(53,358)</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5,309</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(15,970)</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(15,879)</w:t>
            </w:r>
          </w:p>
        </w:tc>
        <w:tc>
          <w:tcPr>
            <w:tcW w:w="0" w:type="dxa"/>
            <w:vAlign w:val="bottom"/>
          </w:tcPr>
          <w:p>
            <w:pPr>
              <w:spacing w:after="0"/>
              <w:rPr>
                <w:sz w:val="1"/>
                <w:szCs w:val="1"/>
                <w:color w:val="auto"/>
              </w:rPr>
            </w:pPr>
          </w:p>
        </w:tc>
      </w:tr>
      <w:tr>
        <w:trPr>
          <w:trHeight w:val="162"/>
        </w:trPr>
        <w:tc>
          <w:tcPr>
            <w:tcW w:w="3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0" w:type="dxa"/>
            <w:vAlign w:val="bottom"/>
          </w:tcPr>
          <w:p>
            <w:pPr>
              <w:spacing w:after="0"/>
              <w:rPr>
                <w:sz w:val="1"/>
                <w:szCs w:val="1"/>
                <w:color w:val="auto"/>
              </w:rPr>
            </w:pPr>
          </w:p>
        </w:tc>
      </w:tr>
      <w:tr>
        <w:trPr>
          <w:trHeight w:val="21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20" w:type="dxa"/>
            <w:vAlign w:val="bottom"/>
          </w:tcPr>
          <w:p>
            <w:pPr>
              <w:spacing w:after="0"/>
              <w:rPr>
                <w:sz w:val="20"/>
                <w:szCs w:val="20"/>
                <w:color w:val="auto"/>
              </w:rPr>
            </w:pPr>
          </w:p>
        </w:tc>
        <w:tc>
          <w:tcPr>
            <w:tcW w:w="80" w:type="dxa"/>
            <w:vAlign w:val="bottom"/>
            <w:tcBorders>
              <w:right w:val="single" w:sz="8" w:color="CCEEFF"/>
            </w:tcBorders>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15,587,934</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right w:val="single" w:sz="8" w:color="CCEEFF"/>
            </w:tcBorders>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250,808</w:t>
            </w:r>
          </w:p>
        </w:tc>
        <w:tc>
          <w:tcPr>
            <w:tcW w:w="100" w:type="dxa"/>
            <w:vAlign w:val="bottom"/>
            <w:tcBorders>
              <w:right w:val="single" w:sz="8" w:color="CCEEFF"/>
            </w:tcBorders>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114,226</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right w:val="single" w:sz="8" w:color="CCEEFF"/>
            </w:tcBorders>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9,302,265</w:t>
            </w:r>
          </w:p>
        </w:tc>
        <w:tc>
          <w:tcPr>
            <w:tcW w:w="80" w:type="dxa"/>
            <w:vAlign w:val="bottom"/>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(646,219)</w:t>
            </w:r>
          </w:p>
        </w:tc>
        <w:tc>
          <w:tcPr>
            <w:tcW w:w="80" w:type="dxa"/>
            <w:vAlign w:val="bottom"/>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(281,001)</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60" w:type="dxa"/>
            <w:vAlign w:val="bottom"/>
          </w:tcPr>
          <w:p>
            <w:pPr>
              <w:jc w:val="center"/>
              <w:ind w:left="249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60" w:type="dxa"/>
            <w:vAlign w:val="bottom"/>
          </w:tcPr>
          <w:p>
            <w:pPr>
              <w:jc w:val="center"/>
              <w:ind w:left="249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660" w:type="dxa"/>
            <w:vAlign w:val="bottom"/>
          </w:tcPr>
          <w:p>
            <w:pPr>
              <w:jc w:val="center"/>
              <w:ind w:left="24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660" w:type="dxa"/>
            <w:vAlign w:val="bottom"/>
          </w:tcPr>
          <w:p>
            <w:pPr>
              <w:jc w:val="center"/>
              <w:ind w:left="249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8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7"/>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40,655</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45,658</w:t>
            </w:r>
          </w:p>
        </w:tc>
        <w:tc>
          <w:tcPr>
            <w:tcW w:w="0" w:type="dxa"/>
            <w:vAlign w:val="bottom"/>
          </w:tcPr>
          <w:p>
            <w:pPr>
              <w:spacing w:after="0"/>
              <w:rPr>
                <w:sz w:val="1"/>
                <w:szCs w:val="1"/>
                <w:color w:val="auto"/>
              </w:rPr>
            </w:pPr>
          </w:p>
        </w:tc>
      </w:tr>
      <w:tr>
        <w:trPr>
          <w:trHeight w:val="213"/>
        </w:trPr>
        <w:tc>
          <w:tcPr>
            <w:tcW w:w="8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cash flows provided by operating activities: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19,395</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17,651</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Non-cash closure and impairment charges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8,757</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5,309</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(Gain) loss on disposition of assets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Receivables, net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6,085</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3"/>
        </w:trPr>
        <w:tc>
          <w:tcPr>
            <w:tcW w:w="86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rent receivable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4,651</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Current income tax receivables and payables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0" w:type="dxa"/>
            <w:vAlign w:val="bottom"/>
          </w:tcPr>
          <w:p>
            <w:pPr>
              <w:spacing w:after="0"/>
              <w:rPr>
                <w:sz w:val="1"/>
                <w:szCs w:val="1"/>
                <w:color w:val="auto"/>
              </w:rPr>
            </w:pPr>
          </w:p>
        </w:tc>
      </w:tr>
      <w:tr>
        <w:trPr>
          <w:trHeight w:val="213"/>
        </w:trPr>
        <w:tc>
          <w:tcPr>
            <w:tcW w:w="86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Gift card receivables and payables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(6,204)</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w:t>
            </w:r>
          </w:p>
        </w:tc>
        <w:tc>
          <w:tcPr>
            <w:tcW w:w="0" w:type="dxa"/>
            <w:vAlign w:val="bottom"/>
          </w:tcPr>
          <w:p>
            <w:pPr>
              <w:spacing w:after="0"/>
              <w:rPr>
                <w:sz w:val="1"/>
                <w:szCs w:val="1"/>
                <w:color w:val="auto"/>
              </w:rPr>
            </w:pPr>
          </w:p>
        </w:tc>
      </w:tr>
      <w:tr>
        <w:trPr>
          <w:trHeight w:val="213"/>
        </w:trPr>
        <w:tc>
          <w:tcPr>
            <w:tcW w:w="86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(13,307)</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(6,569)</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w:t>
            </w:r>
          </w:p>
        </w:tc>
        <w:tc>
          <w:tcPr>
            <w:tcW w:w="0" w:type="dxa"/>
            <w:vAlign w:val="bottom"/>
          </w:tcPr>
          <w:p>
            <w:pPr>
              <w:spacing w:after="0"/>
              <w:rPr>
                <w:sz w:val="1"/>
                <w:szCs w:val="1"/>
                <w:color w:val="auto"/>
              </w:rPr>
            </w:pPr>
          </w:p>
        </w:tc>
      </w:tr>
      <w:tr>
        <w:trPr>
          <w:trHeight w:val="213"/>
        </w:trPr>
        <w:tc>
          <w:tcPr>
            <w:tcW w:w="86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(10,170)</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advertising</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(13,177)</w:t>
            </w:r>
          </w:p>
        </w:tc>
        <w:tc>
          <w:tcPr>
            <w:tcW w:w="0" w:type="dxa"/>
            <w:vAlign w:val="bottom"/>
          </w:tcPr>
          <w:p>
            <w:pPr>
              <w:spacing w:after="0"/>
              <w:rPr>
                <w:sz w:val="1"/>
                <w:szCs w:val="1"/>
                <w:color w:val="auto"/>
              </w:rPr>
            </w:pPr>
          </w:p>
        </w:tc>
      </w:tr>
      <w:tr>
        <w:trPr>
          <w:trHeight w:val="213"/>
        </w:trPr>
        <w:tc>
          <w:tcPr>
            <w:tcW w:w="86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6,478</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Cash flows provided by operating activities</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52,179</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42,684</w:t>
            </w:r>
          </w:p>
        </w:tc>
        <w:tc>
          <w:tcPr>
            <w:tcW w:w="0" w:type="dxa"/>
            <w:vAlign w:val="bottom"/>
          </w:tcPr>
          <w:p>
            <w:pPr>
              <w:spacing w:after="0"/>
              <w:rPr>
                <w:sz w:val="1"/>
                <w:szCs w:val="1"/>
                <w:color w:val="auto"/>
              </w:rPr>
            </w:pPr>
          </w:p>
        </w:tc>
      </w:tr>
      <w:tr>
        <w:trPr>
          <w:trHeight w:val="207"/>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Principal receipts from notes, equipment contracts and other long-term receivables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7,542</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6,261</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Additions to property and equipment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(22,787)</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Additions to long-term receivables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7"/>
        </w:trPr>
        <w:tc>
          <w:tcPr>
            <w:tcW w:w="86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(16,572)</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(651,713)</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Borrowing from revolving credit facility</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Repayment of revolving credit facility</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(7,967)</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(15,707)</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(15,970)</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(14,017)</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Principal payments on finance lease and financing obligations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(3,623)</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Proceeds from stock options exercised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Repurchase of restricted stock for tax payments upon vesting</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Tax payments for share settlement of restricted stock units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6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(33,308)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(194,278)</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17,799</w:t>
            </w: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(168,166)</w:t>
            </w:r>
          </w:p>
        </w:tc>
        <w:tc>
          <w:tcPr>
            <w:tcW w:w="0" w:type="dxa"/>
            <w:vAlign w:val="bottom"/>
          </w:tcPr>
          <w:p>
            <w:pPr>
              <w:spacing w:after="0"/>
              <w:rPr>
                <w:sz w:val="1"/>
                <w:szCs w:val="1"/>
                <w:color w:val="auto"/>
              </w:rPr>
            </w:pPr>
          </w:p>
        </w:tc>
      </w:tr>
      <w:tr>
        <w:trPr>
          <w:trHeight w:val="213"/>
        </w:trPr>
        <w:tc>
          <w:tcPr>
            <w:tcW w:w="86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200,592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324,984</w:t>
            </w:r>
          </w:p>
        </w:tc>
        <w:tc>
          <w:tcPr>
            <w:tcW w:w="0" w:type="dxa"/>
            <w:vAlign w:val="bottom"/>
          </w:tcPr>
          <w:p>
            <w:pPr>
              <w:spacing w:after="0"/>
              <w:rPr>
                <w:sz w:val="1"/>
                <w:szCs w:val="1"/>
                <w:color w:val="auto"/>
              </w:rPr>
            </w:pPr>
          </w:p>
        </w:tc>
      </w:tr>
      <w:tr>
        <w:trPr>
          <w:trHeight w:val="237"/>
        </w:trPr>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218,391</w:t>
            </w: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156,818</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Interest paid in cash</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39,711</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34,818</w:t>
            </w:r>
          </w:p>
        </w:tc>
        <w:tc>
          <w:tcPr>
            <w:tcW w:w="0" w:type="dxa"/>
            <w:vAlign w:val="bottom"/>
          </w:tcPr>
          <w:p>
            <w:pPr>
              <w:spacing w:after="0"/>
              <w:rPr>
                <w:sz w:val="1"/>
                <w:szCs w:val="1"/>
                <w:color w:val="auto"/>
              </w:rPr>
            </w:pPr>
          </w:p>
        </w:tc>
      </w:tr>
      <w:tr>
        <w:trPr>
          <w:trHeight w:val="210"/>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Income taxes paid in cash</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21,400</w:t>
            </w:r>
          </w:p>
        </w:tc>
        <w:tc>
          <w:tcPr>
            <w:tcW w:w="0" w:type="dxa"/>
            <w:vAlign w:val="bottom"/>
          </w:tcPr>
          <w:p>
            <w:pPr>
              <w:spacing w:after="0"/>
              <w:rPr>
                <w:sz w:val="1"/>
                <w:szCs w:val="1"/>
                <w:color w:val="auto"/>
              </w:rPr>
            </w:pPr>
          </w:p>
        </w:tc>
      </w:tr>
      <w:tr>
        <w:trPr>
          <w:trHeight w:val="222"/>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Non-cash conversion of accounts receivable to notes receivable</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Non-cash balance sheet gross-up of receivables and other accrued expenses</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ectPr>
          <w:pgSz w:w="11900" w:h="16838" w:orient="portrait"/>
          <w:cols w:equalWidth="0" w:num="1">
            <w:col w:w="11240"/>
          </w:cols>
          <w:pgMar w:left="320" w:top="225" w:right="339" w:bottom="943"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943"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Dine Brands Global, Inc. (the “Company” or “Dine Brands Global”) have been prepared in accordance with United States generally accepted accounting principles (“U.S. GAAP”) for interim financial information and with the instructions to Form 10-Q and Article 10 of Regulation S-X. Accordingly, they do not include all the information and footnotes required by U.S. GAAP for complete financial statements. In the opinion of management, all adjustments (consisting of normal recurring accruals) considered necessary for a fair presentation have been included. The operating results for the six months ended June 30, 2024 are not necessarily indicative of the results that may be expected for the twelve months ending December 31, 2024.</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balance sheet at December 31, 2023 has been derived from the audited consolidated financial statements at that date but does not include all of information and footnotes required by U.S. GAAP for complete financial statements.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consolidated financial statements and footnotes thereto included in the Company’s Annual Report on Form 10-K for the year ended December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2024 began on January 1, 2024 and ended on March 31, 2024, and the second fiscal quarter of 2024 ended on June 30, 2024. The first fiscal quarter of 2023 began on January 2, 2023 and ended on April 2, 2023, and the second fiscal quarter of 2023 ended on July 2, 2023.</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that are consolidated in accordance with U.S. GAAP. All intercompany balances and transactions have been eliminated.</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assumptions and estimates that affect the reported amounts of assets and liabilities, disclosures of contingent assets and liabilities, if any, at the date of the consolidated financial statements, and the reported amounts of revenues and expenses during the reporting period. Significant estimates are made in the calculation and assessment of the following: impairment of tangible and intangible assets and goodwill; income taxes; allowance for doubtful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 in the Current Fiscal Year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new accounting guidance became effective for the Company as of the beginning of fiscal 2024 that the Company reviewed and concluded was either not applicable to its operations or had no material effect on its consolidated financial statements in the current or future fiscal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Issued Accounting Standards Not Yet Adopted</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 which updates reportable segment disclosure requirements. The ASU primarily requires enhanced disclosures about significant segment expenses that are regularly provided to the chief operating decision maker (“CODM”) and the title and position of the CODM with an explanation of how the CODM uses</w:t>
      </w:r>
    </w:p>
    <w:p>
      <w:pPr>
        <w:spacing w:after="0" w:line="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reported measure(s) of segment profit or loss used to assess segment performance. All annual disclosures of a reportable segment’s profit or loss and assets required by Accounting Standards Codification (“ASC”) 280, “Segment Reporting”, will be required to be disclosed in interim periods. The ASU is effective for fiscal years beginning after December 15, 2023 and interim periods within fiscal years beginning after December 15, 2024 with early adoption permitted. The Company is currently evaluating the impact of adopting this ASU in our disclosures.</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 standard requires disaggregated information about a reporting entity’s effective tax rate reconciliation as well as information on income taxes paid. The guidance is effective for fiscal years beginning after December 15, 2024, with early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 (Continued)</w:t>
      </w:r>
    </w:p>
    <w:p>
      <w:pPr>
        <w:spacing w:after="0" w:line="200" w:lineRule="exact"/>
        <w:rPr>
          <w:sz w:val="20"/>
          <w:szCs w:val="20"/>
          <w:color w:val="auto"/>
        </w:rPr>
      </w:pP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adoption permitted, and should be applied on a prospective basis with the option to apply the standard retrospectively. The Company is currently evaluating the impact of adopting this ASU on our disclosures.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reviewed all other recently issued accounting pronouncements and concluded that they were either not applicable or not expected to have a significant impact to the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revenues and revenues from company-operated restaurants are recognized in accordance with current guidance for revenue recognition as codified in Accounting Standards Topic 606 (“ASC 606”). Under ASC 606, revenue is recognized upon transfer of control of promised services or goods to customers in an amount that reflects the consideration the Company expects to receive for those services or goods.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Franchise Revenues</w:t>
      </w:r>
    </w:p>
    <w:p>
      <w:pPr>
        <w:spacing w:after="0" w:line="11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 franchises the Applebee's Neighborhood Grill &amp;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concept in the American full-service restaurant segment within the casual dining category of the restaurant industry, the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concept in the family dining mid-scale full-service category of the restaurant industry, and the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(“Fuzzy's”) concept in the Mexican food segment within the fast-casual dining category of the restaurant industry. The franchise arrangement for the brands is documented in the form of a franchise agreement and, in most cases, a development agreement. The franchise arrangement between the Company as the franchisor and the franchisee as the customer requires the Company to perform various activities to support the brands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respective brand’s symbolic intellectual property over the term of the license. The services provided by the Company are highly interrelated with the franchise license and as such are considered to represent a single performance obligation.</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 price in a standard franchise arrangement for the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Additionally, all domestic IHOP franchise agreements require franchisees to purchase proprietary pancake and waffle dry mix from the Company.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the primary components of the transaction price as follows:</w:t>
      </w:r>
    </w:p>
    <w:p>
      <w:pPr>
        <w:spacing w:after="0" w:line="117" w:lineRule="exact"/>
        <w:rPr>
          <w:sz w:val="20"/>
          <w:szCs w:val="20"/>
          <w:color w:val="auto"/>
        </w:rPr>
      </w:pPr>
    </w:p>
    <w:p>
      <w:pPr>
        <w:jc w:val="both"/>
        <w:ind w:left="1300" w:hanging="320"/>
        <w:spacing w:after="0" w:line="26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spacing w:after="0" w:line="2"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entitled to royalties and advertising fees based on a percentage of the franchisee's gross sales as defined in the franchise agreement. Royalty and advertising revenues are recognized when the franchisee's reported sales occur. Depending on timing within a fiscal period, the recognition of revenue results in either what is considered a contract asset (unbilled receivable) or once billed, accounts receivable, and are included in “receivables, net” on the balance sheet;</w:t>
      </w:r>
    </w:p>
    <w:p>
      <w:pPr>
        <w:spacing w:after="0" w:line="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 of proprietary pancake and waffle dry mix and other proprietary products is recognized in the period in which distributors ship the franchisee's order; recognition of revenue results in an accounts receivable included in “receivables, net” on the balance sheet.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determining the amount and timing of revenues from contracts with customers, the Company exercises significant judgment with respect to collectability of the amount; however, the timing of recognition does not require significant judgments as it is based on either the term of the franchise agreement, the month of reported sales by the franchisee or the date of product shipment, none of which require estimation.</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does not incur a significant amount of contract acquisition costs in conducting franchising activities. The Company believes its franchising arrangements do not contain a significant financing component.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 (Continued)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Restaurant Revenues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restaurant revenues comprise retail sales at company-operated restaurants. Sales by company-operated restaurants are recognized when food and beverage items are sold. Company restaurant sales are reported net of sales taxes collected from guests that are remitted to the appropriate taxing authorities, with no significant judgements required.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franchise revenues by major type for the three and six months ended June 30, 2024 and 2023:</w:t>
      </w:r>
    </w:p>
    <w:p>
      <w:pPr>
        <w:spacing w:after="0" w:line="160"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8"/>
                <w:szCs w:val="18"/>
                <w:color w:val="auto"/>
              </w:rPr>
            </w:pPr>
          </w:p>
        </w:tc>
        <w:tc>
          <w:tcPr>
            <w:tcW w:w="2380" w:type="dxa"/>
            <w:vAlign w:val="bottom"/>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6"/>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2"/>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Revenues:</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9"/>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100" w:type="dxa"/>
            <w:vAlign w:val="bottom"/>
          </w:tcPr>
          <w:p>
            <w:pPr>
              <w:spacing w:after="0"/>
              <w:rPr>
                <w:sz w:val="19"/>
                <w:szCs w:val="19"/>
                <w:color w:val="auto"/>
              </w:rPr>
            </w:pP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r>
      <w:tr>
        <w:trPr>
          <w:trHeight w:val="230"/>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Advertising fees</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29"/>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Proprietary product sales and other</w:t>
            </w:r>
          </w:p>
        </w:tc>
        <w:tc>
          <w:tcPr>
            <w:tcW w:w="10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9"/>
        </w:trPr>
        <w:tc>
          <w:tcPr>
            <w:tcW w:w="5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Franchise and development fees</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8"/>
        </w:trPr>
        <w:tc>
          <w:tcPr>
            <w:tcW w:w="5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franchise revenues</w:t>
            </w:r>
          </w:p>
        </w:tc>
        <w:tc>
          <w:tcPr>
            <w:tcW w:w="100" w:type="dxa"/>
            <w:vAlign w:val="bottom"/>
          </w:tcPr>
          <w:p>
            <w:pPr>
              <w:spacing w:after="0"/>
              <w:rPr>
                <w:sz w:val="21"/>
                <w:szCs w:val="21"/>
                <w:color w:val="auto"/>
              </w:rPr>
            </w:pP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8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Accounts and other receivables from franchisees as of June 30, 2024 and December 31, 2023 were $63.6 million (net of allowance of $3.1 million) and $68.7 million (net of allowance of $2.7 million), respectively, and were included in receivables, net in the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Company's contract liability for deferred franchise and development fees during the six months ended June 30, 2024 were as follows: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-127635</wp:posOffset>
            </wp:positionV>
            <wp:extent cx="497205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72050" cy="146050"/>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Recognized as revenue during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14605</wp:posOffset>
            </wp:positionV>
            <wp:extent cx="497205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72050" cy="14605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Fees deferred during the six months ended June 30, 2024</w:t>
      </w:r>
    </w:p>
    <w:p>
      <w:pPr>
        <w:spacing w:after="0" w:line="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Balance at June 30, 2024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balance of deferred revenue as of June 30, 2024 is expected to be recognized as follows: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Deferred Franchise Revenue</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(short- and long-term)</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30"/>
        </w:trPr>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53" w:lineRule="exact"/>
        <w:rPr>
          <w:sz w:val="20"/>
          <w:szCs w:val="20"/>
          <w:color w:val="auto"/>
        </w:rPr>
      </w:pPr>
    </w:p>
    <w:p>
      <w:pPr>
        <w:sectPr>
          <w:pgSz w:w="11900" w:h="16838" w:orient="portrait"/>
          <w:cols w:equalWidth="0" w:num="2">
            <w:col w:w="7880" w:space="720"/>
            <w:col w:w="2640"/>
          </w:cols>
          <w:pgMar w:left="320" w:top="225" w:right="339" w:bottom="1440" w:gutter="0" w:footer="0" w:header="0"/>
          <w:type w:val="continuous"/>
        </w:sectPr>
      </w:pPr>
    </w:p>
    <w:tbl>
      <w:tblPr>
        <w:tblLayout w:type="fixed"/>
        <w:tblInd w:w="660" w:type="dxa"/>
        <w:tblCellMar>
          <w:top w:w="0" w:type="dxa"/>
          <w:left w:w="0" w:type="dxa"/>
          <w:bottom w:w="0" w:type="dxa"/>
          <w:right w:w="0" w:type="dxa"/>
        </w:tblCellMar>
      </w:tblP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six months)</w:t>
            </w:r>
          </w:p>
        </w:tc>
        <w:tc>
          <w:tcPr>
            <w:tcW w:w="100" w:type="dxa"/>
            <w:vAlign w:val="bottom"/>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Current Expected Credit Losses (“CECL”)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 The Company records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derived pursuant to the Company's CECL methodology that assesses four components - historical losses, current conditions, reasonable and supportable forecasts, and a reversion to history, if applicable.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Current Expected Credit Losses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its portfolio segments to be the following: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(Franchise-Related)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of the Company’s short-term receivables due from franchisees are derived from royalty, advertising and other franchise-related fees.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Gift Cards Receivable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Gift card receivables consist primarily of amounts due from third-party vendors. Receivables related to gift card sales are subject to seasonality and usually peak around year-end as a result of the December holiday season.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Receivable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Notes receivable balances primarily relate to the conversion of certain past due franchisee accounts receivable to notes receivable, cash loans to franchisees for working capital purposes, a note receivable in connection with the sale of IHOP company restaurants, franchise fees, and other notes. The notes are typically collateralized by the franchise. During the three months ended June 30, 2024, the Company wrote off $4.3 million of Applebee's notes receivable which were fully reserved. The remaining notes have reserves recorded against them amounting to $1.0 million as of June 30,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Equipment Leases Receivable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Equipment leases receivable primarily relate to IHOP franchise development activity prior to 2003 when IHOP typically leased or purchased the restaurant site, built and equipped the restaurant, then franchised the restaurant to a franchisee. Equipment lease contracts are collateralized by the equipment in the restaurant. The estimated fair value of the equipment collateralizing these lease contracts are not deemed to be significant given the very seasoned and mature nature of this portfolio. The weighted average remaining life of the Company’s equipment leases is 2.9 years as of June 30,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Real Estate Leases Receivable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 estate leases receivable primarily relate to IHOP franchise development activity prior to 2003 when IHOP provided the financing for leasing or subleasing the site. Real estate leases at June 30, 2024 comprised of 20 leases with a weighted average remaining life of 10.8 years, and relate to locations that IHOP is leasing from third parties and subleasing to franchisees.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Distributor Receivables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Receivables due from distributors are related to the sale of proprietary products to franchisees through the Company’s network of suppliers and distributors and are included as part of Other receivables.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92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7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360" w:type="dxa"/>
            <w:vAlign w:val="bottom"/>
            <w:tcBorders>
              <w:top w:val="single" w:sz="8" w:color="auto"/>
            </w:tcBorders>
            <w:gridSpan w:val="4"/>
          </w:tcPr>
          <w:p>
            <w:pPr>
              <w:jc w:val="right"/>
              <w:ind w:right="137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4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cards receivable</w:t>
            </w: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22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w:t>
            </w: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leases receivable</w:t>
            </w:r>
          </w:p>
        </w:tc>
        <w:tc>
          <w:tcPr>
            <w:tcW w:w="22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leases receivable</w:t>
            </w: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2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 and notes receivable</w:t>
            </w:r>
          </w:p>
        </w:tc>
        <w:tc>
          <w:tcPr>
            <w:tcW w:w="22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receivables</w:t>
            </w:r>
          </w:p>
        </w:tc>
        <w:tc>
          <w:tcPr>
            <w:tcW w:w="2320" w:type="dxa"/>
            <w:vAlign w:val="bottom"/>
            <w:gridSpan w:val="2"/>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40" w:type="dxa"/>
            <w:vAlign w:val="bottom"/>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7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9A9A9A"/>
            </w:tcBorders>
          </w:tcPr>
          <w:p>
            <w:pPr>
              <w:spacing w:after="0"/>
              <w:rPr>
                <w:sz w:val="19"/>
                <w:szCs w:val="19"/>
                <w:color w:val="auto"/>
              </w:rPr>
            </w:pPr>
          </w:p>
        </w:tc>
        <w:tc>
          <w:tcPr>
            <w:tcW w:w="22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4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58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Current Expected Credit Losses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credit losses during the six months ended June 30, 2024 were as follows:</w:t>
      </w: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3"/>
              </w:rPr>
              <w:t xml:space="preserve">Other </w:t>
            </w:r>
            <w:r>
              <w:rPr>
                <w:rFonts w:ascii="Times New Roman" w:cs="Times New Roman" w:eastAsia="Times New Roman" w:hAnsi="Times New Roman"/>
                <w:sz w:val="18"/>
                <w:szCs w:val="18"/>
                <w:b w:val="1"/>
                <w:bCs w:val="1"/>
                <w:color w:val="auto"/>
                <w:w w:val="93"/>
                <w:vertAlign w:val="superscript"/>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4"/>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7"/>
              </w:rPr>
              <w:t>2.5</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7"/>
              </w:rPr>
              <w:t>9.5</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Bad debt expense (credit)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provision adjustment</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8"/>
              </w:rPr>
              <w:t>(0.0)</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Write-offs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35"/>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7"/>
              </w:rPr>
              <w:t>3.0</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7"/>
              </w:rPr>
              <w:t>4.4</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20" w:hanging="150"/>
        <w:spacing w:after="0"/>
        <w:tabs>
          <w:tab w:leader="none" w:pos="32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Primarily distributor receivables, gift card receivables and credit card receivables.</w:t>
      </w:r>
    </w:p>
    <w:p>
      <w:pPr>
        <w:spacing w:after="0" w:line="1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primary credit quality indicator for all portfolio segments is delinquency. Generally, the notes receivables, leases receivables, equipment receivables, and other receivables (primarily consists of credit card receivables) are not delinquent.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of origination of the Company's financing receivables at June 30, 2024 is as follows: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-127635</wp:posOffset>
            </wp:positionV>
            <wp:extent cx="385762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57625" cy="146050"/>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385762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57625" cy="14605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2022</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385762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57625" cy="14605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2020</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385762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57625" cy="171450"/>
                    </a:xfrm>
                    <a:prstGeom prst="rect">
                      <a:avLst/>
                    </a:prstGeom>
                    <a:noFill/>
                  </pic:spPr>
                </pic:pic>
              </a:graphicData>
            </a:graphic>
          </wp:anchor>
        </w:drawing>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place its financing receivables in non-accrual status.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2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Real estate leases</w:t>
            </w:r>
          </w:p>
        </w:tc>
        <w:tc>
          <w:tcPr>
            <w:tcW w:w="12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 leases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120" w:type="dxa"/>
            <w:vAlign w:val="bottom"/>
            <w:gridSpan w:val="2"/>
          </w:tcPr>
          <w:p>
            <w:pPr>
              <w:jc w:val="right"/>
              <w:ind w:right="12"/>
              <w:spacing w:after="0" w:line="146" w:lineRule="exact"/>
              <w:rPr>
                <w:sz w:val="20"/>
                <w:szCs w:val="20"/>
                <w:color w:val="auto"/>
              </w:rPr>
            </w:pPr>
            <w:r>
              <w:rPr>
                <w:rFonts w:ascii="Times New Roman" w:cs="Times New Roman" w:eastAsia="Times New Roman" w:hAnsi="Times New Roman"/>
                <w:sz w:val="14"/>
                <w:szCs w:val="14"/>
                <w:b w:val="1"/>
                <w:bCs w:val="1"/>
                <w:color w:val="auto"/>
              </w:rPr>
              <w:t>short and long-</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48"/>
        </w:trPr>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2" w:lineRule="exact"/>
        <w:rPr>
          <w:sz w:val="20"/>
          <w:szCs w:val="20"/>
          <w:color w:val="auto"/>
        </w:rPr>
      </w:pPr>
    </w:p>
    <w:p>
      <w:pPr>
        <w:sectPr>
          <w:pgSz w:w="11900" w:h="16838" w:orient="portrait"/>
          <w:cols w:equalWidth="0" w:num="2">
            <w:col w:w="5560" w:space="720"/>
            <w:col w:w="4960"/>
          </w:cols>
          <w:pgMar w:left="320" w:top="225" w:right="339" w:bottom="1440" w:gutter="0" w:footer="0" w:header="0"/>
          <w:type w:val="continuous"/>
        </w:sect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engages in leasing activity as both a lessee and a lessor. The Company currently leases from third parties the real property on which approximately 509 IHOP franchisee-operated restaurants and one Applebee's franchisee-operated restaurant are located; the Company (as lessor) subleases the property to the franchisees that operate those restaurants. The Company also leases property it owns to the franchisees that operate approximately 50 IHOP restaurants and one Applebee's restaurant. The Company leases from a third party the real property on which one Fuzzy's company-operated restaurant is located. The Company also leases office space for its principal corporate office in Pasadena, California and a restaurant support center in Irving, Texas. The Company does not have a significant amount of non-real estate leases.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existing leases/subleases related to IHOP restaurants generally provide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Approximately 290 of the Company's leases met the sales levels that required variable rent payments to the Company (as lessor), based on a percentage of restaurant sales during the six months ended June 30, 2024. Approximately 45 of the leases met the sales levels that required variable rent payments by the Company (as lessee), based on a percentage of restaurant sales during the six months ended June 30, 2024.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 (income) cost for the three and six months ended June 30, 2024 and 2023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8"/>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80" w:type="dxa"/>
            <w:vAlign w:val="bottom"/>
          </w:tcPr>
          <w:p>
            <w:pPr>
              <w:spacing w:after="0"/>
              <w:rPr>
                <w:sz w:val="18"/>
                <w:szCs w:val="18"/>
                <w:color w:val="auto"/>
              </w:rPr>
            </w:pPr>
          </w:p>
        </w:tc>
        <w:tc>
          <w:tcPr>
            <w:tcW w:w="2540" w:type="dxa"/>
            <w:vAlign w:val="bottom"/>
            <w:gridSpan w:val="7"/>
          </w:tcPr>
          <w:p>
            <w:pPr>
              <w:ind w:left="2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1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8"/>
                <w:szCs w:val="18"/>
                <w:color w:val="auto"/>
              </w:rPr>
            </w:pPr>
          </w:p>
        </w:tc>
      </w:tr>
      <w:tr>
        <w:trPr>
          <w:trHeight w:val="186"/>
        </w:trPr>
        <w:tc>
          <w:tcPr>
            <w:tcW w:w="1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00" w:type="dxa"/>
            <w:vAlign w:val="bottom"/>
            <w:gridSpan w:val="7"/>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2"/>
        </w:trPr>
        <w:tc>
          <w:tcPr>
            <w:tcW w:w="16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160" w:type="dxa"/>
            <w:vAlign w:val="bottom"/>
          </w:tcPr>
          <w:p>
            <w:pPr>
              <w:spacing w:after="0"/>
              <w:rPr>
                <w:sz w:val="19"/>
                <w:szCs w:val="19"/>
                <w:color w:val="auto"/>
              </w:rPr>
            </w:pPr>
          </w:p>
        </w:tc>
        <w:tc>
          <w:tcPr>
            <w:tcW w:w="5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0" w:type="dxa"/>
            <w:vAlign w:val="bottom"/>
          </w:tcPr>
          <w:p>
            <w:pPr>
              <w:spacing w:after="0"/>
              <w:rPr>
                <w:sz w:val="19"/>
                <w:szCs w:val="19"/>
                <w:color w:val="auto"/>
              </w:rPr>
            </w:pPr>
          </w:p>
        </w:tc>
        <w:tc>
          <w:tcPr>
            <w:tcW w:w="90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r>
      <w:tr>
        <w:trPr>
          <w:trHeight w:val="257"/>
        </w:trPr>
        <w:tc>
          <w:tcPr>
            <w:tcW w:w="160" w:type="dxa"/>
            <w:vAlign w:val="bottom"/>
          </w:tcPr>
          <w:p>
            <w:pPr>
              <w:spacing w:after="0"/>
              <w:rPr>
                <w:sz w:val="22"/>
                <w:szCs w:val="22"/>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0" w:type="dxa"/>
            <w:vAlign w:val="bottom"/>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tcPr>
          <w:p>
            <w:pPr>
              <w:spacing w:after="0"/>
              <w:rPr>
                <w:sz w:val="22"/>
                <w:szCs w:val="22"/>
                <w:color w:val="auto"/>
              </w:rPr>
            </w:pPr>
          </w:p>
        </w:tc>
      </w:tr>
      <w:tr>
        <w:trPr>
          <w:trHeight w:val="229"/>
        </w:trPr>
        <w:tc>
          <w:tcPr>
            <w:tcW w:w="1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color w:val="auto"/>
              </w:rPr>
              <w:t>(53.8)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 w:type="dxa"/>
            <w:vAlign w:val="bottom"/>
          </w:tcPr>
          <w:p>
            <w:pPr>
              <w:spacing w:after="0"/>
              <w:rPr>
                <w:sz w:val="19"/>
                <w:szCs w:val="19"/>
                <w:color w:val="auto"/>
              </w:rPr>
            </w:pPr>
          </w:p>
        </w:tc>
      </w:tr>
      <w:tr>
        <w:trPr>
          <w:trHeight w:val="248"/>
        </w:trPr>
        <w:tc>
          <w:tcPr>
            <w:tcW w:w="16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income</w:t>
            </w:r>
          </w:p>
        </w:tc>
        <w:tc>
          <w:tcPr>
            <w:tcW w:w="80" w:type="dxa"/>
            <w:vAlign w:val="bottom"/>
          </w:tcPr>
          <w:p>
            <w:pPr>
              <w:spacing w:after="0"/>
              <w:rPr>
                <w:sz w:val="21"/>
                <w:szCs w:val="21"/>
                <w:color w:val="auto"/>
              </w:rPr>
            </w:pPr>
          </w:p>
        </w:tc>
        <w:tc>
          <w:tcPr>
            <w:tcW w:w="90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9"/>
        </w:trPr>
        <w:tc>
          <w:tcPr>
            <w:tcW w:w="78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w w:val="99"/>
              </w:rPr>
              <w:t>Future minimum lease payments under noncancellable leases as lessee as of June 30, 2024 were as follows: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14"/>
        </w:trPr>
        <w:tc>
          <w:tcPr>
            <w:tcW w:w="1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186"/>
        </w:trPr>
        <w:tc>
          <w:tcPr>
            <w:tcW w:w="1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2"/>
        </w:trPr>
        <w:tc>
          <w:tcPr>
            <w:tcW w:w="160" w:type="dxa"/>
            <w:vAlign w:val="bottom"/>
            <w:tcBorders>
              <w:right w:val="single" w:sz="8" w:color="CCEEFF"/>
            </w:tcBorders>
          </w:tcPr>
          <w:p>
            <w:pPr>
              <w:spacing w:after="0"/>
              <w:rPr>
                <w:sz w:val="21"/>
                <w:szCs w:val="21"/>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 six months)</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shd w:val="clear" w:color="auto" w:fill="CCEEFF"/>
          </w:tcPr>
          <w:p>
            <w:pPr>
              <w:spacing w:after="0"/>
              <w:rPr>
                <w:sz w:val="21"/>
                <w:szCs w:val="21"/>
                <w:color w:val="auto"/>
              </w:rPr>
            </w:pPr>
          </w:p>
        </w:tc>
      </w:tr>
      <w:tr>
        <w:trPr>
          <w:trHeight w:val="229"/>
        </w:trPr>
        <w:tc>
          <w:tcPr>
            <w:tcW w:w="1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0" w:type="dxa"/>
            <w:vAlign w:val="bottom"/>
          </w:tcPr>
          <w:p>
            <w:pPr>
              <w:spacing w:after="0"/>
              <w:rPr>
                <w:sz w:val="19"/>
                <w:szCs w:val="19"/>
                <w:color w:val="auto"/>
              </w:rPr>
            </w:pPr>
          </w:p>
        </w:tc>
      </w:tr>
      <w:tr>
        <w:trPr>
          <w:trHeight w:val="230"/>
        </w:trPr>
        <w:tc>
          <w:tcPr>
            <w:tcW w:w="160" w:type="dxa"/>
            <w:vAlign w:val="bottom"/>
            <w:tcBorders>
              <w:right w:val="single" w:sz="8" w:color="CCEEFF"/>
            </w:tcBorders>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shd w:val="clear" w:color="auto" w:fill="CCEEFF"/>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0" w:type="dxa"/>
            <w:vAlign w:val="bottom"/>
          </w:tcPr>
          <w:p>
            <w:pPr>
              <w:spacing w:after="0"/>
              <w:rPr>
                <w:sz w:val="19"/>
                <w:szCs w:val="19"/>
                <w:color w:val="auto"/>
              </w:rPr>
            </w:pPr>
          </w:p>
        </w:tc>
      </w:tr>
      <w:tr>
        <w:trPr>
          <w:trHeight w:val="230"/>
        </w:trPr>
        <w:tc>
          <w:tcPr>
            <w:tcW w:w="160" w:type="dxa"/>
            <w:vAlign w:val="bottom"/>
            <w:tcBorders>
              <w:right w:val="single" w:sz="8" w:color="CCEEFF"/>
            </w:tcBorders>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shd w:val="clear" w:color="auto" w:fill="CCEEFF"/>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0" w:type="dxa"/>
            <w:vAlign w:val="bottom"/>
            <w:tcBorders>
              <w:bottom w:val="single" w:sz="8" w:color="auto"/>
            </w:tcBorders>
          </w:tcPr>
          <w:p>
            <w:pPr>
              <w:spacing w:after="0"/>
              <w:rPr>
                <w:sz w:val="19"/>
                <w:szCs w:val="19"/>
                <w:color w:val="auto"/>
              </w:rPr>
            </w:pPr>
          </w:p>
        </w:tc>
      </w:tr>
      <w:tr>
        <w:trPr>
          <w:trHeight w:val="223"/>
        </w:trPr>
        <w:tc>
          <w:tcPr>
            <w:tcW w:w="160" w:type="dxa"/>
            <w:vAlign w:val="bottom"/>
            <w:tcBorders>
              <w:right w:val="single" w:sz="8" w:color="CCEEFF"/>
            </w:tcBorders>
          </w:tcPr>
          <w:p>
            <w:pPr>
              <w:spacing w:after="0"/>
              <w:rPr>
                <w:sz w:val="19"/>
                <w:szCs w:val="19"/>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20" w:type="dxa"/>
            <w:vAlign w:val="bottom"/>
            <w:shd w:val="clear" w:color="auto" w:fill="CCEEFF"/>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interest/imputed interest</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(78.5)</w:t>
            </w:r>
          </w:p>
        </w:tc>
      </w:tr>
      <w:tr>
        <w:trPr>
          <w:trHeight w:val="223"/>
        </w:trPr>
        <w:tc>
          <w:tcPr>
            <w:tcW w:w="160" w:type="dxa"/>
            <w:vAlign w:val="bottom"/>
            <w:tcBorders>
              <w:right w:val="single" w:sz="8" w:color="CCEEFF"/>
            </w:tcBorders>
          </w:tcPr>
          <w:p>
            <w:pPr>
              <w:spacing w:after="0"/>
              <w:rPr>
                <w:sz w:val="19"/>
                <w:szCs w:val="19"/>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obligations</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20" w:type="dxa"/>
            <w:vAlign w:val="bottom"/>
            <w:shd w:val="clear" w:color="auto" w:fill="CCEEFF"/>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8"/>
              </w:rPr>
              <w:t>(5.3)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w:t>
            </w:r>
          </w:p>
        </w:tc>
      </w:tr>
      <w:tr>
        <w:trPr>
          <w:trHeight w:val="248"/>
        </w:trPr>
        <w:tc>
          <w:tcPr>
            <w:tcW w:w="160" w:type="dxa"/>
            <w:vAlign w:val="bottom"/>
            <w:tcBorders>
              <w:right w:val="single" w:sz="8" w:color="CCEEFF"/>
            </w:tcBorders>
          </w:tcPr>
          <w:p>
            <w:pPr>
              <w:spacing w:after="0"/>
              <w:rPr>
                <w:sz w:val="21"/>
                <w:szCs w:val="21"/>
                <w:color w:val="auto"/>
              </w:rPr>
            </w:pPr>
          </w:p>
        </w:tc>
        <w:tc>
          <w:tcPr>
            <w:tcW w:w="5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as of June 30, 2024 was 5.9 years for finance leases and 5.9 years for operating leases. The weighted average discount rate as of June 30, 2024 was 9.2% for finance leases and 5.9% for operating leases.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June 30, 2024 and 2023, the Company made the following cash payments for leases:</w:t>
      </w:r>
    </w:p>
    <w:p>
      <w:pPr>
        <w:spacing w:after="0" w:line="160"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tcBorders>
              <w:bottom w:val="single" w:sz="8" w:color="auto"/>
            </w:tcBorders>
            <w:gridSpan w:val="5"/>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6"/>
        </w:trPr>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80" w:type="dxa"/>
            <w:vAlign w:val="bottom"/>
          </w:tcPr>
          <w:p>
            <w:pPr>
              <w:spacing w:after="0"/>
              <w:rPr>
                <w:sz w:val="21"/>
                <w:szCs w:val="21"/>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 on finance lease obligations</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operating leases</w:t>
            </w:r>
          </w:p>
        </w:tc>
        <w:tc>
          <w:tcPr>
            <w:tcW w:w="80" w:type="dxa"/>
            <w:vAlign w:val="bottom"/>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39.6</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payments</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from operating leases for the three and six months ended June 30, 2024 and 2023 was as follows:</w:t>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tcBorders>
              <w:bottom w:val="single" w:sz="8" w:color="auto"/>
            </w:tcBorders>
            <w:gridSpan w:val="5"/>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6"/>
        </w:trPr>
        <w:tc>
          <w:tcPr>
            <w:tcW w:w="5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lease payments</w:t>
            </w:r>
          </w:p>
        </w:tc>
        <w:tc>
          <w:tcPr>
            <w:tcW w:w="80" w:type="dxa"/>
            <w:vAlign w:val="bottom"/>
          </w:tcPr>
          <w:p>
            <w:pPr>
              <w:spacing w:after="0"/>
              <w:rPr>
                <w:sz w:val="21"/>
                <w:szCs w:val="21"/>
                <w:color w:val="auto"/>
              </w:rPr>
            </w:pPr>
          </w:p>
        </w:tc>
        <w:tc>
          <w:tcPr>
            <w:tcW w:w="92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29"/>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8"/>
        </w:trPr>
        <w:tc>
          <w:tcPr>
            <w:tcW w:w="5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lease income</w:t>
            </w:r>
          </w:p>
        </w:tc>
        <w:tc>
          <w:tcPr>
            <w:tcW w:w="80" w:type="dxa"/>
            <w:vAlign w:val="bottom"/>
          </w:tcPr>
          <w:p>
            <w:pPr>
              <w:spacing w:after="0"/>
              <w:rPr>
                <w:sz w:val="21"/>
                <w:szCs w:val="21"/>
                <w:color w:val="auto"/>
              </w:rPr>
            </w:pPr>
          </w:p>
        </w:tc>
        <w:tc>
          <w:tcPr>
            <w:tcW w:w="92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payments to be received as lessor under noncancellable operating leases as of June 30, 2024 were as follows:</w:t>
      </w:r>
    </w:p>
    <w:p>
      <w:pPr>
        <w:spacing w:after="0" w:line="15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9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918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six months)</w:t>
            </w:r>
          </w:p>
        </w:tc>
        <w:tc>
          <w:tcPr>
            <w:tcW w:w="80" w:type="dxa"/>
            <w:vAlign w:val="bottom"/>
            <w:vMerge w:val="continue"/>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30"/>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2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2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3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9"/>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48"/>
        </w:trPr>
        <w:tc>
          <w:tcPr>
            <w:tcW w:w="9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8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0" w:type="dxa"/>
            <w:vAlign w:val="bottom"/>
          </w:tcPr>
          <w:p>
            <w:pPr>
              <w:spacing w:after="0"/>
              <w:rPr>
                <w:sz w:val="1"/>
                <w:szCs w:val="1"/>
                <w:color w:val="auto"/>
              </w:rPr>
            </w:pP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from real estate leases for the three and six months ended June 30, 2024 and 2023 was as follows:</w:t>
      </w:r>
    </w:p>
    <w:p>
      <w:pPr>
        <w:spacing w:after="0" w:line="160"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tcBorders>
              <w:bottom w:val="single" w:sz="8" w:color="auto"/>
            </w:tcBorders>
            <w:gridSpan w:val="5"/>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6"/>
        </w:trPr>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21"/>
                <w:szCs w:val="21"/>
                <w:color w:val="auto"/>
              </w:rPr>
            </w:pPr>
          </w:p>
        </w:tc>
        <w:tc>
          <w:tcPr>
            <w:tcW w:w="96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profit</w:t>
            </w:r>
          </w:p>
        </w:tc>
        <w:tc>
          <w:tcPr>
            <w:tcW w:w="80" w:type="dxa"/>
            <w:vAlign w:val="bottom"/>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real estate lease income</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
        </w:trPr>
        <w:tc>
          <w:tcPr>
            <w:tcW w:w="5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payments to be received as lessor under noncancellable real estate leases as of June 30, 2024 were as follows:</w:t>
      </w:r>
    </w:p>
    <w:p>
      <w:pPr>
        <w:spacing w:after="0" w:line="151" w:lineRule="exact"/>
        <w:rPr>
          <w:sz w:val="20"/>
          <w:szCs w:val="20"/>
          <w:color w:val="auto"/>
        </w:rPr>
      </w:pPr>
    </w:p>
    <w:p>
      <w:pPr>
        <w:ind w:left="9920"/>
        <w:spacing w:after="0"/>
        <w:rPr>
          <w:sz w:val="20"/>
          <w:szCs w:val="20"/>
          <w:color w:val="auto"/>
        </w:rPr>
      </w:pPr>
      <w:r>
        <w:rPr>
          <w:rFonts w:ascii="Times New Roman" w:cs="Times New Roman" w:eastAsia="Times New Roman" w:hAnsi="Times New Roman"/>
          <w:sz w:val="14"/>
          <w:szCs w:val="14"/>
          <w:b w:val="1"/>
          <w:bCs w:val="1"/>
          <w:color w:val="auto"/>
        </w:rPr>
        <w:t>(In millions)</w:t>
      </w:r>
    </w:p>
    <w:p>
      <w:pPr>
        <w:sectPr>
          <w:pgSz w:w="11900" w:h="16838" w:orient="portrait"/>
          <w:cols w:equalWidth="0" w:num="1">
            <w:col w:w="11240"/>
          </w:cols>
          <w:pgMar w:left="320" w:top="225" w:right="339" w:bottom="1440" w:gutter="0" w:footer="0" w:header="0"/>
        </w:sectPr>
      </w:pP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2024 (remaining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-127635</wp:posOffset>
            </wp:positionV>
            <wp:extent cx="588073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80735" cy="145415"/>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588073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80735"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2026</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588073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80735"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2028</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588073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80735" cy="154305"/>
                    </a:xfrm>
                    <a:prstGeom prst="rect">
                      <a:avLst/>
                    </a:prstGeom>
                    <a:noFill/>
                  </pic:spPr>
                </pic:pic>
              </a:graphicData>
            </a:graphic>
          </wp:anchor>
        </w:drawing>
      </w:r>
    </w:p>
    <w:p>
      <w:pPr>
        <w:spacing w:after="0" w:line="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minimum rents receivable</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Less: unearned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588073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80735" cy="154305"/>
                    </a:xfrm>
                    <a:prstGeom prst="rect">
                      <a:avLst/>
                    </a:prstGeom>
                    <a:noFill/>
                  </pic:spPr>
                </pic:pic>
              </a:graphicData>
            </a:graphic>
          </wp:anchor>
        </w:drawing>
      </w:r>
    </w:p>
    <w:p>
      <w:pPr>
        <w:spacing w:after="0" w:line="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real estate leases receivable</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588073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80735" cy="17145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Long-term real estate leases receivable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and December 31, 2023, long-term debt consisted of the following components: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1540" w:type="dxa"/>
        <w:tblCellMar>
          <w:top w:w="0" w:type="dxa"/>
          <w:left w:w="0" w:type="dxa"/>
          <w:bottom w:w="0" w:type="dxa"/>
          <w:right w:w="0" w:type="dxa"/>
        </w:tblCellMar>
      </w:tblPr>
      <w:tr>
        <w:trPr>
          <w:trHeight w:val="229"/>
        </w:trPr>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6"/>
          <w:szCs w:val="16"/>
          <w:b w:val="1"/>
          <w:bCs w:val="1"/>
          <w:color w:val="auto"/>
        </w:rPr>
        <w:t>June 30, 2024</w:t>
      </w:r>
      <w:r>
        <w:rPr>
          <w:sz w:val="20"/>
          <w:szCs w:val="20"/>
          <w:color w:val="auto"/>
        </w:rPr>
        <w:tab/>
      </w:r>
      <w:r>
        <w:rPr>
          <w:rFonts w:ascii="Times New Roman" w:cs="Times New Roman" w:eastAsia="Times New Roman" w:hAnsi="Times New Roman"/>
          <w:sz w:val="16"/>
          <w:szCs w:val="16"/>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21590</wp:posOffset>
            </wp:positionV>
            <wp:extent cx="22377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37740" cy="8255"/>
                    </a:xfrm>
                    <a:prstGeom prst="rect">
                      <a:avLst/>
                    </a:prstGeom>
                    <a:noFill/>
                  </pic:spPr>
                </pic:pic>
              </a:graphicData>
            </a:graphic>
          </wp:anchor>
        </w:drawing>
      </w:r>
    </w:p>
    <w:p>
      <w:pPr>
        <w:spacing w:after="0" w:line="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48" w:lineRule="exact"/>
        <w:rPr>
          <w:sz w:val="20"/>
          <w:szCs w:val="20"/>
          <w:color w:val="auto"/>
        </w:rPr>
      </w:pPr>
    </w:p>
    <w:p>
      <w:pPr>
        <w:sectPr>
          <w:pgSz w:w="11900" w:h="16838" w:orient="portrait"/>
          <w:cols w:equalWidth="0" w:num="2">
            <w:col w:w="7340" w:space="720"/>
            <w:col w:w="3180"/>
          </w:cols>
          <w:pgMar w:left="320" w:top="225"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8"/>
          <w:szCs w:val="18"/>
          <w:color w:val="auto"/>
        </w:rPr>
        <w:t>Series 2019-1 4.723% Fixed Rate Senior Secured Notes, Class A-2-II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-127635</wp:posOffset>
            </wp:positionV>
            <wp:extent cx="479171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91710" cy="146050"/>
                    </a:xfrm>
                    <a:prstGeom prst="rect">
                      <a:avLst/>
                    </a:prstGeom>
                    <a:noFill/>
                  </pic:spPr>
                </pic:pic>
              </a:graphicData>
            </a:graphic>
          </wp:anchor>
        </w:drawing>
      </w:r>
    </w:p>
    <w:p>
      <w:pPr>
        <w:spacing w:after="0" w:line="7" w:lineRule="exact"/>
        <w:rPr>
          <w:sz w:val="20"/>
          <w:szCs w:val="20"/>
          <w:color w:val="auto"/>
        </w:rPr>
      </w:pPr>
    </w:p>
    <w:p>
      <w:pPr>
        <w:ind w:left="220" w:hanging="161"/>
        <w:spacing w:after="0" w:line="234" w:lineRule="auto"/>
        <w:rPr>
          <w:sz w:val="20"/>
          <w:szCs w:val="20"/>
          <w:color w:val="auto"/>
        </w:rPr>
      </w:pPr>
      <w:r>
        <w:rPr>
          <w:rFonts w:ascii="Times New Roman" w:cs="Times New Roman" w:eastAsia="Times New Roman" w:hAnsi="Times New Roman"/>
          <w:sz w:val="18"/>
          <w:szCs w:val="18"/>
          <w:color w:val="auto"/>
        </w:rPr>
        <w:t>Series 2022-1 Variable Funding Senior Secured Notes, Class A-1, variable interest rate of 7.94% and 7.95% at June 30, 2024 and December 31, 2023, respectively</w:t>
      </w:r>
    </w:p>
    <w:p>
      <w:pPr>
        <w:spacing w:after="0" w:line="10" w:lineRule="exact"/>
        <w:rPr>
          <w:sz w:val="20"/>
          <w:szCs w:val="20"/>
          <w:color w:val="auto"/>
        </w:rPr>
      </w:pPr>
    </w:p>
    <w:p>
      <w:pPr>
        <w:ind w:left="60" w:right="2420"/>
        <w:spacing w:after="0" w:line="273" w:lineRule="auto"/>
        <w:rPr>
          <w:sz w:val="20"/>
          <w:szCs w:val="20"/>
          <w:color w:val="auto"/>
        </w:rPr>
      </w:pPr>
      <w:r>
        <w:rPr>
          <w:rFonts w:ascii="Times New Roman" w:cs="Times New Roman" w:eastAsia="Times New Roman" w:hAnsi="Times New Roman"/>
          <w:sz w:val="18"/>
          <w:szCs w:val="18"/>
          <w:color w:val="auto"/>
        </w:rPr>
        <w:t>Series 2023-1 7.824% Fixed Rate Senior Secured Notes, Class A-2 Unamortized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-295275</wp:posOffset>
            </wp:positionV>
            <wp:extent cx="479171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91710" cy="14605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-3810</wp:posOffset>
            </wp:positionV>
            <wp:extent cx="479171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91710" cy="15430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Long-term debt, net of debt issuance costs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Less: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479171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91710" cy="171450"/>
                    </a:xfrm>
                    <a:prstGeom prst="rect">
                      <a:avLst/>
                    </a:prstGeom>
                    <a:noFill/>
                  </pic:spPr>
                </pic:pic>
              </a:graphicData>
            </a:graphic>
          </wp:anchor>
        </w:drawing>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Long-term debt</w:t>
      </w:r>
    </w:p>
    <w:p>
      <w:pPr>
        <w:spacing w:after="0" w:line="20" w:lineRule="exact"/>
        <w:rPr>
          <w:sz w:val="20"/>
          <w:szCs w:val="20"/>
          <w:color w:val="auto"/>
        </w:rPr>
      </w:pPr>
      <w:r>
        <w:rPr>
          <w:sz w:val="20"/>
          <w:szCs w:val="20"/>
          <w:color w:val="auto"/>
        </w:rPr>
        <w:br w:type="column"/>
      </w:r>
    </w:p>
    <w:p>
      <w:pPr>
        <w:ind w:left="1220" w:hanging="1219"/>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594.0</w:t>
      </w:r>
    </w:p>
    <w:p>
      <w:pPr>
        <w:spacing w:after="0" w:line="211"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w:t>
      </w:r>
    </w:p>
    <w:p>
      <w:pPr>
        <w:spacing w:after="0" w:line="27"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w:t>
      </w:r>
    </w:p>
    <w:p>
      <w:pPr>
        <w:spacing w:after="0" w:line="22"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-687705</wp:posOffset>
            </wp:positionV>
            <wp:extent cx="108902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8902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-276225</wp:posOffset>
            </wp:positionV>
            <wp:extent cx="108902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8902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14605</wp:posOffset>
            </wp:positionV>
            <wp:extent cx="108902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89025" cy="154305"/>
                    </a:xfrm>
                    <a:prstGeom prst="rect">
                      <a:avLst/>
                    </a:prstGeom>
                    <a:noFill/>
                  </pic:spPr>
                </pic:pic>
              </a:graphicData>
            </a:graphic>
          </wp:anchor>
        </w:drawing>
      </w:r>
    </w:p>
    <w:p>
      <w:pPr>
        <w:spacing w:after="0" w:line="1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1,185.5</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108902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89025" cy="171450"/>
                    </a:xfrm>
                    <a:prstGeom prst="rect">
                      <a:avLst/>
                    </a:prstGeom>
                    <a:noFill/>
                  </pic:spPr>
                </pic:pic>
              </a:graphicData>
            </a:graphic>
          </wp:anchor>
        </w:drawing>
      </w:r>
    </w:p>
    <w:p>
      <w:pPr>
        <w:spacing w:after="0" w:line="11" w:lineRule="exact"/>
        <w:rPr>
          <w:sz w:val="20"/>
          <w:szCs w:val="20"/>
          <w:color w:val="auto"/>
        </w:rPr>
      </w:pPr>
    </w:p>
    <w:p>
      <w:pPr>
        <w:ind w:left="1080" w:hanging="1079"/>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10890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20" w:hanging="1210"/>
        <w:spacing w:after="0"/>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594.0</w:t>
      </w:r>
    </w:p>
    <w:p>
      <w:pPr>
        <w:spacing w:after="0" w:line="211"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w:t>
      </w:r>
    </w:p>
    <w:p>
      <w:pPr>
        <w:spacing w:after="0" w:line="27"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w:t>
      </w:r>
    </w:p>
    <w:p>
      <w:pPr>
        <w:spacing w:after="0" w:line="22" w:lineRule="exact"/>
        <w:rPr>
          <w:rFonts w:ascii="Times New Roman" w:cs="Times New Roman" w:eastAsia="Times New Roman" w:hAnsi="Times New Roman"/>
          <w:sz w:val="18"/>
          <w:szCs w:val="18"/>
          <w:color w:val="auto"/>
        </w:rPr>
      </w:pP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-680720</wp:posOffset>
            </wp:positionV>
            <wp:extent cx="108902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89025"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-269240</wp:posOffset>
            </wp:positionV>
            <wp:extent cx="108902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89025"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21590</wp:posOffset>
            </wp:positionV>
            <wp:extent cx="108902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89025" cy="154305"/>
                    </a:xfrm>
                    <a:prstGeom prst="rect">
                      <a:avLst/>
                    </a:prstGeom>
                    <a:noFill/>
                  </pic:spPr>
                </pic:pic>
              </a:graphicData>
            </a:graphic>
          </wp:anchor>
        </w:drawing>
      </w:r>
    </w:p>
    <w:p>
      <w:pPr>
        <w:spacing w:after="0" w:line="2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1,184.5</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08902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89025" cy="171450"/>
                    </a:xfrm>
                    <a:prstGeom prst="rect">
                      <a:avLst/>
                    </a:prstGeom>
                    <a:noFill/>
                  </pic:spPr>
                </pic:pic>
              </a:graphicData>
            </a:graphic>
          </wp:anchor>
        </w:drawing>
      </w:r>
    </w:p>
    <w:p>
      <w:pPr>
        <w:spacing w:after="0" w:line="11" w:lineRule="exact"/>
        <w:rPr>
          <w:sz w:val="20"/>
          <w:szCs w:val="20"/>
          <w:color w:val="auto"/>
        </w:rPr>
      </w:pPr>
    </w:p>
    <w:p>
      <w:pPr>
        <w:ind w:left="1100" w:hanging="1090"/>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43180</wp:posOffset>
            </wp:positionV>
            <wp:extent cx="10890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3">
            <w:col w:w="7320" w:space="380"/>
            <w:col w:w="1680" w:space="120"/>
            <w:col w:w="1740"/>
          </w:cols>
          <w:pgMar w:left="320" w:top="225" w:right="339" w:bottom="1440" w:gutter="0" w:footer="0" w:header="0"/>
          <w:type w:val="continuous"/>
        </w:sectPr>
      </w:pPr>
    </w:p>
    <w:p>
      <w:pPr>
        <w:spacing w:after="0" w:line="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5, 2019, Applebee’s Funding LLC and IHOP Funding LLC (the “Co-Issuers”), each a special purpose, wholly-owned indirect subsidiary of the Company, issued two tranches of fixed rate senior secured notes, the Series 2019-1 4.194%</w:t>
      </w:r>
    </w:p>
    <w:p>
      <w:pPr>
        <w:sectPr>
          <w:pgSz w:w="11900" w:h="16838" w:orient="portrait"/>
          <w:cols w:equalWidth="0" w:num="1">
            <w:col w:w="11240"/>
          </w:cols>
          <w:pgMar w:left="320" w:top="225"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 (Continued)</w:t>
      </w:r>
    </w:p>
    <w:p>
      <w:pPr>
        <w:spacing w:after="0" w:line="200" w:lineRule="exact"/>
        <w:rPr>
          <w:sz w:val="20"/>
          <w:szCs w:val="20"/>
          <w:color w:val="auto"/>
        </w:rPr>
      </w:pP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Fixed Rate Senior Secured Notes, Class A-2-I (“2019 Class A-2-I Notes”) in an initial aggregate principal amount of $700 million and the Series 2019-1 4.723% Fixed Rate Senior Secured Notes, Class A-2-II in an initial aggregate principal amount of $600 million (the “2019 Class A-2-II Notes” and, together with the 2019 Class A-2-I Notes, the “2019 Class A-2 Notes”). The 2019 Class A-2 Notes were issued pursuant to an offering exempt from registration under the Securities Act of 1933, as amended.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12, 2022, the Co-Issuers established a new revolving financing facility, the 2022-1 Variable Funding Senior Secured Notes, Class A-1 (the “Credit Facility”), that allows for drawings up to $325 million of variable funding notes on a revolving basis and the issuance of letters of credit. In connection with this transaction, the Co-Issuers terminated their $225 million revolving financing facility, the 2019-1 Variable Funding Senior Secured Notes, Class A-1.</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17, 2023, the Co-Issuers completed a refinancing transaction and issued $500 million of Series 2023-1 7.824% Fixed Rate Senior Secured Notes, Class A-2 (the “2023 Class A-2 Notes”). The 2023 Class A-2 Notes were issued pursuant to an offering exempt from registration under the Securities Act of 1933, as amended. The Company used the net proceeds of the 2023 Class A-2 Notes to repay the entire outstanding balance of approximately $585.1 million of the 2019 Class A-2-I Notes and to pay fees and expenses incurred in connection with the issuance of the 2023 Class A-2 Notes. The remaining 2019 Class A-2-II Notes and the Credit Facility, together with the 2023 Class A-2 Notes are referred to collectively herein as the “Notes.” The Notes were issued in securitization transactions pursuant to which substantially all the domestic revenue-generating assets and domestic intellectual property held by the Co-Issuers and certain other special-purpose, wholly-owned indirect subsidiaries of the Company (the “Guarantors”) were pledged as collateral to secure the Notes.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were issued under a Base Indenture, dated as of September 30, 2014, amended and restated as of June 5, 2019 and further amended and restated as of April 17, 2023 (the “Base Indenture”). In addition, the 2019 Class A-2-II Notes were issued under the related Series 2019-1 Supplement to the Base Indenture, dated June 5, 2019 (the “Series 2019-1 Supplement”), among the Co-Issuers and Citibank, N.A., as the trustee (in such capacity, the “Trustee”) and securities intermediary, the Credit Facility was issued under the related Series 2022-1 Supplement to the Base Indenture, dated August 12, 2022 (“Series 2022-1 Supplement”), among the Co-Issuers and Citibank, N.A., as Trustee and securities intermediary, and the 2023 Class A-2 Notes were issued under the related Series 2023-1 Supplement to the Base Indenture, dated April 17, 2023 (the “Series 2023-1 Supplement”), among the Co-Issuers and Citibank, N.A., as Trustee and securities intermediary. The Base Indenture, Series 2019-1 Supplement, Series 2022-1 Supplement, and Series 2023-1 Supplement (collectively, the “Indenture”) will allow the Co-Issuers to issue additional series of notes in the future subject to certain conditions set forth therein.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Class A-2 Notes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2019 Class A-2-I Notes were voluntarily repaid in full on April 17, 2023, while the 2019 Class A-2-II Notes remain outstanding as of June 30, 2024. For a description of the 2019 Class A-2-I Notes, refer to </w:t>
      </w:r>
      <w:r>
        <w:rPr>
          <w:rFonts w:ascii="Times New Roman" w:cs="Times New Roman" w:eastAsia="Times New Roman" w:hAnsi="Times New Roman"/>
          <w:sz w:val="18"/>
          <w:szCs w:val="18"/>
          <w:i w:val="1"/>
          <w:iCs w:val="1"/>
          <w:color w:val="auto"/>
        </w:rPr>
        <w:t>Note 8 — Long-Term Debt</w:t>
      </w:r>
      <w:r>
        <w:rPr>
          <w:rFonts w:ascii="Times New Roman" w:cs="Times New Roman" w:eastAsia="Times New Roman" w:hAnsi="Times New Roman"/>
          <w:sz w:val="18"/>
          <w:szCs w:val="18"/>
          <w:color w:val="auto"/>
        </w:rPr>
        <w:t xml:space="preserve"> of the Notes to Consolidated Financial Statements included in the Company’s Annual Report on Form 10-K for the year ended December 31, 2022. The legal final maturity of the 2019 Class A-2-II Notes is June 2049, but rapid amortization will apply if the 2019 Class A-2-II Notes are not repaid by June 2026 (the “2019 Class A-2-II Anticipated Repayment Date”). If the Co-Issuers have not repaid or refinanced the 2019 Class A-2-II Notes by the 2019 Class A-2-II Anticipated Repayment Date, then additional interest will accrue on the 2019 Class A-2-II Notes, as applicable, at the greater of: (A) 5.0% and (B) the amount, if any, by which the sum of the following exceeds the applicable 2019 Class A-2-II Note interest rate: (x) the yield to maturity (adjusted to a quarterly bond-equivalent basis) on the 2019 Class A-2-II Anticipated Repayment Date of the United States Treasury Security having a term closest to 10 years plus (y) 7.64% for the 2019 Class A-2-II Notes.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2019 Class A-2-II Notes are outstanding, payment of principal and interest is required to be made on the 2019 Class A-2-II Notes on a quarterly basis. The quarterly principal payment of $1.5 million on the 2019 Class A-2-II Notes may be suspended when the leverage ratio for the Company and its subsidiaries is less than or equal to 5.25x. Exceeding the leverage ratio of 5.25x does not violate any covenant related to the Notes. In general, the leverage ratio is the Company's indebtedness (as defined in the Indenture) divided by adjusted EBITDA (as defined in the Indenture) for the four preceding quarterly periods. The complete definitions of all calculation elements of the leverage ratio are contained in the Indenture.</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the Company's leverage ratio was approximately 4.2x. As a result, quarterly principal payments on the 2019 Class A-2-II Notes of $1.5 million currently are not required.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voluntarily repay the 2019 Class A-2-II Notes at any time without any associated make-whole premium.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Class A-1 Notes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2022,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Term SOFR Rate, in either case, plus 2.50%. The applicable interest rate for swingline advances and unreimbursed draws on outstanding letters of credit is a per annum base rate equal to the sum of (A) the greatest of (i) the Prime Rate in effect from time to time; (ii) the Federal Funds Rate in effect from time to time plus 0.50%; and (iii) Term SOFR for a one-month tenor in effect at such time plus 0.50% plus (B) 2.00%.</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legal final maturity of the Credit Facility is June 2052, but rapid amortization will apply if there are outstanding amounts under the Credit Facility after June 2027 (the “Class A-1 Renewal Date”). The Class A-1 Renewal Date may be extended at the Co-Issuers’ election for up to two successive one-year periods if certain conditions are met. If the Co-Issuers have not repaid or refinanced the Credit Facility by the Class A-1 Renewal Date (after giving effect to any extensions), then interest will accrue on the Credit Facility at a rate equal to 5.00% in addition to the regular interest rate applicable to the Credit Facility.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the outstanding balance of the Credit Facility was $100 million. The amount of $1.9 million was pledged against the Credit Facility for outstanding letters of credit, leaving $223.1 million of the Credit Facility available for borrowing at June 30, 2024. It is anticipated that any principal and interest on the Credit Facility outstanding will be repaid in full on or prior to the quarterly payment date in June 2027, subject to two additional one-year extensions at the option of the Company upon the satisfaction of certain conditions. The letters of credit are used primarily to satisfy insurance-related collateral requirements. The weighted average interest rate for the period outstanding during the six months ended June 30, 2024 was 7.94%.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Class A-2 Notes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legal final maturity of the 2023 Class A-2 Notes is in March 2053, but it is anticipated that, unless repaid earlier to the extent permitted under the Indenture, the 2023 Class A-2 Notes will be repaid in June 2029 (the “2023 Class A-2 Anticipated Repayment Date”). If the Co-Issuers have not repaid or refinanced the 2023 Class A-2 Notes by the 2023 Class A-2 Anticipated Repayment Date, then additional interest will accrue on the 2023 Class A-2 Notes, as applicable, at the greater of: (A) 5.0% and (B) the amount, if any, by which the sum of the following exceeds the Series 2023-1 Class A-2 Note interest rate: (x) the yield to maturity (adjusted to a quarterly bond-equivalent basis) on the 2023 Class A-2 Anticipated Repayment Date of the United States Treasury Security having a term closest to 10 years plus (y) 9.24% for the 2023 Class A-2 Notes.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2023 Class A-2 Notes are outstanding, payment of principal and interest is required to be made on the 2023 Class A-2 Notes on a quarterly basis. The quarterly principal payment of $1.25 million on the 2023 Class A-2 Notes may be suspended when the leverage ratio for the Company and its subsidiaries is less than or equal to 5.25x.</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Company's leverage ratio was approximately 4.2x. As a result, quarterly principal payments on the 2023 Class A-2 Notes of $1.25 million currently are not required.</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voluntarily repay the 2023 Class A-2 Notes at any time; however, if the 2023 Class A-2 Notes are repaid prior to certain dates, the Company would be required to pay make-whole premiums. As of June 30, 2024, the make-whole premium associated with voluntary prepayment of the 2023 Class A-2 Notes was approximately $29.7 million. The Company also would be subject to a make-whole premium in the event of a mandatory prepayment required following a Rapid Amortization Event or certain asset dispositions. The mandatory make-whole premium requirements are considered derivatives embedded in the Notes that must be bifurcated for separate valuation. The Company estimated the fair value of these derivatives to be immaterial as of June 30, 2024, based on the probability-weighted discounted cash flows associated with either event.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Program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2023, the Company's Board of Directors authorized a debt repurchase program of up to $100 million. Repurchases of the Company’s debt, if any, are expected to reduce future cash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 and Restrictions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Notes are subject to a series of covenants and restrictions customary for transactions of this type, including: (i) that the Co-Issuers maintain specified reserve accounts to be used to make required payments in respect of the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Notes are in stated ways defective or ineffective and (iv) covenants relating to recordkeeping, access to information and similar matters. The Notes are subject to customary rapid amortization events provided for in the Indenture, including events tied to failure of the Securitization Entities (as defined in the Indenture)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Notes are also subject to certain customary events of default, including events relating to non-payment of required interest, principal or other amounts due on or with respect to the Notes, failure of the Securitization Entities to maintain the stated DSCR, failure to comply with covenants within certain time frames, certain bankruptcy events, breaches of specified representations and warranties and certain judgments.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(each as defined in the Indenture)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84"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Flow Sweeping Event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DSCR for the reporting period ended June 30, 2024 was approximately 3.5x.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Class A-2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incurred costs of approximately $8.0 million in connection with the issuance of the 2023 Class A-2 Notes. These debt issuance costs are being amortized using the effective interest method over the estimated life of the 2023 Class A-2 Notes. Amortization costs of $0.3 million and $0.5 million, respectively, were included in interest expense for the three and six months ended June 30, 2024. As of June 30, 2024, unamortized debt issuance costs of $6.7 million are reported as a direct reduction of the 2023 Series Class A-2 Notes in the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Class A-1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2022, the Company incurred costs of approximately $6.3 million in connection with the issuance of the Credit Facility. These debt issuance costs are being amortized over the estimated life of the Credit Facility. Amortization costs of $0.3 million and $0.6 million of these costs were included in interest expense for the three and six months ended June 30, 2024, respectively. As of June 30, 2024, unamortized debt issuance costs of $4.1 million related to the Credit Facility are classified as other non-current assets in the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Class A-2 Notes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incurred costs of approximately $12.9 million in connection with the issuance of the 2019 Class A-2 Notes. These debt issuance costs are being amortized using the effective interest method over estimated life of each tranche of the 2019 Class A-2 Notes. Amortization costs of $0.2 million and $0.5 million were included in interest expense for the three and six months ended June 30, 2024, respectively. Amortization costs of $0.2 million and $1.1 million were included in interest expense for the three and six months ended June 30, 2023, respectively. The Company repaid the entire outstanding balance 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 (Continued)</w:t>
      </w:r>
    </w:p>
    <w:p>
      <w:pPr>
        <w:spacing w:after="0" w:line="200" w:lineRule="exact"/>
        <w:rPr>
          <w:sz w:val="20"/>
          <w:szCs w:val="20"/>
          <w:color w:val="auto"/>
        </w:rPr>
      </w:pP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$585.1 million of its 2019 Class A-2-I Notes during the second quarter of fiscal year 2023 and wrote off the related remaining issuance costs of $1.7 million. As of June 30, 2024, unamortized debt issuance costs of $1.7 million are reported as a direct reduction of the 2019 Class A-2-II Notes in the Consolidated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(Gain) on Extinguishment of Debt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purchased $67.9 million of its 2019 Class A-2-I Notes under par and recognized a $1.7 million gain on extinguishment of debt during the six months ended June 30, 2023.</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repayment of the 2019 Class A-2-I Notes, the Company recognized a loss on extinguishment of debt of $1.7 million, representing the remaining unamortized costs related to the 2019 Class A-2-I Notes, during the three months ended June 30,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Maturities of Long-term Debt</w:t>
      </w:r>
    </w:p>
    <w:p>
      <w:pPr>
        <w:spacing w:after="0" w:line="121" w:lineRule="exact"/>
        <w:rPr>
          <w:sz w:val="20"/>
          <w:szCs w:val="20"/>
          <w:color w:val="auto"/>
        </w:rPr>
      </w:pPr>
    </w:p>
    <w:p>
      <w:pPr>
        <w:ind w:left="660" w:hanging="328"/>
        <w:spacing w:after="0" w:line="261"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of the 2019 Class A-2-II Notes is in June 2049, but it is anticipated that, unless repaid earlier, the 2019 Class A-2-II Notes will be repaid in June 2026.</w:t>
      </w:r>
    </w:p>
    <w:p>
      <w:pPr>
        <w:ind w:left="66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of the 2023 Class A-2 Notes is in March 2053, but it is anticipated that, unless repaid earlier, to the extent permitted under the Indenture, the 2023 Class A-2 Notes will be repaid in June 2029.</w:t>
      </w:r>
    </w:p>
    <w:p>
      <w:pPr>
        <w:ind w:left="66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renewal date of the Credit Facility is June 2027, subject to two additional one-year extensions at the option of the Company upon the satisfaction of certain conditions.</w:t>
      </w:r>
    </w:p>
    <w:p>
      <w:pPr>
        <w:ind w:left="660" w:right="2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principal payments on the 2019 Class A-2-II Notes totaling $1.5 million ($6.0 million per annum) are required if the Company's leverage ratio is greater than 5.25x.</w:t>
      </w:r>
    </w:p>
    <w:p>
      <w:pPr>
        <w:ind w:left="660" w:hanging="328"/>
        <w:spacing w:after="0" w:line="26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principal payments on the 2023 Class A-2 Notes totaling $1.25 million ($5.0 million per annum) are required if the Company's leverage ratio is greater than 5.25x.</w:t>
      </w:r>
    </w:p>
    <w:p>
      <w:pPr>
        <w:spacing w:after="0" w:line="6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declared and paid per share for the three and six months ended June 30, 2024 and 2023 were as follows: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400" w:type="dxa"/>
            <w:vAlign w:val="bottom"/>
            <w:tcBorders>
              <w:bottom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80" w:type="dxa"/>
            <w:vAlign w:val="bottom"/>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and 2023, the Company paid dividends of $15.7 million and $16.0 million, respectively.</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14, 2024, the Board of Directors declared a second quarter 2024 cash dividend of $0.51 per share of common stock, paid on July 5, 2024 to the stockholders of record as of the close of business on June 20, 2024.</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26, 2024, the Board of Directors declared a first quarter 2024 cash dividend of $0.51 per share of common stock, paid on April 5, 2024 to the stockholders of record as of the close of business on March 20, 2024.</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30, 2023, the Board of Directors declared a fourth quarter 2023 cash dividend of $0.51 per share of common stock, paid on January 5, 2024 to the stockholders of record as of the close of business on December 20,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2022, the Company’s Board of Directors approved a stock repurchase program, effective April 1, 2022, authorizing the Company to repurchase up to $250 million of the Company’s common stock (the “2022 Repurchase Program”) on an opportunistic basis from time to time in the open market or in privately negotiated transactions based on business, market, applicable legal requirements and other considerations. The 2022 Repurchase Program, as approved by the Board of Directors, does not require the repurchase of a specific number of shares and can be terminated at any time.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repurchased 269,621 shares of common stock at a cost of $12.0 million. Cumulatively, the Company repurchased 1,865,399 shares at a cost of $116.7 million. As of June 30, 2024, a remaining amount of $133.3 million in the value of shares may be repurchased under the 2022 Repurchase Program.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Deficit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Repurchases of the Company's common stock are included in treasury stock at the cost of shares repurchased plus any transaction costs. Treasury stock may be re-issued when stock options are exercised, when restricted stock awards are granted and when restricted stock units settle in stock upon vesting. The cost of treasury stock re-issued is determined using the first-in, first-out (“FIFO”) method. During the six months ended June 30, 2024, the Company re-issued 280,193 shares of treasury stock at a total FIFO cost of $13.6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26.4% for the six months ended June 30, 2024, as compared to 24.7% for the six months ended June 30, 2023. The effective tax rate for the six months ended June 30, 2024 was higher than the rate of the prior comparable period primarily due to a lower tax deduction related to stock-based compensation.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gross unrecognized tax benefit as of June 30, 2024 and December 31, 2023 was $3.8 million and $3.5 million, respectively, excluding interest, penalties and related income tax benefits. The Company estimates the unrecognized tax benefit as of June 30, 2024 may decrease over the upcoming 12 months by $1.4 million related to settlements with taxing authorities and statute of limitations expirations. For the remaining liability, due to the uncertainties related to these tax matters, the Company is unable to make a reasonable estimate as to when cash settlement with a taxing authority will occur.</w:t>
      </w:r>
    </w:p>
    <w:p>
      <w:pPr>
        <w:spacing w:after="0" w:line="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June 30, 2024, the accrued interest was $0.9 million, excluding any related income tax benefits. As of December 31, 2023, the accrued interest was $0.9 million, excluding any related income tax benefits. The Company recognizes interest accrued related to unrecognized tax benefits and penalties as a component of the income tax provision recognized in the Consolidated Statements of Comprehensive Income.</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federal income tax returns and the Company or one of its subsidiaries file income tax returns in various state and international jurisdictions. With few exceptions, the Company is no longer subject to federal tax examinations by tax authorities for years before 2020 and state or non-United States tax examinations by tax authorities for years before 2019. The Company believes that adequate reserves have been provided relating to all matters contained in the tax periods open to examination.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included in general and administrative expenses in the Consolidated Statements of Comprehensive Income:</w:t>
      </w:r>
    </w:p>
    <w:p>
      <w:pPr>
        <w:spacing w:after="0" w:line="97"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Borders>
              <w:bottom w:val="single" w:sz="8" w:color="auto"/>
            </w:tcBorders>
            <w:gridSpan w:val="5"/>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6"/>
        </w:trPr>
        <w:tc>
          <w:tcPr>
            <w:tcW w:w="5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2"/>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classified awards expense</w:t>
            </w:r>
          </w:p>
        </w:tc>
        <w:tc>
          <w:tcPr>
            <w:tcW w:w="100" w:type="dxa"/>
            <w:vAlign w:val="bottom"/>
          </w:tcPr>
          <w:p>
            <w:pPr>
              <w:spacing w:after="0"/>
              <w:rPr>
                <w:sz w:val="21"/>
                <w:szCs w:val="21"/>
                <w:color w:val="auto"/>
              </w:rPr>
            </w:pP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3.9</w:t>
            </w:r>
          </w:p>
        </w:tc>
        <w:tc>
          <w:tcPr>
            <w:tcW w:w="80" w:type="dxa"/>
            <w:vAlign w:val="bottom"/>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5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Liability classified awards (credit) expense</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(0.6)</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595"/>
              <w:spacing w:after="0"/>
              <w:rPr>
                <w:sz w:val="20"/>
                <w:szCs w:val="20"/>
                <w:color w:val="auto"/>
              </w:rPr>
            </w:pPr>
            <w:r>
              <w:rPr>
                <w:rFonts w:ascii="Times New Roman" w:cs="Times New Roman" w:eastAsia="Times New Roman" w:hAnsi="Times New Roman"/>
                <w:sz w:val="18"/>
                <w:szCs w:val="18"/>
                <w:color w:val="auto"/>
                <w:w w:val="98"/>
              </w:rPr>
              <w:t>(1.3)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32"/>
              <w:spacing w:after="0"/>
              <w:rPr>
                <w:sz w:val="20"/>
                <w:szCs w:val="20"/>
                <w:color w:val="auto"/>
              </w:rPr>
            </w:pPr>
            <w:r>
              <w:rPr>
                <w:rFonts w:ascii="Times New Roman" w:cs="Times New Roman" w:eastAsia="Times New Roman" w:hAnsi="Times New Roman"/>
                <w:sz w:val="18"/>
                <w:szCs w:val="18"/>
                <w:color w:val="auto"/>
                <w:w w:val="98"/>
              </w:rPr>
              <w:t>(0.6)</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 w:type="dxa"/>
            <w:vAlign w:val="bottom"/>
          </w:tcPr>
          <w:p>
            <w:pPr>
              <w:spacing w:after="0"/>
              <w:rPr>
                <w:sz w:val="21"/>
                <w:szCs w:val="21"/>
                <w:color w:val="auto"/>
              </w:rPr>
            </w:pP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8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total unrecognized compensation expense of $23.7 million related to restricted stock and restricted stock units and $4.1 million related to stock options is expected to be recognized over a weighted average period of 1.6 years for restricted stock and restricted stock units and 1.6 years for stock options.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Assumptions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assumptions used in the Black-Scholes model for stock options granted during the six months ended June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80" w:type="dxa"/>
            <w:vAlign w:val="bottom"/>
          </w:tcPr>
          <w:p>
            <w:pPr>
              <w:spacing w:after="0"/>
              <w:rPr>
                <w:sz w:val="19"/>
                <w:szCs w:val="19"/>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Historical volatility</w:t>
            </w:r>
          </w:p>
        </w:tc>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1080" w:type="dxa"/>
            <w:vAlign w:val="bottom"/>
          </w:tcPr>
          <w:p>
            <w:pPr>
              <w:spacing w:after="0"/>
              <w:rPr>
                <w:sz w:val="19"/>
                <w:szCs w:val="19"/>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80" w:type="dxa"/>
            <w:vAlign w:val="bottom"/>
          </w:tcPr>
          <w:p>
            <w:pPr>
              <w:spacing w:after="0"/>
              <w:rPr>
                <w:sz w:val="19"/>
                <w:szCs w:val="19"/>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years until exercise</w:t>
            </w:r>
          </w:p>
        </w:tc>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80" w:type="dxa"/>
            <w:vAlign w:val="bottom"/>
          </w:tcPr>
          <w:p>
            <w:pPr>
              <w:spacing w:after="0"/>
              <w:rPr>
                <w:sz w:val="19"/>
                <w:szCs w:val="19"/>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options granted</w:t>
            </w:r>
          </w:p>
        </w:tc>
        <w:tc>
          <w:tcPr>
            <w:tcW w:w="4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80" w:type="dxa"/>
            <w:vAlign w:val="bottom"/>
          </w:tcPr>
          <w:p>
            <w:pPr>
              <w:spacing w:after="0"/>
              <w:rPr>
                <w:sz w:val="19"/>
                <w:szCs w:val="19"/>
                <w:color w:val="auto"/>
              </w:rPr>
            </w:pPr>
          </w:p>
        </w:tc>
      </w:tr>
      <w:tr>
        <w:trPr>
          <w:trHeight w:val="904"/>
        </w:trPr>
        <w:tc>
          <w:tcPr>
            <w:tcW w:w="3840" w:type="dxa"/>
            <w:vAlign w:val="bottom"/>
          </w:tcPr>
          <w:p>
            <w:pPr>
              <w:spacing w:after="0"/>
              <w:rPr>
                <w:sz w:val="24"/>
                <w:szCs w:val="24"/>
                <w:color w:val="auto"/>
              </w:rPr>
            </w:pPr>
          </w:p>
        </w:tc>
        <w:tc>
          <w:tcPr>
            <w:tcW w:w="4780" w:type="dxa"/>
            <w:vAlign w:val="bottom"/>
          </w:tcPr>
          <w:p>
            <w:pPr>
              <w:jc w:val="right"/>
              <w:ind w:right="28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3"/>
        </w:trPr>
        <w:tc>
          <w:tcPr>
            <w:tcW w:w="3840" w:type="dxa"/>
            <w:vAlign w:val="bottom"/>
            <w:tcBorders>
              <w:bottom w:val="single" w:sz="8" w:color="9A9A9A"/>
            </w:tcBorders>
          </w:tcPr>
          <w:p>
            <w:pPr>
              <w:spacing w:after="0"/>
              <w:rPr>
                <w:sz w:val="19"/>
                <w:szCs w:val="19"/>
                <w:color w:val="auto"/>
              </w:rPr>
            </w:pPr>
          </w:p>
        </w:tc>
        <w:tc>
          <w:tcPr>
            <w:tcW w:w="47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4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balances at June 30, 2024, and activity for the six months ended June 30, 2024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53"/>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3"/>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53"/>
              <w:spacing w:after="0" w:line="162"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10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w w:val="98"/>
              </w:rPr>
              <w:t>Value (in</w:t>
            </w:r>
          </w:p>
        </w:tc>
        <w:tc>
          <w:tcPr>
            <w:tcW w:w="0" w:type="dxa"/>
            <w:vAlign w:val="bottom"/>
          </w:tcPr>
          <w:p>
            <w:pPr>
              <w:spacing w:after="0"/>
              <w:rPr>
                <w:sz w:val="1"/>
                <w:szCs w:val="1"/>
                <w:color w:val="auto"/>
              </w:rPr>
            </w:pPr>
          </w:p>
        </w:tc>
      </w:tr>
      <w:tr>
        <w:trPr>
          <w:trHeight w:val="214"/>
        </w:trPr>
        <w:tc>
          <w:tcPr>
            <w:tcW w:w="492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Under Option</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0" w:type="dxa"/>
            <w:vAlign w:val="bottom"/>
          </w:tcPr>
          <w:p>
            <w:pPr>
              <w:spacing w:after="0"/>
              <w:rPr>
                <w:sz w:val="1"/>
                <w:szCs w:val="1"/>
                <w:color w:val="auto"/>
              </w:rPr>
            </w:pPr>
          </w:p>
        </w:tc>
      </w:tr>
      <w:tr>
        <w:trPr>
          <w:trHeight w:val="22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00" w:type="dxa"/>
            <w:vAlign w:val="bottom"/>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462,506</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00" w:type="dxa"/>
            <w:vAlign w:val="bottom"/>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582,869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June 30, 2024</w:t>
            </w:r>
          </w:p>
        </w:tc>
        <w:tc>
          <w:tcPr>
            <w:tcW w:w="100" w:type="dxa"/>
            <w:vAlign w:val="bottom"/>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552,725</w:t>
            </w:r>
          </w:p>
        </w:tc>
        <w:tc>
          <w:tcPr>
            <w:tcW w:w="10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at June 30, 2024</w:t>
            </w:r>
          </w:p>
        </w:tc>
        <w:tc>
          <w:tcPr>
            <w:tcW w:w="100" w:type="dxa"/>
            <w:vAlign w:val="bottom"/>
          </w:tcPr>
          <w:p>
            <w:pPr>
              <w:spacing w:after="0"/>
              <w:rPr>
                <w:sz w:val="17"/>
                <w:szCs w:val="17"/>
                <w:color w:val="auto"/>
              </w:rPr>
            </w:pP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378,828</w:t>
            </w:r>
          </w:p>
        </w:tc>
        <w:tc>
          <w:tcPr>
            <w:tcW w:w="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77.83</w:t>
            </w:r>
          </w:p>
        </w:tc>
        <w:tc>
          <w:tcPr>
            <w:tcW w:w="1420" w:type="dxa"/>
            <w:vAlign w:val="bottom"/>
            <w:gridSpan w:val="2"/>
          </w:tcPr>
          <w:p>
            <w:pPr>
              <w:jc w:val="center"/>
              <w:ind w:left="10"/>
              <w:spacing w:after="0" w:line="203" w:lineRule="exact"/>
              <w:rPr>
                <w:sz w:val="20"/>
                <w:szCs w:val="20"/>
                <w:color w:val="auto"/>
              </w:rPr>
            </w:pPr>
            <w:r>
              <w:rPr>
                <w:rFonts w:ascii="Times New Roman" w:cs="Times New Roman" w:eastAsia="Times New Roman" w:hAnsi="Times New Roman"/>
                <w:sz w:val="18"/>
                <w:szCs w:val="18"/>
                <w:color w:val="auto"/>
              </w:rPr>
              <w:t>4.9</w:t>
            </w:r>
          </w:p>
        </w:tc>
        <w:tc>
          <w:tcPr>
            <w:tcW w:w="2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closing stock price of the Company’s common stock on the last trading day of the second quarter of 2024 and the exercise price, multiplied by the number of in-the-money options) that would have been received by the option holders had all option holders exercised their options on June 30, 2024. The aggregate intrinsic value will change based on the fair market value of the Company’s common stock and the number of in-the-money options.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Restricted Stock and Restricted Stock Units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balances as of June 30, 2024, and activity related to restricted stock and restricted stock units for the six months ended June 30, 2024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Stock-Settled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of 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0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8"/>
        </w:trPr>
        <w:tc>
          <w:tcPr>
            <w:tcW w:w="5340" w:type="dxa"/>
            <w:vAlign w:val="bottom"/>
            <w:tcBorders>
              <w:bottom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8"/>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338,622</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58,475</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(139,781)</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(18,115)</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(21,534)</w:t>
            </w:r>
          </w:p>
        </w:tc>
        <w:tc>
          <w:tcPr>
            <w:tcW w:w="100" w:type="dxa"/>
            <w:vAlign w:val="bottom"/>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00" w:type="dxa"/>
            <w:vAlign w:val="bottom"/>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457,500</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00" w:type="dxa"/>
            <w:vAlign w:val="bottom"/>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70,656</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Long-Term Incentive Awards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granted cash long-term incentive awards (“LTIP awards”) to certain employees. Annual LTIP awards vest over a three-year period and are determined using multipliers from 0% to 200% of the target award based on the total stockholder return of Dine Brands Global common stock compared to the total stockholder returns of a peer group of companies. The awards are considered stock-based compensation and are classified as liabilities measured at fair value as of the respective period end. For the three months ended June 30, 2024 and 2023, credits of $0.6 million and $1.3 million, respectively, were included in total stock-based compensation expense related to LTIP awards. For the six months ended June 30, 2024 and 2023, an expense of $0.1 million and a credit of $0.6 million, respectively, were included in total stock-based compensation expense related to LTIP awards. At June 30, 2024 and December 31, 2023, liabilities of $0.8 million and $0.7 million, respectively, related to LTIP awards were included as part of accrued employee compensation and benefits in the Consolidated Balance Sheets.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the Company's basic and diluted net income per share is as follows:</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5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income per common share: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23,182</w:t>
            </w:r>
          </w:p>
        </w:tc>
        <w:tc>
          <w:tcPr>
            <w:tcW w:w="100" w:type="dxa"/>
            <w:vAlign w:val="bottom"/>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18,248</w:t>
            </w:r>
          </w:p>
        </w:tc>
        <w:tc>
          <w:tcPr>
            <w:tcW w:w="80" w:type="dxa"/>
            <w:vAlign w:val="bottom"/>
          </w:tcPr>
          <w:p>
            <w:pPr>
              <w:spacing w:after="0"/>
              <w:rPr>
                <w:sz w:val="19"/>
                <w:szCs w:val="19"/>
                <w:color w:val="auto"/>
              </w:rPr>
            </w:pPr>
          </w:p>
        </w:tc>
        <w:tc>
          <w:tcPr>
            <w:tcW w:w="32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40,655</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45,658</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allocated to unvested participating restricted stock</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basic</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22,479</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17,802</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39,449</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44,533</w:t>
            </w:r>
          </w:p>
        </w:tc>
        <w:tc>
          <w:tcPr>
            <w:tcW w:w="0" w:type="dxa"/>
            <w:vAlign w:val="bottom"/>
          </w:tcPr>
          <w:p>
            <w:pPr>
              <w:spacing w:after="0"/>
              <w:rPr>
                <w:sz w:val="1"/>
                <w:szCs w:val="1"/>
                <w:color w:val="auto"/>
              </w:rPr>
            </w:pPr>
          </w:p>
        </w:tc>
      </w:tr>
      <w:tr>
        <w:trPr>
          <w:trHeight w:val="176"/>
        </w:trPr>
        <w:tc>
          <w:tcPr>
            <w:tcW w:w="53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Effect of unvested participating restricted stock in two-class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calculation</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diluted</w:t>
            </w: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22,479</w:t>
            </w:r>
          </w:p>
        </w:tc>
        <w:tc>
          <w:tcPr>
            <w:tcW w:w="10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17,802</w:t>
            </w:r>
          </w:p>
        </w:tc>
        <w:tc>
          <w:tcPr>
            <w:tcW w:w="8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39,449</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44,533</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outstanding shares of common stock - basic</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15,308</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14,962</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15,304</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outstanding shares of common stock - diluted</w:t>
            </w: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10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8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14,962</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15,324</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center"/>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identifies its reporting segments based on the organizational units used by management to monitor performance and make operating decisions. The Company currently has six operating segments: Applebee's franchise operations, IHOP franchise operations, Fuzzy's franchise operations, rental operations, financing operations, and company-operated restaurant operations. The Company has four reporting segments: franchise operations (an aggregation of each restaurant concept's franchise operations), company-operated restaurant operations, rental operations and financing operations.</w:t>
      </w:r>
    </w:p>
    <w:p>
      <w:pPr>
        <w:spacing w:after="0" w:line="72" w:lineRule="exact"/>
        <w:rPr>
          <w:sz w:val="20"/>
          <w:szCs w:val="20"/>
          <w:color w:val="auto"/>
        </w:rPr>
      </w:pPr>
    </w:p>
    <w:p>
      <w:pPr>
        <w:jc w:val="both"/>
        <w:ind w:firstLine="49"/>
        <w:spacing w:after="0" w:line="256" w:lineRule="auto"/>
        <w:rPr>
          <w:sz w:val="20"/>
          <w:szCs w:val="20"/>
          <w:color w:val="auto"/>
        </w:rPr>
      </w:pPr>
      <w:r>
        <w:rPr>
          <w:rFonts w:ascii="Times New Roman" w:cs="Times New Roman" w:eastAsia="Times New Roman" w:hAnsi="Times New Roman"/>
          <w:sz w:val="18"/>
          <w:szCs w:val="18"/>
          <w:color w:val="auto"/>
        </w:rPr>
        <w:t>As of June 30, 2024, the franchise operations segment consisted of 1,625 restaurants operated by Applebee’s franchisees in the United States, two U.S. territories and 12 countries outside the United States; 1,811 restaurants operated by IHOP franchisees and area licensees in the United States, two U.S. territories and 13 countries outside the United States; and 124 restaurants operated by Fuzzy's franchisees in the United States. Franchise operations revenue consists primarily of franchise royalty revenues, franchise advertising revenue, sales of proprietary products to franchisees, and other franchise fees. Franchise operations expenses include advertising expense, the cost of proprietary products, pre-opening training expenses and other franchise-related costs.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Rental operations revenue includes revenue from operating leases and interest income from real estate leases. Rental operations expenses are costs of operating leases and interest expense from finance leases on which the Company is the lessee.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Financing operations revenue primarily consists of interest income from the financing of IHOP equipment leases and franchise fees and interest income on notes receivable due from franchisees. Financing operations expenses primarily are the cost of taxes related to IHOP equipment leases.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2022, three company-operated Fuzzy's restaurants were acquired, of which two were subsequently refranchised in the second quarter of 2023. As of June 30, 2024, the company restaurants segment consisted of one company-operated Fuzzy's restaurant located in the United States. Company-operated restaurant operation revenue consists of retail sales at company-operated restaurants. Company-operated restaurant operation expenses are operating expenses such as food, beverage, labor, benefits, utilities, rent and other operating costs.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 Global,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segments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Borders>
              <w:bottom w:val="single" w:sz="8" w:color="auto"/>
            </w:tcBorders>
            <w:gridSpan w:val="5"/>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6"/>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center"/>
              <w:ind w:left="65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2"/>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from external customers: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100" w:type="dxa"/>
            <w:vAlign w:val="bottom"/>
          </w:tcPr>
          <w:p>
            <w:pPr>
              <w:spacing w:after="0"/>
              <w:rPr>
                <w:sz w:val="19"/>
                <w:szCs w:val="19"/>
                <w:color w:val="auto"/>
              </w:rPr>
            </w:pPr>
          </w:p>
        </w:tc>
        <w:tc>
          <w:tcPr>
            <w:tcW w:w="82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176.5</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19"/>
                <w:szCs w:val="19"/>
                <w:color w:val="auto"/>
              </w:rPr>
            </w:pPr>
          </w:p>
        </w:tc>
        <w:tc>
          <w:tcPr>
            <w:tcW w:w="44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10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 from external customers</w:t>
            </w:r>
          </w:p>
        </w:tc>
        <w:tc>
          <w:tcPr>
            <w:tcW w:w="100" w:type="dxa"/>
            <w:vAlign w:val="bottom"/>
          </w:tcPr>
          <w:p>
            <w:pPr>
              <w:spacing w:after="0"/>
              <w:rPr>
                <w:sz w:val="21"/>
                <w:szCs w:val="21"/>
                <w:color w:val="auto"/>
              </w:rPr>
            </w:pPr>
          </w:p>
        </w:tc>
        <w:tc>
          <w:tcPr>
            <w:tcW w:w="82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206.3</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tcPr>
          <w:p>
            <w:pPr>
              <w:spacing w:after="0"/>
              <w:rPr>
                <w:sz w:val="21"/>
                <w:szCs w:val="21"/>
                <w:color w:val="auto"/>
              </w:rPr>
            </w:pPr>
          </w:p>
        </w:tc>
        <w:tc>
          <w:tcPr>
            <w:tcW w:w="440" w:type="dxa"/>
            <w:vAlign w:val="bottom"/>
            <w:tcBorders>
              <w:bottom w:val="single" w:sz="8" w:color="auto"/>
            </w:tcBorders>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0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100" w:type="dxa"/>
            <w:vAlign w:val="bottom"/>
          </w:tcPr>
          <w:p>
            <w:pPr>
              <w:spacing w:after="0"/>
              <w:rPr>
                <w:sz w:val="19"/>
                <w:szCs w:val="19"/>
                <w:color w:val="auto"/>
              </w:rPr>
            </w:pPr>
          </w:p>
        </w:tc>
        <w:tc>
          <w:tcPr>
            <w:tcW w:w="8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10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48"/>
        </w:trPr>
        <w:tc>
          <w:tcPr>
            <w:tcW w:w="5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interest expense</w:t>
            </w:r>
          </w:p>
        </w:tc>
        <w:tc>
          <w:tcPr>
            <w:tcW w:w="100" w:type="dxa"/>
            <w:vAlign w:val="bottom"/>
          </w:tcPr>
          <w:p>
            <w:pPr>
              <w:spacing w:after="0"/>
              <w:rPr>
                <w:sz w:val="21"/>
                <w:szCs w:val="21"/>
                <w:color w:val="auto"/>
              </w:rPr>
            </w:pPr>
          </w:p>
        </w:tc>
        <w:tc>
          <w:tcPr>
            <w:tcW w:w="82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440" w:type="dxa"/>
            <w:vAlign w:val="bottom"/>
            <w:tcBorders>
              <w:bottom w:val="single" w:sz="8" w:color="auto"/>
            </w:tcBorders>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100" w:type="dxa"/>
            <w:vAlign w:val="bottom"/>
          </w:tcPr>
          <w:p>
            <w:pPr>
              <w:spacing w:after="0"/>
              <w:rPr>
                <w:sz w:val="19"/>
                <w:szCs w:val="19"/>
                <w:color w:val="auto"/>
              </w:rPr>
            </w:pPr>
          </w:p>
        </w:tc>
        <w:tc>
          <w:tcPr>
            <w:tcW w:w="82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4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10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54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by segment:</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100" w:type="dxa"/>
            <w:vAlign w:val="bottom"/>
          </w:tcPr>
          <w:p>
            <w:pPr>
              <w:spacing w:after="0"/>
              <w:rPr>
                <w:sz w:val="19"/>
                <w:szCs w:val="19"/>
                <w:color w:val="auto"/>
              </w:rPr>
            </w:pPr>
          </w:p>
        </w:tc>
        <w:tc>
          <w:tcPr>
            <w:tcW w:w="82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19"/>
                <w:szCs w:val="19"/>
                <w:color w:val="auto"/>
              </w:rPr>
            </w:pPr>
          </w:p>
        </w:tc>
        <w:tc>
          <w:tcPr>
            <w:tcW w:w="44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10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10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r>
      <w:tr>
        <w:trPr>
          <w:trHeight w:val="230"/>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unallocated expenses, net</w:t>
            </w: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(68.0)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r>
      <w:tr>
        <w:trPr>
          <w:trHeight w:val="248"/>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21"/>
                <w:szCs w:val="21"/>
                <w:color w:val="auto"/>
              </w:rPr>
            </w:pPr>
          </w:p>
        </w:tc>
        <w:tc>
          <w:tcPr>
            <w:tcW w:w="82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440" w:type="dxa"/>
            <w:vAlign w:val="bottom"/>
            <w:tcBorders>
              <w:bottom w:val="single" w:sz="8" w:color="auto"/>
            </w:tcBorders>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Closure and Impairment Charges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Closure and impairment charges for the three and six months ended June 30, 2024 and 2023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6"/>
        </w:trPr>
        <w:tc>
          <w:tcPr>
            <w:tcW w:w="4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charges</w:t>
            </w:r>
          </w:p>
        </w:tc>
        <w:tc>
          <w:tcPr>
            <w:tcW w:w="80" w:type="dxa"/>
            <w:vAlign w:val="bottom"/>
          </w:tcPr>
          <w:p>
            <w:pPr>
              <w:spacing w:after="0"/>
              <w:rPr>
                <w:sz w:val="21"/>
                <w:szCs w:val="21"/>
                <w:color w:val="auto"/>
              </w:rPr>
            </w:pPr>
          </w:p>
        </w:tc>
        <w:tc>
          <w:tcPr>
            <w:tcW w:w="100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Long-lived tangible asset impairment</w:t>
            </w:r>
          </w:p>
        </w:tc>
        <w:tc>
          <w:tcPr>
            <w:tcW w:w="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closure and impairment charges</w:t>
            </w:r>
          </w:p>
        </w:tc>
        <w:tc>
          <w:tcPr>
            <w:tcW w:w="80" w:type="dxa"/>
            <w:vAlign w:val="bottom"/>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closure charges for the three and six months ended June 30, 2024 were related to the establishment of or revisions to existing closure reserves, including accretion, primarily for 21 IHOP restaurants closed prior to December 31, 2023.</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Closure and Impairment Charges (Continued)</w:t>
      </w:r>
    </w:p>
    <w:p>
      <w:pPr>
        <w:spacing w:after="0" w:line="200" w:lineRule="exact"/>
        <w:rPr>
          <w:sz w:val="20"/>
          <w:szCs w:val="20"/>
          <w:color w:val="auto"/>
        </w:rPr>
      </w:pP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closure charges for the three and six months ended June 30, 2023 are related to revisions to existing closure reserves, including accretion, for approximately 30 IHOP restaurants.</w:t>
      </w:r>
    </w:p>
    <w:p>
      <w:pPr>
        <w:spacing w:after="0" w:line="4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long-lived asset impairment for the three and six months ended June 30, 2023 primarily related to technology that was developed in connection with the IHOP Flip'd initiative that was stopped.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have a material amount of financial assets or liabilities that are required under U.S. GAAP to be measured on a recurring basis at fair value. The Company is not a party to any material derivative financial instruments. The Company does not have a material amount of non-financial assets or non-financial liabilities that are required under U.S. GAAP to be measured at fair value on a recurring basis. The Company has not elected to use the fair value measurement option, as permitted under U.S. GAAP, for any assets or liabilities for which fair value measurement is not presently required.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the fair values of cash equivalents, accounts receivable and accounts payable approximate their carrying amounts due to their short duration.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Company's long-term debt, excluding the Credit Facility, at June 30, 2024 and December 31, 2023 were as follows:</w:t>
      </w:r>
    </w:p>
    <w:p>
      <w:pPr>
        <w:spacing w:after="0" w:line="200" w:lineRule="exact"/>
        <w:rPr>
          <w:sz w:val="20"/>
          <w:szCs w:val="20"/>
          <w:color w:val="auto"/>
        </w:rPr>
      </w:pPr>
    </w:p>
    <w:p>
      <w:pPr>
        <w:spacing w:after="0" w:line="311" w:lineRule="exact"/>
        <w:rPr>
          <w:sz w:val="20"/>
          <w:szCs w:val="20"/>
          <w:color w:val="auto"/>
        </w:rPr>
      </w:pPr>
    </w:p>
    <w:tbl>
      <w:tblPr>
        <w:tblLayout w:type="fixed"/>
        <w:tblInd w:w="68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87"/>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80" w:type="dxa"/>
            <w:vAlign w:val="bottom"/>
            <w:gridSpan w:val="4"/>
          </w:tcPr>
          <w:p>
            <w:pPr>
              <w:jc w:val="right"/>
              <w:ind w:right="143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67"/>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Face Value</w:t>
            </w:r>
          </w:p>
        </w:tc>
        <w:tc>
          <w:tcPr>
            <w:tcW w:w="100" w:type="dxa"/>
            <w:vAlign w:val="bottom"/>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00" w:type="dxa"/>
            <w:vAlign w:val="bottom"/>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1,089.5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1,085.8</w:t>
            </w:r>
          </w:p>
        </w:tc>
      </w:tr>
      <w:tr>
        <w:trPr>
          <w:trHeight w:val="20"/>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fair values were determined based on Level 2 inputs, including information gathered from brokers who trade in the Company’s long-term debt, as well as information on notes that are similar to those of the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and Disputes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lawsuits, administrative proceedings, audits and claims arising in the ordinary course of business. Some of these lawsuits purport to be class actions and/or seek substantial damages. The Company is required under U.S. GAAP to record an accrual for litigation loss contingencies that are both probable and reasonably estimable. Legal fees and expenses associated with the defense of all of the Company's litigation are expensed as such fees and expenses are incurred. Management regularly assesses the Company's insurance coverage, analyzes litigation information with the Company's attorneys and evaluates the Company's loss experience in connection with pending legal proceedings. While the Company does not presently believe that any of the legal proceedings to which it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Guarantees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refranchising of Applebee’s restaurants to franchisees, the Company has, in certain cases, guaranteed or has potential continuing liability for lease payments totaling $372.6 million as of June 30, 2024. This amount represents the maximum potential liability for future payments under these leases. These leases have been assigned to the buyers and expire at the end of the respective lease terms, which range from 2024 through 2058. Excluding unexercised option periods, the Company's potential liability for future payments under these leases is $92.5 million. In the event of default, the indemnity and default clauses in the sale or assignment agreements govern the Company's ability to pursue and recover damages incurred.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Cash, Cash Equivalents and Restricted Cash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These cash equivalents are stated at cost which approximates market value. Cash held related to IHOP advertising funds and the Company's gift card programs is not considered to be restricted cash as there are no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Cash, Cash Equivalents and Restricted Cash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on the use of these funds.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cash and cash equivalents were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87"/>
        </w:trPr>
        <w:tc>
          <w:tcPr>
            <w:tcW w:w="6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80" w:type="dxa"/>
            <w:vAlign w:val="bottom"/>
            <w:gridSpan w:val="4"/>
          </w:tcPr>
          <w:p>
            <w:pPr>
              <w:jc w:val="right"/>
              <w:ind w:right="14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80" w:type="dxa"/>
            <w:vAlign w:val="bottom"/>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advertising funds and gift card programs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depository accounts</w:t>
            </w:r>
          </w:p>
        </w:tc>
        <w:tc>
          <w:tcPr>
            <w:tcW w:w="8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3"/>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w:t>
            </w:r>
          </w:p>
        </w:tc>
      </w:tr>
      <w:tr>
        <w:trPr>
          <w:trHeight w:val="20"/>
        </w:trPr>
        <w:tc>
          <w:tcPr>
            <w:tcW w:w="6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Restricted Cash</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Current restricted cash primarily consisted of funds required to be held in trust in connection with the Company's securitized debt and funds from Applebee's franchisees pursuant to franchise agreements, usage of which was restricted to advertising activities.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current restricted cash were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87"/>
        </w:trPr>
        <w:tc>
          <w:tcPr>
            <w:tcW w:w="7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gridSpan w:val="3"/>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6"/>
                <w:szCs w:val="16"/>
                <w:color w:val="auto"/>
              </w:rPr>
            </w:pPr>
          </w:p>
        </w:tc>
      </w:tr>
      <w:tr>
        <w:trPr>
          <w:trHeight w:val="24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 reserves</w:t>
            </w:r>
          </w:p>
        </w:tc>
        <w:tc>
          <w:tcPr>
            <w:tcW w:w="100" w:type="dxa"/>
            <w:vAlign w:val="bottom"/>
          </w:tcPr>
          <w:p>
            <w:pPr>
              <w:spacing w:after="0"/>
              <w:rPr>
                <w:sz w:val="21"/>
                <w:szCs w:val="21"/>
                <w:color w:val="auto"/>
              </w:rPr>
            </w:pPr>
          </w:p>
        </w:tc>
        <w:tc>
          <w:tcPr>
            <w:tcW w:w="140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41.7</w:t>
            </w:r>
          </w:p>
        </w:tc>
        <w:tc>
          <w:tcPr>
            <w:tcW w:w="100" w:type="dxa"/>
            <w:vAlign w:val="bottom"/>
          </w:tcPr>
          <w:p>
            <w:pPr>
              <w:spacing w:after="0"/>
              <w:rPr>
                <w:sz w:val="21"/>
                <w:szCs w:val="21"/>
                <w:color w:val="auto"/>
              </w:rPr>
            </w:pPr>
          </w:p>
        </w:tc>
        <w:tc>
          <w:tcPr>
            <w:tcW w:w="8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advertising funds</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restricted cash</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ind w:right="11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45.4</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0"/>
        </w:trPr>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Non-current Restricted Cash</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Non-current restricted cash was $19.5 million at June 30, 2024 and December 31, 2023 and represents interest reserves required to be set aside for the duration of the Company's securitized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read the following Management's Discussion and Analysis of Financial Condition and Results of Operations (“MD&amp;A”) in conjunction with the consolidated financial statements and the related notes that appear elsewhere in this report and the MD&amp;A contained in the Company’s Annual Report on Form 10-K for the fiscal year ended December 31, 2023. Statements contained in this report may constitute forward-looking statements within the meaning of the Private Securities Litigation Reform Act of 1995. Please refer to the section of this report under the heading “Cautionary Statement Regarding Forward-Looking Statements” for more information. Except where the context indicates otherwise, the words “we,” “us,” “our,” “Dine Brands Global” and the “Company” refer to Dine Brands Global, Inc., together with its subsidiaries that are consolidated in accordance with United States generally accepted accounting principles (“U.S. GAAP”).</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Through various subsidiaries, we own and franchise the Applebee's Neighborhood Grill &amp;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concept in the American full-service segment within the casual dining category of the restaurant industry, the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concept in the mid-scale full-service restaurant segment within the family dining category of the restaurant industry, and the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(“Fuzzy's”) concept in the Mexican limited-service restaurant segment within the fast-casual dining category of the restaurant industry. References herein to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restaurants are to these three restaurant concepts, whether operated by franchisees, area licensees and their sub-licensees (collectively, “area licensees”) or by us. With close to 3,600 restaurants, we believe we are one of the largest full-service restaurant companies in the world.</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identify our business segments based on the organizational units used by management to monitor performance and make operating decisions. We currently have six operating segments: Applebee's franchise operations, IHOP franchise operations, Fuzzy's franchise operations, rental operations, financing operations, and company-operated restaurant operations. We have four reportable segments: franchise operations (an aggregation of each restaurant concept's franchise operations), rental operations, financing operations, and company-operated restaurant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Results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financial tables appearing in this MD&amp;A present amounts in millions of dollars that are rounded from our consolidated financial statements presented in thousands of dollars. As a result, the tables may not foot or crossfoot due to rounding.</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vMerge w:val="restart"/>
          </w:tcPr>
          <w:p>
            <w:pPr>
              <w:jc w:val="center"/>
              <w:ind w:right="78"/>
              <w:spacing w:after="0" w:line="135"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vMerge w:val="restart"/>
          </w:tcPr>
          <w:p>
            <w:pPr>
              <w:jc w:val="center"/>
              <w:ind w:right="97"/>
              <w:spacing w:after="0" w:line="135"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48"/>
        </w:trPr>
        <w:tc>
          <w:tcPr>
            <w:tcW w:w="2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vMerge w:val="continue"/>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vMerge w:val="continue"/>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vMerge w:val="continue"/>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vMerge w:val="continue"/>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vMerge w:val="continue"/>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vMerge w:val="continue"/>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8"/>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8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25.8 %</w:t>
            </w:r>
          </w:p>
        </w:tc>
        <w:tc>
          <w:tcPr>
            <w:tcW w:w="8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25.3 %</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26.4 %</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24.7 %</w:t>
            </w:r>
          </w:p>
        </w:tc>
        <w:tc>
          <w:tcPr>
            <w:tcW w:w="8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66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80" w:type="dxa"/>
            <w:vAlign w:val="bottom"/>
            <w:vMerge w:val="continue"/>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vMerge w:val="continue"/>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vMerge w:val="continue"/>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vMerge w:val="continue"/>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vMerge w:val="continue"/>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vMerge w:val="continue"/>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tcBorders>
              <w:bottom w:val="single" w:sz="8" w:color="CCEEFF"/>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 decrease</w:t>
            </w:r>
          </w:p>
        </w:tc>
        <w:tc>
          <w:tcPr>
            <w:tcW w:w="80" w:type="dxa"/>
            <w:vAlign w:val="bottom"/>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 decrease</w:t>
            </w:r>
          </w:p>
        </w:tc>
        <w:tc>
          <w:tcPr>
            <w:tcW w:w="0" w:type="dxa"/>
            <w:vAlign w:val="bottom"/>
          </w:tcPr>
          <w:p>
            <w:pPr>
              <w:spacing w:after="0"/>
              <w:rPr>
                <w:sz w:val="1"/>
                <w:szCs w:val="1"/>
                <w:color w:val="auto"/>
              </w:rPr>
            </w:pPr>
          </w:p>
        </w:tc>
      </w:tr>
      <w:tr>
        <w:trPr>
          <w:trHeight w:val="254"/>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8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three and six months ended June 30, 2024 was higher than the rate of the comparable prior periods primarily due to a lower tax deduction related to stock-based compensation.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highlights the primary components of the increase (decrease) in our income before income taxes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compared to our income before income taxes for the comparable prior periods (in millions):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Increase (decrease) in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459486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94860" cy="14605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Applebee's franchise operations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IHOP franchise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459486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594860" cy="14605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Fuzzy's franchise operations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Company restaurant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459486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594860" cy="14541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Rental and financing operations</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Total increase (decrease) in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459486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94860" cy="145415"/>
                    </a:xfrm>
                    <a:prstGeom prst="rect">
                      <a:avLst/>
                    </a:prstGeom>
                    <a:noFill/>
                  </pic:spPr>
                </pic:pic>
              </a:graphicData>
            </a:graphic>
          </wp:anchor>
        </w:drawing>
      </w:r>
    </w:p>
    <w:p>
      <w:pPr>
        <w:spacing w:after="0" w:line="7" w:lineRule="exact"/>
        <w:rPr>
          <w:sz w:val="20"/>
          <w:szCs w:val="20"/>
          <w:color w:val="auto"/>
        </w:rPr>
      </w:pPr>
    </w:p>
    <w:p>
      <w:pPr>
        <w:ind w:left="100" w:right="1640"/>
        <w:spacing w:after="0" w:line="266" w:lineRule="auto"/>
        <w:rPr>
          <w:sz w:val="20"/>
          <w:szCs w:val="20"/>
          <w:color w:val="auto"/>
        </w:rPr>
      </w:pPr>
      <w:r>
        <w:rPr>
          <w:rFonts w:ascii="Times New Roman" w:cs="Times New Roman" w:eastAsia="Times New Roman" w:hAnsi="Times New Roman"/>
          <w:sz w:val="18"/>
          <w:szCs w:val="18"/>
          <w:color w:val="auto"/>
        </w:rPr>
        <w:t>Decrease (increase) in general and administrative ("G&amp;A") expenses Increase in 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0</wp:posOffset>
            </wp:positionV>
            <wp:extent cx="459486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594860" cy="14541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color w:val="auto"/>
        </w:rPr>
        <w:t>Change in loss (gain) on disposition of assets</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Decrease in 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459486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94860" cy="14605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Decrease in closure and impairment charges</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Change in 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459486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594860" cy="171450"/>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Increase (decrease) in income before income taxes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Favorable</w:t>
      </w: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(Unfavorable) Variance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820" w:type="dxa"/>
            <w:vAlign w:val="bottom"/>
            <w:tcBorders>
              <w:top w:val="single" w:sz="8" w:color="auto"/>
            </w:tcBorders>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0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5"/>
        </w:trPr>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center"/>
              <w:ind w:left="971"/>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vMerge w:val="continue"/>
          </w:tcPr>
          <w:p>
            <w:pPr>
              <w:spacing w:after="0"/>
              <w:rPr>
                <w:sz w:val="19"/>
                <w:szCs w:val="19"/>
                <w:color w:val="auto"/>
              </w:rPr>
            </w:pPr>
          </w:p>
        </w:tc>
        <w:tc>
          <w:tcPr>
            <w:tcW w:w="4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center"/>
              <w:ind w:left="891"/>
              <w:spacing w:after="0"/>
              <w:rPr>
                <w:sz w:val="20"/>
                <w:szCs w:val="20"/>
                <w:color w:val="auto"/>
              </w:rPr>
            </w:pPr>
            <w:r>
              <w:rPr>
                <w:rFonts w:ascii="Times New Roman" w:cs="Times New Roman" w:eastAsia="Times New Roman" w:hAnsi="Times New Roman"/>
                <w:sz w:val="18"/>
                <w:szCs w:val="18"/>
                <w:color w:val="auto"/>
                <w:w w:val="98"/>
              </w:rPr>
              <w:t>(0.8)</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144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7"/>
              </w:rPr>
              <w:t>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center"/>
              <w:ind w:left="91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31"/>
              <w:spacing w:after="0"/>
              <w:rPr>
                <w:sz w:val="20"/>
                <w:szCs w:val="20"/>
                <w:color w:val="auto"/>
              </w:rPr>
            </w:pPr>
            <w:r>
              <w:rPr>
                <w:rFonts w:ascii="Times New Roman" w:cs="Times New Roman" w:eastAsia="Times New Roman" w:hAnsi="Times New Roman"/>
                <w:sz w:val="18"/>
                <w:szCs w:val="18"/>
                <w:color w:val="auto"/>
                <w:w w:val="98"/>
              </w:rPr>
              <w:t>(1.5)</w:t>
            </w:r>
          </w:p>
        </w:tc>
        <w:tc>
          <w:tcPr>
            <w:tcW w:w="10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891"/>
              <w:spacing w:after="0"/>
              <w:rPr>
                <w:sz w:val="20"/>
                <w:szCs w:val="20"/>
                <w:color w:val="auto"/>
              </w:rPr>
            </w:pPr>
            <w:r>
              <w:rPr>
                <w:rFonts w:ascii="Times New Roman" w:cs="Times New Roman" w:eastAsia="Times New Roman" w:hAnsi="Times New Roman"/>
                <w:sz w:val="18"/>
                <w:szCs w:val="18"/>
                <w:color w:val="auto"/>
                <w:w w:val="98"/>
              </w:rPr>
              <w:t>(3.3)</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1440" w:type="dxa"/>
            <w:vAlign w:val="bottom"/>
          </w:tcPr>
          <w:p>
            <w:pPr>
              <w:jc w:val="center"/>
              <w:ind w:left="931"/>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center"/>
              <w:ind w:left="891"/>
              <w:spacing w:after="0"/>
              <w:rPr>
                <w:sz w:val="20"/>
                <w:szCs w:val="20"/>
                <w:color w:val="auto"/>
              </w:rPr>
            </w:pPr>
            <w:r>
              <w:rPr>
                <w:rFonts w:ascii="Times New Roman" w:cs="Times New Roman" w:eastAsia="Times New Roman" w:hAnsi="Times New Roman"/>
                <w:sz w:val="18"/>
                <w:szCs w:val="18"/>
                <w:color w:val="auto"/>
                <w:w w:val="98"/>
              </w:rPr>
              <w:t>(0.1)</w:t>
            </w:r>
          </w:p>
        </w:tc>
        <w:tc>
          <w:tcPr>
            <w:tcW w:w="0" w:type="dxa"/>
            <w:vAlign w:val="bottom"/>
          </w:tcPr>
          <w:p>
            <w:pPr>
              <w:spacing w:after="0"/>
              <w:rPr>
                <w:sz w:val="1"/>
                <w:szCs w:val="1"/>
                <w:color w:val="auto"/>
              </w:rPr>
            </w:pPr>
          </w:p>
        </w:tc>
      </w:tr>
      <w:tr>
        <w:trPr>
          <w:trHeight w:val="229"/>
        </w:trPr>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ind w:left="971"/>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891"/>
              <w:spacing w:after="0"/>
              <w:rPr>
                <w:sz w:val="20"/>
                <w:szCs w:val="20"/>
                <w:color w:val="auto"/>
              </w:rPr>
            </w:pPr>
            <w:r>
              <w:rPr>
                <w:rFonts w:ascii="Times New Roman" w:cs="Times New Roman" w:eastAsia="Times New Roman" w:hAnsi="Times New Roman"/>
                <w:sz w:val="18"/>
                <w:szCs w:val="18"/>
                <w:color w:val="auto"/>
                <w:w w:val="98"/>
              </w:rPr>
              <w:t>(2.9)</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44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7"/>
              </w:rPr>
              <w:t>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center"/>
              <w:ind w:left="891"/>
              <w:spacing w:after="0"/>
              <w:rPr>
                <w:sz w:val="20"/>
                <w:szCs w:val="20"/>
                <w:color w:val="auto"/>
              </w:rPr>
            </w:pPr>
            <w:r>
              <w:rPr>
                <w:rFonts w:ascii="Times New Roman" w:cs="Times New Roman" w:eastAsia="Times New Roman" w:hAnsi="Times New Roman"/>
                <w:sz w:val="18"/>
                <w:szCs w:val="18"/>
                <w:color w:val="auto"/>
                <w:w w:val="98"/>
              </w:rPr>
              <w:t>(4.3)</w:t>
            </w:r>
          </w:p>
        </w:tc>
        <w:tc>
          <w:tcPr>
            <w:tcW w:w="0" w:type="dxa"/>
            <w:vAlign w:val="bottom"/>
          </w:tcPr>
          <w:p>
            <w:pPr>
              <w:spacing w:after="0"/>
              <w:rPr>
                <w:sz w:val="1"/>
                <w:szCs w:val="1"/>
                <w:color w:val="auto"/>
              </w:rPr>
            </w:pPr>
          </w:p>
        </w:tc>
      </w:tr>
      <w:tr>
        <w:trPr>
          <w:trHeight w:val="229"/>
        </w:trPr>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71"/>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891"/>
              <w:spacing w:after="0"/>
              <w:rPr>
                <w:sz w:val="20"/>
                <w:szCs w:val="20"/>
                <w:color w:val="auto"/>
              </w:rPr>
            </w:pPr>
            <w:r>
              <w:rPr>
                <w:rFonts w:ascii="Times New Roman" w:cs="Times New Roman" w:eastAsia="Times New Roman" w:hAnsi="Times New Roman"/>
                <w:sz w:val="18"/>
                <w:szCs w:val="18"/>
                <w:color w:val="auto"/>
                <w:w w:val="98"/>
              </w:rPr>
              <w:t>(0.1)</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440" w:type="dxa"/>
            <w:vAlign w:val="bottom"/>
          </w:tcPr>
          <w:p>
            <w:pPr>
              <w:jc w:val="center"/>
              <w:ind w:left="931"/>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center"/>
              <w:ind w:left="891"/>
              <w:spacing w:after="0"/>
              <w:rPr>
                <w:sz w:val="20"/>
                <w:szCs w:val="20"/>
                <w:color w:val="auto"/>
              </w:rPr>
            </w:pPr>
            <w:r>
              <w:rPr>
                <w:rFonts w:ascii="Times New Roman" w:cs="Times New Roman" w:eastAsia="Times New Roman" w:hAnsi="Times New Roman"/>
                <w:sz w:val="18"/>
                <w:szCs w:val="18"/>
                <w:color w:val="auto"/>
                <w:w w:val="98"/>
              </w:rPr>
              <w:t>(3.4)</w:t>
            </w:r>
          </w:p>
        </w:tc>
        <w:tc>
          <w:tcPr>
            <w:tcW w:w="0" w:type="dxa"/>
            <w:vAlign w:val="bottom"/>
          </w:tcPr>
          <w:p>
            <w:pPr>
              <w:spacing w:after="0"/>
              <w:rPr>
                <w:sz w:val="1"/>
                <w:szCs w:val="1"/>
                <w:color w:val="auto"/>
              </w:rPr>
            </w:pPr>
          </w:p>
        </w:tc>
      </w:tr>
      <w:tr>
        <w:trPr>
          <w:trHeight w:val="229"/>
        </w:trPr>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71"/>
              <w:spacing w:after="0"/>
              <w:rPr>
                <w:sz w:val="20"/>
                <w:szCs w:val="20"/>
                <w:color w:val="auto"/>
              </w:rPr>
            </w:pPr>
            <w:r>
              <w:rPr>
                <w:rFonts w:ascii="Times New Roman" w:cs="Times New Roman" w:eastAsia="Times New Roman" w:hAnsi="Times New Roman"/>
                <w:sz w:val="18"/>
                <w:szCs w:val="18"/>
                <w:color w:val="auto"/>
                <w:w w:val="97"/>
              </w:rPr>
              <w:t>1.9</w:t>
            </w:r>
          </w:p>
        </w:tc>
        <w:tc>
          <w:tcPr>
            <w:tcW w:w="10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1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144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7"/>
              </w:rPr>
              <w:t>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center"/>
              <w:ind w:left="911"/>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71"/>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1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971"/>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91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center"/>
              <w:ind w:left="971"/>
              <w:spacing w:after="0"/>
              <w:rPr>
                <w:sz w:val="20"/>
                <w:szCs w:val="20"/>
                <w:color w:val="auto"/>
              </w:rPr>
            </w:pPr>
            <w:r>
              <w:rPr>
                <w:rFonts w:ascii="Times New Roman" w:cs="Times New Roman" w:eastAsia="Times New Roman" w:hAnsi="Times New Roman"/>
                <w:sz w:val="18"/>
                <w:szCs w:val="18"/>
                <w:color w:val="auto"/>
                <w:w w:val="97"/>
              </w:rPr>
              <w:t>6.8</w:t>
            </w:r>
          </w:p>
        </w:tc>
        <w:tc>
          <w:tcPr>
            <w:tcW w:w="100" w:type="dxa"/>
            <w:vAlign w:val="bottom"/>
          </w:tcPr>
          <w:p>
            <w:pPr>
              <w:spacing w:after="0"/>
              <w:rPr>
                <w:sz w:val="21"/>
                <w:szCs w:val="21"/>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center"/>
              <w:ind w:left="891"/>
              <w:spacing w:after="0"/>
              <w:rPr>
                <w:sz w:val="20"/>
                <w:szCs w:val="20"/>
                <w:color w:val="auto"/>
              </w:rPr>
            </w:pPr>
            <w:r>
              <w:rPr>
                <w:rFonts w:ascii="Times New Roman" w:cs="Times New Roman" w:eastAsia="Times New Roman" w:hAnsi="Times New Roman"/>
                <w:sz w:val="18"/>
                <w:szCs w:val="18"/>
                <w:color w:val="auto"/>
                <w:w w:val="98"/>
              </w:rPr>
              <w:t>(5.3)</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6700" w:space="720"/>
            <w:col w:w="3820"/>
          </w:cols>
          <w:pgMar w:left="320" w:top="225"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gross profit for the three months ended June 30, 2024 increased compared with the same period of the prior year due to increased IHOP franchise operations, partially offset by decreased Fuzzy's franchise operations. In addition, income before income taxes for the three months ended June 30, 2024 increased compared to the prior year period due to a lower loss on disposition of assets, a loss on extinguishment of debt in the same period in the prior year, and decreased G&amp;A expenses. The decrease in G&amp;A expenses was primarily attributable to the prior year period expense related to the stopping of the IHOP Flip'd initiative, partially offset by an increase in compensation-related expenses and an increase in depreciation expense.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gross profit for the six months ended June 30, 2024 decreased compared with the same period of the prior year due to decreased revenue from franchise and rental operations and increased franchisor advertising contribution. In addition, income before income taxes for the six months ended June 30, 2024 decreased compared to the prior year period due to increased interest expense, partially offset by loss on disposition of assets in the same period in the prior year. The increase in interest expense primarily related to higher-rate securitized notes and borrowings from our revolving line of credit.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Increases in commodity, labor and other restaurant operating costs experienced at restaurants owned and operated by our franchisees could impact us to the extent our franchisees are adversely impacted by a sustained decline in their operating margins. At company operated restaurants, when applicable, increases in commodity, labor and other restaurant operating costs impact us directly.</w:t>
      </w:r>
    </w:p>
    <w:p>
      <w:pPr>
        <w:spacing w:after="0" w:line="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“Consolidated Results of Operations - Comparison of the Three and Six Months Ended June 30, 2024 and 2023”</w:t>
      </w:r>
      <w:r>
        <w:rPr>
          <w:rFonts w:ascii="Times New Roman" w:cs="Times New Roman" w:eastAsia="Times New Roman" w:hAnsi="Times New Roman"/>
          <w:sz w:val="18"/>
          <w:szCs w:val="18"/>
          <w:color w:val="auto"/>
        </w:rPr>
        <w:t xml:space="preserve"> for additional discussion of the changes shown above.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effective restaurants. Changes in both domestic same-restaurant sales and in the number of Applebee's, IHOP and Fuzzy's restaurants will impact our system-wide retail sales that drive franchise royalty revenues. Restaurant development also impacts franchise revenues in the form of initial franchise fees and, in the case of IHOP and Fuzzy's restaurants, sales of proprietary products.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performance indicators for the three and six months ended June 30, 2024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center"/>
              <w:ind w:left="83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1120" w:type="dxa"/>
            <w:vAlign w:val="bottom"/>
          </w:tcPr>
          <w:p>
            <w:pPr>
              <w:spacing w:after="0"/>
              <w:rPr>
                <w:sz w:val="18"/>
                <w:szCs w:val="18"/>
                <w:color w:val="auto"/>
              </w:rPr>
            </w:pPr>
          </w:p>
        </w:tc>
      </w:tr>
      <w:tr>
        <w:trPr>
          <w:trHeight w:val="219"/>
        </w:trPr>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120" w:type="dxa"/>
            <w:vAlign w:val="bottom"/>
            <w:tcBorders>
              <w:bottom w:val="single" w:sz="8" w:color="auto"/>
            </w:tcBorders>
          </w:tcPr>
          <w:p>
            <w:pPr>
              <w:spacing w:after="0"/>
              <w:rPr>
                <w:sz w:val="19"/>
                <w:szCs w:val="19"/>
                <w:color w:val="auto"/>
              </w:rPr>
            </w:pPr>
          </w:p>
        </w:tc>
      </w:tr>
      <w:tr>
        <w:trPr>
          <w:trHeight w:val="211"/>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Applebee's</w:t>
            </w:r>
          </w:p>
        </w:tc>
        <w:tc>
          <w:tcPr>
            <w:tcW w:w="100" w:type="dxa"/>
            <w:vAlign w:val="bottom"/>
          </w:tcPr>
          <w:p>
            <w:pPr>
              <w:spacing w:after="0"/>
              <w:rPr>
                <w:sz w:val="18"/>
                <w:szCs w:val="18"/>
                <w:color w:val="auto"/>
              </w:rPr>
            </w:pPr>
          </w:p>
        </w:tc>
        <w:tc>
          <w:tcPr>
            <w:tcW w:w="136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IHOP</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Fuzzy's</w:t>
            </w:r>
          </w:p>
        </w:tc>
        <w:tc>
          <w:tcPr>
            <w:tcW w:w="1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Applebee's</w:t>
            </w: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IHOP</w:t>
            </w: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Fuzzy's</w:t>
            </w:r>
          </w:p>
        </w:tc>
      </w:tr>
      <w:tr>
        <w:trPr>
          <w:trHeight w:val="157"/>
        </w:trPr>
        <w:tc>
          <w:tcPr>
            <w:tcW w:w="394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Sales percentage increase (decrease) in reported retail</w:t>
            </w:r>
          </w:p>
        </w:tc>
        <w:tc>
          <w:tcPr>
            <w:tcW w:w="100" w:type="dxa"/>
            <w:vAlign w:val="bottom"/>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- 2024 vs. 2023</w:t>
            </w:r>
          </w:p>
        </w:tc>
        <w:tc>
          <w:tcPr>
            <w:tcW w:w="100" w:type="dxa"/>
            <w:vAlign w:val="bottom"/>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176"/>
        </w:trPr>
        <w:tc>
          <w:tcPr>
            <w:tcW w:w="3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 Decrease in domestic system-wide same-restaurant</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franchise restaurant addition (reduction) </w:t>
            </w:r>
            <w:r>
              <w:rPr>
                <w:rFonts w:ascii="Times New Roman" w:cs="Times New Roman" w:eastAsia="Times New Roman" w:hAnsi="Times New Roman"/>
                <w:sz w:val="10"/>
                <w:szCs w:val="10"/>
                <w:color w:val="auto"/>
              </w:rPr>
              <w:t>(1)</w:t>
            </w:r>
          </w:p>
        </w:tc>
        <w:tc>
          <w:tcPr>
            <w:tcW w:w="100" w:type="dxa"/>
            <w:vAlign w:val="bottom"/>
          </w:tcPr>
          <w:p>
            <w:pPr>
              <w:spacing w:after="0"/>
              <w:rPr>
                <w:sz w:val="19"/>
                <w:szCs w:val="19"/>
                <w:color w:val="auto"/>
              </w:rPr>
            </w:pPr>
          </w:p>
        </w:tc>
        <w:tc>
          <w:tcPr>
            <w:tcW w:w="11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160" w:type="dxa"/>
            <w:vAlign w:val="bottom"/>
            <w:tcBorders>
              <w:right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0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w:t>
            </w:r>
          </w:p>
        </w:tc>
      </w:tr>
      <w:tr>
        <w:trPr>
          <w:trHeight w:val="30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 xml:space="preserve">Net increase (decrease) in total effective restaurants </w:t>
            </w:r>
            <w:r>
              <w:rPr>
                <w:rFonts w:ascii="Times New Roman" w:cs="Times New Roman" w:eastAsia="Times New Roman" w:hAnsi="Times New Roman"/>
                <w:sz w:val="23"/>
                <w:szCs w:val="23"/>
                <w:color w:val="auto"/>
                <w:w w:val="98"/>
                <w:vertAlign w:val="superscript"/>
              </w:rPr>
              <w:t>(2)</w:t>
            </w:r>
          </w:p>
        </w:tc>
        <w:tc>
          <w:tcPr>
            <w:tcW w:w="100" w:type="dxa"/>
            <w:vAlign w:val="bottom"/>
          </w:tcPr>
          <w:p>
            <w:pPr>
              <w:spacing w:after="0"/>
              <w:rPr>
                <w:sz w:val="24"/>
                <w:szCs w:val="24"/>
                <w:color w:val="auto"/>
              </w:rPr>
            </w:pPr>
          </w:p>
        </w:tc>
        <w:tc>
          <w:tcPr>
            <w:tcW w:w="11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4"/>
                <w:szCs w:val="24"/>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r>
    </w:tbl>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82" w:lineRule="exact"/>
        <w:rPr>
          <w:sz w:val="20"/>
          <w:szCs w:val="20"/>
          <w:color w:val="auto"/>
        </w:rPr>
      </w:pPr>
    </w:p>
    <w:p>
      <w:pPr>
        <w:ind w:left="480" w:hanging="148"/>
        <w:spacing w:after="0"/>
        <w:tabs>
          <w:tab w:leader="none" w:pos="4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Franchise and area license restaurant closings, net of openings, during the three and six months ended June 30, 2024.</w:t>
      </w:r>
    </w:p>
    <w:p>
      <w:pPr>
        <w:spacing w:after="0" w:line="81" w:lineRule="exact"/>
        <w:rPr>
          <w:rFonts w:ascii="Times New Roman" w:cs="Times New Roman" w:eastAsia="Times New Roman" w:hAnsi="Times New Roman"/>
          <w:sz w:val="19"/>
          <w:szCs w:val="19"/>
          <w:color w:val="auto"/>
          <w:vertAlign w:val="superscript"/>
        </w:rPr>
      </w:pPr>
    </w:p>
    <w:p>
      <w:pPr>
        <w:ind w:left="340" w:hanging="8"/>
        <w:spacing w:after="0" w:line="302" w:lineRule="auto"/>
        <w:tabs>
          <w:tab w:leader="none" w:pos="485"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Change in the weighted average number of franchise, area license and company-operated restaurants open during the three and six months ended June 30, 2024, compared to the weighted average number of those open during the same periods of 2023.</w:t>
      </w:r>
    </w:p>
    <w:p>
      <w:pPr>
        <w:spacing w:after="0" w:line="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total effective restaurants for each brand reflects both permanent closures, net of openings, over the past 12 months as well as the weighted effect of restaurants temporarily closed during each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45720</wp:posOffset>
            </wp:positionV>
            <wp:extent cx="5357495" cy="23577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5749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Applebee’s system-wide domestic same-restaurant sales decreased 1.8% for the three months ended June 30, 2024 and 3.2% for the six months ended June 30, 2024 as compared to the same periods of 2023. The decrease in same-restaurant sales was primarily due to a decrease in traffic, partially offset by an increase in average check.</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data from Black Box Intelligence, a restaurant sales reporting firm (“Black Box”), Applebee's same-restaurant sales for the three and six months ended June 30, 2024 underperformed the casual dining segment of the restaurant industry (excluding Applebee's) during the same period.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Applebee's Off-Premise Sales Data</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8"/>
        </w:trPr>
        <w:tc>
          <w:tcPr>
            <w:tcW w:w="506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0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225.3</w:t>
            </w:r>
          </w:p>
        </w:tc>
        <w:tc>
          <w:tcPr>
            <w:tcW w:w="80" w:type="dxa"/>
            <w:vAlign w:val="bottom"/>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244.6</w:t>
            </w:r>
          </w:p>
        </w:tc>
        <w:tc>
          <w:tcPr>
            <w:tcW w:w="80" w:type="dxa"/>
            <w:vAlign w:val="bottom"/>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463.0</w:t>
            </w:r>
          </w:p>
        </w:tc>
        <w:tc>
          <w:tcPr>
            <w:tcW w:w="80" w:type="dxa"/>
            <w:vAlign w:val="bottom"/>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508.2</w:t>
            </w: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22.9 %</w:t>
            </w:r>
          </w:p>
        </w:tc>
      </w:tr>
    </w:tbl>
    <w:p>
      <w:pPr>
        <w:spacing w:after="0" w:line="161" w:lineRule="exact"/>
        <w:rPr>
          <w:sz w:val="20"/>
          <w:szCs w:val="20"/>
          <w:color w:val="auto"/>
        </w:rPr>
      </w:pPr>
    </w:p>
    <w:p>
      <w:pPr>
        <w:ind w:left="140" w:hanging="132"/>
        <w:spacing w:after="0"/>
        <w:tabs>
          <w:tab w:leader="none" w:pos="14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Primarily to-go, delivery and catering sales for comparable 2024 and 2023 restaurants.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495300</wp:posOffset>
            </wp:positionV>
            <wp:extent cx="5357495" cy="23577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5749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IHOP's system-wide domestic same-restaurant sales decreased 1.4% for the three months ended June 30, 2024 and 1.5% for the six months ended June 30, 2024 as compared to the same periods of 2023. The decrease in same-restaurant sales was primarily due to a decrease in traffic, partially offset by an increase in average check.</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data from Black Box, IHOP's decrease in same-restaurant sales for the three and six months ended June 30, 2024 underperformed the family dining segment of the restaurant industry (excluding IHOP) during the same period.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IHOP Off-Premise Sales Data</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8"/>
        </w:trPr>
        <w:tc>
          <w:tcPr>
            <w:tcW w:w="504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0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156.2</w:t>
            </w:r>
          </w:p>
        </w:tc>
        <w:tc>
          <w:tcPr>
            <w:tcW w:w="80" w:type="dxa"/>
            <w:vAlign w:val="bottom"/>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305.5</w:t>
            </w:r>
          </w:p>
        </w:tc>
        <w:tc>
          <w:tcPr>
            <w:tcW w:w="80" w:type="dxa"/>
            <w:vAlign w:val="bottom"/>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317.4</w:t>
            </w:r>
          </w:p>
        </w:tc>
      </w:tr>
      <w:tr>
        <w:trPr>
          <w:trHeight w:val="23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r>
    </w:tbl>
    <w:p>
      <w:pPr>
        <w:spacing w:after="0" w:line="145" w:lineRule="exact"/>
        <w:rPr>
          <w:sz w:val="20"/>
          <w:szCs w:val="20"/>
          <w:color w:val="auto"/>
        </w:rPr>
      </w:pPr>
    </w:p>
    <w:p>
      <w:pPr>
        <w:ind w:left="160" w:hanging="152"/>
        <w:spacing w:after="0"/>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to-go, delivery and catering sales for comparable 2024 and 2023 restaurants.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52525"/>
        </w:rPr>
        <w:t>Quarterly Domestic Same-Restaurant Sales - Fuzzy's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Fuzzy's system-wide domestic same-restaurant sales decreased 7.5% for the three months ended June 30, 2024 and 8.6% for the six months ended June 30, 2024 as compared to the same periods of 2023. The decrease in same-restaurant sales was primarily due to a decrease in traffic, partially offset by an increase in average check.</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Fuzzy's Off-Premise Sales Data</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8"/>
        </w:trPr>
        <w:tc>
          <w:tcPr>
            <w:tcW w:w="506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0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40.7</w:t>
            </w: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39.4 %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38.7 %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40.1 %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39.1 %</w:t>
            </w:r>
          </w:p>
        </w:tc>
      </w:tr>
    </w:tbl>
    <w:p>
      <w:pPr>
        <w:spacing w:after="0" w:line="145" w:lineRule="exact"/>
        <w:rPr>
          <w:sz w:val="20"/>
          <w:szCs w:val="20"/>
          <w:color w:val="auto"/>
        </w:rPr>
      </w:pPr>
    </w:p>
    <w:p>
      <w:pPr>
        <w:ind w:left="160" w:hanging="152"/>
        <w:spacing w:after="0"/>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to-go, delivery and catering sales for comparable 2024 and 2023 restaurants.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Restaurant Data</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sets forth the number of “Effective Restaurants” in the Applebee’s, IHOP and Fuzzy's systems and information regarding the percentage change in sales at those restaurants compared to the same period of the prior year. Sales at restaurants that are owned by franchisees and area licensees are not attributable to the Company and, as such, the percentage change in sales at Effective Restaurants is based on non-GAAP sales data. However, we believe that presentation of this information is useful in analyzing our revenues because franchisees and area licensees pay us royalties and advertising fees that are based on a percentage of their sales, and, where applicable, rental payments under leases that partially may be based on a percentage of their sales. Management also uses this information to make decisions about plans for future development of additional restaurants as well as evaluation of current operations.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Applebee's Restaurant Data</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1,627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1,662</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1,631</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1,667</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weekly domestic unit sales (in thousands)</w:t>
            </w:r>
          </w:p>
        </w:tc>
        <w:tc>
          <w:tcPr>
            <w:tcW w:w="100" w:type="dxa"/>
            <w:vAlign w:val="bottom"/>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IHOP Restaurant Data</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1,628</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1,645</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Area license</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1,802</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1,783</w:t>
            </w:r>
          </w:p>
        </w:tc>
        <w:tc>
          <w:tcPr>
            <w:tcW w:w="80" w:type="dxa"/>
            <w:vAlign w:val="bottom"/>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1,801</w:t>
            </w:r>
          </w:p>
        </w:tc>
        <w:tc>
          <w:tcPr>
            <w:tcW w:w="80" w:type="dxa"/>
            <w:vAlign w:val="bottom"/>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1,778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176"/>
        </w:trPr>
        <w:tc>
          <w:tcPr>
            <w:tcW w:w="50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Domestic same-restaurant sales percentage change, including area</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20"/>
              <w:spacing w:after="0" w:line="243" w:lineRule="exact"/>
              <w:rPr>
                <w:sz w:val="20"/>
                <w:szCs w:val="20"/>
                <w:color w:val="auto"/>
              </w:rPr>
            </w:pPr>
            <w:r>
              <w:rPr>
                <w:rFonts w:ascii="Times New Roman" w:cs="Times New Roman" w:eastAsia="Times New Roman" w:hAnsi="Times New Roman"/>
                <w:sz w:val="18"/>
                <w:szCs w:val="18"/>
                <w:color w:val="auto"/>
              </w:rPr>
              <w:t>license restaurants</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 weekly unit sales (in thousands)</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Area License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Fuzzy's Restaurant Data</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125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137</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127</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137</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b w:val="1"/>
                <w:bCs w:val="1"/>
                <w:color w:val="auto"/>
              </w:rPr>
              <w:t>System-wide</w:t>
            </w:r>
            <w:r>
              <w:rPr>
                <w:rFonts w:ascii="Times New Roman" w:cs="Times New Roman" w:eastAsia="Times New Roman" w:hAnsi="Times New Roman"/>
                <w:sz w:val="22"/>
                <w:szCs w:val="22"/>
                <w:b w:val="1"/>
                <w:bCs w:val="1"/>
                <w:color w:val="auto"/>
                <w:vertAlign w:val="superscript"/>
              </w:rPr>
              <w:t>(b)</w:t>
            </w:r>
          </w:p>
        </w:tc>
        <w:tc>
          <w:tcPr>
            <w:tcW w:w="10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50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weekly domestic unit sales (in thousands)</w:t>
            </w:r>
          </w:p>
        </w:tc>
        <w:tc>
          <w:tcPr>
            <w:tcW w:w="100" w:type="dxa"/>
            <w:vAlign w:val="bottom"/>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71" w:lineRule="auto"/>
        <w:tabs>
          <w:tab w:leader="none" w:pos="30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Restaurants” are the weighted average number of restaurants open in each fiscal period, adjusted to account for restaurants open for only a portion of the period. Information is presented for all Effective Restaurants in the Applebee’s, IHOP and Fuzzy's systems, which consist of restaurants owned by franchisees and area licensees as well as those owned by the Company. Effective Restaurants do not include units operated as ghost kitchens (small kitchens with no store-front presence, used to fill off-premise orders).</w:t>
      </w:r>
    </w:p>
    <w:p>
      <w:pPr>
        <w:spacing w:after="0" w:line="21" w:lineRule="exact"/>
        <w:rPr>
          <w:rFonts w:ascii="Times New Roman" w:cs="Times New Roman" w:eastAsia="Times New Roman" w:hAnsi="Times New Roman"/>
          <w:sz w:val="14"/>
          <w:szCs w:val="14"/>
          <w:color w:val="auto"/>
        </w:rPr>
      </w:pPr>
    </w:p>
    <w:p>
      <w:pPr>
        <w:ind w:left="340" w:hanging="332"/>
        <w:spacing w:after="0" w:line="302" w:lineRule="auto"/>
        <w:tabs>
          <w:tab w:leader="none" w:pos="34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“System-wide sales” are retail sales at Applebee’s and Fuzzy's restaurants operated by franchisees and IHOP restaurants operated by franchisees and area licensees, as reported to the Company, in addition to retail sales at company-operated Fuzzy's restaurants. System-wide sales do not include retail sales of</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4"/>
          <w:szCs w:val="14"/>
          <w:color w:val="auto"/>
        </w:rPr>
        <w:t>ghost kitchens. Sales at restaurants that are owned by franchisees and area licensees are not attributable to the Company. An increase in franchisees' reported sales will result in a corresponding increase in our royalty revenue, while a decrease in franchisees' reported sales will result in a corresponding decrease in our royalty revenue. Unaudited reported sales for Applebee's and Fuzzy's franchise restaurants, Fuzzy's company-operated restaurants, IHOP franchise restaurants and IHOP area license restaurants were as follows:</w:t>
      </w:r>
    </w:p>
    <w:p>
      <w:pPr>
        <w:spacing w:after="0" w:line="9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6"/>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Reported sales (in millions)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Applebee's franchise restaurant sales</w:t>
            </w:r>
          </w:p>
        </w:tc>
        <w:tc>
          <w:tcPr>
            <w:tcW w:w="100" w:type="dxa"/>
            <w:vAlign w:val="bottom"/>
            <w:vMerge w:val="continue"/>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1,066.4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1,099.3</w:t>
            </w:r>
          </w:p>
        </w:tc>
        <w:tc>
          <w:tcPr>
            <w:tcW w:w="100" w:type="dxa"/>
            <w:vAlign w:val="bottom"/>
            <w:vMerge w:val="continue"/>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2,154.5</w:t>
            </w:r>
          </w:p>
        </w:tc>
        <w:tc>
          <w:tcPr>
            <w:tcW w:w="100" w:type="dxa"/>
            <w:vAlign w:val="bottom"/>
            <w:vMerge w:val="continue"/>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2,255.4</w:t>
            </w:r>
          </w:p>
        </w:tc>
        <w:tc>
          <w:tcPr>
            <w:tcW w:w="0" w:type="dxa"/>
            <w:vAlign w:val="bottom"/>
          </w:tcPr>
          <w:p>
            <w:pPr>
              <w:spacing w:after="0"/>
              <w:rPr>
                <w:sz w:val="1"/>
                <w:szCs w:val="1"/>
                <w:color w:val="auto"/>
              </w:rPr>
            </w:pPr>
          </w:p>
        </w:tc>
      </w:tr>
      <w:tr>
        <w:trPr>
          <w:trHeight w:val="195"/>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IHOP franchise restaurant sales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822.0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1,624.9</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IHOP area license restaurant sales</w:t>
            </w:r>
          </w:p>
        </w:tc>
        <w:tc>
          <w:tcPr>
            <w:tcW w:w="10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0" w:type="dxa"/>
            <w:vAlign w:val="bottom"/>
          </w:tcPr>
          <w:p>
            <w:pPr>
              <w:spacing w:after="0"/>
              <w:rPr>
                <w:sz w:val="1"/>
                <w:szCs w:val="1"/>
                <w:color w:val="auto"/>
              </w:rPr>
            </w:pPr>
          </w:p>
        </w:tc>
      </w:tr>
      <w:tr>
        <w:trPr>
          <w:trHeight w:val="195"/>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Fuzzy's franchise restaurant sales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Fuzzy's company-operated restaurants</w:t>
            </w:r>
          </w:p>
        </w:tc>
        <w:tc>
          <w:tcPr>
            <w:tcW w:w="100" w:type="dxa"/>
            <w:vAlign w:val="bottom"/>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3"/>
        </w:trPr>
        <w:tc>
          <w:tcPr>
            <w:tcW w:w="5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2,015.7</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2,057.6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4,033.0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4,148.3</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hanging="332"/>
        <w:spacing w:after="0" w:line="301" w:lineRule="auto"/>
        <w:tabs>
          <w:tab w:leader="none" w:pos="31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percentage change” reflects, for each category of restaurants, the percentage change in sales in any given fiscal period compared to the prior fiscal period for all restaurants in that category.</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71" w:lineRule="auto"/>
        <w:tabs>
          <w:tab w:leader="none" w:pos="31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same-restaurant sales percentage change” reflects the percentage change in sales in any given fiscal period, compared to the same weeks in the prior fiscal period, for domestic restaurants that have been operated during both fiscal periods that are being compared and have been open for at least 18 months. Because of new restaurant openings and restaurant closures, the domestic restaurants open throughout both fiscal periods being compared may be different from period to period.</w:t>
      </w:r>
    </w:p>
    <w:p>
      <w:pPr>
        <w:spacing w:after="0" w:line="200" w:lineRule="exact"/>
        <w:rPr>
          <w:sz w:val="20"/>
          <w:szCs w:val="20"/>
          <w:color w:val="auto"/>
        </w:rPr>
      </w:pPr>
    </w:p>
    <w:p>
      <w:pPr>
        <w:spacing w:after="0" w:line="268"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50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 Activity</w:t>
            </w:r>
          </w:p>
        </w:tc>
        <w:tc>
          <w:tcPr>
            <w:tcW w:w="100" w:type="dxa"/>
            <w:vAlign w:val="bottom"/>
          </w:tcPr>
          <w:p>
            <w:pPr>
              <w:spacing w:after="0"/>
              <w:rPr>
                <w:sz w:val="20"/>
                <w:szCs w:val="20"/>
                <w:color w:val="auto"/>
              </w:rPr>
            </w:pPr>
          </w:p>
        </w:tc>
        <w:tc>
          <w:tcPr>
            <w:tcW w:w="252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80" w:type="dxa"/>
            <w:vAlign w:val="bottom"/>
          </w:tcPr>
          <w:p>
            <w:pPr>
              <w:spacing w:after="0"/>
              <w:rPr>
                <w:sz w:val="20"/>
                <w:szCs w:val="20"/>
                <w:color w:val="auto"/>
              </w:rPr>
            </w:pPr>
          </w:p>
        </w:tc>
        <w:tc>
          <w:tcPr>
            <w:tcW w:w="274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tcBorders>
              <w:bottom w:val="single" w:sz="8" w:color="auto"/>
            </w:tcBorders>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20" w:type="dxa"/>
            <w:vAlign w:val="bottom"/>
            <w:tcBorders>
              <w:bottom w:val="single" w:sz="8" w:color="auto"/>
            </w:tcBorders>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59"/>
        </w:trPr>
        <w:tc>
          <w:tcPr>
            <w:tcW w:w="5060" w:type="dxa"/>
            <w:vAlign w:val="bottom"/>
            <w:gridSpan w:val="3"/>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Applebee's</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Summary - beginning of period:</w:t>
            </w:r>
          </w:p>
        </w:tc>
        <w:tc>
          <w:tcPr>
            <w:tcW w:w="10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Franchise</w:t>
            </w:r>
          </w:p>
        </w:tc>
        <w:tc>
          <w:tcPr>
            <w:tcW w:w="2840" w:type="dxa"/>
            <w:vAlign w:val="bottom"/>
            <w:tcBorders>
              <w:top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100" w:type="dxa"/>
            <w:vAlign w:val="bottom"/>
          </w:tcPr>
          <w:p>
            <w:pPr>
              <w:spacing w:after="0"/>
              <w:rPr>
                <w:sz w:val="18"/>
                <w:szCs w:val="18"/>
                <w:color w:val="auto"/>
              </w:rPr>
            </w:pP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80" w:type="dxa"/>
            <w:vAlign w:val="bottom"/>
          </w:tcPr>
          <w:p>
            <w:pPr>
              <w:spacing w:after="0"/>
              <w:rPr>
                <w:sz w:val="18"/>
                <w:szCs w:val="18"/>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00" w:type="dxa"/>
            <w:vAlign w:val="bottom"/>
          </w:tcPr>
          <w:p>
            <w:pPr>
              <w:spacing w:after="0"/>
              <w:rPr>
                <w:sz w:val="18"/>
                <w:szCs w:val="18"/>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0" w:type="dxa"/>
            <w:vAlign w:val="bottom"/>
          </w:tcPr>
          <w:p>
            <w:pPr>
              <w:spacing w:after="0"/>
              <w:rPr>
                <w:sz w:val="1"/>
                <w:szCs w:val="1"/>
                <w:color w:val="auto"/>
              </w:rPr>
            </w:pPr>
          </w:p>
        </w:tc>
      </w:tr>
      <w:tr>
        <w:trPr>
          <w:trHeight w:val="216"/>
        </w:trPr>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Beginning of period</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1,636</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1,673</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1,642</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1,678</w:t>
            </w: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Franchise restaurants opened: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06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50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franchise restaurants opened</w:t>
            </w:r>
          </w:p>
        </w:tc>
        <w:tc>
          <w:tcPr>
            <w:tcW w:w="10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4"/>
        </w:trPr>
        <w:tc>
          <w:tcPr>
            <w:tcW w:w="5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Franchise restaurants permanently closed:</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506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50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franchise restaurants permanently closed</w:t>
            </w:r>
          </w:p>
        </w:tc>
        <w:tc>
          <w:tcPr>
            <w:tcW w:w="10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3"/>
        </w:trPr>
        <w:tc>
          <w:tcPr>
            <w:tcW w:w="50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Net franchise restaurant reduction</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(11)</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(12)</w:t>
            </w:r>
          </w:p>
        </w:tc>
        <w:tc>
          <w:tcPr>
            <w:tcW w:w="80" w:type="dxa"/>
            <w:vAlign w:val="bottom"/>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(17)</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(17)</w:t>
            </w: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Summary - end of period: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100" w:type="dxa"/>
            <w:vAlign w:val="bottom"/>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8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0" w:type="dxa"/>
            <w:vAlign w:val="bottom"/>
          </w:tcPr>
          <w:p>
            <w:pPr>
              <w:spacing w:after="0"/>
              <w:rPr>
                <w:sz w:val="1"/>
                <w:szCs w:val="1"/>
                <w:color w:val="auto"/>
              </w:rPr>
            </w:pPr>
          </w:p>
        </w:tc>
      </w:tr>
      <w:tr>
        <w:trPr>
          <w:trHeight w:val="213"/>
        </w:trPr>
        <w:tc>
          <w:tcPr>
            <w:tcW w:w="50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0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Applebee's restaurants, end of period</w:t>
            </w:r>
          </w:p>
        </w:tc>
        <w:tc>
          <w:tcPr>
            <w:tcW w:w="100" w:type="dxa"/>
            <w:vAlign w:val="bottom"/>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1,625</w:t>
            </w:r>
          </w:p>
        </w:tc>
        <w:tc>
          <w:tcPr>
            <w:tcW w:w="100" w:type="dxa"/>
            <w:vAlign w:val="bottom"/>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1,661</w:t>
            </w:r>
          </w:p>
        </w:tc>
        <w:tc>
          <w:tcPr>
            <w:tcW w:w="80" w:type="dxa"/>
            <w:vAlign w:val="bottom"/>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1,625</w:t>
            </w:r>
          </w:p>
        </w:tc>
        <w:tc>
          <w:tcPr>
            <w:tcW w:w="100" w:type="dxa"/>
            <w:vAlign w:val="bottom"/>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0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0" w:type="dxa"/>
            <w:vAlign w:val="bottom"/>
          </w:tcPr>
          <w:p>
            <w:pPr>
              <w:spacing w:after="0"/>
              <w:rPr>
                <w:sz w:val="1"/>
                <w:szCs w:val="1"/>
                <w:color w:val="auto"/>
              </w:rPr>
            </w:pPr>
          </w:p>
        </w:tc>
      </w:tr>
      <w:tr>
        <w:trPr>
          <w:trHeight w:val="235"/>
        </w:trPr>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50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 Activity</w:t>
            </w:r>
          </w:p>
        </w:tc>
        <w:tc>
          <w:tcPr>
            <w:tcW w:w="100" w:type="dxa"/>
            <w:vAlign w:val="bottom"/>
          </w:tcPr>
          <w:p>
            <w:pPr>
              <w:spacing w:after="0"/>
              <w:rPr>
                <w:sz w:val="20"/>
                <w:szCs w:val="20"/>
                <w:color w:val="auto"/>
              </w:rPr>
            </w:pPr>
          </w:p>
        </w:tc>
        <w:tc>
          <w:tcPr>
            <w:tcW w:w="2520" w:type="dxa"/>
            <w:vAlign w:val="bottom"/>
            <w:gridSpan w:val="3"/>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80" w:type="dxa"/>
            <w:vAlign w:val="bottom"/>
          </w:tcPr>
          <w:p>
            <w:pPr>
              <w:spacing w:after="0"/>
              <w:rPr>
                <w:sz w:val="20"/>
                <w:szCs w:val="20"/>
                <w:color w:val="auto"/>
              </w:rPr>
            </w:pPr>
          </w:p>
        </w:tc>
        <w:tc>
          <w:tcPr>
            <w:tcW w:w="3260" w:type="dxa"/>
            <w:vAlign w:val="bottom"/>
            <w:gridSpan w:val="4"/>
          </w:tcPr>
          <w:p>
            <w:pPr>
              <w:ind w:left="48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0" w:type="dxa"/>
            <w:vAlign w:val="bottom"/>
          </w:tcPr>
          <w:p>
            <w:pPr>
              <w:spacing w:after="0"/>
              <w:rPr>
                <w:sz w:val="1"/>
                <w:szCs w:val="1"/>
                <w:color w:val="auto"/>
              </w:rPr>
            </w:pPr>
          </w:p>
        </w:tc>
      </w:tr>
      <w:tr>
        <w:trPr>
          <w:trHeight w:val="208"/>
        </w:trPr>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tcBorders>
              <w:top w:val="single" w:sz="8" w:color="auto"/>
            </w:tcBorders>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32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20" w:type="dxa"/>
            <w:vAlign w:val="bottom"/>
            <w:tcBorders>
              <w:top w:val="single" w:sz="8" w:color="auto"/>
            </w:tcBorders>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0" w:type="dxa"/>
            <w:vAlign w:val="bottom"/>
          </w:tcPr>
          <w:p>
            <w:pPr>
              <w:spacing w:after="0"/>
              <w:rPr>
                <w:sz w:val="16"/>
                <w:szCs w:val="16"/>
                <w:color w:val="auto"/>
              </w:rPr>
            </w:pPr>
          </w:p>
        </w:tc>
        <w:tc>
          <w:tcPr>
            <w:tcW w:w="420" w:type="dxa"/>
            <w:vAlign w:val="bottom"/>
            <w:tcBorders>
              <w:top w:val="single" w:sz="8" w:color="CCEEFF"/>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w w:val="97"/>
              </w:rPr>
              <w:t>IHOP</w:t>
            </w:r>
          </w:p>
        </w:tc>
        <w:tc>
          <w:tcPr>
            <w:tcW w:w="464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Summary - beginning of period: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5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100" w:type="dxa"/>
            <w:vAlign w:val="bottom"/>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8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50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Area license</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5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IHOP restaurants, beginning of period</w:t>
            </w:r>
          </w:p>
        </w:tc>
        <w:tc>
          <w:tcPr>
            <w:tcW w:w="100" w:type="dxa"/>
            <w:vAlign w:val="bottom"/>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1,809</w:t>
            </w:r>
          </w:p>
        </w:tc>
        <w:tc>
          <w:tcPr>
            <w:tcW w:w="100" w:type="dxa"/>
            <w:vAlign w:val="bottom"/>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1,790</w:t>
            </w:r>
          </w:p>
        </w:tc>
        <w:tc>
          <w:tcPr>
            <w:tcW w:w="80" w:type="dxa"/>
            <w:vAlign w:val="bottom"/>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1,814</w:t>
            </w:r>
          </w:p>
        </w:tc>
        <w:tc>
          <w:tcPr>
            <w:tcW w:w="100" w:type="dxa"/>
            <w:vAlign w:val="bottom"/>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1,781</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Franchise/area license restaurants opened:</w:t>
            </w:r>
          </w:p>
        </w:tc>
        <w:tc>
          <w:tcPr>
            <w:tcW w:w="10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06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Domestic franchise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50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 area license</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506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6"/>
                <w:szCs w:val="16"/>
                <w:color w:val="auto"/>
              </w:rPr>
              <w:t>International franchise</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506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franchise/area license restaurants opened</w:t>
            </w:r>
          </w:p>
        </w:tc>
        <w:tc>
          <w:tcPr>
            <w:tcW w:w="10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20" w:type="dxa"/>
            <w:vAlign w:val="bottom"/>
          </w:tcPr>
          <w:p>
            <w:pPr>
              <w:spacing w:after="0"/>
              <w:rPr>
                <w:sz w:val="17"/>
                <w:szCs w:val="17"/>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Franchise/area license restaurants permanently closed:</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50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 franchise</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06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Domestic area license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50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International franchise</w:t>
            </w:r>
          </w:p>
        </w:tc>
        <w:tc>
          <w:tcPr>
            <w:tcW w:w="10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5060" w:type="dxa"/>
            <w:vAlign w:val="bottom"/>
            <w:tcBorders>
              <w:bottom w:val="single" w:sz="8" w:color="CCEEFF"/>
            </w:tcBorders>
            <w:gridSpan w:val="4"/>
          </w:tcPr>
          <w:p>
            <w:pPr>
              <w:ind w:left="320"/>
              <w:spacing w:after="0"/>
              <w:rPr>
                <w:sz w:val="20"/>
                <w:szCs w:val="20"/>
                <w:color w:val="auto"/>
              </w:rPr>
            </w:pPr>
            <w:r>
              <w:rPr>
                <w:rFonts w:ascii="Times New Roman" w:cs="Times New Roman" w:eastAsia="Times New Roman" w:hAnsi="Times New Roman"/>
                <w:sz w:val="16"/>
                <w:szCs w:val="16"/>
                <w:color w:val="auto"/>
              </w:rPr>
              <w:t>Total franchise/area license restaurants permanently closed</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5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franchise/area license restaurants</w:t>
            </w:r>
          </w:p>
        </w:tc>
        <w:tc>
          <w:tcPr>
            <w:tcW w:w="100" w:type="dxa"/>
            <w:vAlign w:val="bottom"/>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Summary - end of period:</w:t>
            </w:r>
          </w:p>
        </w:tc>
        <w:tc>
          <w:tcPr>
            <w:tcW w:w="10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5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Area license</w:t>
            </w:r>
          </w:p>
        </w:tc>
        <w:tc>
          <w:tcPr>
            <w:tcW w:w="10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Total IHOP restaurants, end of period</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1,811</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1,790</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1,790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100" w:type="dxa"/>
            <w:vAlign w:val="bottom"/>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8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100" w:type="dxa"/>
            <w:vAlign w:val="bottom"/>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20" w:type="dxa"/>
            <w:vAlign w:val="bottom"/>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284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506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Fuzzy's</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6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Summary - beginning of period:</w:t>
            </w:r>
          </w:p>
        </w:tc>
        <w:tc>
          <w:tcPr>
            <w:tcW w:w="10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22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Franchise</w:t>
            </w:r>
          </w:p>
        </w:tc>
        <w:tc>
          <w:tcPr>
            <w:tcW w:w="2840" w:type="dxa"/>
            <w:vAlign w:val="bottom"/>
            <w:tcBorders>
              <w:top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Pr>
          <w:p>
            <w:pPr>
              <w:spacing w:after="0"/>
              <w:rPr>
                <w:sz w:val="18"/>
                <w:szCs w:val="18"/>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5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Beginning of period</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132</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Franchise restaurants opened: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50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Franchise restaurants permanently closed: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50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Net franchise restaurant addition (reduction)</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20" w:type="dxa"/>
            <w:vAlign w:val="bottom"/>
          </w:tcPr>
          <w:p>
            <w:pPr>
              <w:spacing w:after="0"/>
              <w:rPr>
                <w:sz w:val="18"/>
                <w:szCs w:val="18"/>
                <w:color w:val="auto"/>
              </w:rPr>
            </w:pPr>
          </w:p>
        </w:tc>
        <w:tc>
          <w:tcPr>
            <w:tcW w:w="5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Refranchised from Company restaurants</w:t>
            </w:r>
          </w:p>
        </w:tc>
        <w:tc>
          <w:tcPr>
            <w:tcW w:w="10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Net franchise restaurant addition (reduction)</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Summary - end of period: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5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50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20" w:type="dxa"/>
            <w:vAlign w:val="bottom"/>
          </w:tcPr>
          <w:p>
            <w:pPr>
              <w:spacing w:after="0"/>
              <w:rPr>
                <w:sz w:val="20"/>
                <w:szCs w:val="20"/>
                <w:color w:val="auto"/>
              </w:rPr>
            </w:pPr>
          </w:p>
        </w:tc>
        <w:tc>
          <w:tcPr>
            <w:tcW w:w="5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Fuzzy's restaurants, end of period</w:t>
            </w:r>
          </w:p>
        </w:tc>
        <w:tc>
          <w:tcPr>
            <w:tcW w:w="100" w:type="dxa"/>
            <w:vAlign w:val="bottom"/>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w:t>
            </w:r>
          </w:p>
        </w:tc>
        <w:tc>
          <w:tcPr>
            <w:tcW w:w="100" w:type="dxa"/>
            <w:vAlign w:val="bottom"/>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w:t>
            </w: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w:t>
            </w:r>
          </w:p>
        </w:tc>
        <w:tc>
          <w:tcPr>
            <w:tcW w:w="100" w:type="dxa"/>
            <w:vAlign w:val="bottom"/>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6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20" w:type="dxa"/>
            <w:vAlign w:val="bottom"/>
          </w:tcPr>
          <w:p>
            <w:pPr>
              <w:spacing w:after="0"/>
              <w:rPr>
                <w:sz w:val="16"/>
                <w:szCs w:val="16"/>
                <w:color w:val="auto"/>
              </w:rPr>
            </w:pPr>
          </w:p>
        </w:tc>
        <w:tc>
          <w:tcPr>
            <w:tcW w:w="50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20" w:type="dxa"/>
            <w:vAlign w:val="bottom"/>
          </w:tcPr>
          <w:p>
            <w:pPr>
              <w:spacing w:after="0"/>
              <w:rPr>
                <w:sz w:val="20"/>
                <w:szCs w:val="20"/>
                <w:color w:val="auto"/>
              </w:rPr>
            </w:pPr>
          </w:p>
        </w:tc>
        <w:tc>
          <w:tcPr>
            <w:tcW w:w="5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0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700" w:type="dxa"/>
            <w:vAlign w:val="bottom"/>
            <w:tcBorders>
              <w:bottom w:val="single" w:sz="8" w:color="9A9A9A"/>
            </w:tcBorders>
          </w:tcPr>
          <w:p>
            <w:pPr>
              <w:spacing w:after="0"/>
              <w:rPr>
                <w:sz w:val="19"/>
                <w:szCs w:val="19"/>
                <w:color w:val="auto"/>
              </w:rPr>
            </w:pPr>
          </w:p>
        </w:tc>
        <w:tc>
          <w:tcPr>
            <w:tcW w:w="28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3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32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restaurant counts and activity presented above do not include one domestic Applebee's ghost kitchen (small kitchens with no store-front presence, used to fill off-premise orders), eight international Applebee's ghost kitchens and 38 international IHOP ghost kitchens.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closures presented in the tables above represent permanent closures of restaurants. Temporary closures, which can occur for a variety of reasons, are not reflected as reductions in this table and are included in the summary counts at the beginning and end of each period shown. Temporary closures are reflected in the weighted calculation of Effective Restaurants presented in the preceding Restaurant Data table.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Closures of restaurants adversely impact our system-wide retail sales that drive our franchise royalty revenues as well as, in the case of IHOP and Fuzzy's restaurants, sales of proprietary products. Further, with certain restaurants, we own or lease the underlying property and sublease it to the applicable franchisee. Thus, our rental income also could be adversely affected due to the loss of such income, as well as our obligation to make rental or other payments for such properties.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the Three and Six Months Ended June 30,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vMerge w:val="restart"/>
          </w:tcPr>
          <w:p>
            <w:pPr>
              <w:jc w:val="center"/>
              <w:ind w:right="36"/>
              <w:spacing w:after="0" w:line="122"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vMerge w:val="restart"/>
          </w:tcPr>
          <w:p>
            <w:pPr>
              <w:jc w:val="center"/>
              <w:ind w:right="55"/>
              <w:spacing w:after="0" w:line="122"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48"/>
        </w:trPr>
        <w:tc>
          <w:tcPr>
            <w:tcW w:w="2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vMerge w:val="restart"/>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0" w:type="dxa"/>
            <w:vAlign w:val="bottom"/>
          </w:tcPr>
          <w:p>
            <w:pPr>
              <w:spacing w:after="0"/>
              <w:rPr>
                <w:sz w:val="1"/>
                <w:szCs w:val="1"/>
                <w:color w:val="auto"/>
              </w:rPr>
            </w:pPr>
          </w:p>
        </w:tc>
      </w:tr>
      <w:tr>
        <w:trPr>
          <w:trHeight w:val="188"/>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Franchise operations</w:t>
            </w:r>
          </w:p>
        </w:tc>
        <w:tc>
          <w:tcPr>
            <w:tcW w:w="100" w:type="dxa"/>
            <w:vAlign w:val="bottom"/>
            <w:vMerge w:val="continue"/>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vMerge w:val="continue"/>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80" w:type="dxa"/>
            <w:vAlign w:val="bottom"/>
            <w:vMerge w:val="continue"/>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vMerge w:val="continue"/>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352.4</w:t>
            </w:r>
          </w:p>
        </w:tc>
        <w:tc>
          <w:tcPr>
            <w:tcW w:w="80" w:type="dxa"/>
            <w:vAlign w:val="bottom"/>
            <w:vMerge w:val="continue"/>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vMerge w:val="continue"/>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Rental operations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operations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8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Change vs. prior period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revenue for the three and six months ended June 30, 2024 decreased compared with the same periods of the prior year, primarily due to the decrease in franchise and rental operations revenue. The decrease in franchise operations revenue was primarily attributable to the decrease in domestic same-restaurant sales and the decrease in the number of Applebee's and Fuzzy's effective restaurants, partially offset by increases in the number of effective restaurants and proprietary product sales at IHOP. Rental operations revenue for the three months ended June 30, 2024 decreased compared with the same period of the prior year, primarily due to early lease termination and a decrease in variable sublease income. Rental operations revenue for the six months ended June 30, 2024 decreased compared with the same period of the prior year, primarily due to prior year lease buyouts.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60" w:type="dxa"/>
            <w:vAlign w:val="bottom"/>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vMerge w:val="restart"/>
          </w:tcPr>
          <w:p>
            <w:pPr>
              <w:jc w:val="center"/>
              <w:ind w:right="79"/>
              <w:spacing w:after="0" w:line="108" w:lineRule="exact"/>
              <w:rPr>
                <w:sz w:val="20"/>
                <w:szCs w:val="20"/>
                <w:color w:val="auto"/>
              </w:rPr>
            </w:pPr>
            <w:r>
              <w:rPr>
                <w:rFonts w:ascii="Times New Roman" w:cs="Times New Roman" w:eastAsia="Times New Roman" w:hAnsi="Times New Roman"/>
                <w:sz w:val="12"/>
                <w:szCs w:val="12"/>
                <w:b w:val="1"/>
                <w:bCs w:val="1"/>
                <w:color w:val="auto"/>
              </w:rPr>
              <w:t>(Unfavorable)</w:t>
            </w:r>
          </w:p>
        </w:tc>
        <w:tc>
          <w:tcPr>
            <w:tcW w:w="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restart"/>
          </w:tcPr>
          <w:p>
            <w:pPr>
              <w:jc w:val="center"/>
              <w:ind w:right="58"/>
              <w:spacing w:after="0" w:line="108" w:lineRule="exact"/>
              <w:rPr>
                <w:sz w:val="20"/>
                <w:szCs w:val="20"/>
                <w:color w:val="auto"/>
              </w:rPr>
            </w:pPr>
            <w:r>
              <w:rPr>
                <w:rFonts w:ascii="Times New Roman" w:cs="Times New Roman" w:eastAsia="Times New Roman" w:hAnsi="Times New Roman"/>
                <w:sz w:val="12"/>
                <w:szCs w:val="12"/>
                <w:b w:val="1"/>
                <w:bCs w:val="1"/>
                <w:color w:val="auto"/>
              </w:rPr>
              <w:t>(Unfavorable)</w:t>
            </w:r>
          </w:p>
        </w:tc>
        <w:tc>
          <w:tcPr>
            <w:tcW w:w="0" w:type="dxa"/>
            <w:vAlign w:val="bottom"/>
          </w:tcPr>
          <w:p>
            <w:pPr>
              <w:spacing w:after="0"/>
              <w:rPr>
                <w:sz w:val="1"/>
                <w:szCs w:val="1"/>
                <w:color w:val="auto"/>
              </w:rPr>
            </w:pPr>
          </w:p>
        </w:tc>
      </w:tr>
      <w:tr>
        <w:trPr>
          <w:trHeight w:val="34"/>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vMerge w:val="restart"/>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7"/>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Franchise operations</w:t>
            </w:r>
          </w:p>
        </w:tc>
        <w:tc>
          <w:tcPr>
            <w:tcW w:w="100" w:type="dxa"/>
            <w:vAlign w:val="bottom"/>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638"/>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Rental operations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left="638"/>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58"/>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operations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38"/>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profit</w:t>
            </w: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638"/>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Change vs. prior period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gross profit for the three months ended June 30, 2024 increased compared with the same period of the prior year, primarily due to increased gross profit from franchise operations. The franchise operations gross profit increased primarily due to a decrease in bad debt and franchise support expense, partially offset by the decrease in franchise operations revenue as described above.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gross profit for the six months ended June 30, 2024 decreased compared with the same period of the prior year, primarily due to decreased gross profit from rental operations and franchise operations. The decrease in rental operations gross profit was primarily due to a decrease in rental income impacted by prior year lease buyouts. The franchise operations gross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profit decreased primarily due to Applebee's and Fuzzy's decreased franchise revenue and an increase in franchisor advertising contributions, partially offset by a decrease in bad debt expense.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Franchise Operations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80" w:type="dxa"/>
            <w:vAlign w:val="bottom"/>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restart"/>
          </w:tcPr>
          <w:p>
            <w:pPr>
              <w:jc w:val="center"/>
              <w:ind w:right="60"/>
              <w:spacing w:after="0" w:line="122"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restart"/>
          </w:tcPr>
          <w:p>
            <w:pPr>
              <w:jc w:val="center"/>
              <w:ind w:right="40"/>
              <w:spacing w:after="0" w:line="122"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48"/>
        </w:trPr>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7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except number of restaurants)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16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6"/>
                <w:szCs w:val="16"/>
                <w:color w:val="auto"/>
              </w:rPr>
              <w:t>Effective Franchise Restaurants:</w:t>
            </w:r>
            <w:r>
              <w:rPr>
                <w:rFonts w:ascii="Times New Roman" w:cs="Times New Roman" w:eastAsia="Times New Roman" w:hAnsi="Times New Roman"/>
                <w:sz w:val="21"/>
                <w:szCs w:val="21"/>
                <w:color w:val="auto"/>
                <w:vertAlign w:val="superscript"/>
              </w:rPr>
              <w:t>(1)</w:t>
            </w:r>
          </w:p>
        </w:tc>
        <w:tc>
          <w:tcPr>
            <w:tcW w:w="8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Applebee’s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IHOP</w:t>
            </w:r>
          </w:p>
        </w:tc>
        <w:tc>
          <w:tcPr>
            <w:tcW w:w="8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1,802</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1,783</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1,801</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1,778</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3"/>
        </w:trPr>
        <w:tc>
          <w:tcPr>
            <w:tcW w:w="3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Fuzzy's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8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Applebee’s franchise fees</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86.4</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IHOP franchise fees</w:t>
            </w:r>
          </w:p>
        </w:tc>
        <w:tc>
          <w:tcPr>
            <w:tcW w:w="8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54.0</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109.7</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3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Fuzzy's franchise fees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Advertising fees</w:t>
            </w:r>
          </w:p>
        </w:tc>
        <w:tc>
          <w:tcPr>
            <w:tcW w:w="8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76.0</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149.8</w:t>
            </w:r>
          </w:p>
        </w:tc>
        <w:tc>
          <w:tcPr>
            <w:tcW w:w="8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153.0</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7"/>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352.4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Expenses:</w:t>
            </w:r>
          </w:p>
        </w:tc>
        <w:tc>
          <w:tcPr>
            <w:tcW w:w="8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Applebee’s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IHOP</w:t>
            </w:r>
          </w:p>
        </w:tc>
        <w:tc>
          <w:tcPr>
            <w:tcW w:w="8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3"/>
        </w:trPr>
        <w:tc>
          <w:tcPr>
            <w:tcW w:w="3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Fuzzy's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Advertising expenses</w:t>
            </w:r>
          </w:p>
        </w:tc>
        <w:tc>
          <w:tcPr>
            <w:tcW w:w="8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76.0</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149.8</w:t>
            </w:r>
          </w:p>
        </w:tc>
        <w:tc>
          <w:tcPr>
            <w:tcW w:w="8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153.0</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7"/>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franchise expenses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88.3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171.4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Gross Profit:</w:t>
            </w:r>
          </w:p>
        </w:tc>
        <w:tc>
          <w:tcPr>
            <w:tcW w:w="8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Applebee’s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IHOP</w:t>
            </w:r>
          </w:p>
        </w:tc>
        <w:tc>
          <w:tcPr>
            <w:tcW w:w="8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91.0</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Fuzzy's</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 gross profit</w:t>
            </w:r>
          </w:p>
        </w:tc>
        <w:tc>
          <w:tcPr>
            <w:tcW w:w="80" w:type="dxa"/>
            <w:vAlign w:val="bottom"/>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89.6</w:t>
            </w:r>
          </w:p>
        </w:tc>
        <w:tc>
          <w:tcPr>
            <w:tcW w:w="80" w:type="dxa"/>
            <w:vAlign w:val="bottom"/>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180.9</w:t>
            </w:r>
          </w:p>
        </w:tc>
        <w:tc>
          <w:tcPr>
            <w:tcW w:w="80" w:type="dxa"/>
            <w:vAlign w:val="bottom"/>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182.3</w:t>
            </w:r>
          </w:p>
        </w:tc>
        <w:tc>
          <w:tcPr>
            <w:tcW w:w="100" w:type="dxa"/>
            <w:vAlign w:val="bottom"/>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160" w:type="dxa"/>
            <w:vAlign w:val="bottom"/>
          </w:tcPr>
          <w:p>
            <w:pPr>
              <w:ind w:left="20"/>
              <w:spacing w:after="0" w:line="190" w:lineRule="exact"/>
              <w:rPr>
                <w:sz w:val="20"/>
                <w:szCs w:val="20"/>
                <w:color w:val="auto"/>
              </w:rPr>
            </w:pPr>
            <w:r>
              <w:rPr>
                <w:rFonts w:ascii="Times New Roman" w:cs="Times New Roman" w:eastAsia="Times New Roman" w:hAnsi="Times New Roman"/>
                <w:sz w:val="16"/>
                <w:szCs w:val="16"/>
                <w:color w:val="auto"/>
              </w:rPr>
              <w:t xml:space="preserve">Gross profit as % of franchise revenue </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51.9 %</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51.4 %</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16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Gross profit as % of franchise fees </w:t>
            </w:r>
            <w:r>
              <w:rPr>
                <w:rFonts w:ascii="Times New Roman" w:cs="Times New Roman" w:eastAsia="Times New Roman" w:hAnsi="Times New Roman"/>
                <w:sz w:val="21"/>
                <w:szCs w:val="21"/>
                <w:color w:val="auto"/>
                <w:vertAlign w:val="superscript"/>
              </w:rPr>
              <w:t>(2)(3)</w:t>
            </w:r>
          </w:p>
        </w:tc>
        <w:tc>
          <w:tcPr>
            <w:tcW w:w="80" w:type="dxa"/>
            <w:vAlign w:val="bottom"/>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89.8 %</w:t>
            </w: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87.9 %</w:t>
            </w:r>
          </w:p>
        </w:tc>
        <w:tc>
          <w:tcPr>
            <w:tcW w:w="80" w:type="dxa"/>
            <w:vAlign w:val="bottom"/>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89.3 %</w:t>
            </w:r>
          </w:p>
        </w:tc>
        <w:tc>
          <w:tcPr>
            <w:tcW w:w="80" w:type="dxa"/>
            <w:vAlign w:val="bottom"/>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89.0 %</w:t>
            </w:r>
          </w:p>
        </w:tc>
        <w:tc>
          <w:tcPr>
            <w:tcW w:w="100" w:type="dxa"/>
            <w:vAlign w:val="bottom"/>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113" w:lineRule="exact"/>
        <w:rPr>
          <w:sz w:val="20"/>
          <w:szCs w:val="20"/>
          <w:color w:val="auto"/>
        </w:rPr>
      </w:pPr>
    </w:p>
    <w:p>
      <w:pPr>
        <w:ind w:left="180" w:hanging="172"/>
        <w:spacing w:after="0" w:line="228" w:lineRule="auto"/>
        <w:tabs>
          <w:tab w:leader="none" w:pos="15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 Franchise Restaurants are the weighted average number of franchise and area license restaurants open in each fiscal period, adjusted to account for restaurants open for only a portion of the period.</w:t>
      </w:r>
    </w:p>
    <w:p>
      <w:pPr>
        <w:ind w:left="160" w:hanging="152"/>
        <w:spacing w:after="0"/>
        <w:tabs>
          <w:tab w:leader="none" w:pos="16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Percentages calculated on actual amounts, not rounded amounts presented above.</w:t>
      </w:r>
    </w:p>
    <w:p>
      <w:pPr>
        <w:spacing w:after="0" w:line="14" w:lineRule="exact"/>
        <w:rPr>
          <w:rFonts w:ascii="Times New Roman" w:cs="Times New Roman" w:eastAsia="Times New Roman" w:hAnsi="Times New Roman"/>
          <w:sz w:val="9"/>
          <w:szCs w:val="9"/>
          <w:color w:val="auto"/>
        </w:rPr>
      </w:pPr>
    </w:p>
    <w:p>
      <w:pPr>
        <w:ind w:left="180" w:hanging="172"/>
        <w:spacing w:after="0"/>
        <w:tabs>
          <w:tab w:leader="none" w:pos="165"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From time to time, advertising fee revenue may be different from advertising expenses in a given accounting period. Over the long term, advertising activity should not generate gross profit or loss.</w:t>
      </w:r>
    </w:p>
    <w:p>
      <w:pPr>
        <w:spacing w:after="0" w:line="2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Applebee's franchise fee revenue for the three months ended June 30, 2024 decreased 3.1% as compared with the same period of the prior year, primarily attributable to the unfavorable impact on royalties of a 1.8% decrease in domestic same-restaurant sales and the decrease in the number of effective franchise restaurants, offset by an increase in accelerated franchise fee revenue recognition due to restaurant closures. Applebee's franchise fee revenue for the six months ended June 30, 2024 decreased 4.0% as compared with the same period of the prior year, primarily attributable to the unfavorable impact on royalties of a 3.2% decrease in domestic same-restaurant sales and the decrease in the number of effective franchise restaurants, offset by an increase in accelerated franchise fee recognition due to restaurant closures.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Applebee's franchise expenses for the three and six months ended June 30, 2024 decreased $1.9 million and $2.7 million, respectively, as compared with the same periods of the prior year, primarily due to a decrease in bad debt expense.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IHOP's franchise fee revenue for the three and six months ended June 30, 2024 increased 2.5% and 1.8%, respectively, as compared with the same periods of the prior year, primarily due to an increase in the number of effective franchise restaurants and an increase in proprietary product sales, partially offset by a decrease in same-restaurant sales (1.4% and 1.5% decrease in same-restaurant sales, respectively) and a decrease in virtual brand revenue.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IHOP's franchise expenses for the three and six months ended June 30, 2024 decreased $1.6 million and $0.9 million, respectively, as compared with the same periods of the prior year, primarily due to a decrease in bad debt expense and a decrease in franchisee IT support costs offset by an increase in franchisor advertising contribution.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Fuzzy's franchise fee revenue for the three months ended June 30, 2024 remained flat as compared with the same period of the prior year, primarily due to forfeited development fees offset by a 7.5% decrease in domestic same-restaurant sales and a decrease in the number of effective franchise restaurants. Fuzzy's franchise fee revenue for the six months ended June 30, 2024 decreased 9.0% compared with the same period of the prior year, primarily due to a 8.6% decrease in domestic same-restaurant sales and decrease in the number of effective franchise restaurants, partially offset by termination fees.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Fuzzy's franchise expenses for the three and six months ended June 30, 2024 increased $1.6 million and $2.6 million, respectively, compared with the same periods of the prior year, primarily due to an increase in franchisor advertising contribution and an increase in bad debt expense.</w:t>
      </w:r>
    </w:p>
    <w:p>
      <w:pPr>
        <w:spacing w:after="0" w:line="90" w:lineRule="exact"/>
        <w:rPr>
          <w:sz w:val="20"/>
          <w:szCs w:val="20"/>
          <w:color w:val="auto"/>
        </w:rPr>
      </w:pPr>
    </w:p>
    <w:tbl>
      <w:tblPr>
        <w:tblLayout w:type="fixed"/>
        <w:tblInd w:w="100" w:type="dxa"/>
        <w:tblCellMar>
          <w:top w:w="0" w:type="dxa"/>
          <w:left w:w="0" w:type="dxa"/>
          <w:bottom w:w="0" w:type="dxa"/>
          <w:right w:w="0" w:type="dxa"/>
        </w:tblCellMar>
      </w:tblPr>
      <w:tr>
        <w:trPr>
          <w:trHeight w:val="242"/>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Advertising Revenues and Expenses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20" w:type="dxa"/>
            <w:vAlign w:val="bottom"/>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300" w:type="dxa"/>
            <w:vAlign w:val="bottom"/>
          </w:tcPr>
          <w:p>
            <w:pPr>
              <w:spacing w:after="0"/>
              <w:rPr>
                <w:sz w:val="21"/>
                <w:szCs w:val="21"/>
                <w:color w:val="auto"/>
              </w:rPr>
            </w:pPr>
          </w:p>
        </w:tc>
        <w:tc>
          <w:tcPr>
            <w:tcW w:w="21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Pr>
          <w:p>
            <w:pPr>
              <w:spacing w:after="0"/>
              <w:rPr>
                <w:sz w:val="21"/>
                <w:szCs w:val="21"/>
                <w:color w:val="auto"/>
              </w:rPr>
            </w:pPr>
          </w:p>
        </w:tc>
        <w:tc>
          <w:tcPr>
            <w:tcW w:w="94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Applebee’s</w:t>
            </w:r>
          </w:p>
        </w:tc>
        <w:tc>
          <w:tcPr>
            <w:tcW w:w="80" w:type="dxa"/>
            <w:vAlign w:val="bottom"/>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8"/>
              </w:rPr>
              <w:t>(1.2)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w w:val="98"/>
              </w:rPr>
              <w:t>(3.2)</w:t>
            </w: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IHOP</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left="496"/>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Fuzzy's</w:t>
            </w:r>
          </w:p>
        </w:tc>
        <w:tc>
          <w:tcPr>
            <w:tcW w:w="8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496"/>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advertising revenues and expenses</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8"/>
              </w:rPr>
              <w:t>(1.5)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center"/>
              <w:ind w:left="476"/>
              <w:spacing w:after="0"/>
              <w:rPr>
                <w:sz w:val="20"/>
                <w:szCs w:val="20"/>
                <w:color w:val="auto"/>
              </w:rPr>
            </w:pPr>
            <w:r>
              <w:rPr>
                <w:rFonts w:ascii="Times New Roman" w:cs="Times New Roman" w:eastAsia="Times New Roman" w:hAnsi="Times New Roman"/>
                <w:sz w:val="18"/>
                <w:szCs w:val="18"/>
                <w:color w:val="auto"/>
                <w:w w:val="98"/>
              </w:rPr>
              <w:t>(3.2)</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Applebee's advertising revenues and expenses for the three months ended June 30, 2024 decreased 2.8% compared to the same period of the prior year primarily due to the decrease in the number of effective franchise restaurants and the decrease in their respective domestic franchise same-restaurant sales. IHOP advertising revenues and expenses for the three months ended June 30, 2024 decreased 0.6% compared to the same period of the prior year, primarily due to a 1.4% decrease in same-restaurant sales, partially offset by an increase in the number of effective franchise restaurants.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Applebee's advertising revenues and expenses for the six months ended June 30, 2024 decreased 3.5% compared to the same period of the prior year primarily due to a 3.2% decrease in domestic franchise same-restaurant sales and decrease in the number of effective franchise restaurants. IHOP's advertising revenues and expenses for the six months ended June 30, 2024 decreased as compared with the same period of the prior year, primarily due to an increase in the number of effective franchise restaurants and partially offset by a 1.5% decrease in same-restaurant sales.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our accounting policy to recognize any deficiency in advertising fee revenue compared to advertising expenditure or any recovery of a previously recognized deficiency in advertising fee revenue compared to advertising expenditure in the fourth quarter of our fiscal year.</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Rental Operations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rPr>
              <w:t>Favorable</w:t>
            </w:r>
          </w:p>
        </w:tc>
      </w:tr>
      <w:tr>
        <w:trPr>
          <w:trHeight w:val="68"/>
        </w:trPr>
        <w:tc>
          <w:tcPr>
            <w:tcW w:w="3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jc w:val="center"/>
              <w:ind w:right="47"/>
              <w:spacing w:after="0" w:line="48" w:lineRule="exact"/>
              <w:rPr>
                <w:sz w:val="20"/>
                <w:szCs w:val="20"/>
                <w:color w:val="auto"/>
              </w:rPr>
            </w:pPr>
            <w:r>
              <w:rPr>
                <w:rFonts w:ascii="Times New Roman" w:cs="Times New Roman" w:eastAsia="Times New Roman" w:hAnsi="Times New Roman"/>
                <w:sz w:val="5"/>
                <w:szCs w:val="5"/>
                <w:b w:val="1"/>
                <w:bCs w:val="1"/>
                <w:color w:val="auto"/>
              </w:rPr>
              <w:t>(Unfavorable)</w:t>
            </w: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jc w:val="center"/>
              <w:ind w:right="47"/>
              <w:spacing w:after="0" w:line="48" w:lineRule="exact"/>
              <w:rPr>
                <w:sz w:val="20"/>
                <w:szCs w:val="20"/>
                <w:color w:val="auto"/>
              </w:rPr>
            </w:pPr>
            <w:r>
              <w:rPr>
                <w:rFonts w:ascii="Times New Roman" w:cs="Times New Roman" w:eastAsia="Times New Roman" w:hAnsi="Times New Roman"/>
                <w:sz w:val="5"/>
                <w:szCs w:val="5"/>
                <w:b w:val="1"/>
                <w:bCs w:val="1"/>
                <w:color w:val="auto"/>
              </w:rPr>
              <w:t>(Unfavorable)</w:t>
            </w:r>
          </w:p>
        </w:tc>
      </w:t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9"/>
              </w:rPr>
              <w:t>Variance</w:t>
            </w:r>
          </w:p>
        </w:tc>
      </w:t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2"/>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Rental revenues</w:t>
            </w:r>
          </w:p>
        </w:tc>
        <w:tc>
          <w:tcPr>
            <w:tcW w:w="100" w:type="dxa"/>
            <w:vAlign w:val="bottom"/>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567"/>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547"/>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3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Rental expenses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87"/>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67"/>
              <w:spacing w:after="0"/>
              <w:rPr>
                <w:sz w:val="20"/>
                <w:szCs w:val="20"/>
                <w:color w:val="auto"/>
              </w:rPr>
            </w:pPr>
            <w:r>
              <w:rPr>
                <w:rFonts w:ascii="Times New Roman" w:cs="Times New Roman" w:eastAsia="Times New Roman" w:hAnsi="Times New Roman"/>
                <w:sz w:val="18"/>
                <w:szCs w:val="18"/>
                <w:color w:val="auto"/>
                <w:w w:val="97"/>
              </w:rPr>
              <w:t>0.3</w:t>
            </w:r>
          </w:p>
        </w:tc>
      </w:tr>
      <w:tr>
        <w:trPr>
          <w:trHeight w:val="248"/>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 gross profit</w:t>
            </w:r>
          </w:p>
        </w:tc>
        <w:tc>
          <w:tcPr>
            <w:tcW w:w="10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center"/>
              <w:ind w:left="587"/>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center"/>
              <w:ind w:left="547"/>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4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Gross profit as % of rental revenue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25.4 %</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300"/>
              <w:spacing w:after="0" w:line="203" w:lineRule="exact"/>
              <w:rPr>
                <w:sz w:val="20"/>
                <w:szCs w:val="20"/>
                <w:color w:val="auto"/>
              </w:rPr>
            </w:pPr>
            <w:r>
              <w:rPr>
                <w:rFonts w:ascii="Times New Roman" w:cs="Times New Roman" w:eastAsia="Times New Roman" w:hAnsi="Times New Roman"/>
                <w:sz w:val="18"/>
                <w:szCs w:val="18"/>
                <w:color w:val="auto"/>
              </w:rPr>
              <w:t>25.5 %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420"/>
              <w:spacing w:after="0" w:line="203" w:lineRule="exact"/>
              <w:rPr>
                <w:sz w:val="20"/>
                <w:szCs w:val="20"/>
                <w:color w:val="auto"/>
              </w:rPr>
            </w:pPr>
            <w:r>
              <w:rPr>
                <w:rFonts w:ascii="Times New Roman" w:cs="Times New Roman" w:eastAsia="Times New Roman" w:hAnsi="Times New Roman"/>
                <w:sz w:val="18"/>
                <w:szCs w:val="18"/>
                <w:color w:val="auto"/>
              </w:rPr>
              <w:t>28.5 %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113" w:lineRule="exact"/>
        <w:rPr>
          <w:sz w:val="20"/>
          <w:szCs w:val="20"/>
          <w:color w:val="auto"/>
        </w:rPr>
      </w:pPr>
    </w:p>
    <w:p>
      <w:pPr>
        <w:ind w:left="160" w:hanging="152"/>
        <w:spacing w:after="0"/>
        <w:tabs>
          <w:tab w:leader="none" w:pos="16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Percentages calculated on actual amounts, not rounded amounts presented above.</w:t>
      </w:r>
    </w:p>
    <w:p>
      <w:pPr>
        <w:spacing w:after="0" w:line="1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Rental operations relate primarily to IHOP franchise restaurants. Rental income includes sublease revenue from operating leases and interest income from finance leases. Rental expenses are costs of prime operating leases and interest expense on prime finance leases.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Rental operations gross profit for the three months ended June 30, 2024 increased as compared to the same period of the prior year, primarily due to operating lease renewals and extensions and an increase in percentage rent.</w:t>
      </w:r>
    </w:p>
    <w:p>
      <w:pPr>
        <w:spacing w:after="0" w:line="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Rental operations gross profit for the six months ended June 30, 2024 decreased as compared to the same period of the prior year, primarily due to prior year lease buyouts partially offset by lease renewals and extensions.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Company Restaurant and Financing</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Operations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jc w:val="center"/>
              <w:ind w:right="61"/>
              <w:spacing w:after="0" w:line="61" w:lineRule="exact"/>
              <w:rPr>
                <w:sz w:val="20"/>
                <w:szCs w:val="20"/>
                <w:color w:val="auto"/>
              </w:rPr>
            </w:pPr>
            <w:r>
              <w:rPr>
                <w:rFonts w:ascii="Times New Roman" w:cs="Times New Roman" w:eastAsia="Times New Roman" w:hAnsi="Times New Roman"/>
                <w:sz w:val="7"/>
                <w:szCs w:val="7"/>
                <w:b w:val="1"/>
                <w:bCs w:val="1"/>
                <w:color w:val="auto"/>
              </w:rPr>
              <w:t>(Unfavorable)</w:t>
            </w:r>
          </w:p>
        </w:tc>
        <w:tc>
          <w:tcPr>
            <w:tcW w:w="1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jc w:val="center"/>
              <w:ind w:right="60"/>
              <w:spacing w:after="0" w:line="61" w:lineRule="exact"/>
              <w:rPr>
                <w:sz w:val="20"/>
                <w:szCs w:val="20"/>
                <w:color w:val="auto"/>
              </w:rPr>
            </w:pPr>
            <w:r>
              <w:rPr>
                <w:rFonts w:ascii="Times New Roman" w:cs="Times New Roman" w:eastAsia="Times New Roman" w:hAnsi="Times New Roman"/>
                <w:sz w:val="7"/>
                <w:szCs w:val="7"/>
                <w:b w:val="1"/>
                <w:bCs w:val="1"/>
                <w:color w:val="auto"/>
              </w:rPr>
              <w:t>(Unfavorable)</w:t>
            </w: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10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restaurant sales</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center"/>
              <w:ind w:left="621"/>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center"/>
              <w:ind w:left="62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 restaurant expenses</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64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40"/>
              <w:spacing w:after="0"/>
              <w:rPr>
                <w:sz w:val="20"/>
                <w:szCs w:val="20"/>
                <w:color w:val="auto"/>
              </w:rPr>
            </w:pPr>
            <w:r>
              <w:rPr>
                <w:rFonts w:ascii="Times New Roman" w:cs="Times New Roman" w:eastAsia="Times New Roman" w:hAnsi="Times New Roman"/>
                <w:sz w:val="18"/>
                <w:szCs w:val="18"/>
                <w:color w:val="auto"/>
                <w:w w:val="97"/>
              </w:rPr>
              <w:t>0.9</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company restaurants operations</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center"/>
              <w:ind w:left="621"/>
              <w:spacing w:after="0"/>
              <w:rPr>
                <w:sz w:val="20"/>
                <w:szCs w:val="20"/>
                <w:color w:val="auto"/>
              </w:rPr>
            </w:pPr>
            <w:r>
              <w:rPr>
                <w:rFonts w:ascii="Times New Roman" w:cs="Times New Roman" w:eastAsia="Times New Roman" w:hAnsi="Times New Roman"/>
                <w:sz w:val="18"/>
                <w:szCs w:val="18"/>
                <w:color w:val="auto"/>
                <w:w w:val="98"/>
              </w:rPr>
              <w:t>(0.1)</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9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64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Financing Operations</w:t>
            </w:r>
          </w:p>
        </w:tc>
        <w:tc>
          <w:tcPr>
            <w:tcW w:w="10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revenues</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center"/>
              <w:ind w:left="621"/>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center"/>
              <w:ind w:left="6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expenses</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641"/>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40"/>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23"/>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financing operations</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ind w:left="621"/>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6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2023, company restaurant operations consisted of three Fuzzy's restaurants that were acquired in December 2022, of which two were subsequently refranchised in the second quarter of 2023. Company segment restaurant expenses may include costs associated with reacquired restaurants in the process of being refranchised. There were no reacquired restaurants expenses during the six months ended June 30, 2024 and 2023.</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Financing revenues primarily consist of interest income from the financing of IHOP equipment leases and franchise fees as well as interest income on notes receivable due from franchisees. Financing expenses are sales and use taxes related to IHOP equipment leases. Financing revenue and gross profit for the three and six months ended June 30, 2024 declined compared to the same periods of the prior year, primarily due to progressive decline in interest income as note balances are repaid.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G&amp;A Expenses</w:t>
            </w:r>
          </w:p>
        </w:tc>
        <w:tc>
          <w:tcPr>
            <w:tcW w:w="100" w:type="dxa"/>
            <w:vAlign w:val="bottom"/>
          </w:tcPr>
          <w:p>
            <w:pPr>
              <w:spacing w:after="0"/>
              <w:rPr>
                <w:sz w:val="19"/>
                <w:szCs w:val="19"/>
                <w:color w:val="auto"/>
              </w:rPr>
            </w:pPr>
          </w:p>
        </w:tc>
        <w:tc>
          <w:tcPr>
            <w:tcW w:w="2420" w:type="dxa"/>
            <w:vAlign w:val="bottom"/>
            <w:gridSpan w:val="5"/>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Favorable</w:t>
            </w:r>
          </w:p>
        </w:tc>
      </w:tr>
      <w:tr>
        <w:trPr>
          <w:trHeight w:val="68"/>
        </w:trPr>
        <w:tc>
          <w:tcPr>
            <w:tcW w:w="3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jc w:val="center"/>
              <w:ind w:right="54"/>
              <w:spacing w:after="0" w:line="48" w:lineRule="exact"/>
              <w:rPr>
                <w:sz w:val="20"/>
                <w:szCs w:val="20"/>
                <w:color w:val="auto"/>
              </w:rPr>
            </w:pPr>
            <w:r>
              <w:rPr>
                <w:rFonts w:ascii="Times New Roman" w:cs="Times New Roman" w:eastAsia="Times New Roman" w:hAnsi="Times New Roman"/>
                <w:sz w:val="5"/>
                <w:szCs w:val="5"/>
                <w:b w:val="1"/>
                <w:bCs w:val="1"/>
                <w:color w:val="auto"/>
              </w:rPr>
              <w:t>(Unfavorable)</w:t>
            </w:r>
          </w:p>
        </w:tc>
        <w:tc>
          <w:tcPr>
            <w:tcW w:w="1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jc w:val="center"/>
              <w:ind w:right="55"/>
              <w:spacing w:after="0" w:line="48" w:lineRule="exact"/>
              <w:rPr>
                <w:sz w:val="20"/>
                <w:szCs w:val="20"/>
                <w:color w:val="auto"/>
              </w:rPr>
            </w:pPr>
            <w:r>
              <w:rPr>
                <w:rFonts w:ascii="Times New Roman" w:cs="Times New Roman" w:eastAsia="Times New Roman" w:hAnsi="Times New Roman"/>
                <w:sz w:val="5"/>
                <w:szCs w:val="5"/>
                <w:b w:val="1"/>
                <w:bCs w:val="1"/>
                <w:color w:val="auto"/>
              </w:rPr>
              <w:t>(Unfavorable)</w:t>
            </w:r>
          </w:p>
        </w:tc>
      </w:tr>
      <w:tr>
        <w:trPr>
          <w:trHeight w:val="190"/>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Variance</w:t>
            </w:r>
          </w:p>
        </w:tc>
      </w:tr>
      <w:tr>
        <w:trPr>
          <w:trHeight w:val="190"/>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6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G&amp;A expenses</w:t>
            </w:r>
          </w:p>
        </w:tc>
        <w:tc>
          <w:tcPr>
            <w:tcW w:w="100" w:type="dxa"/>
            <w:vAlign w:val="bottom"/>
          </w:tcPr>
          <w:p>
            <w:pPr>
              <w:spacing w:after="0"/>
              <w:rPr>
                <w:sz w:val="22"/>
                <w:szCs w:val="22"/>
                <w:color w:val="auto"/>
              </w:rPr>
            </w:pPr>
          </w:p>
        </w:tc>
        <w:tc>
          <w:tcPr>
            <w:tcW w:w="740" w:type="dxa"/>
            <w:vAlign w:val="bottom"/>
            <w:tcBorders>
              <w:bottom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G&amp;A expenses for the three months ended June 30, 2024 decreased 2.1% compared to the same period of the prior year, primarily due to the stopping of our IHOP Flip'd initiative in the prior year offset by an increase in compensation-related expenses and an increase in depreciation expense.</w:t>
      </w:r>
    </w:p>
    <w:p>
      <w:pPr>
        <w:spacing w:after="0" w:line="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G&amp;A expenses for the six months ended June 30, 2024 increased 0.1% compared to the same period of the prior year, primarily due to an increase in stock-based compensation, depreciation and severance expense offset by the stopping of the IHOP Flip’d initiative in the prior period and a decrease in occupancy costs.</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 Items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Favorable</w:t>
            </w:r>
          </w:p>
        </w:tc>
      </w:tr>
      <w:tr>
        <w:trPr>
          <w:trHeight w:val="68"/>
        </w:trPr>
        <w:tc>
          <w:tcPr>
            <w:tcW w:w="3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jc w:val="center"/>
              <w:ind w:right="61"/>
              <w:spacing w:after="0" w:line="68" w:lineRule="exact"/>
              <w:rPr>
                <w:sz w:val="20"/>
                <w:szCs w:val="20"/>
                <w:color w:val="auto"/>
              </w:rPr>
            </w:pPr>
            <w:r>
              <w:rPr>
                <w:rFonts w:ascii="Times New Roman" w:cs="Times New Roman" w:eastAsia="Times New Roman" w:hAnsi="Times New Roman"/>
                <w:sz w:val="7"/>
                <w:szCs w:val="7"/>
                <w:b w:val="1"/>
                <w:bCs w:val="1"/>
                <w:color w:val="auto"/>
              </w:rPr>
              <w:t>(Unfavorable)</w:t>
            </w: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jc w:val="center"/>
              <w:ind w:right="60"/>
              <w:spacing w:after="0" w:line="68" w:lineRule="exact"/>
              <w:rPr>
                <w:sz w:val="20"/>
                <w:szCs w:val="20"/>
                <w:color w:val="auto"/>
              </w:rPr>
            </w:pPr>
            <w:r>
              <w:rPr>
                <w:rFonts w:ascii="Times New Roman" w:cs="Times New Roman" w:eastAsia="Times New Roman" w:hAnsi="Times New Roman"/>
                <w:sz w:val="7"/>
                <w:szCs w:val="7"/>
                <w:b w:val="1"/>
                <w:bCs w:val="1"/>
                <w:color w:val="auto"/>
              </w:rPr>
              <w:t>(Unfavorable)</w:t>
            </w:r>
          </w:p>
        </w:tc>
      </w:tr>
      <w:tr>
        <w:trPr>
          <w:trHeight w:val="203"/>
        </w:trPr>
        <w:tc>
          <w:tcPr>
            <w:tcW w:w="3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Variance</w:t>
            </w:r>
          </w:p>
        </w:tc>
      </w:tr>
      <w:tr>
        <w:trPr>
          <w:trHeight w:val="190"/>
        </w:trPr>
        <w:tc>
          <w:tcPr>
            <w:tcW w:w="3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2"/>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580"/>
              <w:spacing w:after="0"/>
              <w:rPr>
                <w:sz w:val="20"/>
                <w:szCs w:val="20"/>
                <w:color w:val="auto"/>
              </w:rPr>
            </w:pPr>
            <w:r>
              <w:rPr>
                <w:rFonts w:ascii="Times New Roman" w:cs="Times New Roman" w:eastAsia="Times New Roman" w:hAnsi="Times New Roman"/>
                <w:sz w:val="18"/>
                <w:szCs w:val="18"/>
                <w:color w:val="auto"/>
                <w:w w:val="98"/>
              </w:rPr>
              <w:t>(3.4)</w:t>
            </w:r>
          </w:p>
        </w:tc>
      </w:tr>
      <w:tr>
        <w:trPr>
          <w:trHeight w:val="230"/>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left="600"/>
              <w:spacing w:after="0"/>
              <w:rPr>
                <w:sz w:val="20"/>
                <w:szCs w:val="20"/>
                <w:color w:val="auto"/>
              </w:rPr>
            </w:pPr>
            <w:r>
              <w:rPr>
                <w:rFonts w:ascii="Times New Roman" w:cs="Times New Roman" w:eastAsia="Times New Roman" w:hAnsi="Times New Roman"/>
                <w:sz w:val="18"/>
                <w:szCs w:val="18"/>
                <w:color w:val="auto"/>
              </w:rPr>
              <w:t>0.0</w:t>
            </w:r>
          </w:p>
        </w:tc>
      </w:tr>
      <w:tr>
        <w:trPr>
          <w:trHeight w:val="229"/>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left="60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8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600"/>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and expenses</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center"/>
              <w:ind w:left="580"/>
              <w:spacing w:after="0"/>
              <w:rPr>
                <w:sz w:val="20"/>
                <w:szCs w:val="20"/>
                <w:color w:val="auto"/>
              </w:rPr>
            </w:pPr>
            <w:r>
              <w:rPr>
                <w:rFonts w:ascii="Times New Roman" w:cs="Times New Roman" w:eastAsia="Times New Roman" w:hAnsi="Times New Roman"/>
                <w:sz w:val="18"/>
                <w:szCs w:val="18"/>
                <w:color w:val="auto"/>
                <w:w w:val="98"/>
              </w:rPr>
              <w:t>(0.9)</w:t>
            </w:r>
          </w:p>
        </w:tc>
      </w:tr>
      <w:tr>
        <w:trPr>
          <w:trHeight w:val="20"/>
        </w:trPr>
        <w:tc>
          <w:tcPr>
            <w:tcW w:w="3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 and loss on extinguishment of debt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net for the three months ended June 30, 2024 increased compared to the same periods of the prior year, primarily due to the higher interest rate on our refinanced securitized notes as well as on our Credit Facility, offset by higher interest income.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net for the six months ended June 30, 2024 increased compared to the same periods of the prior year, primarily due to the higher interest rate on our refinanced securitized notes as well as on our Credit Facility.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repaid the entire outstanding balance of approximately $585.1 million of its 2019 Class A-2 Notes during the three months ended June 30, 2023 and recognized a $1.7 million loss on extinguishment of debt from the write-off of the</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related remaining issuance costs. This loss was offset by a $1.7 million gain on extinguishment of debt from the purchase of $67.9 million of its 2019 Class A-2 Notes under par during the six months ended June 30,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(gain) on disposition of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on disposition of assets for the three and six months ended June 30, 2023 primarily related to the disposition of certain IHOP Flip'd assets.</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Favorable</w:t>
            </w:r>
          </w:p>
        </w:tc>
      </w:tr>
      <w:tr>
        <w:trPr>
          <w:trHeight w:val="68"/>
        </w:trPr>
        <w:tc>
          <w:tcPr>
            <w:tcW w:w="3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jc w:val="center"/>
              <w:ind w:right="85"/>
              <w:spacing w:after="0" w:line="68" w:lineRule="exact"/>
              <w:rPr>
                <w:sz w:val="20"/>
                <w:szCs w:val="20"/>
                <w:color w:val="auto"/>
              </w:rPr>
            </w:pPr>
            <w:r>
              <w:rPr>
                <w:rFonts w:ascii="Times New Roman" w:cs="Times New Roman" w:eastAsia="Times New Roman" w:hAnsi="Times New Roman"/>
                <w:sz w:val="7"/>
                <w:szCs w:val="7"/>
                <w:b w:val="1"/>
                <w:bCs w:val="1"/>
                <w:color w:val="auto"/>
              </w:rPr>
              <w:t>(Unfavorable)</w:t>
            </w:r>
          </w:p>
        </w:tc>
        <w:tc>
          <w:tcPr>
            <w:tcW w:w="1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Pr>
          <w:p>
            <w:pPr>
              <w:jc w:val="center"/>
              <w:ind w:right="85"/>
              <w:spacing w:after="0" w:line="68" w:lineRule="exact"/>
              <w:rPr>
                <w:sz w:val="20"/>
                <w:szCs w:val="20"/>
                <w:color w:val="auto"/>
              </w:rPr>
            </w:pPr>
            <w:r>
              <w:rPr>
                <w:rFonts w:ascii="Times New Roman" w:cs="Times New Roman" w:eastAsia="Times New Roman" w:hAnsi="Times New Roman"/>
                <w:sz w:val="7"/>
                <w:szCs w:val="7"/>
                <w:b w:val="1"/>
                <w:bCs w:val="1"/>
                <w:color w:val="auto"/>
              </w:rPr>
              <w:t>(Unfavorable)</w:t>
            </w:r>
          </w:p>
        </w:tc>
      </w:tr>
      <w:tr>
        <w:trPr>
          <w:trHeight w:val="203"/>
        </w:trPr>
        <w:tc>
          <w:tcPr>
            <w:tcW w:w="3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Variance</w:t>
            </w:r>
          </w:p>
        </w:tc>
      </w:tr>
      <w:tr>
        <w:trPr>
          <w:trHeight w:val="190"/>
        </w:trPr>
        <w:tc>
          <w:tcPr>
            <w:tcW w:w="3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2"/>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45"/>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26.4 %</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24.7 %</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(1.7)%</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income tax provision or benefit will vary from period to period in our normal course of business for two reasons: a change in income before income taxes and a change in the effective tax rate. Changes in our income before income taxes were addressed in the preceding sections of </w:t>
      </w:r>
      <w:r>
        <w:rPr>
          <w:rFonts w:ascii="Times New Roman" w:cs="Times New Roman" w:eastAsia="Times New Roman" w:hAnsi="Times New Roman"/>
          <w:sz w:val="18"/>
          <w:szCs w:val="18"/>
          <w:i w:val="1"/>
          <w:iCs w:val="1"/>
          <w:color w:val="auto"/>
        </w:rPr>
        <w:t>“Consolidated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Operations - Comparison of the Three and Six Months Ended June 30, 2024 and 2023."</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tax rate for the three and six months ended June 30, 2024 was higher than the rate of the comparable prior periods primarily due to a lower tax deduction related to stock-based compensation.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Key provisions of our long-term debt potentially impacting liquidity are summarized below. See </w:t>
      </w:r>
      <w:r>
        <w:rPr>
          <w:rFonts w:ascii="Times New Roman" w:cs="Times New Roman" w:eastAsia="Times New Roman" w:hAnsi="Times New Roman"/>
          <w:sz w:val="18"/>
          <w:szCs w:val="18"/>
          <w:i w:val="1"/>
          <w:iCs w:val="1"/>
          <w:color w:val="auto"/>
        </w:rPr>
        <w:t>Note 7 — Long-Term Debt</w:t>
      </w:r>
      <w:r>
        <w:rPr>
          <w:rFonts w:ascii="Times New Roman" w:cs="Times New Roman" w:eastAsia="Times New Roman" w:hAnsi="Times New Roman"/>
          <w:sz w:val="18"/>
          <w:szCs w:val="18"/>
          <w:color w:val="auto"/>
        </w:rPr>
        <w:t>, of the Notes to the Consolidated Financial Statements, for additional detail on long-term debt, including the balances outstanding at June 30, 2024 and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Instruments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long-term debt includes two series of fixed rate senior secured notes, the Series 2019-1 4.723% Fixed Rate Senior Secured Notes in an initial aggregate principal amount of $600 million (the “2019 Class A-2-II Notes”) and the Series 2023-1 7.824% Fixed Rate Senior Secured Notes, Class A-2 in an initial aggregate principal amount of $500 million (the “2023 Class A-2 Notes” and, together with the 2019 Class A-2-II Notes, the “Class A-2 Notes”). The Series 2019-1 4.194% Fixed Rate Senior Secured Notes, Class A-2-I (the “Class A-2-I Notes”) were voluntarily repaid in full on April 17, 2023. For a description of the 2019 Class A-2-I Notes, refer to </w:t>
      </w:r>
      <w:r>
        <w:rPr>
          <w:rFonts w:ascii="Times New Roman" w:cs="Times New Roman" w:eastAsia="Times New Roman" w:hAnsi="Times New Roman"/>
          <w:sz w:val="18"/>
          <w:szCs w:val="18"/>
          <w:i w:val="1"/>
          <w:iCs w:val="1"/>
          <w:color w:val="auto"/>
        </w:rPr>
        <w:t>Note 8 — Long-Term Debt</w:t>
      </w:r>
      <w:r>
        <w:rPr>
          <w:rFonts w:ascii="Times New Roman" w:cs="Times New Roman" w:eastAsia="Times New Roman" w:hAnsi="Times New Roman"/>
          <w:sz w:val="18"/>
          <w:szCs w:val="18"/>
          <w:color w:val="auto"/>
        </w:rPr>
        <w:t xml:space="preserve"> of the Notes to Consolidated Financial Statements included in the Company’s Annual Report on Form 10-K for the year ended December 31, 2022.</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long-term debt also includes a revolving financing facility, the 2022-1 Variable Funding Senior Notes, Class A-1 (the “Credit Facility”) that allows for drawings up to $325 million of variable funding notes on a revolving basis and the issuance of letters of credit.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Maturity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final maturity of the 2019 Class A-2-II Notes is in June 2049, but it is anticipated that, unless repaid earlier, the 2019 Class A-2-II Notes will be repaid in June 2026.</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final maturity of the 2023 Class A-2 Notes is in March 2053, but it is anticipated that, unless repaid earlier, to the extent permitted under the Indenture, the 2023 Class A-2 Notes will be repaid in June 2029.</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renewal date of the Credit Facility is June 2027, subject to two additional one-year extensions at the option of the Company upon the satisfaction of certain conditions.</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Payment of Principal and Interest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Class A-2 Notes are outstanding, payment of principal and interest is required to be made on the Class A-2 Notes on a quarterly basis. The payment of principal on the Class A-2 Notes may be suspended when the leverage ratio for the Company and its subsidiaries is less than or equal to 5.25x. As of June 30, 2024, our leverage ratio was approximately 4.2x. Therefore, quarterly principal payments are not required.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Exceeding the leverage ratio of 5.25x does not violate any covenant related to the Class A-2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2023, the Company's Board of Directors authorized a debt repurchase program of up to $100 million. Repurchases of the Company’s debt, if any, are expected to reduce future cash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Make-whole Premiums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voluntarily repay the Class A-2 Notes at any time; however, if repaid prior to certain dates we would be required to pay make-whole premiums. As of June 30, 2024, there was no make-whole premium associated with voluntary prepayment of the 2019 Class A-2-II Notes. As of June 30, 2024, the make-whole premium associated with voluntary prepayment of the 2023 Class A-2 Notes was approximately $29.7 million. We also would be subject to a make-whole premium in the event of a mandatory prepayment required following certain rapid amortization events or certain asset dispositions. The mandatory make-whole premium requirements are considered derivatives embedded that must be bifurcated for separate valuation. We estimated the fair value of these derivatives to be immaterial as of June 30, 2024, based on the probability-weighted discounted cash flows associated with either event.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Covenants and Restrictions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long-term debt is subject to a series of covenants and restrictions customary for transactions of this type, including maintenance of a debt service coverage ratio ("DSCR"). In general, the DSCR ratio is net cash flow for the four quarters preceding the calculation date divided by the total debt service payments of the preceding four quarters. The complete definitions of the DSCR and all calculation elements are contained in the indenture, and subsequent amendments thereto, under which the Class A-2 Notes were issued.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maintain a prescribed DSCR can trigger the following events:</w:t>
      </w:r>
    </w:p>
    <w:p>
      <w:pPr>
        <w:spacing w:after="0" w:line="117"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Flow Sweeping Event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DSCR for the reporting period ended June 30, 2024 was approximately 3.5x.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2022,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Secured Overnight Financing Rate (“SOFR”), in either case, plus 2.50%. The applicable interest rate for swingline advances and unreimbursed draws on outstanding letters of credit is a per annum base rate equal to the sum of (a) the greatest of (i) the prime rate in effect from time to time; (ii) the federal funds rate in effect from time to time plus 0.50%; and (iii) SOFR for a one-month tenor in effect at such time plus 0.50% plus (b) 2.00%.</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2024, the outstanding balance of the Credit Facility was $100 million. The amount of $1.9 million was pledged against the Credit Facility for outstanding letters of credit, leaving $223.1 million of the Credit Facility available for borrowing at June 30, 2024. It is anticipated that any principal and interest on the Credit Facility outstanding will be repaid in full on or prior to the quarterly payment date in June 2027, subject to two additional one-year extensions at the option of the Company upon the satisfaction of certain conditions. The letters of credit are used primarily to satisfy insurance-related collateral requirements. The weighted average interest rate on Credit Facility borrowings for the period outstanding during the six months ended June 30, 2024 was 7.94%.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declared and paid per share for the three and six months ended June 30, 2024 and 2023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86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00" w:type="dxa"/>
            <w:vAlign w:val="bottom"/>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and 2023, the Company paid dividends of $15.7 million and $16.0 million, respectively.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26, 2024, the Board of Directors declared a first quarter 2024 cash dividend of $0.51 per share of common stock, paid on April 5, 2024 to the stockholders of record as of the close of business on March 20, 2024.</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14, 2024, the Board of Directors declared a second quarter 2024 cash dividend of $0.51 per share of common stock, paid on July 5, 2024 to the stockholders of record as of the close of business on June 20,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Repurchases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17, 2022, the Company's Board of Directors authorized a new share repurchase program, effective April 1, 2022, of up to $250 million (the “2022 Repurchase Program”).</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 Company repurchased 269,621 shares of common stock at a cost of $12.0 million. Cumulatively, the Company has repurchased 1,865,399 shares at a cost of $116.7 million under the 2022 Repurchase Program.</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2 for detail on this stock repurchase activity during the six months ended June 30,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summary, our cash flows for the six months ended June 30, 2024 and June 30, 2023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tcBorders>
              <w:bottom w:val="single" w:sz="8" w:color="auto"/>
            </w:tcBorders>
            <w:gridSpan w:val="5"/>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4"/>
        </w:trPr>
        <w:tc>
          <w:tcPr>
            <w:tcW w:w="6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86"/>
        </w:trPr>
        <w:tc>
          <w:tcPr>
            <w:tcW w:w="6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tcPr>
          <w:p>
            <w:pPr>
              <w:spacing w:after="0"/>
              <w:rPr>
                <w:sz w:val="21"/>
                <w:szCs w:val="21"/>
                <w:color w:val="auto"/>
              </w:rPr>
            </w:pPr>
          </w:p>
        </w:tc>
        <w:tc>
          <w:tcPr>
            <w:tcW w:w="88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0" w:type="dxa"/>
            <w:vAlign w:val="bottom"/>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r>
      <w:tr>
        <w:trPr>
          <w:trHeight w:val="22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80" w:type="dxa"/>
            <w:vAlign w:val="bottom"/>
          </w:tcPr>
          <w:p>
            <w:pPr>
              <w:spacing w:after="0"/>
              <w:rPr>
                <w:sz w:val="19"/>
                <w:szCs w:val="19"/>
                <w:color w:val="auto"/>
              </w:rPr>
            </w:pPr>
          </w:p>
        </w:tc>
        <w:tc>
          <w:tcPr>
            <w:tcW w:w="8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r>
      <w:tr>
        <w:trPr>
          <w:trHeight w:val="20"/>
        </w:trPr>
        <w:tc>
          <w:tcPr>
            <w:tcW w:w="6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1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Cash provided by operating activities is primarily driven by revenues earned and collected from our franchisees, and profit from our rental operations, financing operations and our company-owned restaurant. Cash provided by operating activities increased $9.5 million during the six months ended June 30, 2024 compared to the same period of the prior year. This increase was primarily attributable to a favorable increase in working capital resulting primarily from a shift in timing of marketing payments, partially offset by a decrease in gross segment profit as discussed in the preceding sections of this MD&amp;A.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activities used net cash of $1.1 million for the six months ended June 30, 2024 compared to investing activities provided net cash of $16.6 million for the six months ended June 30, 2023. The decrease was primarily attributable to a decrease in capital expenditures compared to the same period of the prior year. The Company increased spending in information technology and other projects in fiscal year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Financing activities used net cash of $33.3 million for the six months ended June 30, 2024. The decrease in cash used by financing activities of $161.0 million was primarily due to the repayment and issuance of long-term debt of $159.7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940"/>
        <w:spacing w:after="0" w:line="375" w:lineRule="auto"/>
        <w:rPr>
          <w:sz w:val="20"/>
          <w:szCs w:val="20"/>
          <w:color w:val="auto"/>
        </w:rPr>
      </w:pPr>
      <w:r>
        <w:rPr>
          <w:rFonts w:ascii="Times New Roman" w:cs="Times New Roman" w:eastAsia="Times New Roman" w:hAnsi="Times New Roman"/>
          <w:sz w:val="18"/>
          <w:szCs w:val="18"/>
          <w:color w:val="auto"/>
        </w:rPr>
        <w:t xml:space="preserve">during the six months ended June 30, 2023. There was no repayment or issuance of long-term debt during the six months ended June 30, 2024. </w:t>
      </w:r>
      <w:r>
        <w:rPr>
          <w:rFonts w:ascii="Times New Roman" w:cs="Times New Roman" w:eastAsia="Times New Roman" w:hAnsi="Times New Roman"/>
          <w:sz w:val="18"/>
          <w:szCs w:val="18"/>
          <w:b w:val="1"/>
          <w:bCs w:val="1"/>
          <w:i w:val="1"/>
          <w:iCs w:val="1"/>
          <w:color w:val="auto"/>
        </w:rPr>
        <w:t>Adjusted Free Cash Flow</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 of, among other things, payment of cash dividends on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-127635</wp:posOffset>
            </wp:positionV>
            <wp:extent cx="408051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080510" cy="14541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receipts from notes and equipment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408051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080510" cy="14605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Additions to property and equipment</w:t>
      </w:r>
    </w:p>
    <w:p>
      <w:pPr>
        <w:spacing w:after="0" w:line="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Adjusted free cash flow</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4"/>
        </w:trPr>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86"/>
        </w:trPr>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2"/>
        </w:trPr>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3"/>
        </w:trPr>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5900" w:space="720"/>
            <w:col w:w="4620"/>
          </w:cols>
          <w:pgMar w:left="320" w:top="225"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free cash flow for the six months ended June 30, 2024 improved compared to the same period of the prior year due to the decrease in capital expenditures, increase in cash flows provided by operating activities and an increase in principal receipts from notes and equipment contracts receivable.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to the contractual obligations as disclosed in our Annual Report on Form 10-K for the year ended December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52"/>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us to make estimates and assumptions affecting the reported amounts of assets and liabilities at the date of the financial statements and the reported amounts of net revenues and expenses in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We continually review the estimates and underlying assumptions to ensure they are appropriate for the circumstances. Accounting assumptions and estimates are inherently uncertain and actual results may differ materially from our estimates.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our critical accounting estimates is included in Management’s Discussion and Analysis of Financial Condition and Results of Operations contained in our Annual Report on Form 10-K for the year ended December 31, 2023. During the six months ended June 30, 2024, there were no significant changes in our critical accounting policies or in our critical accounting estimates.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from the information contained in the Company’s Annual Report on Form 10-K for the year ended December 31,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320" w:firstLine="42"/>
        <w:spacing w:after="0" w:line="282" w:lineRule="auto"/>
        <w:rPr>
          <w:sz w:val="20"/>
          <w:szCs w:val="20"/>
          <w:color w:val="auto"/>
        </w:rPr>
      </w:pPr>
      <w:r>
        <w:rPr>
          <w:rFonts w:ascii="Times New Roman" w:cs="Times New Roman" w:eastAsia="Times New Roman" w:hAnsi="Times New Roman"/>
          <w:sz w:val="18"/>
          <w:szCs w:val="18"/>
          <w:color w:val="auto"/>
        </w:rPr>
        <w:t>There are no material changes from the risk factors set forth under Item 1A of Part I of the Company’s Annual Report on Form 10-K for the fiscal year ended December 31, 2023.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30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995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3580" w:type="dxa"/>
            <w:vAlign w:val="bottom"/>
          </w:tcPr>
          <w:p>
            <w:pPr>
              <w:jc w:val="center"/>
              <w:ind w:left="162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340" w:type="dxa"/>
            <w:vAlign w:val="bottom"/>
          </w:tcPr>
          <w:p>
            <w:pPr>
              <w:spacing w:after="0"/>
              <w:rPr>
                <w:sz w:val="13"/>
                <w:szCs w:val="13"/>
                <w:color w:val="auto"/>
              </w:rPr>
            </w:pPr>
          </w:p>
        </w:tc>
        <w:tc>
          <w:tcPr>
            <w:tcW w:w="150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0" w:type="dxa"/>
            <w:vAlign w:val="bottom"/>
          </w:tcPr>
          <w:p>
            <w:pPr>
              <w:spacing w:after="0"/>
              <w:rPr>
                <w:sz w:val="1"/>
                <w:szCs w:val="1"/>
                <w:color w:val="auto"/>
              </w:rPr>
            </w:pPr>
          </w:p>
        </w:tc>
      </w:tr>
      <w:tr>
        <w:trPr>
          <w:trHeight w:val="146"/>
        </w:trPr>
        <w:tc>
          <w:tcPr>
            <w:tcW w:w="2340" w:type="dxa"/>
            <w:vAlign w:val="bottom"/>
          </w:tcPr>
          <w:p>
            <w:pPr>
              <w:spacing w:after="0"/>
              <w:rPr>
                <w:sz w:val="12"/>
                <w:szCs w:val="12"/>
                <w:color w:val="auto"/>
              </w:rPr>
            </w:pPr>
          </w:p>
        </w:tc>
        <w:tc>
          <w:tcPr>
            <w:tcW w:w="3580" w:type="dxa"/>
            <w:vAlign w:val="bottom"/>
          </w:tcPr>
          <w:p>
            <w:pPr>
              <w:jc w:val="center"/>
              <w:ind w:left="1628"/>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00" w:type="dxa"/>
            <w:vAlign w:val="bottom"/>
          </w:tcPr>
          <w:p>
            <w:pPr>
              <w:jc w:val="center"/>
              <w:ind w:left="188"/>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0" w:type="dxa"/>
            <w:vAlign w:val="bottom"/>
          </w:tcPr>
          <w:p>
            <w:pPr>
              <w:spacing w:after="0"/>
              <w:rPr>
                <w:sz w:val="1"/>
                <w:szCs w:val="1"/>
                <w:color w:val="auto"/>
              </w:rPr>
            </w:pPr>
          </w:p>
        </w:tc>
      </w:tr>
      <w:tr>
        <w:trPr>
          <w:trHeight w:val="137"/>
        </w:trPr>
        <w:tc>
          <w:tcPr>
            <w:tcW w:w="2340" w:type="dxa"/>
            <w:vAlign w:val="bottom"/>
          </w:tcPr>
          <w:p>
            <w:pPr>
              <w:spacing w:after="0"/>
              <w:rPr>
                <w:sz w:val="11"/>
                <w:szCs w:val="11"/>
                <w:color w:val="auto"/>
              </w:rPr>
            </w:pPr>
          </w:p>
        </w:tc>
        <w:tc>
          <w:tcPr>
            <w:tcW w:w="3580" w:type="dxa"/>
            <w:vAlign w:val="bottom"/>
          </w:tcPr>
          <w:p>
            <w:pPr>
              <w:jc w:val="center"/>
              <w:ind w:left="1628"/>
              <w:spacing w:after="0" w:line="137" w:lineRule="exact"/>
              <w:rPr>
                <w:sz w:val="20"/>
                <w:szCs w:val="20"/>
                <w:color w:val="auto"/>
              </w:rPr>
            </w:pPr>
            <w:r>
              <w:rPr>
                <w:rFonts w:ascii="Times New Roman" w:cs="Times New Roman" w:eastAsia="Times New Roman" w:hAnsi="Times New Roman"/>
                <w:sz w:val="14"/>
                <w:szCs w:val="14"/>
                <w:b w:val="1"/>
                <w:bCs w:val="1"/>
                <w:color w:val="auto"/>
              </w:rPr>
              <w:t>purchased to satisfy tax</w:t>
            </w:r>
          </w:p>
        </w:tc>
        <w:tc>
          <w:tcPr>
            <w:tcW w:w="1340" w:type="dxa"/>
            <w:vAlign w:val="bottom"/>
            <w:vMerge w:val="continue"/>
          </w:tcPr>
          <w:p>
            <w:pPr>
              <w:spacing w:after="0"/>
              <w:rPr>
                <w:sz w:val="11"/>
                <w:szCs w:val="11"/>
                <w:color w:val="auto"/>
              </w:rPr>
            </w:pPr>
          </w:p>
        </w:tc>
        <w:tc>
          <w:tcPr>
            <w:tcW w:w="1500" w:type="dxa"/>
            <w:vAlign w:val="bottom"/>
          </w:tcPr>
          <w:p>
            <w:pPr>
              <w:jc w:val="center"/>
              <w:ind w:left="188"/>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0" w:type="dxa"/>
            <w:vAlign w:val="bottom"/>
          </w:tcPr>
          <w:p>
            <w:pPr>
              <w:spacing w:after="0"/>
              <w:rPr>
                <w:sz w:val="1"/>
                <w:szCs w:val="1"/>
                <w:color w:val="auto"/>
              </w:rPr>
            </w:pPr>
          </w:p>
        </w:tc>
      </w:tr>
      <w:tr>
        <w:trPr>
          <w:trHeight w:val="14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580" w:type="dxa"/>
            <w:vAlign w:val="bottom"/>
          </w:tcPr>
          <w:p>
            <w:pPr>
              <w:jc w:val="center"/>
              <w:ind w:left="1628"/>
              <w:spacing w:after="0" w:line="146" w:lineRule="exact"/>
              <w:rPr>
                <w:sz w:val="20"/>
                <w:szCs w:val="20"/>
                <w:color w:val="auto"/>
              </w:rPr>
            </w:pPr>
            <w:r>
              <w:rPr>
                <w:rFonts w:ascii="Times New Roman" w:cs="Times New Roman" w:eastAsia="Times New Roman" w:hAnsi="Times New Roman"/>
                <w:sz w:val="14"/>
                <w:szCs w:val="14"/>
                <w:b w:val="1"/>
                <w:bCs w:val="1"/>
                <w:color w:val="auto"/>
              </w:rPr>
              <w:t>withholding obligations</w:t>
            </w:r>
          </w:p>
        </w:tc>
        <w:tc>
          <w:tcPr>
            <w:tcW w:w="13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00" w:type="dxa"/>
            <w:vAlign w:val="bottom"/>
          </w:tcPr>
          <w:p>
            <w:pPr>
              <w:jc w:val="center"/>
              <w:ind w:left="18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0" w:type="dxa"/>
            <w:vAlign w:val="bottom"/>
          </w:tcPr>
          <w:p>
            <w:pPr>
              <w:spacing w:after="0"/>
              <w:rPr>
                <w:sz w:val="1"/>
                <w:szCs w:val="1"/>
                <w:color w:val="auto"/>
              </w:rPr>
            </w:pPr>
          </w:p>
        </w:tc>
      </w:tr>
      <w:tr>
        <w:trPr>
          <w:trHeight w:val="193"/>
        </w:trPr>
        <w:tc>
          <w:tcPr>
            <w:tcW w:w="2340" w:type="dxa"/>
            <w:vAlign w:val="bottom"/>
            <w:vMerge w:val="continue"/>
          </w:tcPr>
          <w:p>
            <w:pPr>
              <w:spacing w:after="0"/>
              <w:rPr>
                <w:sz w:val="16"/>
                <w:szCs w:val="16"/>
                <w:color w:val="auto"/>
              </w:rPr>
            </w:pPr>
          </w:p>
        </w:tc>
        <w:tc>
          <w:tcPr>
            <w:tcW w:w="3580" w:type="dxa"/>
            <w:vAlign w:val="bottom"/>
          </w:tcPr>
          <w:p>
            <w:pPr>
              <w:jc w:val="center"/>
              <w:ind w:left="1628"/>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3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0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programs (b)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spacing w:after="0" w:line="6" w:lineRule="exact"/>
        <w:rPr>
          <w:sz w:val="20"/>
          <w:szCs w:val="20"/>
          <w:color w:val="auto"/>
        </w:rPr>
      </w:pPr>
    </w:p>
    <w:p>
      <w:pPr>
        <w:ind w:left="220" w:right="500" w:hanging="52"/>
        <w:spacing w:after="0" w:line="211" w:lineRule="auto"/>
        <w:rPr>
          <w:sz w:val="20"/>
          <w:szCs w:val="20"/>
          <w:color w:val="auto"/>
        </w:rPr>
      </w:pPr>
      <w:r>
        <w:rPr>
          <w:rFonts w:ascii="Times New Roman" w:cs="Times New Roman" w:eastAsia="Times New Roman" w:hAnsi="Times New Roman"/>
          <w:sz w:val="14"/>
          <w:szCs w:val="14"/>
          <w:b w:val="1"/>
          <w:bCs w:val="1"/>
          <w:color w:val="auto"/>
        </w:rPr>
        <w:t>shares that may yet be purchased under the</w:t>
      </w:r>
    </w:p>
    <w:p>
      <w:pPr>
        <w:ind w:left="180"/>
        <w:spacing w:after="0"/>
        <w:rPr>
          <w:sz w:val="20"/>
          <w:szCs w:val="20"/>
          <w:color w:val="auto"/>
        </w:rPr>
      </w:pPr>
      <w:r>
        <w:rPr>
          <w:rFonts w:ascii="Times New Roman" w:cs="Times New Roman" w:eastAsia="Times New Roman" w:hAnsi="Times New Roman"/>
          <w:sz w:val="14"/>
          <w:szCs w:val="14"/>
          <w:b w:val="1"/>
          <w:bCs w:val="1"/>
          <w:color w:val="auto"/>
        </w:rPr>
        <w:t>plans or programs (b)</w:t>
      </w:r>
    </w:p>
    <w:p>
      <w:pPr>
        <w:spacing w:after="0" w:line="25" w:lineRule="exact"/>
        <w:rPr>
          <w:sz w:val="20"/>
          <w:szCs w:val="20"/>
          <w:color w:val="auto"/>
        </w:rPr>
      </w:pPr>
    </w:p>
    <w:p>
      <w:pPr>
        <w:sectPr>
          <w:pgSz w:w="11900" w:h="16838" w:orient="portrait"/>
          <w:cols w:equalWidth="0" w:num="2">
            <w:col w:w="8780" w:space="420"/>
            <w:col w:w="204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2024 - April 28, 2024</w:t>
            </w:r>
          </w:p>
        </w:tc>
        <w:tc>
          <w:tcPr>
            <w:tcW w:w="100" w:type="dxa"/>
            <w:vAlign w:val="bottom"/>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tcPr>
          <w:p>
            <w:pPr>
              <w:spacing w:after="0"/>
              <w:rPr>
                <w:sz w:val="19"/>
                <w:szCs w:val="19"/>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w:t>
            </w:r>
          </w:p>
        </w:tc>
        <w:tc>
          <w:tcPr>
            <w:tcW w:w="100" w:type="dxa"/>
            <w:vAlign w:val="bottom"/>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44,519</w:t>
            </w:r>
          </w:p>
        </w:tc>
        <w:tc>
          <w:tcPr>
            <w:tcW w:w="120" w:type="dxa"/>
            <w:vAlign w:val="bottom"/>
          </w:tcPr>
          <w:p>
            <w:pPr>
              <w:spacing w:after="0"/>
              <w:rPr>
                <w:sz w:val="19"/>
                <w:szCs w:val="19"/>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137,266,000</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29, 2024 - May 26, 2024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45,409</w:t>
            </w:r>
          </w:p>
        </w:tc>
        <w:tc>
          <w:tcPr>
            <w:tcW w:w="68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135,266,000</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27, 2024 - June 30, 2024</w:t>
            </w:r>
          </w:p>
        </w:tc>
        <w:tc>
          <w:tcPr>
            <w:tcW w:w="100" w:type="dxa"/>
            <w:vAlign w:val="bottom"/>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10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100" w:type="dxa"/>
            <w:vAlign w:val="bottom"/>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51,214</w:t>
            </w:r>
          </w:p>
        </w:tc>
        <w:tc>
          <w:tcPr>
            <w:tcW w:w="120" w:type="dxa"/>
            <w:vAlign w:val="bottom"/>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133,266,000</w:t>
            </w:r>
          </w:p>
        </w:tc>
      </w:tr>
      <w:tr>
        <w:trPr>
          <w:trHeight w:val="209"/>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58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42.48</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141,142</w:t>
            </w:r>
          </w:p>
        </w:tc>
        <w:tc>
          <w:tcPr>
            <w:tcW w:w="68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133,266,000</w:t>
            </w:r>
          </w:p>
        </w:tc>
      </w:tr>
      <w:tr>
        <w:trPr>
          <w:trHeight w:val="21"/>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80" w:lineRule="exact"/>
        <w:rPr>
          <w:sz w:val="20"/>
          <w:szCs w:val="20"/>
          <w:color w:val="auto"/>
        </w:rPr>
      </w:pPr>
    </w:p>
    <w:p>
      <w:pPr>
        <w:ind w:left="260" w:right="240" w:hanging="252"/>
        <w:spacing w:after="0" w:line="233" w:lineRule="auto"/>
        <w:tabs>
          <w:tab w:leader="none" w:pos="157"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amounts include shares owned and tendered by employees to satisfy tax withholding obligations arising upon vesting of restricted stock awards. Shares so surrendered by the participants are repurchased by us pursuant to the terms of the plan and the applicable individual award agreements under which the shares were issued and not pursuant to publicly announced repurchase authorizations.</w:t>
      </w:r>
    </w:p>
    <w:p>
      <w:pPr>
        <w:spacing w:after="0" w:line="96" w:lineRule="exact"/>
        <w:rPr>
          <w:rFonts w:ascii="Times New Roman" w:cs="Times New Roman" w:eastAsia="Times New Roman" w:hAnsi="Times New Roman"/>
          <w:sz w:val="19"/>
          <w:szCs w:val="19"/>
          <w:color w:val="auto"/>
          <w:vertAlign w:val="superscript"/>
        </w:rPr>
      </w:pPr>
    </w:p>
    <w:p>
      <w:pPr>
        <w:ind w:left="260" w:right="240" w:hanging="252"/>
        <w:spacing w:after="0" w:line="230" w:lineRule="auto"/>
        <w:tabs>
          <w:tab w:leader="none" w:pos="257"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February 17, 2022, the Company's Board of Directors authorized a share repurchase program, effective April 1, 2022, of up to $250 million (the “2022 Repurchase Program”). The 2022 Repurchase Program, as approved by the Board of Directors, does not require the repurchase of a specific number of shares and can be terminated at any time.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106" w:lineRule="exact"/>
        <w:rPr>
          <w:sz w:val="20"/>
          <w:szCs w:val="20"/>
          <w:color w:val="auto"/>
        </w:rPr>
      </w:pPr>
    </w:p>
    <w:p>
      <w:pPr>
        <w:ind w:right="60" w:firstLine="405"/>
        <w:spacing w:after="0" w:line="242" w:lineRule="auto"/>
        <w:rPr>
          <w:sz w:val="20"/>
          <w:szCs w:val="20"/>
          <w:color w:val="auto"/>
        </w:rPr>
      </w:pPr>
      <w:r>
        <w:rPr>
          <w:rFonts w:ascii="Times New Roman" w:cs="Times New Roman" w:eastAsia="Times New Roman" w:hAnsi="Times New Roman"/>
          <w:sz w:val="18"/>
          <w:szCs w:val="18"/>
          <w:color w:val="auto"/>
        </w:rPr>
        <w:t>During the fiscal quarter ended June 30, 2024, none of our directors or officers (as defined in Rule 16a-1(f) under the Exchange Act) adopted, modified, or terminated a Rule 10b5-1 trading plan or a non-Rule 10b5-1 trading arrangement for our securities (as defined in Item 408(c) of Regulation S-K).</w:t>
      </w:r>
    </w:p>
    <w:p>
      <w:pPr>
        <w:sectPr>
          <w:pgSz w:w="11900" w:h="16838" w:orient="portrait"/>
          <w:cols w:equalWidth="0" w:num="1">
            <w:col w:w="11240"/>
          </w:cols>
          <w:pgMar w:left="320" w:top="2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*31.1</w:t>
            </w:r>
          </w:p>
        </w:tc>
        <w:tc>
          <w:tcPr>
            <w:tcW w:w="8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of the Securities Exchange Act of 1934, as amended.</w:t>
            </w:r>
          </w:p>
        </w:tc>
        <w:tc>
          <w:tcPr>
            <w:tcW w:w="980" w:type="dxa"/>
            <w:vAlign w:val="bottom"/>
            <w:gridSpan w:val="3"/>
          </w:tcPr>
          <w:p>
            <w:pPr>
              <w:spacing w:after="0"/>
              <w:rPr>
                <w:sz w:val="24"/>
                <w:szCs w:val="24"/>
                <w:color w:val="auto"/>
              </w:rPr>
            </w:pPr>
          </w:p>
        </w:tc>
      </w:tr>
      <w:tr>
        <w:trPr>
          <w:trHeight w:val="209"/>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*31.2</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of the Securities Exchange Act of 1934, as amended.</w:t>
            </w:r>
          </w:p>
        </w:tc>
      </w:tr>
      <w:tr>
        <w:trPr>
          <w:trHeight w:val="20"/>
        </w:trPr>
        <w:tc>
          <w:tcPr>
            <w:tcW w:w="13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8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*32.1</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r>
      <w:tr>
        <w:trPr>
          <w:trHeight w:val="155"/>
        </w:trPr>
        <w:tc>
          <w:tcPr>
            <w:tcW w:w="138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7720" w:type="dxa"/>
            <w:vAlign w:val="bottom"/>
            <w:tcBorders>
              <w:top w:val="single" w:sz="8" w:color="0000FF"/>
            </w:tcBorders>
            <w:gridSpan w:val="3"/>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*32.2</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Sarbanes-Oxley</w:t>
            </w:r>
          </w:p>
        </w:tc>
      </w:tr>
      <w:tr>
        <w:trPr>
          <w:trHeight w:val="156"/>
        </w:trPr>
        <w:tc>
          <w:tcPr>
            <w:tcW w:w="138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w:t>
            </w:r>
          </w:p>
        </w:tc>
        <w:tc>
          <w:tcPr>
            <w:tcW w:w="858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101.INS</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1380" w:type="dxa"/>
            <w:vAlign w:val="bottom"/>
          </w:tcPr>
          <w:p>
            <w:pPr>
              <w:spacing w:after="0"/>
              <w:rPr>
                <w:sz w:val="20"/>
                <w:szCs w:val="20"/>
                <w:color w:val="auto"/>
              </w:rPr>
            </w:pPr>
          </w:p>
        </w:tc>
        <w:tc>
          <w:tcPr>
            <w:tcW w:w="970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3"/>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101.SCH</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29"/>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101.CAL</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29"/>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101.DEF</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230"/>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101.LAB</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234"/>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101.PRE</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bl>
    <w:p>
      <w:pPr>
        <w:ind w:left="1380" w:hanging="620"/>
        <w:spacing w:after="0"/>
        <w:tabs>
          <w:tab w:leader="none" w:pos="13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500" w:hanging="492"/>
        <w:spacing w:after="0" w:line="266" w:lineRule="auto"/>
        <w:tabs>
          <w:tab w:leader="none" w:pos="37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6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1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Dine Brands Global, Inc.</w:t>
      </w: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75" w:lineRule="exact"/>
        <w:rPr>
          <w:sz w:val="20"/>
          <w:szCs w:val="20"/>
          <w:color w:val="auto"/>
        </w:rPr>
      </w:pPr>
    </w:p>
    <w:p>
      <w:pPr>
        <w:ind w:left="820"/>
        <w:spacing w:after="0"/>
        <w:tabs>
          <w:tab w:leader="none" w:pos="5800" w:val="left"/>
          <w:tab w:leader="none" w:pos="7440" w:val="left"/>
        </w:tabs>
        <w:rPr>
          <w:sz w:val="20"/>
          <w:szCs w:val="20"/>
          <w:color w:val="auto"/>
        </w:rPr>
      </w:pPr>
      <w:r>
        <w:rPr>
          <w:rFonts w:ascii="Times New Roman" w:cs="Times New Roman" w:eastAsia="Times New Roman" w:hAnsi="Times New Roman"/>
          <w:sz w:val="18"/>
          <w:szCs w:val="18"/>
          <w:color w:val="auto"/>
        </w:rPr>
        <w:t>Dated: 7th day of August,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25717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4980"/>
        <w:spacing w:after="0" w:line="219"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ind w:left="7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59" w:lineRule="exact"/>
        <w:rPr>
          <w:sz w:val="20"/>
          <w:szCs w:val="20"/>
          <w:color w:val="auto"/>
        </w:rPr>
      </w:pPr>
    </w:p>
    <w:p>
      <w:pPr>
        <w:ind w:left="820"/>
        <w:spacing w:after="0"/>
        <w:tabs>
          <w:tab w:leader="none" w:pos="5800" w:val="left"/>
          <w:tab w:leader="none" w:pos="7420" w:val="left"/>
        </w:tabs>
        <w:rPr>
          <w:sz w:val="20"/>
          <w:szCs w:val="20"/>
          <w:color w:val="auto"/>
        </w:rPr>
      </w:pPr>
      <w:r>
        <w:rPr>
          <w:rFonts w:ascii="Times New Roman" w:cs="Times New Roman" w:eastAsia="Times New Roman" w:hAnsi="Times New Roman"/>
          <w:sz w:val="18"/>
          <w:szCs w:val="18"/>
          <w:color w:val="auto"/>
        </w:rPr>
        <w:t>Dated: 7th day of August,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25717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color w:val="auto"/>
        </w:rPr>
        <w:t>Vance Y. Chang</w:t>
      </w:r>
    </w:p>
    <w:p>
      <w:pPr>
        <w:jc w:val="center"/>
        <w:ind w:left="4980"/>
        <w:spacing w:after="0" w:line="219"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70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32" w:lineRule="exact"/>
        <w:rPr>
          <w:sz w:val="20"/>
          <w:szCs w:val="20"/>
          <w:color w:val="auto"/>
        </w:rPr>
      </w:pPr>
    </w:p>
    <w:p>
      <w:pPr>
        <w:ind w:left="820"/>
        <w:spacing w:after="0"/>
        <w:tabs>
          <w:tab w:leader="none" w:pos="5800" w:val="left"/>
          <w:tab w:leader="none" w:pos="7560" w:val="left"/>
        </w:tabs>
        <w:rPr>
          <w:sz w:val="20"/>
          <w:szCs w:val="20"/>
          <w:color w:val="auto"/>
        </w:rPr>
      </w:pPr>
      <w:r>
        <w:rPr>
          <w:rFonts w:ascii="Times New Roman" w:cs="Times New Roman" w:eastAsia="Times New Roman" w:hAnsi="Times New Roman"/>
          <w:sz w:val="18"/>
          <w:szCs w:val="18"/>
          <w:color w:val="auto"/>
        </w:rPr>
        <w:t>Dated: 7th day of August,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Allison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25717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color w:val="auto"/>
        </w:rPr>
        <w:t>Allison Hall</w:t>
      </w:r>
    </w:p>
    <w:p>
      <w:pPr>
        <w:jc w:val="center"/>
        <w:ind w:left="4980"/>
        <w:spacing w:after="0" w:line="219" w:lineRule="auto"/>
        <w:rPr>
          <w:sz w:val="20"/>
          <w:szCs w:val="20"/>
          <w:color w:val="auto"/>
        </w:rPr>
      </w:pPr>
      <w:r>
        <w:rPr>
          <w:rFonts w:ascii="Times New Roman" w:cs="Times New Roman" w:eastAsia="Times New Roman" w:hAnsi="Times New Roman"/>
          <w:sz w:val="18"/>
          <w:szCs w:val="18"/>
          <w:i w:val="1"/>
          <w:iCs w:val="1"/>
          <w:color w:val="auto"/>
        </w:rPr>
        <w:t>Chief Accounting Officer</w:t>
      </w:r>
    </w:p>
    <w:p>
      <w:pPr>
        <w:ind w:left="70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00"/>
          </w:cols>
          <w:pgMar w:left="320" w:top="225" w:right="379" w:bottom="1440" w:gutter="0" w:footer="0" w:header="0"/>
        </w:sectPr>
      </w:pPr>
    </w:p>
    <w:bookmarkStart w:id="44" w:name="page45"/>
    <w:bookmarkEnd w:id="44"/>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Peyton, certify that:</w:t>
      </w:r>
    </w:p>
    <w:p>
      <w:pPr>
        <w:spacing w:after="0" w:line="131" w:lineRule="exact"/>
        <w:rPr>
          <w:sz w:val="20"/>
          <w:szCs w:val="20"/>
          <w:color w:val="auto"/>
        </w:rPr>
      </w:pPr>
    </w:p>
    <w:p>
      <w:pPr>
        <w:ind w:left="680" w:hanging="672"/>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6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66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6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firstLine="656"/>
        <w:spacing w:after="0" w:line="266" w:lineRule="auto"/>
        <w:tabs>
          <w:tab w:leader="none" w:pos="98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656"/>
        <w:spacing w:after="0" w:line="282" w:lineRule="auto"/>
        <w:tabs>
          <w:tab w:leader="none" w:pos="121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5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20" w:firstLine="656"/>
        <w:spacing w:after="0" w:line="282" w:lineRule="auto"/>
        <w:tabs>
          <w:tab w:leader="none" w:pos="120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656"/>
        <w:spacing w:after="0" w:line="282" w:lineRule="auto"/>
        <w:tabs>
          <w:tab w:leader="none" w:pos="114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840"/>
        <w:spacing w:after="0"/>
        <w:tabs>
          <w:tab w:leader="none" w:pos="8580" w:val="left"/>
        </w:tabs>
        <w:rPr>
          <w:sz w:val="20"/>
          <w:szCs w:val="20"/>
          <w:color w:val="auto"/>
        </w:rPr>
      </w:pPr>
      <w:r>
        <w:rPr>
          <w:rFonts w:ascii="Times New Roman" w:cs="Times New Roman" w:eastAsia="Times New Roman" w:hAnsi="Times New Roman"/>
          <w:sz w:val="18"/>
          <w:szCs w:val="18"/>
          <w:color w:val="auto"/>
        </w:rPr>
        <w:t>Dated: 7th day of August, 2024</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17145</wp:posOffset>
            </wp:positionV>
            <wp:extent cx="23831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59"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7280"/>
        <w:spacing w:after="0" w:line="203"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jc w:val="center"/>
        <w:ind w:left="7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0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Vance Y. Chang, certify that:</w:t>
      </w:r>
    </w:p>
    <w:p>
      <w:pPr>
        <w:spacing w:after="0" w:line="117" w:lineRule="exact"/>
        <w:rPr>
          <w:sz w:val="20"/>
          <w:szCs w:val="20"/>
          <w:color w:val="auto"/>
        </w:rPr>
      </w:pPr>
    </w:p>
    <w:p>
      <w:pPr>
        <w:ind w:left="680" w:hanging="672"/>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117" w:lineRule="exact"/>
        <w:rPr>
          <w:rFonts w:ascii="Times New Roman" w:cs="Times New Roman" w:eastAsia="Times New Roman" w:hAnsi="Times New Roman"/>
          <w:sz w:val="18"/>
          <w:szCs w:val="18"/>
          <w:color w:val="auto"/>
        </w:rPr>
      </w:pPr>
    </w:p>
    <w:p>
      <w:pPr>
        <w:ind w:right="100" w:firstLine="8"/>
        <w:spacing w:after="0" w:line="282" w:lineRule="auto"/>
        <w:tabs>
          <w:tab w:leader="none" w:pos="66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66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8"/>
        <w:spacing w:after="0" w:line="266" w:lineRule="auto"/>
        <w:tabs>
          <w:tab w:leader="none" w:pos="66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656"/>
        <w:spacing w:after="0" w:line="266" w:lineRule="auto"/>
        <w:tabs>
          <w:tab w:leader="none" w:pos="131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656"/>
        <w:spacing w:after="0" w:line="266" w:lineRule="auto"/>
        <w:tabs>
          <w:tab w:leader="none" w:pos="132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00" w:firstLine="656"/>
        <w:spacing w:after="0" w:line="282" w:lineRule="auto"/>
        <w:tabs>
          <w:tab w:leader="none" w:pos="132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180" w:firstLine="656"/>
        <w:spacing w:after="0" w:line="266" w:lineRule="auto"/>
        <w:tabs>
          <w:tab w:leader="none" w:pos="132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60" w:firstLine="8"/>
        <w:spacing w:after="0" w:line="282" w:lineRule="auto"/>
        <w:tabs>
          <w:tab w:leader="none" w:pos="66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440" w:firstLine="656"/>
        <w:spacing w:after="0" w:line="282" w:lineRule="auto"/>
        <w:tabs>
          <w:tab w:leader="none" w:pos="131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20" w:firstLine="656"/>
        <w:spacing w:after="0" w:line="282" w:lineRule="auto"/>
        <w:tabs>
          <w:tab w:leader="none" w:pos="132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840"/>
        <w:spacing w:after="0"/>
        <w:tabs>
          <w:tab w:leader="none" w:pos="8540" w:val="left"/>
        </w:tabs>
        <w:rPr>
          <w:sz w:val="20"/>
          <w:szCs w:val="20"/>
          <w:color w:val="auto"/>
        </w:rPr>
      </w:pPr>
      <w:r>
        <w:rPr>
          <w:rFonts w:ascii="Times New Roman" w:cs="Times New Roman" w:eastAsia="Times New Roman" w:hAnsi="Times New Roman"/>
          <w:sz w:val="18"/>
          <w:szCs w:val="18"/>
          <w:color w:val="auto"/>
        </w:rPr>
        <w:t>Dated: 7th day of August, 2024</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17145</wp:posOffset>
            </wp:positionV>
            <wp:extent cx="23488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57"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Vance Y. Chang</w:t>
      </w:r>
    </w:p>
    <w:p>
      <w:pPr>
        <w:ind w:left="8400"/>
        <w:spacing w:after="0" w:line="205"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0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In connection with the Quarterly Report on Form 10-Q of Dine Brands Global, Inc. (the “Company”) for the quarter ended June 30, 2024, as filed with the Securities and Exchange Commission on the 7th day of August, 2024 (the “Report”), John W. Peyton, as Chief Executive Officer of the Company, hereby certifies, pursuant to 18 U.S.C. Section 1350, as adopted pursuant to Section 906 of the Sarbanes-Oxley Act of 2002, to the best of his knowledge, that:</w:t>
      </w:r>
    </w:p>
    <w:p>
      <w:pPr>
        <w:spacing w:after="0" w:line="214" w:lineRule="exact"/>
        <w:rPr>
          <w:sz w:val="20"/>
          <w:szCs w:val="20"/>
          <w:color w:val="auto"/>
        </w:rPr>
      </w:pPr>
    </w:p>
    <w:p>
      <w:pPr>
        <w:ind w:left="1660" w:hanging="518"/>
        <w:spacing w:after="0"/>
        <w:tabs>
          <w:tab w:leader="none" w:pos="1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1760" w:hanging="618"/>
        <w:spacing w:after="0"/>
        <w:tabs>
          <w:tab w:leader="none" w:pos="1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7th day of August, 2024</w:t>
            </w: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John W. Peyton</w:t>
            </w:r>
          </w:p>
        </w:tc>
      </w:tr>
      <w:tr>
        <w:trPr>
          <w:trHeight w:val="216"/>
        </w:trPr>
        <w:tc>
          <w:tcPr>
            <w:tcW w:w="6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W. Peyton</w:t>
            </w:r>
          </w:p>
        </w:tc>
      </w:tr>
      <w:tr>
        <w:trPr>
          <w:trHeight w:val="182"/>
        </w:trPr>
        <w:tc>
          <w:tcPr>
            <w:tcW w:w="68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36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68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pacing w:after="0" w:line="38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900"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In connection with the Quarterly Report on Form 10-Q of Dine Brands Global, Inc. (the “Company”) for the quarter ended June 30, 2024, as filed with the Securities and Exchange Commission on the 7th day of August, 2024 (the “Report”), Vance Y. Chang, as Chief Financial Officer of the Company, hereby certifies, pursuant to 18 U.S.C. Section 1350, as adopted pursuant to Section 906 of the Sarbanes-Oxley Act of 2002, to the best of his knowledge, that:</w:t>
      </w:r>
    </w:p>
    <w:p>
      <w:pPr>
        <w:spacing w:after="0" w:line="214" w:lineRule="exact"/>
        <w:rPr>
          <w:sz w:val="20"/>
          <w:szCs w:val="20"/>
          <w:color w:val="auto"/>
        </w:rPr>
      </w:pPr>
    </w:p>
    <w:p>
      <w:pPr>
        <w:ind w:left="1660" w:hanging="518"/>
        <w:spacing w:after="0"/>
        <w:tabs>
          <w:tab w:leader="none" w:pos="1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1760" w:hanging="618"/>
        <w:spacing w:after="0"/>
        <w:tabs>
          <w:tab w:leader="none" w:pos="1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7th day of August, 2024</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Vance Y. Chang</w:t>
            </w:r>
          </w:p>
        </w:tc>
      </w:tr>
      <w:tr>
        <w:trPr>
          <w:trHeight w:val="216"/>
        </w:trPr>
        <w:tc>
          <w:tcPr>
            <w:tcW w:w="68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Vance Y. Chang</w:t>
            </w:r>
          </w:p>
        </w:tc>
      </w:tr>
      <w:tr>
        <w:trPr>
          <w:trHeight w:val="182"/>
        </w:trPr>
        <w:tc>
          <w:tcPr>
            <w:tcW w:w="68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35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68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38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7"/>
    </w:lvl>
    <w:lvl w:ilvl="1">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3"/>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
      <w:numFmt w:val="bullet"/>
      <w:start w:val="1"/>
    </w:lvl>
    <w:lvl w:ilvl="1">
      <w:lvlJc w:val="left"/>
      <w:lvlText w:val="%2"/>
      <w:numFmt w:val="decimal"/>
      <w:start w:val="104"/>
    </w:lvl>
  </w:abstractNum>
  <w:abstractNum w:abstractNumId="21">
    <w:nsid w:val="8EDBDAB"/>
    <w:multiLevelType w:val="hybridMultilevel"/>
    <w:lvl w:ilvl="0">
      <w:lvlJc w:val="left"/>
      <w:lvlText w:val="**"/>
      <w:numFmt w:val="bullet"/>
      <w:start w:val="1"/>
    </w:lvl>
    <w:lvl w:ilvl="1">
      <w:lvlJc w:val="left"/>
      <w:lvlText w:val="%2"/>
      <w:numFmt w:val="decimal"/>
      <w:start w:val="1"/>
    </w:lvl>
  </w:abstractNum>
  <w:abstractNum w:abstractNumId="22">
    <w:nsid w:val="79838CB2"/>
    <w:multiLevelType w:val="hybridMultilevel"/>
    <w:lvl w:ilvl="0">
      <w:lvlJc w:val="left"/>
      <w:lvlText w:val="***"/>
      <w:numFmt w:val="bullet"/>
      <w:start w:val="1"/>
    </w:lvl>
    <w:lvl w:ilvl="1">
      <w:lvlJc w:val="left"/>
      <w:lvlText w:val="%2"/>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2024-08-07T06:37:00Z</dcterms:created>
  <dcterms:modified xsi:type="dcterms:W3CDTF">2024-08-07T06:37:00Z</dcterms:modified>
</cp:coreProperties>
</file>