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360"/>
        <w:spacing w:after="0" w:line="227" w:lineRule="auto"/>
        <w:rPr>
          <w:sz w:val="20"/>
          <w:szCs w:val="20"/>
          <w:color w:val="auto"/>
        </w:rPr>
      </w:pPr>
      <w:r>
        <w:rPr>
          <w:rFonts w:ascii="Times New Roman" w:cs="Times New Roman" w:eastAsia="Times New Roman" w:hAnsi="Times New Roman"/>
          <w:sz w:val="18"/>
          <w:szCs w:val="18"/>
          <w:color w:val="auto"/>
        </w:rPr>
        <w:t>__________________________________________________</w:t>
      </w:r>
    </w:p>
    <w:p>
      <w:pPr>
        <w:jc w:val="center"/>
        <w:ind w:right="-19"/>
        <w:spacing w:after="0" w:line="224" w:lineRule="auto"/>
        <w:rPr>
          <w:sz w:val="20"/>
          <w:szCs w:val="20"/>
          <w:color w:val="auto"/>
        </w:rPr>
      </w:pPr>
      <w:r>
        <w:rPr>
          <w:rFonts w:ascii="Times New Roman" w:cs="Times New Roman" w:eastAsia="Times New Roman" w:hAnsi="Times New Roman"/>
          <w:sz w:val="32"/>
          <w:szCs w:val="32"/>
          <w:b w:val="1"/>
          <w:bCs w:val="1"/>
          <w:color w:val="auto"/>
        </w:rPr>
        <w:t>FORM 10-Q</w:t>
      </w:r>
    </w:p>
    <w:p>
      <w:pPr>
        <w:ind w:left="60"/>
        <w:spacing w:after="0" w:line="220" w:lineRule="auto"/>
        <w:rPr>
          <w:sz w:val="20"/>
          <w:szCs w:val="20"/>
          <w:color w:val="auto"/>
        </w:rPr>
      </w:pPr>
      <w:r>
        <w:rPr>
          <w:rFonts w:ascii="Times New Roman" w:cs="Times New Roman" w:eastAsia="Times New Roman" w:hAnsi="Times New Roman"/>
          <w:sz w:val="18"/>
          <w:szCs w:val="18"/>
          <w:b w:val="1"/>
          <w:bCs w:val="1"/>
          <w:color w:val="auto"/>
        </w:rPr>
        <w:t>(Mark One)</w:t>
      </w:r>
    </w:p>
    <w:p>
      <w:pPr>
        <w:spacing w:after="0" w:line="1" w:lineRule="exact"/>
        <w:rPr>
          <w:sz w:val="24"/>
          <w:szCs w:val="24"/>
          <w:color w:val="auto"/>
        </w:rPr>
      </w:pPr>
    </w:p>
    <w:p>
      <w:pPr>
        <w:ind w:right="340" w:firstLine="332"/>
        <w:spacing w:after="0" w:line="217" w:lineRule="auto"/>
        <w:tabs>
          <w:tab w:leader="none" w:pos="756"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59"/>
        <w:spacing w:after="0" w:line="220" w:lineRule="auto"/>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jc w:val="center"/>
        <w:ind w:right="-59"/>
        <w:spacing w:after="0" w:line="204" w:lineRule="auto"/>
        <w:rPr>
          <w:sz w:val="20"/>
          <w:szCs w:val="20"/>
          <w:color w:val="auto"/>
        </w:rPr>
      </w:pPr>
      <w:r>
        <w:rPr>
          <w:rFonts w:ascii="Times New Roman" w:cs="Times New Roman" w:eastAsia="Times New Roman" w:hAnsi="Times New Roman"/>
          <w:sz w:val="18"/>
          <w:szCs w:val="18"/>
          <w:b w:val="1"/>
          <w:bCs w:val="1"/>
          <w:color w:val="auto"/>
        </w:rPr>
        <w:t>OR</w:t>
      </w:r>
    </w:p>
    <w:p>
      <w:pPr>
        <w:ind w:left="720" w:hanging="388"/>
        <w:spacing w:after="0" w:line="222" w:lineRule="auto"/>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09" w:lineRule="auto"/>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1" w:lineRule="exact"/>
        <w:rPr>
          <w:sz w:val="24"/>
          <w:szCs w:val="24"/>
          <w:color w:val="auto"/>
        </w:rPr>
      </w:pPr>
    </w:p>
    <w:p>
      <w:pPr>
        <w:ind w:left="36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48715"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542925"/>
                    </a:xfrm>
                    <a:prstGeom prst="rect">
                      <a:avLst/>
                    </a:prstGeom>
                    <a:noFill/>
                    <a:ln>
                      <a:noFill/>
                    </a:ln>
                  </pic:spPr>
                </pic:pic>
              </a:graphicData>
            </a:graphic>
          </wp:inline>
        </w:drawing>
      </w:r>
      <w:r>
        <w:rPr>
          <w:rFonts w:ascii="Times New Roman" w:cs="Times New Roman" w:eastAsia="Times New Roman" w:hAnsi="Times New Roman"/>
          <w:sz w:val="32"/>
          <w:szCs w:val="32"/>
          <w:b w:val="1"/>
          <w:bCs w:val="1"/>
          <w:color w:val="auto"/>
        </w:rPr>
        <w:t xml:space="preserve"> Dine Brands Global, Inc. </w:t>
      </w:r>
      <w:r>
        <w:rPr>
          <w:sz w:val="1"/>
          <w:szCs w:val="1"/>
          <w:color w:val="auto"/>
        </w:rPr>
        <w:drawing>
          <wp:inline distT="0" distB="0" distL="0" distR="0">
            <wp:extent cx="925830"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548640"/>
                    </a:xfrm>
                    <a:prstGeom prst="rect">
                      <a:avLst/>
                    </a:prstGeom>
                    <a:noFill/>
                    <a:ln>
                      <a:noFill/>
                    </a:ln>
                  </pic:spPr>
                </pic:pic>
              </a:graphicData>
            </a:graphic>
          </wp:inline>
        </w:drawing>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86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6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57"/>
        </w:trPr>
        <w:tc>
          <w:tcPr>
            <w:tcW w:w="4860" w:type="dxa"/>
            <w:vAlign w:val="bottom"/>
          </w:tcPr>
          <w:p>
            <w:pPr>
              <w:jc w:val="center"/>
              <w:ind w:right="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6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57"/>
        </w:trPr>
        <w:tc>
          <w:tcPr>
            <w:tcW w:w="486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450 North Brand Boulevard,</w:t>
            </w:r>
          </w:p>
        </w:tc>
        <w:tc>
          <w:tcPr>
            <w:tcW w:w="26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91203-1903</w:t>
            </w:r>
          </w:p>
        </w:tc>
      </w:tr>
      <w:tr>
        <w:trPr>
          <w:trHeight w:val="256"/>
        </w:trPr>
        <w:tc>
          <w:tcPr>
            <w:tcW w:w="4860" w:type="dxa"/>
            <w:vAlign w:val="bottom"/>
          </w:tcPr>
          <w:p>
            <w:pPr>
              <w:jc w:val="right"/>
              <w:ind w:right="2439"/>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2600" w:type="dxa"/>
            <w:vAlign w:val="bottom"/>
          </w:tcPr>
          <w:p>
            <w:pPr>
              <w:spacing w:after="0"/>
              <w:rPr>
                <w:sz w:val="22"/>
                <w:szCs w:val="22"/>
                <w:color w:val="auto"/>
              </w:rPr>
            </w:pPr>
          </w:p>
        </w:tc>
      </w:tr>
      <w:tr>
        <w:trPr>
          <w:trHeight w:val="256"/>
        </w:trPr>
        <w:tc>
          <w:tcPr>
            <w:tcW w:w="4860" w:type="dxa"/>
            <w:vAlign w:val="bottom"/>
          </w:tcPr>
          <w:p>
            <w:pPr>
              <w:jc w:val="center"/>
              <w:ind w:right="8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(Zip Code)</w:t>
            </w:r>
          </w:p>
        </w:tc>
      </w:tr>
      <w:tr>
        <w:trPr>
          <w:trHeight w:val="567"/>
        </w:trPr>
        <w:tc>
          <w:tcPr>
            <w:tcW w:w="4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600" w:type="dxa"/>
            <w:vAlign w:val="bottom"/>
          </w:tcPr>
          <w:p>
            <w:pPr>
              <w:spacing w:after="0"/>
              <w:rPr>
                <w:sz w:val="24"/>
                <w:szCs w:val="24"/>
                <w:color w:val="auto"/>
              </w:rPr>
            </w:pP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2"/>
        </w:trPr>
        <w:tc>
          <w:tcPr>
            <w:tcW w:w="4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7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ind w:right="60"/>
        <w:spacing w:after="0" w:line="205"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80" w:firstLine="36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100" w:firstLine="36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0" w:type="dxa"/>
        <w:tblCellMar>
          <w:top w:w="0" w:type="dxa"/>
          <w:left w:w="0" w:type="dxa"/>
          <w:bottom w:w="0" w:type="dxa"/>
          <w:right w:w="0" w:type="dxa"/>
        </w:tblCellMar>
      </w:tblP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spacing w:after="0"/>
              <w:rPr>
                <w:sz w:val="24"/>
                <w:szCs w:val="24"/>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right="180" w:firstLine="324"/>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left="420" w:right="2220" w:hanging="8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21, 2020, the Registrant had 16,418,749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5"/>
        </w:trPr>
        <w:tc>
          <w:tcPr>
            <w:tcW w:w="8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INFORMATION</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1—Financial Statements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3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Balance Sheets - September 30, 2020 (unaudited) and December 31, 2019</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780" w:type="dxa"/>
            <w:vAlign w:val="bottom"/>
            <w:gridSpan w:val="5"/>
          </w:tcPr>
          <w:p>
            <w:pPr>
              <w:ind w:left="300"/>
              <w:spacing w:after="0" w:line="194"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Consolidated Statements of Comprehensive Income (Loss)</w:t>
              </w:r>
              <w:r>
                <w:rPr>
                  <w:rFonts w:ascii="Times New Roman" w:cs="Times New Roman" w:eastAsia="Times New Roman" w:hAnsi="Times New Roman"/>
                  <w:sz w:val="18"/>
                  <w:szCs w:val="18"/>
                  <w:color w:val="0000FF"/>
                </w:rPr>
                <w:t xml:space="preserve"> (unaudited) - Three and Nine Months Ended September 30, 2020 and</w:t>
              </w:r>
            </w:hyperlink>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60" w:type="dxa"/>
            <w:vAlign w:val="bottom"/>
            <w:gridSpan w:val="2"/>
          </w:tcPr>
          <w:p>
            <w:pPr>
              <w:jc w:val="right"/>
              <w:ind w:right="3700"/>
              <w:spacing w:after="0" w:line="156" w:lineRule="exact"/>
              <w:rPr>
                <w:rFonts w:ascii="Times New Roman" w:cs="Times New Roman" w:eastAsia="Times New Roman" w:hAnsi="Times New Roman"/>
                <w:sz w:val="18"/>
                <w:szCs w:val="18"/>
                <w:color w:val="0000FF"/>
                <w:w w:val="94"/>
              </w:rPr>
            </w:pPr>
            <w:hyperlink w:anchor="page5">
              <w:r>
                <w:rPr>
                  <w:rFonts w:ascii="Times New Roman" w:cs="Times New Roman" w:eastAsia="Times New Roman" w:hAnsi="Times New Roman"/>
                  <w:sz w:val="18"/>
                  <w:szCs w:val="18"/>
                  <w:color w:val="0000FF"/>
                  <w:w w:val="94"/>
                </w:rPr>
                <w:t>2019</w:t>
              </w:r>
            </w:hyperlink>
          </w:p>
        </w:tc>
        <w:tc>
          <w:tcPr>
            <w:tcW w:w="498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tcPr>
          <w:p>
            <w:pPr>
              <w:spacing w:after="0"/>
              <w:rPr>
                <w:sz w:val="21"/>
                <w:szCs w:val="21"/>
                <w:color w:val="auto"/>
              </w:rPr>
            </w:pPr>
          </w:p>
        </w:tc>
        <w:tc>
          <w:tcPr>
            <w:tcW w:w="9780" w:type="dxa"/>
            <w:vAlign w:val="bottom"/>
            <w:gridSpan w:val="5"/>
          </w:tcPr>
          <w:p>
            <w:pPr>
              <w:ind w:left="30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Consolidated Statements of Stockholders' Deficit (unaudited) - Three and Nine Months Ended September 30, 2020 and 2019</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30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Consolidated Statements of Cash Flows (unaudited) - Nine Months Ended September 30, 2020 and 2019</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30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Consolidated Financial Statements (unaudited)</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8</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2—Management’s Discussion and Analysis of Financial Condition and Results of Operations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3—Quantitative and Qualitative Disclosures about Market Risk</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rFonts w:ascii="Times New Roman" w:cs="Times New Roman" w:eastAsia="Times New Roman" w:hAnsi="Times New Roman"/>
                <w:sz w:val="18"/>
                <w:szCs w:val="18"/>
                <w:b w:val="1"/>
                <w:bCs w:val="1"/>
                <w:u w:val="single" w:color="auto"/>
                <w:color w:val="0000FF"/>
              </w:rPr>
            </w:pPr>
            <w:hyperlink w:anchor="page57">
              <w:r>
                <w:rPr>
                  <w:rFonts w:ascii="Times New Roman" w:cs="Times New Roman" w:eastAsia="Times New Roman" w:hAnsi="Times New Roman"/>
                  <w:sz w:val="18"/>
                  <w:szCs w:val="18"/>
                  <w:b w:val="1"/>
                  <w:bCs w:val="1"/>
                  <w:u w:val="single" w:color="auto"/>
                  <w:color w:val="0000FF"/>
                </w:rPr>
                <w:t>PART II.</w:t>
              </w:r>
            </w:hyperlink>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4—Controls and Procedures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vMerge w:val="continue"/>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OTHER INFORMATION</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Item 1—Legal Proceedings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Item 1A—Risk Factors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Item 2—Unregistered Sales of Equity Securities and Use of Proceeds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3—Defaults Upon Senior Securities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4—Mine Safety Disclosures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5—Other Information</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6—Exhibits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9780" w:type="dxa"/>
            <w:vAlign w:val="bottom"/>
            <w:gridSpan w:val="5"/>
          </w:tcPr>
          <w:p>
            <w:pPr>
              <w:ind w:left="1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Signatures</w:t>
              </w:r>
            </w:hyperlink>
          </w:p>
        </w:tc>
        <w:tc>
          <w:tcPr>
            <w:tcW w:w="54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57</w:t>
              </w:r>
            </w:hyperlink>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our Annual Report on Form 10-K for the fiscal year ended December 31, 2019 and in our Quarterly Report on Form 10-Q for the quarterly period ended March 31, 2020, many of which are beyond our control.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2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second and third fiscal quarters of 2020 ended on June 28, 2020 and September 27, 2020, respectively. The first fiscal quarter of 2019 began on December 31, 2018 and ended on March 31, 2019; the second and third fiscal quarters of 2019 ended on June 30, 2019 and September 29,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line="16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jc w:val="center"/>
        <w:ind w:right="-19"/>
        <w:spacing w:after="0" w:line="206"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400" w:type="dxa"/>
            <w:vAlign w:val="bottom"/>
          </w:tcPr>
          <w:p>
            <w:pPr>
              <w:ind w:left="39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9"/>
                <w:szCs w:val="19"/>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116,043</w:t>
            </w:r>
          </w:p>
        </w:tc>
        <w:tc>
          <w:tcPr>
            <w:tcW w:w="0" w:type="dxa"/>
            <w:vAlign w:val="bottom"/>
          </w:tcPr>
          <w:p>
            <w:pPr>
              <w:spacing w:after="0"/>
              <w:rPr>
                <w:sz w:val="1"/>
                <w:szCs w:val="1"/>
                <w:color w:val="auto"/>
              </w:rPr>
            </w:pPr>
          </w:p>
        </w:tc>
      </w:tr>
      <w:tr>
        <w:trPr>
          <w:trHeight w:val="25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$12,221 (2020) and $3,138 (2019)</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136,869</w:t>
            </w:r>
          </w:p>
        </w:tc>
        <w:tc>
          <w:tcPr>
            <w:tcW w:w="0" w:type="dxa"/>
            <w:vAlign w:val="bottom"/>
          </w:tcPr>
          <w:p>
            <w:pPr>
              <w:spacing w:after="0"/>
              <w:rPr>
                <w:sz w:val="1"/>
                <w:szCs w:val="1"/>
                <w:color w:val="auto"/>
              </w:rPr>
            </w:pPr>
          </w:p>
        </w:tc>
      </w:tr>
      <w:tr>
        <w:trPr>
          <w:trHeight w:val="25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40,732</w:t>
            </w:r>
          </w:p>
        </w:tc>
        <w:tc>
          <w:tcPr>
            <w:tcW w:w="0" w:type="dxa"/>
            <w:vAlign w:val="bottom"/>
          </w:tcPr>
          <w:p>
            <w:pPr>
              <w:spacing w:after="0"/>
              <w:rPr>
                <w:sz w:val="1"/>
                <w:szCs w:val="1"/>
                <w:color w:val="auto"/>
              </w:rPr>
            </w:pPr>
          </w:p>
        </w:tc>
      </w:tr>
      <w:tr>
        <w:trPr>
          <w:trHeight w:val="254"/>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36,077</w:t>
            </w:r>
          </w:p>
        </w:tc>
        <w:tc>
          <w:tcPr>
            <w:tcW w:w="0" w:type="dxa"/>
            <w:vAlign w:val="bottom"/>
          </w:tcPr>
          <w:p>
            <w:pPr>
              <w:spacing w:after="0"/>
              <w:rPr>
                <w:sz w:val="1"/>
                <w:szCs w:val="1"/>
                <w:color w:val="auto"/>
              </w:rPr>
            </w:pPr>
          </w:p>
        </w:tc>
      </w:tr>
      <w:tr>
        <w:trPr>
          <w:trHeight w:val="25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13,290</w:t>
            </w:r>
          </w:p>
        </w:tc>
        <w:tc>
          <w:tcPr>
            <w:tcW w:w="0" w:type="dxa"/>
            <w:vAlign w:val="bottom"/>
          </w:tcPr>
          <w:p>
            <w:pPr>
              <w:spacing w:after="0"/>
              <w:rPr>
                <w:sz w:val="1"/>
                <w:szCs w:val="1"/>
                <w:color w:val="auto"/>
              </w:rPr>
            </w:pPr>
          </w:p>
        </w:tc>
      </w:tr>
      <w:tr>
        <w:trPr>
          <w:trHeight w:val="254"/>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3,906</w:t>
            </w:r>
          </w:p>
        </w:tc>
        <w:tc>
          <w:tcPr>
            <w:tcW w:w="0" w:type="dxa"/>
            <w:vAlign w:val="bottom"/>
          </w:tcPr>
          <w:p>
            <w:pPr>
              <w:spacing w:after="0"/>
              <w:rPr>
                <w:sz w:val="1"/>
                <w:szCs w:val="1"/>
                <w:color w:val="auto"/>
              </w:rPr>
            </w:pPr>
          </w:p>
        </w:tc>
      </w:tr>
      <w:tr>
        <w:trPr>
          <w:trHeight w:val="253"/>
        </w:trPr>
        <w:tc>
          <w:tcPr>
            <w:tcW w:w="7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346,917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575,103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366,931</w:t>
            </w: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343,862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216,420</w:t>
            </w:r>
          </w:p>
        </w:tc>
        <w:tc>
          <w:tcPr>
            <w:tcW w:w="0" w:type="dxa"/>
            <w:vAlign w:val="bottom"/>
          </w:tcPr>
          <w:p>
            <w:pPr>
              <w:spacing w:after="0"/>
              <w:rPr>
                <w:sz w:val="1"/>
                <w:szCs w:val="1"/>
                <w:color w:val="auto"/>
              </w:rPr>
            </w:pPr>
          </w:p>
        </w:tc>
      </w:tr>
      <w:tr>
        <w:trPr>
          <w:trHeight w:val="25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$9,854 (2020) and $8,155 (2019)</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85,999</w:t>
            </w:r>
          </w:p>
        </w:tc>
        <w:tc>
          <w:tcPr>
            <w:tcW w:w="0" w:type="dxa"/>
            <w:vAlign w:val="bottom"/>
          </w:tcPr>
          <w:p>
            <w:pPr>
              <w:spacing w:after="0"/>
              <w:rPr>
                <w:sz w:val="1"/>
                <w:szCs w:val="1"/>
                <w:color w:val="auto"/>
              </w:rPr>
            </w:pPr>
          </w:p>
        </w:tc>
      </w:tr>
      <w:tr>
        <w:trPr>
          <w:trHeight w:val="23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70,308</w:t>
            </w: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15,700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28,271</w:t>
            </w:r>
          </w:p>
        </w:tc>
        <w:tc>
          <w:tcPr>
            <w:tcW w:w="0" w:type="dxa"/>
            <w:vAlign w:val="bottom"/>
          </w:tcPr>
          <w:p>
            <w:pPr>
              <w:spacing w:after="0"/>
              <w:rPr>
                <w:sz w:val="1"/>
                <w:szCs w:val="1"/>
                <w:color w:val="auto"/>
              </w:rPr>
            </w:pPr>
          </w:p>
        </w:tc>
      </w:tr>
      <w:tr>
        <w:trPr>
          <w:trHeight w:val="217"/>
        </w:trPr>
        <w:tc>
          <w:tcPr>
            <w:tcW w:w="74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2,070,916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2,049,511</w:t>
            </w:r>
          </w:p>
        </w:tc>
        <w:tc>
          <w:tcPr>
            <w:tcW w:w="0" w:type="dxa"/>
            <w:vAlign w:val="bottom"/>
          </w:tcPr>
          <w:p>
            <w:pPr>
              <w:spacing w:after="0"/>
              <w:rPr>
                <w:sz w:val="1"/>
                <w:szCs w:val="1"/>
                <w:color w:val="auto"/>
              </w:rPr>
            </w:pPr>
          </w:p>
        </w:tc>
      </w:tr>
      <w:tr>
        <w:trPr>
          <w:trHeight w:val="33"/>
        </w:trPr>
        <w:tc>
          <w:tcPr>
            <w:tcW w:w="740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00" w:type="dxa"/>
            <w:vAlign w:val="bottom"/>
            <w:vMerge w:val="restart"/>
          </w:tcPr>
          <w:p>
            <w:pPr>
              <w:ind w:left="2960"/>
              <w:spacing w:after="0"/>
              <w:rPr>
                <w:sz w:val="20"/>
                <w:szCs w:val="20"/>
                <w:color w:val="auto"/>
              </w:rPr>
            </w:pPr>
            <w:r>
              <w:rPr>
                <w:rFonts w:ascii="Times New Roman" w:cs="Times New Roman" w:eastAsia="Times New Roman" w:hAnsi="Times New Roman"/>
                <w:sz w:val="16"/>
                <w:szCs w:val="16"/>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40,925</w:t>
            </w:r>
          </w:p>
        </w:tc>
        <w:tc>
          <w:tcPr>
            <w:tcW w:w="0" w:type="dxa"/>
            <w:vAlign w:val="bottom"/>
          </w:tcPr>
          <w:p>
            <w:pPr>
              <w:spacing w:after="0"/>
              <w:rPr>
                <w:sz w:val="1"/>
                <w:szCs w:val="1"/>
                <w:color w:val="auto"/>
              </w:rPr>
            </w:pPr>
          </w:p>
        </w:tc>
      </w:tr>
      <w:tr>
        <w:trPr>
          <w:trHeight w:val="26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159,019</w:t>
            </w:r>
          </w:p>
        </w:tc>
        <w:tc>
          <w:tcPr>
            <w:tcW w:w="0" w:type="dxa"/>
            <w:vAlign w:val="bottom"/>
          </w:tcPr>
          <w:p>
            <w:pPr>
              <w:spacing w:after="0"/>
              <w:rPr>
                <w:sz w:val="1"/>
                <w:szCs w:val="1"/>
                <w:color w:val="auto"/>
              </w:rPr>
            </w:pPr>
          </w:p>
        </w:tc>
      </w:tr>
      <w:tr>
        <w:trPr>
          <w:trHeight w:val="25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72,815</w:t>
            </w:r>
          </w:p>
        </w:tc>
        <w:tc>
          <w:tcPr>
            <w:tcW w:w="0" w:type="dxa"/>
            <w:vAlign w:val="bottom"/>
          </w:tcPr>
          <w:p>
            <w:pPr>
              <w:spacing w:after="0"/>
              <w:rPr>
                <w:sz w:val="1"/>
                <w:szCs w:val="1"/>
                <w:color w:val="auto"/>
              </w:rPr>
            </w:pPr>
          </w:p>
        </w:tc>
      </w:tr>
      <w:tr>
        <w:trPr>
          <w:trHeight w:val="26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13,669</w:t>
            </w:r>
          </w:p>
        </w:tc>
        <w:tc>
          <w:tcPr>
            <w:tcW w:w="0" w:type="dxa"/>
            <w:vAlign w:val="bottom"/>
          </w:tcPr>
          <w:p>
            <w:pPr>
              <w:spacing w:after="0"/>
              <w:rPr>
                <w:sz w:val="1"/>
                <w:szCs w:val="1"/>
                <w:color w:val="auto"/>
              </w:rPr>
            </w:pPr>
          </w:p>
        </w:tc>
      </w:tr>
      <w:tr>
        <w:trPr>
          <w:trHeight w:val="25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23,904</w:t>
            </w:r>
          </w:p>
        </w:tc>
        <w:tc>
          <w:tcPr>
            <w:tcW w:w="0" w:type="dxa"/>
            <w:vAlign w:val="bottom"/>
          </w:tcPr>
          <w:p>
            <w:pPr>
              <w:spacing w:after="0"/>
              <w:rPr>
                <w:sz w:val="1"/>
                <w:szCs w:val="1"/>
                <w:color w:val="auto"/>
              </w:rPr>
            </w:pPr>
          </w:p>
        </w:tc>
      </w:tr>
      <w:tr>
        <w:trPr>
          <w:trHeight w:val="26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11,702</w:t>
            </w:r>
          </w:p>
        </w:tc>
        <w:tc>
          <w:tcPr>
            <w:tcW w:w="0" w:type="dxa"/>
            <w:vAlign w:val="bottom"/>
          </w:tcPr>
          <w:p>
            <w:pPr>
              <w:spacing w:after="0"/>
              <w:rPr>
                <w:sz w:val="1"/>
                <w:szCs w:val="1"/>
                <w:color w:val="auto"/>
              </w:rPr>
            </w:pPr>
          </w:p>
        </w:tc>
      </w:tr>
      <w:tr>
        <w:trPr>
          <w:trHeight w:val="254"/>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revenue, short-term</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10,086</w:t>
            </w:r>
          </w:p>
        </w:tc>
        <w:tc>
          <w:tcPr>
            <w:tcW w:w="0" w:type="dxa"/>
            <w:vAlign w:val="bottom"/>
          </w:tcPr>
          <w:p>
            <w:pPr>
              <w:spacing w:after="0"/>
              <w:rPr>
                <w:sz w:val="1"/>
                <w:szCs w:val="1"/>
                <w:color w:val="auto"/>
              </w:rPr>
            </w:pPr>
          </w:p>
        </w:tc>
      </w:tr>
      <w:tr>
        <w:trPr>
          <w:trHeight w:val="25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8,760</w:t>
            </w:r>
          </w:p>
        </w:tc>
        <w:tc>
          <w:tcPr>
            <w:tcW w:w="0" w:type="dxa"/>
            <w:vAlign w:val="bottom"/>
          </w:tcPr>
          <w:p>
            <w:pPr>
              <w:spacing w:after="0"/>
              <w:rPr>
                <w:sz w:val="1"/>
                <w:szCs w:val="1"/>
                <w:color w:val="auto"/>
              </w:rPr>
            </w:pPr>
          </w:p>
        </w:tc>
      </w:tr>
      <w:tr>
        <w:trPr>
          <w:trHeight w:val="25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17,032</w:t>
            </w:r>
          </w:p>
        </w:tc>
        <w:tc>
          <w:tcPr>
            <w:tcW w:w="0" w:type="dxa"/>
            <w:vAlign w:val="bottom"/>
          </w:tcPr>
          <w:p>
            <w:pPr>
              <w:spacing w:after="0"/>
              <w:rPr>
                <w:sz w:val="1"/>
                <w:szCs w:val="1"/>
                <w:color w:val="auto"/>
              </w:rPr>
            </w:pPr>
          </w:p>
        </w:tc>
      </w:tr>
      <w:tr>
        <w:trPr>
          <w:trHeight w:val="253"/>
        </w:trPr>
        <w:tc>
          <w:tcPr>
            <w:tcW w:w="7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357,912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1,288,248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359,025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77,393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37,682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98,499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56,944</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15,582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2,427,280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2,291,285</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or outstanding</w:t>
            </w:r>
          </w:p>
        </w:tc>
        <w:tc>
          <w:tcPr>
            <w:tcW w:w="180" w:type="dxa"/>
            <w:vAlign w:val="bottom"/>
          </w:tcPr>
          <w:p>
            <w:pPr>
              <w:spacing w:after="0"/>
              <w:rPr>
                <w:sz w:val="22"/>
                <w:szCs w:val="22"/>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shares: 40,000,000 authorized; September 30, 2020 - 24,883,124 issued,</w:t>
            </w: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16,416,695 outstanding; December 31, 2019 - 24,925,447 issued, 16,521,921 outstanding</w:t>
            </w: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246,192</w:t>
            </w:r>
          </w:p>
        </w:tc>
        <w:tc>
          <w:tcPr>
            <w:tcW w:w="0" w:type="dxa"/>
            <w:vAlign w:val="bottom"/>
          </w:tcPr>
          <w:p>
            <w:pPr>
              <w:spacing w:after="0"/>
              <w:rPr>
                <w:sz w:val="1"/>
                <w:szCs w:val="1"/>
                <w:color w:val="auto"/>
              </w:rPr>
            </w:pPr>
          </w:p>
        </w:tc>
      </w:tr>
      <w:tr>
        <w:trPr>
          <w:trHeight w:val="25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61,653</w:t>
            </w:r>
          </w:p>
        </w:tc>
        <w:tc>
          <w:tcPr>
            <w:tcW w:w="0" w:type="dxa"/>
            <w:vAlign w:val="bottom"/>
          </w:tcPr>
          <w:p>
            <w:pPr>
              <w:spacing w:after="0"/>
              <w:rPr>
                <w:sz w:val="1"/>
                <w:szCs w:val="1"/>
                <w:color w:val="auto"/>
              </w:rPr>
            </w:pPr>
          </w:p>
        </w:tc>
      </w:tr>
      <w:tr>
        <w:trPr>
          <w:trHeight w:val="25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shares: September 30, 2020 - 8,466,429; December 31, 2019 - 8,403,526</w:t>
            </w:r>
          </w:p>
        </w:tc>
        <w:tc>
          <w:tcPr>
            <w:tcW w:w="1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(558,472)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(549,810)</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(241,774)</w:t>
            </w:r>
          </w:p>
        </w:tc>
        <w:tc>
          <w:tcPr>
            <w:tcW w:w="0" w:type="dxa"/>
            <w:vAlign w:val="bottom"/>
          </w:tcPr>
          <w:p>
            <w:pPr>
              <w:spacing w:after="0"/>
              <w:rPr>
                <w:sz w:val="1"/>
                <w:szCs w:val="1"/>
                <w:color w:val="auto"/>
              </w:rPr>
            </w:pPr>
          </w:p>
        </w:tc>
      </w:tr>
      <w:tr>
        <w:trPr>
          <w:trHeight w:val="278"/>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2,049,511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7003" w:orient="portrait"/>
          <w:cols w:equalWidth="0" w:num="1">
            <w:col w:w="11220"/>
          </w:cols>
          <w:pgMar w:left="320" w:top="118" w:right="359"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7003" w:orient="portrait"/>
          <w:cols w:equalWidth="0" w:num="1">
            <w:col w:w="11220"/>
          </w:cols>
          <w:pgMar w:left="320" w:top="118" w:right="359" w:bottom="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 w:right="1440" w:bottom="1440" w:gutter="0" w:footer="0" w:header="0"/>
        </w:sectPr>
      </w:pPr>
    </w:p>
    <w:bookmarkStart w:id="5" w:name="page6"/>
    <w:bookmarkEnd w:id="5"/>
    <w:p>
      <w:pPr>
        <w:spacing w:after="0" w:line="29" w:lineRule="exact"/>
        <w:rPr>
          <w:sz w:val="20"/>
          <w:szCs w:val="20"/>
          <w:color w:val="auto"/>
        </w:rPr>
      </w:pPr>
    </w:p>
    <w:p>
      <w:pPr>
        <w:ind w:left="40"/>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4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4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88,686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191,915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Advertising revenues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revenues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217,405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682,667</w:t>
            </w: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 expenses: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Advertising expenses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Bad debt expense (credit)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franchise expenses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rental expenses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21,251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395,521</w:t>
            </w:r>
          </w:p>
        </w:tc>
        <w:tc>
          <w:tcPr>
            <w:tcW w:w="0" w:type="dxa"/>
            <w:vAlign w:val="bottom"/>
          </w:tcPr>
          <w:p>
            <w:pPr>
              <w:spacing w:after="0"/>
              <w:rPr>
                <w:sz w:val="1"/>
                <w:szCs w:val="1"/>
                <w:color w:val="auto"/>
              </w:rPr>
            </w:pPr>
          </w:p>
        </w:tc>
      </w:tr>
      <w:tr>
        <w:trPr>
          <w:trHeight w:val="26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89,720</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181,333</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287,146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0" w:type="dxa"/>
            <w:vAlign w:val="bottom"/>
          </w:tcPr>
          <w:p>
            <w:pPr>
              <w:spacing w:after="0"/>
              <w:rPr>
                <w:sz w:val="1"/>
                <w:szCs w:val="1"/>
                <w:color w:val="auto"/>
              </w:rPr>
            </w:pPr>
          </w:p>
        </w:tc>
      </w:tr>
      <w:tr>
        <w:trPr>
          <w:trHeight w:val="27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closure charges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101,931</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9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23,917</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stockholders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9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68" w:orient="portrait"/>
          <w:cols w:equalWidth="0" w:num="1">
            <w:col w:w="11280"/>
          </w:cols>
          <w:pgMar w:left="28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68" w:orient="portrait"/>
          <w:cols w:equalWidth="0" w:num="1">
            <w:col w:w="11280"/>
          </w:cols>
          <w:pgMar w:left="280" w:top="118" w:right="339"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3240" w:type="dxa"/>
            <w:vAlign w:val="bottom"/>
          </w:tcPr>
          <w:p>
            <w:pPr>
              <w:spacing w:after="0"/>
              <w:rPr>
                <w:sz w:val="17"/>
                <w:szCs w:val="17"/>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22"/>
        </w:trPr>
        <w:tc>
          <w:tcPr>
            <w:tcW w:w="32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324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12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6"/>
        </w:trPr>
        <w:tc>
          <w:tcPr>
            <w:tcW w:w="324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2020</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16,418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254,429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(559,181)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(368,571)</w:t>
            </w:r>
          </w:p>
        </w:tc>
      </w:tr>
      <w:tr>
        <w:trPr>
          <w:trHeight w:val="25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10,018</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r>
      <w:tr>
        <w:trPr>
          <w:trHeight w:val="25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5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2,523</w:t>
            </w:r>
          </w:p>
        </w:tc>
      </w:tr>
      <w:tr>
        <w:trPr>
          <w:trHeight w:val="25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6"/>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(356,364)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3240" w:type="dxa"/>
            <w:vAlign w:val="bottom"/>
          </w:tcPr>
          <w:p>
            <w:pPr>
              <w:spacing w:after="0"/>
              <w:rPr>
                <w:sz w:val="17"/>
                <w:szCs w:val="17"/>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22"/>
        </w:trPr>
        <w:tc>
          <w:tcPr>
            <w:tcW w:w="32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1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324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2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6"/>
        </w:trPr>
        <w:tc>
          <w:tcPr>
            <w:tcW w:w="324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16,522</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246,192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61,653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8,404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(241,774)</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credit loss accounting guidance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(102,433)</w:t>
            </w:r>
          </w:p>
        </w:tc>
      </w:tr>
      <w:tr>
        <w:trPr>
          <w:trHeight w:val="25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(26,527)</w:t>
            </w:r>
          </w:p>
        </w:tc>
      </w:tr>
      <w:tr>
        <w:trPr>
          <w:trHeight w:val="25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20,523</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5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r>
      <w:tr>
        <w:trPr>
          <w:trHeight w:val="26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9,193</w:t>
            </w:r>
          </w:p>
        </w:tc>
      </w:tr>
      <w:tr>
        <w:trPr>
          <w:trHeight w:val="25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(12,208)</w:t>
            </w:r>
          </w:p>
        </w:tc>
      </w:tr>
      <w:tr>
        <w:trPr>
          <w:trHeight w:val="2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16,417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255,907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(53,992)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8,467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(558,472)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(356,364)</w:t>
            </w:r>
          </w:p>
        </w:tc>
      </w:tr>
      <w:tr>
        <w:trPr>
          <w:trHeight w:val="23"/>
        </w:trPr>
        <w:tc>
          <w:tcPr>
            <w:tcW w:w="3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3"/>
        </w:trPr>
        <w:tc>
          <w:tcPr>
            <w:tcW w:w="3300" w:type="dxa"/>
            <w:vAlign w:val="bottom"/>
          </w:tcPr>
          <w:p>
            <w:pPr>
              <w:spacing w:after="0"/>
              <w:rPr>
                <w:sz w:val="15"/>
                <w:szCs w:val="15"/>
                <w:color w:val="auto"/>
              </w:rPr>
            </w:pP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2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2"/>
        </w:trPr>
        <w:tc>
          <w:tcPr>
            <w:tcW w:w="33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30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6"/>
        </w:trPr>
        <w:tc>
          <w:tcPr>
            <w:tcW w:w="330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17,252</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240,555</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33,832</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7,697</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(489,702)</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(215,125)</w:t>
            </w: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23,917</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(42,717)</w:t>
            </w:r>
          </w:p>
        </w:tc>
      </w:tr>
      <w:tr>
        <w:trPr>
          <w:trHeight w:val="26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3,151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3,733</w:t>
            </w: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2,326</w:t>
            </w:r>
          </w:p>
        </w:tc>
      </w:tr>
      <w:tr>
        <w:trPr>
          <w:trHeight w:val="26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(11,568)</w:t>
            </w: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16,786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243,358</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45,939</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8,148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(529,268)</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(239,782)</w:t>
            </w:r>
          </w:p>
        </w:tc>
      </w:tr>
      <w:tr>
        <w:trPr>
          <w:trHeight w:val="23"/>
        </w:trPr>
        <w:tc>
          <w:tcPr>
            <w:tcW w:w="3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3"/>
        </w:trPr>
        <w:tc>
          <w:tcPr>
            <w:tcW w:w="3180" w:type="dxa"/>
            <w:vAlign w:val="bottom"/>
          </w:tcPr>
          <w:p>
            <w:pPr>
              <w:spacing w:after="0"/>
              <w:rPr>
                <w:sz w:val="15"/>
                <w:szCs w:val="15"/>
                <w:color w:val="auto"/>
              </w:rPr>
            </w:pPr>
          </w:p>
        </w:tc>
        <w:tc>
          <w:tcPr>
            <w:tcW w:w="194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7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2"/>
        </w:trPr>
        <w:tc>
          <w:tcPr>
            <w:tcW w:w="31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180" w:type="dxa"/>
            <w:vAlign w:val="bottom"/>
          </w:tcPr>
          <w:p>
            <w:pPr>
              <w:spacing w:after="0"/>
              <w:rPr>
                <w:sz w:val="11"/>
                <w:szCs w:val="11"/>
                <w:color w:val="auto"/>
              </w:rPr>
            </w:pPr>
          </w:p>
        </w:tc>
        <w:tc>
          <w:tcPr>
            <w:tcW w:w="11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6"/>
        </w:trPr>
        <w:tc>
          <w:tcPr>
            <w:tcW w:w="31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17,644</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237,726</w:t>
            </w: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10,414</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7,341</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(450,603)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(202,273)</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new lease accounting guidance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76,950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76,950</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(90,073)</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10,671</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8,220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8,220</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(35,658)</w:t>
            </w:r>
          </w:p>
        </w:tc>
      </w:tr>
      <w:tr>
        <w:trPr>
          <w:trHeight w:val="236"/>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16,786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243,358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45,939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(239,782)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57"/>
        </w:trPr>
        <w:tc>
          <w:tcPr>
            <w:tcW w:w="8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2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income to cash flows provided by operating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Impairment and closure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43"/>
        </w:trPr>
        <w:tc>
          <w:tcPr>
            <w:tcW w:w="8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income tax receivables and payables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Gift card receivables and payables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43"/>
        </w:trPr>
        <w:tc>
          <w:tcPr>
            <w:tcW w:w="8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43"/>
        </w:trPr>
        <w:tc>
          <w:tcPr>
            <w:tcW w:w="8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43"/>
        </w:trPr>
        <w:tc>
          <w:tcPr>
            <w:tcW w:w="8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105,599</w:t>
            </w:r>
          </w:p>
        </w:tc>
        <w:tc>
          <w:tcPr>
            <w:tcW w:w="0" w:type="dxa"/>
            <w:vAlign w:val="bottom"/>
          </w:tcPr>
          <w:p>
            <w:pPr>
              <w:spacing w:after="0"/>
              <w:rPr>
                <w:sz w:val="1"/>
                <w:szCs w:val="1"/>
                <w:color w:val="auto"/>
              </w:rPr>
            </w:pPr>
          </w:p>
        </w:tc>
      </w:tr>
      <w:tr>
        <w:trPr>
          <w:trHeight w:val="237"/>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additions to 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7"/>
        </w:trPr>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(1,283,750)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Borrowing from revolving credit facility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0" w:type="dxa"/>
            <w:vAlign w:val="bottom"/>
          </w:tcPr>
          <w:p>
            <w:pPr>
              <w:spacing w:after="0"/>
              <w:rPr>
                <w:sz w:val="1"/>
                <w:szCs w:val="1"/>
                <w:color w:val="auto"/>
              </w:rPr>
            </w:pPr>
          </w:p>
        </w:tc>
      </w:tr>
      <w:tr>
        <w:trPr>
          <w:trHeight w:val="236"/>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200,379</w:t>
            </w:r>
          </w:p>
        </w:tc>
        <w:tc>
          <w:tcPr>
            <w:tcW w:w="0" w:type="dxa"/>
            <w:vAlign w:val="bottom"/>
          </w:tcPr>
          <w:p>
            <w:pPr>
              <w:spacing w:after="0"/>
              <w:rPr>
                <w:sz w:val="1"/>
                <w:szCs w:val="1"/>
                <w:color w:val="auto"/>
              </w:rPr>
            </w:pPr>
          </w:p>
        </w:tc>
      </w:tr>
      <w:tr>
        <w:trPr>
          <w:trHeight w:val="236"/>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152,912</w:t>
            </w:r>
          </w:p>
        </w:tc>
        <w:tc>
          <w:tcPr>
            <w:tcW w:w="0" w:type="dxa"/>
            <w:vAlign w:val="bottom"/>
          </w:tcPr>
          <w:p>
            <w:pPr>
              <w:spacing w:after="0"/>
              <w:rPr>
                <w:sz w:val="1"/>
                <w:szCs w:val="1"/>
                <w:color w:val="auto"/>
              </w:rPr>
            </w:pPr>
          </w:p>
        </w:tc>
      </w:tr>
      <w:tr>
        <w:trPr>
          <w:trHeight w:val="27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 in 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0" w:type="dxa"/>
            <w:vAlign w:val="bottom"/>
          </w:tcPr>
          <w:p>
            <w:pPr>
              <w:spacing w:after="0"/>
              <w:rPr>
                <w:sz w:val="1"/>
                <w:szCs w:val="1"/>
                <w:color w:val="auto"/>
              </w:rPr>
            </w:pPr>
          </w:p>
        </w:tc>
      </w:tr>
      <w:tr>
        <w:trPr>
          <w:trHeight w:val="243"/>
        </w:trPr>
        <w:tc>
          <w:tcPr>
            <w:tcW w:w="8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0" w:type="dxa"/>
            <w:vAlign w:val="bottom"/>
          </w:tcPr>
          <w:p>
            <w:pPr>
              <w:spacing w:after="0"/>
              <w:rPr>
                <w:sz w:val="1"/>
                <w:szCs w:val="1"/>
                <w:color w:val="auto"/>
              </w:rPr>
            </w:pPr>
          </w:p>
        </w:tc>
      </w:tr>
      <w:tr>
        <w:trPr>
          <w:trHeight w:val="351"/>
        </w:trPr>
        <w:tc>
          <w:tcPr>
            <w:tcW w:w="8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8" w:right="339" w:bottom="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16"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2020 are not necessarily indicative of the results that may be expected for the twelve months ending December 31, 2020.</w:t>
      </w:r>
    </w:p>
    <w:p>
      <w:pPr>
        <w:spacing w:after="0" w:line="170"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consolidated balance sheet at December 31, 2019 has been derived from the audited consolidated financial statements at that date but does not include all of information and footnotes required by U.S. GAAP for complete financial statements.</w:t>
      </w:r>
    </w:p>
    <w:p>
      <w:pPr>
        <w:spacing w:after="0" w:line="1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89"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second and third fiscal quarters of 2020 ended on June 28, 2020 and September 27, 2020, respectively. The first fiscal quarter of 2019 began on December 31, 2018 and ended on March 31, 2019; the second and third fiscal quarters of 2019 ended on June 30, 2019 and September 29, 2019, respectively.</w:t>
      </w:r>
    </w:p>
    <w:p>
      <w:pPr>
        <w:spacing w:after="0" w:line="21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49" w:lineRule="exact"/>
        <w:rPr>
          <w:sz w:val="20"/>
          <w:szCs w:val="20"/>
          <w:color w:val="auto"/>
        </w:rPr>
      </w:pPr>
    </w:p>
    <w:p>
      <w:pPr>
        <w:ind w:right="100" w:firstLine="324"/>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4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rapidly spreading outbreak of a novel strain of coronavirus, designated “COVID-19.” The extent of the continued impact of the COVID-19 pandemic on the Company's business is highly uncertain and difficult to predict, as measures taken in response to and the effect of the pandemic has varied and continues to vary by state and municipalities within states. Assessments of the success of measures taken and the timing of any further restrictions, or lifting of such restrictions, is rapidly evolving. The Company first began to experience impacts from COVID-19 in March 2020, as federal, state and local governments began to react to the public health crisis by encouraging “social distancing” and requiring, in varying degrees, restaurant dine-in limitations and other restrictions that largely limited the restaurants of the Company's franchisees and its company-operated restaurants to take-out and delivery sales. Many international restaurants were temporarily closed for at least a part of March as well as a result of government restrictions put in place in various countries. Subsequent to imposition, government-imposed dine-in restrictions were relaxed in many of the locations in which the Company operates, although dining room capacity continues to be limited to 50% or less at most restaurants. Additionally, economies worldwide also have been negatively impacted by the COVID-19 pandemic, which possibly could cause a domestic and/or global economic recession.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(Continued)</w:t>
      </w:r>
    </w:p>
    <w:p>
      <w:pPr>
        <w:spacing w:after="0" w:line="200" w:lineRule="exact"/>
        <w:rPr>
          <w:sz w:val="20"/>
          <w:szCs w:val="20"/>
          <w:color w:val="auto"/>
        </w:rPr>
      </w:pPr>
    </w:p>
    <w:p>
      <w:pPr>
        <w:spacing w:after="0" w:line="31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7"/>
          <w:szCs w:val="17"/>
          <w:color w:val="auto"/>
        </w:rPr>
        <w:t>The Company has taken several actions to mitigate the effects of the COVID-19 pandemic on its operations and its franchisees, as follows: (i) drew down $220 million from its revolving credit facility, leaving available remaining borrowing under the facility of approximately $2 million; (ii) terminated repurchases of common stock for the foreseeable future; (iii) the Company's Board of Directors decided not to declare a dividend for the second, third and fourth quarters of 2020; (iv) voluntarily increased the interest reserve for securitized debt from the required $16.4 million (one quarter of estimated interest) to $32.8 million; (v) reduced discretionary costs, limited new hiring and reduced the use of independent contractors; (vi) temporarily furloughed certain team members across various functional groups at its restaurant support centers; (vii) deferred franchisee payment of royalty, advertising and other fees, and lease obligations for up to two months on a case-by-case basis; (viii) deferred franchisee remodel and development obligations for up to 15 months;</w:t>
      </w:r>
    </w:p>
    <w:p>
      <w:pPr>
        <w:spacing w:after="0" w:line="1" w:lineRule="exact"/>
        <w:rPr>
          <w:sz w:val="20"/>
          <w:szCs w:val="20"/>
          <w:color w:val="auto"/>
        </w:rPr>
      </w:pPr>
    </w:p>
    <w:p>
      <w:pPr>
        <w:ind w:right="100" w:firstLine="8"/>
        <w:spacing w:after="0" w:line="239"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national real estate firm to assist franchisees with landlord discussions regarding rent deferrals, abatements and other modifications to lease agreements; (x) negotiated deferrals and abatements for properties on which the Company was lessee and (xi) hired external consultants to work with franchisees in assessing their financial health and to better understand performance variability.</w:t>
      </w:r>
    </w:p>
    <w:p>
      <w:pPr>
        <w:spacing w:after="0" w:line="212"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length of time dine-in restrictions are in place and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is highly uncertain.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Certain 2019 amounts previously reported have been reclassified to conform to the presentation requirements of a newly adopted accounting standard on the measurement of current expected credit losses (See Note 3). Amounts reported in 2019 have not been restated.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Adopted and Newly Issued Accounting Standards Not Yet Adopted</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21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new guidance on the measurement of current expected credit losses (“CECL”) on financial instruments. The new guidance has replaced the incurred loss methodology of recognizing credit losses on financial instruments with a methodology that estimates the expected credit loss on financial instruments and reflects the net amount expected to be collected on the financial instrument. The Company adopted this change in accounting principle as of the first day of the first fiscal quarter of 2020 using the modified retrospective method. Accordingly, financial information for periods prior to the date of initial application has not been adjusted.</w:t>
      </w:r>
    </w:p>
    <w:p>
      <w:pPr>
        <w:spacing w:after="0" w:line="21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Upon adoption of the new CECL guidance, the Company recognized an increase to its allowance for credit losses of $0.7 million. The Company recognized an adjustment to retained earnings upon adoption of $0.5 million, net of tax of $0.2 million.</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2020 that the Company reviewed and concluded was either not applicable to its operations or had no material effect on its consolidated financial statements in the current or future fiscal years.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43"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In December 2019, the FASB issued new guidance intended to simplify the accounting for income taxes, change the accounting for certain income tax transactions, and make other minor changes. The Company will be required to adopt the new guidance beginning with its first fiscal quarter of 2021; early adoption in any interim period after issuance of the new guidance is permitted. The Company is currently assessing the impact this guidance will have on its consolidated financial statements but does not expect this standard to have a material effect on its financial statements. The Company does not intend to adopt the standard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Accounting Standards Adopted and Newly Issued Accounting Standards Not Yet Adopted (Continued)</w:t>
      </w:r>
    </w:p>
    <w:p>
      <w:pPr>
        <w:spacing w:after="0" w:line="200" w:lineRule="exact"/>
        <w:rPr>
          <w:sz w:val="20"/>
          <w:szCs w:val="20"/>
          <w:color w:val="auto"/>
        </w:rPr>
      </w:pPr>
    </w:p>
    <w:p>
      <w:pPr>
        <w:spacing w:after="0" w:line="248"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In March 2020,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We are currently evaluating our contracts that reference LIBOR and the potential effects of adopting this new guidance.</w:t>
      </w:r>
    </w:p>
    <w:p>
      <w:pPr>
        <w:spacing w:after="0" w:line="208"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185" w:lineRule="exact"/>
        <w:rPr>
          <w:sz w:val="20"/>
          <w:szCs w:val="20"/>
          <w:color w:val="auto"/>
        </w:rPr>
      </w:pPr>
    </w:p>
    <w:p>
      <w:pPr>
        <w:ind w:left="340" w:right="8420" w:hanging="332"/>
        <w:spacing w:after="0" w:line="565" w:lineRule="auto"/>
        <w:tabs>
          <w:tab w:leader="none" w:pos="19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Impairment and Closure Charges </w:t>
      </w:r>
      <w:r>
        <w:rPr>
          <w:rFonts w:ascii="Times New Roman" w:cs="Times New Roman" w:eastAsia="Times New Roman" w:hAnsi="Times New Roman"/>
          <w:sz w:val="17"/>
          <w:szCs w:val="17"/>
          <w:u w:val="single" w:color="auto"/>
          <w:color w:val="auto"/>
        </w:rPr>
        <w:t>Goodwill and Intangible Assets</w:t>
      </w:r>
    </w:p>
    <w:p>
      <w:pPr>
        <w:spacing w:after="0" w:line="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Most of the Company's goodwill and intangible assets arose from the November 29, 2007 acquisition of Applebee's. 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1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COVID-19 pandemic, during the three months ended March 31, 2020, the Company performed assessments to determine whether the impacts of COVID-19 indicated a potential impairment to our goodwill and intangible assets, as well as our tangible assets. 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15"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assessed its goodwill, intangible assets and tangible assets for impairment, considering, among other things, the market value of the Company's stock, absolute and relative to peers, and the Company's operating performance during the three months ended September 30, 2020 compared to forecast results that had been used in performing the impairment analyses during the second quarter of 2020 discussed above. The Company concluded the were no indicators of additional impairment during the three months ended September 30, 2020.</w:t>
      </w:r>
    </w:p>
    <w:p>
      <w:pPr>
        <w:spacing w:after="0" w:line="212"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in the second quarter of 2020,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21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performing the impairment review of the tradename in the second quarter of 2020, the Company used the relief of royalty method under the income approach method of valuation. Significant assumptions used to determine fair value under the relief of royalty method include future trends in sales, a royalty rate and a discount rate to be applied to forecasted revenue.</w:t>
      </w:r>
    </w:p>
    <w:p>
      <w:pPr>
        <w:spacing w:after="0" w:line="20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of $92.2 million to the goodwill of the Applebee's franchise unit and an impairment of $11.0 million to Applebee's tradename during the three months ended June 30, 2020. The majority of the impairment was due to an increase in the assessed risk premium incorporated into the discount rate assumption.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Impairment and Closure Charges (Continued)</w:t>
      </w:r>
    </w:p>
    <w:p>
      <w:pPr>
        <w:spacing w:after="0" w:line="200" w:lineRule="exact"/>
        <w:rPr>
          <w:sz w:val="20"/>
          <w:szCs w:val="20"/>
          <w:color w:val="auto"/>
        </w:rPr>
      </w:pPr>
    </w:p>
    <w:p>
      <w:pPr>
        <w:spacing w:after="0" w:line="31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addition, the Company reviewed its reacquired franchising rights and determined that the carrying amount exceeded the estimated fair value by $3.3 million and has recorded an impairment to that intangible asset.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2020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Applebee's Franchise</w:t>
            </w:r>
          </w:p>
        </w:tc>
        <w:tc>
          <w:tcPr>
            <w:tcW w:w="14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Applebee's Company</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IHOP Franchise Unit</w:t>
            </w:r>
          </w:p>
        </w:tc>
        <w:tc>
          <w:tcPr>
            <w:tcW w:w="40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1"/>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5"/>
          </w:tcPr>
          <w:p>
            <w:pPr>
              <w:ind w:left="1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5"/>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343.9</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Pr>
          <w:p>
            <w:pPr>
              <w:spacing w:after="0"/>
              <w:rPr>
                <w:sz w:val="21"/>
                <w:szCs w:val="21"/>
                <w:color w:val="auto"/>
              </w:rPr>
            </w:pPr>
          </w:p>
        </w:tc>
        <w:tc>
          <w:tcPr>
            <w:tcW w:w="1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intangible assets for the nine months ended September 30, 2020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Not Subject to Amortization</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Amortization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Reacquired</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24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Franchising</w:t>
            </w: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Leaseholds</w:t>
            </w:r>
          </w:p>
        </w:tc>
        <w:tc>
          <w:tcPr>
            <w:tcW w:w="2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Company's goodwill and intangible assets are at risk of additional impairment in the future in the event of sustained downward movement in the Company's stock price, downward revisions of long-term performance assumptions or increases in the assumed long-term discount rate.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Long-lived Assets Impairment and Closure Charges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tangible asset impairment and closure charges for the three and nine months ended September 30, 2020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57"/>
        </w:trPr>
        <w:tc>
          <w:tcPr>
            <w:tcW w:w="6440" w:type="dxa"/>
            <w:vAlign w:val="bottom"/>
          </w:tcPr>
          <w:p>
            <w:pPr>
              <w:spacing w:after="0"/>
              <w:rPr>
                <w:sz w:val="22"/>
                <w:szCs w:val="22"/>
                <w:color w:val="auto"/>
              </w:rPr>
            </w:pPr>
          </w:p>
        </w:tc>
        <w:tc>
          <w:tcPr>
            <w:tcW w:w="192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6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1"/>
        </w:trPr>
        <w:tc>
          <w:tcPr>
            <w:tcW w:w="6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5"/>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72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Closure charges</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asset impairment and closure charges</w:t>
            </w: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The long-lived asset impairment for the nine months ended September 30, 2020 related to 45 Applebee's company-operated restaurants and 29 IHOP franchisee-operated restaurants for which the carrying amount exceeded the undiscounted cash flows The impairment recorded represented the difference between the carrying value and the estimated fair value. Approximately $11.2 million of the total impairment related to operating lease right-of-use assets that had been recorded in 2019 upon adoption of new lease accounting guidance codified in Accounting Standards Topic 842, while $5.9 million related to impairments of land, building, leasehold improvements and finance leases. The impairments by individual property varied in amount, ranging from the largest single-property impairment of $1.3 million to less than $5,000.</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Disclosures</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Franchise revenue (which comprises most of the Company's revenues)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Franchising Activities</w:t>
      </w:r>
    </w:p>
    <w:p>
      <w:pPr>
        <w:spacing w:after="0" w:line="254"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The Company owns, franchises and operates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casual dining category of the restaurant industry and the Company owns and franchises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252" w:lineRule="exact"/>
        <w:rPr>
          <w:sz w:val="20"/>
          <w:szCs w:val="20"/>
          <w:color w:val="auto"/>
        </w:rPr>
      </w:pPr>
    </w:p>
    <w:p>
      <w:pPr>
        <w:ind w:left="580" w:right="280" w:hanging="329"/>
        <w:spacing w:after="0" w:line="257"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 w:lineRule="exact"/>
        <w:rPr>
          <w:rFonts w:ascii="Times New Roman" w:cs="Times New Roman" w:eastAsia="Times New Roman" w:hAnsi="Times New Roman"/>
          <w:sz w:val="18"/>
          <w:szCs w:val="18"/>
          <w:color w:val="auto"/>
        </w:rPr>
      </w:pPr>
    </w:p>
    <w:p>
      <w:pPr>
        <w:ind w:left="580" w:right="80" w:hanging="329"/>
        <w:spacing w:after="0" w:line="250"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1" w:lineRule="exact"/>
        <w:rPr>
          <w:rFonts w:ascii="Times New Roman" w:cs="Times New Roman" w:eastAsia="Times New Roman" w:hAnsi="Times New Roman"/>
          <w:sz w:val="18"/>
          <w:szCs w:val="18"/>
          <w:color w:val="auto"/>
        </w:rPr>
      </w:pPr>
    </w:p>
    <w:p>
      <w:pPr>
        <w:ind w:left="580" w:right="480" w:hanging="329"/>
        <w:spacing w:after="0" w:line="260"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2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Restaurant Revenue</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6" w:name="page17"/>
    <w:bookmarkEnd w:id="16"/>
    <w:p>
      <w:pPr>
        <w:ind w:left="20"/>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5. Revenue Disclosures (Continued)</w:t>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and nine months ended September 30,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212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57"/>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Pr>
          <w:p>
            <w:pPr>
              <w:spacing w:after="0"/>
              <w:rPr>
                <w:sz w:val="22"/>
                <w:szCs w:val="22"/>
                <w:color w:val="auto"/>
              </w:rPr>
            </w:pPr>
          </w:p>
        </w:tc>
        <w:tc>
          <w:tcPr>
            <w:tcW w:w="212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226,888</w:t>
            </w:r>
          </w:p>
        </w:tc>
      </w:tr>
      <w:tr>
        <w:trPr>
          <w:trHeight w:val="243"/>
        </w:trPr>
        <w:tc>
          <w:tcPr>
            <w:tcW w:w="20" w:type="dxa"/>
            <w:vAlign w:val="bottom"/>
          </w:tcPr>
          <w:p>
            <w:pPr>
              <w:spacing w:after="0"/>
              <w:rPr>
                <w:sz w:val="21"/>
                <w:szCs w:val="21"/>
                <w:color w:val="auto"/>
              </w:rPr>
            </w:pPr>
          </w:p>
        </w:tc>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67,514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211,882</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w:t>
            </w:r>
          </w:p>
        </w:tc>
      </w:tr>
      <w:tr>
        <w:trPr>
          <w:trHeight w:val="243"/>
        </w:trPr>
        <w:tc>
          <w:tcPr>
            <w:tcW w:w="20" w:type="dxa"/>
            <w:vAlign w:val="bottom"/>
          </w:tcPr>
          <w:p>
            <w:pPr>
              <w:spacing w:after="0"/>
              <w:rPr>
                <w:sz w:val="21"/>
                <w:szCs w:val="21"/>
                <w:color w:val="auto"/>
              </w:rPr>
            </w:pPr>
          </w:p>
        </w:tc>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7"/>
        </w:trPr>
        <w:tc>
          <w:tcPr>
            <w:tcW w:w="6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121,752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156,200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487,794</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20" w:right="36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from franchisees as of September 30, 2020 and December 31, 2019 were $94.4 million (net of allowance of $7.0 million) and $63.5 million (net of allowance of $0.7 million), respectively, and were included in receivables, net in the Consolidated Balance Sheets.</w:t>
      </w:r>
    </w:p>
    <w:p>
      <w:pPr>
        <w:spacing w:after="0" w:line="189" w:lineRule="exact"/>
        <w:rPr>
          <w:sz w:val="20"/>
          <w:szCs w:val="20"/>
          <w:color w:val="auto"/>
        </w:rPr>
      </w:pPr>
    </w:p>
    <w:p>
      <w:pPr>
        <w:ind w:left="20" w:right="420"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nine months ended September 30, 2020 are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(short- and long-term)</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as revenue during the nine months ended September 30, 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deferred during the nine months ended September 30, 2020</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61,963</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The balance of deferred revenue as of September 30, 2020 is expected to be recognized as follows: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2020</w:t>
            </w:r>
          </w:p>
        </w:tc>
        <w:tc>
          <w:tcPr>
            <w:tcW w:w="22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Current Expected Credit Losses</w:t>
      </w:r>
    </w:p>
    <w:p>
      <w:pPr>
        <w:spacing w:after="0" w:line="256" w:lineRule="exact"/>
        <w:rPr>
          <w:sz w:val="20"/>
          <w:szCs w:val="20"/>
          <w:color w:val="auto"/>
        </w:rPr>
      </w:pPr>
    </w:p>
    <w:p>
      <w:pPr>
        <w:ind w:left="20" w:right="80" w:firstLine="324"/>
        <w:spacing w:after="0" w:line="258" w:lineRule="auto"/>
        <w:rPr>
          <w:sz w:val="20"/>
          <w:szCs w:val="20"/>
          <w:color w:val="auto"/>
        </w:rPr>
      </w:pPr>
      <w:r>
        <w:rPr>
          <w:rFonts w:ascii="Times New Roman" w:cs="Times New Roman" w:eastAsia="Times New Roman" w:hAnsi="Times New Roman"/>
          <w:sz w:val="18"/>
          <w:szCs w:val="18"/>
          <w:color w:val="auto"/>
        </w:rPr>
        <w:t>Prior to the adoption of CECL, the Company recorded incurred loss reserves against receivable balances based on current and historical information, with delinquency status being the primary indicator of a deterioration in credit quality. The recently adopted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210" w:lineRule="exact"/>
        <w:rPr>
          <w:sz w:val="20"/>
          <w:szCs w:val="20"/>
          <w:color w:val="auto"/>
        </w:rPr>
      </w:pPr>
    </w:p>
    <w:p>
      <w:pPr>
        <w:ind w:left="20" w:right="160" w:firstLine="324"/>
        <w:spacing w:after="0" w:line="258" w:lineRule="auto"/>
        <w:rPr>
          <w:sz w:val="20"/>
          <w:szCs w:val="20"/>
          <w:color w:val="auto"/>
        </w:rPr>
      </w:pPr>
      <w:r>
        <w:rPr>
          <w:rFonts w:ascii="Times New Roman" w:cs="Times New Roman" w:eastAsia="Times New Roman" w:hAnsi="Times New Roman"/>
          <w:sz w:val="18"/>
          <w:szCs w:val="18"/>
          <w:color w:val="auto"/>
        </w:rPr>
        <w:t>Upon adoption of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a reversion to history, if applicable.</w:t>
      </w:r>
    </w:p>
    <w:p>
      <w:pPr>
        <w:sectPr>
          <w:pgSz w:w="11900" w:h="16838" w:orient="portrait"/>
          <w:cols w:equalWidth="0" w:num="1">
            <w:col w:w="11260"/>
          </w:cols>
          <w:pgMar w:left="3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Current Expected Credit Losses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Historical Losses</w:t>
      </w:r>
    </w:p>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 off method. Historical loss rates are further adjusted by factors related to current conditions and forecasts of future economic conditions.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Conditions</w:t>
      </w:r>
    </w:p>
    <w:p>
      <w:pPr>
        <w:spacing w:after="0" w:line="25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four-wall EBITDA profitability. The current conditions adjustment factor was increased to account for the impact of the COVID-19 pandemic.</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Reasonable and Supportable Forecasts</w:t>
      </w:r>
    </w:p>
    <w:p>
      <w:pPr>
        <w:spacing w:after="0" w:line="25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(PCE) index.</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Reversion to History</w:t>
      </w:r>
    </w:p>
    <w:p>
      <w:pPr>
        <w:spacing w:after="0" w:line="23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reversion to history was not required since the remaining average lives of the Company’s financial assets are not exceedingly lengthy.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Due to the riskier nature of Applebee's notes that were converted from previously delinquent franchisee accounts receivable balances, a significant portion of these notes have specific reserves recorded against them amounting to $14.4 million as of September 30, 2020.</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Direct Financing Leases Receivable</w:t>
      </w:r>
    </w:p>
    <w:p>
      <w:pPr>
        <w:spacing w:after="0" w:line="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Direct financing lease receivables relate to IHOP franchise development activity prior to 2003 when IHOP typically leased or purchased the restaurant site, built and equipped the restaurant, then franchised the restaurant to a franchisee. IHOP provided the financing for leasing or subleasing the site. Direct financing leases at September 30, 2020, comprised 98 leases with a weighted average remaining life of 4.1 years, and relate to locations that IHOP is leasing from third parties and subleasing to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Current Expected Credit Losses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Equipment leases receivable also relate to IHOP franchise development activity prior to 2003.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5.6 years as of September 30, 2020.</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25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6"/>
        </w:trPr>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7"/>
                <w:szCs w:val="17"/>
                <w:color w:val="auto"/>
              </w:rPr>
            </w:pPr>
          </w:p>
        </w:tc>
      </w:tr>
      <w:tr>
        <w:trPr>
          <w:trHeight w:val="25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6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financing leases receivable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6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fee 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234.2</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6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222.9</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allowance for credit losses during the nine months ended September 30, 2020 were as follows:</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3"/>
                <w:szCs w:val="13"/>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3"/>
                <w:szCs w:val="13"/>
                <w:color w:val="auto"/>
              </w:rPr>
            </w:pPr>
          </w:p>
        </w:tc>
        <w:tc>
          <w:tcPr>
            <w:tcW w:w="9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CECL adoption</w:t>
            </w:r>
          </w:p>
        </w:tc>
        <w:tc>
          <w:tcPr>
            <w:tcW w:w="140" w:type="dxa"/>
            <w:vAlign w:val="bottom"/>
          </w:tcPr>
          <w:p>
            <w:pPr>
              <w:spacing w:after="0"/>
              <w:rPr>
                <w:sz w:val="21"/>
                <w:szCs w:val="21"/>
                <w:color w:val="auto"/>
              </w:rPr>
            </w:pPr>
          </w:p>
        </w:tc>
        <w:tc>
          <w:tcPr>
            <w:tcW w:w="9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0.3</w:t>
            </w:r>
          </w:p>
        </w:tc>
        <w:tc>
          <w:tcPr>
            <w:tcW w:w="2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 for the nine months ended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3.8</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tcPr>
          <w:p>
            <w:pPr>
              <w:spacing w:after="0"/>
              <w:rPr>
                <w:sz w:val="21"/>
                <w:szCs w:val="21"/>
                <w:color w:val="auto"/>
              </w:rPr>
            </w:pPr>
          </w:p>
        </w:tc>
        <w:tc>
          <w:tcPr>
            <w:tcW w:w="9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2.4</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0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(0.2)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1"/>
                <w:szCs w:val="21"/>
                <w:color w:val="auto"/>
              </w:rPr>
            </w:pPr>
          </w:p>
        </w:tc>
        <w:tc>
          <w:tcPr>
            <w:tcW w:w="9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0.0</w:t>
            </w:r>
          </w:p>
        </w:tc>
        <w:tc>
          <w:tcPr>
            <w:tcW w:w="2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520" w:hanging="188"/>
        <w:spacing w:after="0"/>
        <w:tabs>
          <w:tab w:leader="none" w:pos="5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distributor receivables, gift card receivables and credit card receivables</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Current Expected Credit Losses (Continued)</w:t>
      </w:r>
    </w:p>
    <w:p>
      <w:pPr>
        <w:spacing w:after="0" w:line="200" w:lineRule="exact"/>
        <w:rPr>
          <w:sz w:val="20"/>
          <w:szCs w:val="20"/>
          <w:color w:val="auto"/>
        </w:rPr>
      </w:pPr>
    </w:p>
    <w:p>
      <w:pPr>
        <w:spacing w:after="0" w:line="2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The delinquency status of receivables (other than accounts receivable, gift card receivables and distributor receivables) at September 30, 2020 was as follows:</w:t>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7"/>
                <w:szCs w:val="17"/>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7"/>
                <w:szCs w:val="17"/>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7"/>
                <w:szCs w:val="17"/>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20" w:hanging="188"/>
        <w:spacing w:after="0"/>
        <w:tabs>
          <w:tab w:leader="none" w:pos="5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w:t>
      </w:r>
      <w:r>
        <w:rPr>
          <w:rFonts w:ascii="Times New Roman" w:cs="Times New Roman" w:eastAsia="Times New Roman" w:hAnsi="Times New Roman"/>
          <w:sz w:val="16"/>
          <w:szCs w:val="16"/>
          <w:color w:val="auto"/>
        </w:rPr>
        <w:t>redit card receivables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is as follows:</w:t>
      </w:r>
    </w:p>
    <w:p>
      <w:pPr>
        <w:spacing w:after="0" w:line="6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short and long-</w:t>
            </w:r>
          </w:p>
        </w:tc>
        <w:tc>
          <w:tcPr>
            <w:tcW w:w="240" w:type="dxa"/>
            <w:vAlign w:val="bottom"/>
          </w:tcPr>
          <w:p>
            <w:pPr>
              <w:spacing w:after="0"/>
              <w:rPr>
                <w:sz w:val="17"/>
                <w:szCs w:val="17"/>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40" w:type="dxa"/>
            <w:vAlign w:val="bottom"/>
          </w:tcPr>
          <w:p>
            <w:pPr>
              <w:spacing w:after="0"/>
              <w:rPr>
                <w:sz w:val="17"/>
                <w:szCs w:val="17"/>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term</w:t>
            </w:r>
          </w:p>
        </w:tc>
        <w:tc>
          <w:tcPr>
            <w:tcW w:w="24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4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Notes</w:t>
            </w:r>
          </w:p>
        </w:tc>
        <w:tc>
          <w:tcPr>
            <w:tcW w:w="36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3"/>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 Disclosures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3" w:lineRule="exact"/>
        <w:rPr>
          <w:sz w:val="20"/>
          <w:szCs w:val="20"/>
          <w:color w:val="auto"/>
        </w:rPr>
      </w:pPr>
    </w:p>
    <w:p>
      <w:pPr>
        <w:ind w:right="80" w:firstLine="243"/>
        <w:spacing w:after="0" w:line="252"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 Disclosures (Continued)</w:t>
      </w:r>
    </w:p>
    <w:p>
      <w:pPr>
        <w:spacing w:after="0" w:line="200" w:lineRule="exact"/>
        <w:rPr>
          <w:sz w:val="20"/>
          <w:szCs w:val="20"/>
          <w:color w:val="auto"/>
        </w:rPr>
      </w:pPr>
    </w:p>
    <w:p>
      <w:pPr>
        <w:spacing w:after="0" w:line="235" w:lineRule="exact"/>
        <w:rPr>
          <w:sz w:val="20"/>
          <w:szCs w:val="20"/>
          <w:color w:val="auto"/>
        </w:rPr>
      </w:pPr>
    </w:p>
    <w:p>
      <w:pPr>
        <w:ind w:firstLine="243"/>
        <w:spacing w:after="0" w:line="258"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provided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115 of the Company's leases contain provisions requiring additional rent payments to the Company (as lessor) based on a percentage of restaurant sales. Approximately 240 of the Company's leases contain provisions requiring additional rent payments by the Company (as lessee) based on a percentage of restaurant sales.</w:t>
      </w:r>
    </w:p>
    <w:p>
      <w:pPr>
        <w:spacing w:after="0" w:line="210" w:lineRule="exact"/>
        <w:rPr>
          <w:sz w:val="20"/>
          <w:szCs w:val="20"/>
          <w:color w:val="auto"/>
        </w:rPr>
      </w:pPr>
    </w:p>
    <w:p>
      <w:pPr>
        <w:ind w:right="100" w:firstLine="243"/>
        <w:spacing w:after="0" w:line="258"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lease cost for the three and nine months ended September 30, 2020 and 2019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20" w:type="dxa"/>
            <w:vAlign w:val="bottom"/>
            <w:gridSpan w:val="3"/>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7"/>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5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5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6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September 30, 2020 were as follows: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60" w:type="dxa"/>
            <w:vAlign w:val="bottom"/>
          </w:tcPr>
          <w:p>
            <w:pPr>
              <w:spacing w:after="0"/>
              <w:rPr>
                <w:sz w:val="13"/>
                <w:szCs w:val="13"/>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5"/>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September 30, 2020 was 9.0 years for finance leases and 7.4 years for operating leases. The weighted average discount rate as of September 30, 2020 was 10.2% for finance leases and 5.7% for operating leases.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 Disclosures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2020 and 2019, the Company made the following cash payments for leases: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00" w:type="dxa"/>
            <w:vAlign w:val="bottom"/>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5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5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nine months ended September 30, 2020 and 2019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9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6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Pr>
          <w:p>
            <w:pPr>
              <w:spacing w:after="0"/>
              <w:rPr>
                <w:sz w:val="18"/>
                <w:szCs w:val="18"/>
                <w:color w:val="auto"/>
              </w:rPr>
            </w:pPr>
          </w:p>
        </w:tc>
      </w:tr>
      <w:tr>
        <w:trPr>
          <w:trHeight w:val="33"/>
        </w:trPr>
        <w:tc>
          <w:tcPr>
            <w:tcW w:w="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6"/>
        </w:trPr>
        <w:tc>
          <w:tcPr>
            <w:tcW w:w="3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5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w:t>
            </w:r>
          </w:p>
        </w:tc>
      </w:tr>
      <w:tr>
        <w:trPr>
          <w:trHeight w:val="27"/>
        </w:trPr>
        <w:tc>
          <w:tcPr>
            <w:tcW w:w="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6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2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w:t>
            </w: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561"/>
        </w:trPr>
        <w:tc>
          <w:tcPr>
            <w:tcW w:w="300" w:type="dxa"/>
            <w:vAlign w:val="bottom"/>
          </w:tcPr>
          <w:p>
            <w:pPr>
              <w:spacing w:after="0"/>
              <w:rPr>
                <w:sz w:val="24"/>
                <w:szCs w:val="24"/>
                <w:color w:val="auto"/>
              </w:rPr>
            </w:pPr>
          </w:p>
        </w:tc>
        <w:tc>
          <w:tcPr>
            <w:tcW w:w="97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noncancelable operating leases as of September 30, 2020 were as follows:</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0"/>
        </w:trPr>
        <w:tc>
          <w:tcPr>
            <w:tcW w:w="3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3"/>
        </w:trPr>
        <w:tc>
          <w:tcPr>
            <w:tcW w:w="30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Pr>
          <w:p>
            <w:pPr>
              <w:spacing w:after="0"/>
              <w:rPr>
                <w:sz w:val="22"/>
                <w:szCs w:val="22"/>
                <w:color w:val="auto"/>
              </w:rPr>
            </w:pPr>
          </w:p>
        </w:tc>
      </w:tr>
      <w:tr>
        <w:trPr>
          <w:trHeight w:val="27"/>
        </w:trPr>
        <w:tc>
          <w:tcPr>
            <w:tcW w:w="56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Pr>
          <w:p>
            <w:pPr>
              <w:spacing w:after="0"/>
              <w:rPr>
                <w:sz w:val="21"/>
                <w:szCs w:val="21"/>
                <w:color w:val="auto"/>
              </w:rPr>
            </w:pPr>
          </w:p>
        </w:tc>
      </w:tr>
      <w:tr>
        <w:trPr>
          <w:trHeight w:val="243"/>
        </w:trPr>
        <w:tc>
          <w:tcPr>
            <w:tcW w:w="5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tcPr>
          <w:p>
            <w:pPr>
              <w:spacing w:after="0"/>
              <w:rPr>
                <w:sz w:val="21"/>
                <w:szCs w:val="21"/>
                <w:color w:val="auto"/>
              </w:rPr>
            </w:pPr>
          </w:p>
        </w:tc>
      </w:tr>
      <w:tr>
        <w:trPr>
          <w:trHeight w:val="27"/>
        </w:trPr>
        <w:tc>
          <w:tcPr>
            <w:tcW w:w="56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21"/>
                <w:szCs w:val="21"/>
                <w:color w:val="auto"/>
              </w:rPr>
            </w:pPr>
          </w:p>
        </w:tc>
      </w:tr>
      <w:tr>
        <w:trPr>
          <w:trHeight w:val="243"/>
        </w:trPr>
        <w:tc>
          <w:tcPr>
            <w:tcW w:w="5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tcPr>
          <w:p>
            <w:pPr>
              <w:spacing w:after="0"/>
              <w:rPr>
                <w:sz w:val="23"/>
                <w:szCs w:val="23"/>
                <w:color w:val="auto"/>
              </w:rPr>
            </w:pPr>
          </w:p>
        </w:tc>
      </w:tr>
      <w:tr>
        <w:trPr>
          <w:trHeight w:val="263"/>
        </w:trPr>
        <w:tc>
          <w:tcPr>
            <w:tcW w:w="30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income from direct financing leases for the three and nine months ended September 30, 2020 and 2019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00" w:type="dxa"/>
            <w:vAlign w:val="bottom"/>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7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5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 Disclosures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noncancelable direct financing leases as of September 30, 2020 were as follows:</w:t>
      </w:r>
    </w:p>
    <w:p>
      <w:pPr>
        <w:spacing w:after="0" w:line="5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20"/>
          </w:cols>
          <w:pgMar w:left="320" w:top="360" w:right="359" w:bottom="1440" w:gutter="0" w:footer="0" w:header="0"/>
        </w:sectPr>
      </w:pP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2020 (remaining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34290</wp:posOffset>
            </wp:positionV>
            <wp:extent cx="67379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34290</wp:posOffset>
            </wp:positionV>
            <wp:extent cx="67379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34290</wp:posOffset>
            </wp:positionV>
            <wp:extent cx="67379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Thereafter</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minimum rents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34290</wp:posOffset>
            </wp:positionV>
            <wp:extent cx="67379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Less: unearned income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net investment in direct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34290</wp:posOffset>
            </wp:positionV>
            <wp:extent cx="67379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investment in direct financing leases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September 30, 2020 and December 31, 2019, long-term debt consisted of the following: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left="1640"/>
        <w:spacing w:after="0"/>
        <w:tabs>
          <w:tab w:leader="none" w:pos="2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10.6</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3.7</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1.5</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34290</wp:posOffset>
            </wp:positionV>
            <wp:extent cx="89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57"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30.7</w:t>
      </w:r>
    </w:p>
    <w:p>
      <w:pPr>
        <w:spacing w:after="0" w:line="6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34290</wp:posOffset>
            </wp:positionV>
            <wp:extent cx="899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57"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25.5</w:t>
      </w:r>
    </w:p>
    <w:p>
      <w:pPr>
        <w:spacing w:after="0" w:line="6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34290</wp:posOffset>
            </wp:positionV>
            <wp:extent cx="899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57" w:lineRule="exact"/>
        <w:rPr>
          <w:sz w:val="20"/>
          <w:szCs w:val="20"/>
          <w:color w:val="auto"/>
        </w:rPr>
      </w:pPr>
    </w:p>
    <w:p>
      <w:pPr>
        <w:ind w:left="1640"/>
        <w:spacing w:after="0"/>
        <w:tabs>
          <w:tab w:leader="none" w:pos="2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34290</wp:posOffset>
            </wp:positionV>
            <wp:extent cx="89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60325</wp:posOffset>
            </wp:positionV>
            <wp:extent cx="89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September 30, 2020</w:t>
      </w:r>
      <w:r>
        <w:rPr>
          <w:sz w:val="20"/>
          <w:szCs w:val="20"/>
          <w:color w:val="auto"/>
        </w:rPr>
        <w:tab/>
      </w:r>
      <w:r>
        <w:rPr>
          <w:rFonts w:ascii="Times New Roman" w:cs="Times New Roman" w:eastAsia="Times New Roman" w:hAnsi="Times New Roman"/>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24765</wp:posOffset>
            </wp:positionV>
            <wp:extent cx="2125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7180" w:space="720"/>
            <w:col w:w="3320"/>
          </w:cols>
          <w:pgMar w:left="320" w:top="360" w:right="359" w:bottom="1440" w:gutter="0" w:footer="0" w:header="0"/>
          <w:type w:val="continuous"/>
        </w:sectPr>
      </w:pPr>
    </w:p>
    <w:tbl>
      <w:tblPr>
        <w:tblLayout w:type="fixed"/>
        <w:tblInd w:w="220" w:type="dxa"/>
        <w:tblCellMar>
          <w:top w:w="0" w:type="dxa"/>
          <w:left w:w="0" w:type="dxa"/>
          <w:bottom w:w="0" w:type="dxa"/>
          <w:right w:w="0" w:type="dxa"/>
        </w:tblCellMar>
      </w:tblPr>
      <w:tr>
        <w:trPr>
          <w:trHeight w:val="26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4.194%</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4.723%</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5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2019-1</w:t>
            </w:r>
          </w:p>
        </w:tc>
        <w:tc>
          <w:tcPr>
            <w:tcW w:w="6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Funding Senior Notes Class A-1, variable interest rate of 2.44% at September</w:t>
            </w:r>
          </w:p>
        </w:tc>
        <w:tc>
          <w:tcPr>
            <w:tcW w:w="5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30, 2020</w:t>
            </w:r>
          </w:p>
        </w:tc>
        <w:tc>
          <w:tcPr>
            <w:tcW w:w="60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0" w:type="dxa"/>
            <w:vAlign w:val="bottom"/>
          </w:tcPr>
          <w:p>
            <w:pPr>
              <w:spacing w:after="0"/>
              <w:rPr>
                <w:sz w:val="1"/>
                <w:szCs w:val="1"/>
                <w:color w:val="auto"/>
              </w:rPr>
            </w:pPr>
          </w:p>
        </w:tc>
      </w:tr>
      <w:tr>
        <w:trPr>
          <w:trHeight w:val="243"/>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gridSpan w:val="2"/>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0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Co-Issuers also replaced their existing revolving financing facility, the 2018-1 Variable Funding Senior Notes, Class A-1 (“2018-1 Class A-1 Notes”), with a new revolving financing facility, the 2019-1 Variable Funding Senior Notes, Class A-1 (the “Revolver”), on substantially the same terms as the 2018-1 Class A-1 Notes in order to conform the term of the Revolver to the anticipated repayment dates for the 2019 Class A-2 Notes. The Revolver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used the majority of the net proceeds of the offering to repay the entire outstanding balance of approximately $1.28 billion of Series 2014-1 4.277% Fixed Rate Senior Notes, Class A-2. The Company used the remaining proceeds of the offering to pay for transactions costs associated with the securitization refinancing transaction and for general corporate purposes.</w:t>
      </w:r>
    </w:p>
    <w:p>
      <w:pPr>
        <w:sectPr>
          <w:pgSz w:w="11900" w:h="16838" w:orient="portrait"/>
          <w:cols w:equalWidth="0" w:num="1">
            <w:col w:w="11220"/>
          </w:cols>
          <w:pgMar w:left="320" w:top="36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2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Company's leverage ratio was 6.67x. As a result, the Company anticipates making principal payments on the 2019 Class A-2 Notes of $3.25 million beginning in the fourth quarter of 2020. Exceeding the leverage ratio of 5.25x does not violate any covenant related to the New Notes.</w:t>
      </w:r>
    </w:p>
    <w:p>
      <w:pPr>
        <w:spacing w:after="0" w:line="20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we repay the 2019 Class A-2 Notes prior to certain dates we would be required to pay make-whole premiums. As of September 30, 2020, the make-whole premium associated with voluntary prepayment of the Class A-2-I Notes was approximately $41 million; this amount declines progressively each quarter to zero in June 2022. As of September 30, 2020, the make-whole premium associated with voluntary prepayment of the Class A-2-II Notes was approximately $84 million; this amount declines progressively each quarter to zero in June 2024.</w:t>
      </w:r>
    </w:p>
    <w:p>
      <w:pPr>
        <w:spacing w:after="0" w:line="21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September 30, 2020, based on the probability-weighted discounted cash flows associated with either event.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3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Co-Issuers also entered into the Revolver that allows for drawings up to $225 million of variable funding notes and the issuance of letters of credit. The 2019 Class A-1 Notes were issued under the Indenture. Drawings and certain additional terms related to the Revolver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credit, swingline lender and administrative agent (the “Purchase Agreement”).</w:t>
      </w:r>
    </w:p>
    <w:p>
      <w:pPr>
        <w:spacing w:after="0" w:line="214"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Revolver is governed, in part, by the Purchase Agreement and by certain generally applicable terms contained in the Indenture. The applicable interest rate under the Revolver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plus (b) the greatest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31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of (i) the Prime Rate in effect from time to time, (ii) the Federal Funds Rate in effect from time to time plus 0.50% and (iii) the one-month Eurodollar Funding Rate plus 1.00%. There is no upfront fee for the Revolver. There is a fee of 50 basis points on any unused portion of the revolving financing facility. Undrawn face amounts of outstanding letters of credit that are not cash collateralized accrue a fee of 2.15% per annum.</w:t>
      </w:r>
    </w:p>
    <w:p>
      <w:pPr>
        <w:spacing w:after="0" w:line="2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borrowed $220.0 million against the Revolver, all of which was outstanding at September 30, 2020. At September 30, 2020, $2.8 million was pledged against the Revolver for outstanding letters of credit, leaving $2.2 million available for borrowing. The letters of credit are used primarily to satisfy insurance-related collateral requirements. The maximum amount of the Revolver outstanding during the nine months ended September 30, 2020 was $220.0 million and the weighted average interest rates for the three and nine months ended September 30, 2020 were 2.53% and 3.31%, respectively. It is anticipated that any principal and interest on the Revolver will be repaid in full on or prior to the quarterly payment date in June 2024, subject to two additional one-year extensions at the option of the Company upon the satisfaction of certain conditions.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25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1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21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DSCR for the reporting period ended September 30, 2020 was approximately 3.2x.</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5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the estimated life of each tranche of the 2019 Class A-2 Notes. Amortization costs of $0.5 million and $1.6 million were included in interest expense for the three months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31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incurred costs of approximately $0.2 million in connection with the replacement of the 2018-1 Class A-1 Notes with the Revolver. These debt issuance costs were added to the remaining unamortized costs of approximately $2.8 million related to the 2018-1 Class A-1 Notes, the total of which costs is being amortized using the effective interest method over the estimated five-year life of the Revolver. Amortization costs of $0.1 million and $0.4 million were included in interest expense for the three and nine months ended September 30, 2020, respectively.</w:t>
      </w:r>
    </w:p>
    <w:p>
      <w:pPr>
        <w:spacing w:after="0" w:line="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At September 30, 2020, total unamortized debt issuance costs of $12.5 million are reported as a direct reduction of the Revolver and 2019 Class A-2 Notes in the Consolidated Balance Sheets. That amount includes $2.6 million of costs related to the Revolver that were classified as other long-term assets as of December 31, 2019 because there had been no borrowing against the Revolver since it was established.</w:t>
      </w:r>
    </w:p>
    <w:p>
      <w:pPr>
        <w:spacing w:after="0" w:line="21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2019 Class A-2 Notes and the Revolver, refer to Note 8 of the Notes to Consolidated Financial Statements included in the Company’s Annual Report on Form 10-K for the year ended December 31, 2019.</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Face-value maturities of long-term debt for each of the next five years, assuming the Company's leverage ratio remains greater than 5.25x, are as follows:</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8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8"/>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r>
      <w:tr>
        <w:trPr>
          <w:trHeight w:val="24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7"/>
        </w:trPr>
        <w:tc>
          <w:tcPr>
            <w:tcW w:w="8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Deficit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paid dividends on common stock of $23.9 million, representing a cash dividend of $0.69 per share declared in the fourth quarter of 2019, paid on January 10, 2020 to stockholders of record at the close of business on December 20, 2019 and a cash dividend of $0.76 per share declared in the first quarter of 2020, paid on April 3, 2020 to stockholders of record at the close of business on March 20, 2020. Dividends were not declared for the second or third quarters of 2020, and the Board of Directors has determined that it will not declare dividends for the fourth quarter of 2020.</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and nine months ended September 30, 2020 and 2019 were as follows: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spacing w:after="0"/>
              <w:rPr>
                <w:sz w:val="21"/>
                <w:szCs w:val="21"/>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ectPr>
          <w:pgSz w:w="11900" w:h="16838" w:orient="portrait"/>
          <w:cols w:equalWidth="0" w:num="1">
            <w:col w:w="11160"/>
          </w:cols>
          <w:pgMar w:left="320" w:top="11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Stockholders' Deficit (Continued)</w:t>
      </w:r>
    </w:p>
    <w:p>
      <w:pPr>
        <w:spacing w:after="0" w:line="200" w:lineRule="exact"/>
        <w:rPr>
          <w:sz w:val="20"/>
          <w:szCs w:val="20"/>
          <w:color w:val="auto"/>
        </w:rPr>
      </w:pPr>
    </w:p>
    <w:p>
      <w:pPr>
        <w:spacing w:after="0" w:line="2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2019 Repurchase Program, during three and nine months ended September 30, 2020 and cumulatively, is as follows:</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33"/>
        </w:trPr>
        <w:tc>
          <w:tcPr>
            <w:tcW w:w="69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1"/>
        </w:trPr>
        <w:tc>
          <w:tcPr>
            <w:tcW w:w="6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Repurchased during the three months ended September 30, 2020</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Repurchased during the nine months ended September 30, 2020</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459,899</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1,697,597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7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bl>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2020, the Company re-issued 396,996 shares of treasury stock at a total FIFO cost of $17.9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62"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The Company's effective tax rate was 5.6% for the nine months ended September 30, 2020 as compared to 24.5% for the nine months ended September 30, 2019. The effective tax rate of 5.6% for the nine months ended September 30, 2020 (the tax benefit of $6.1 million on the pretax book loss of $108.6 million) was significantly different than the rate of the prior comparable period and the statutory federal tax rate of 21% because the</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$92.2 million impairment of goodwill incurred in the prior quarter is not deductible for federal income tax purposes and therefore has no associated tax benefit.</w:t>
      </w:r>
    </w:p>
    <w:p>
      <w:pPr>
        <w:spacing w:after="0" w:line="20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September 30, 2020 and December 31, 2019 was $6.2 million and $7.6 million, respectively, excluding interest, penalties and related tax benefits. The Company estimates the unrecognized tax benefit as of September 30, 2020 may decrease over the upcoming 12 months by an amount up to $1.0 million related to settlements with taxing authorities, statutes of limitations expirations and method changes. For the remaining liability, due to the uncertainties related to these tax matters, the Company is unable to make a reasonable estimate as to when cash settlement with a taxing authority will occur.</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accrued interest was $1.9 million and accrued penalties were less than $0.1 million, excluding any related income tax benefits. As of December 31, 2019, accrued interest was $2.5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 (Loss).</w:t>
      </w:r>
    </w:p>
    <w:p>
      <w:pPr>
        <w:spacing w:after="0" w:line="20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2014 and state or non-United States tax examinations by tax authorities for years before 2011. The Company believes that adequate reserves have been provided related to all matters contained in the tax periods open to examination.</w:t>
      </w:r>
    </w:p>
    <w:p>
      <w:pPr>
        <w:spacing w:after="0" w:line="20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pandemic. The Company is continuing to evaluate the impact of the CARES Act, but at present does not expect the CARES Act would result in a material impact to our income tax benefit or provision.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components of stock-based compensation expense included in general and administrative expenses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Equity classified awards expense</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Liability classified awards expense</w:t>
      </w:r>
    </w:p>
    <w:p>
      <w:pPr>
        <w:spacing w:after="0" w:line="77" w:lineRule="exact"/>
        <w:rPr>
          <w:sz w:val="20"/>
          <w:szCs w:val="20"/>
          <w:color w:val="auto"/>
        </w:rPr>
      </w:pPr>
    </w:p>
    <w:p>
      <w:pPr>
        <w:ind w:left="20" w:right="2340"/>
        <w:spacing w:after="0" w:line="336" w:lineRule="auto"/>
        <w:rPr>
          <w:sz w:val="20"/>
          <w:szCs w:val="20"/>
          <w:color w:val="auto"/>
        </w:rPr>
      </w:pPr>
      <w:r>
        <w:rPr>
          <w:rFonts w:ascii="Times New Roman" w:cs="Times New Roman" w:eastAsia="Times New Roman" w:hAnsi="Times New Roman"/>
          <w:sz w:val="18"/>
          <w:szCs w:val="18"/>
          <w:color w:val="auto"/>
        </w:rPr>
        <w:t>Total pre-tax stock-based compensation expense Book income tax benefit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 net of tax</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300" w:type="dxa"/>
            <w:vAlign w:val="bottom"/>
          </w:tcPr>
          <w:p>
            <w:pPr>
              <w:spacing w:after="0"/>
              <w:rPr>
                <w:sz w:val="17"/>
                <w:szCs w:val="17"/>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23"/>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7"/>
              </w:rPr>
              <w:t>9.2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240" w:type="dxa"/>
            <w:vAlign w:val="bottom"/>
          </w:tcPr>
          <w:p>
            <w:pPr>
              <w:spacing w:after="0"/>
              <w:rPr>
                <w:sz w:val="23"/>
                <w:szCs w:val="23"/>
                <w:color w:val="auto"/>
              </w:rPr>
            </w:pPr>
          </w:p>
        </w:tc>
        <w:tc>
          <w:tcPr>
            <w:tcW w:w="7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7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240" w:type="dxa"/>
            <w:vAlign w:val="bottom"/>
          </w:tcPr>
          <w:p>
            <w:pPr>
              <w:spacing w:after="0"/>
              <w:rPr>
                <w:sz w:val="23"/>
                <w:szCs w:val="23"/>
                <w:color w:val="auto"/>
              </w:rPr>
            </w:pPr>
          </w:p>
        </w:tc>
        <w:tc>
          <w:tcPr>
            <w:tcW w:w="860" w:type="dxa"/>
            <w:vAlign w:val="bottom"/>
            <w:gridSpan w:val="2"/>
          </w:tcPr>
          <w:p>
            <w:pPr>
              <w:jc w:val="center"/>
              <w:ind w:left="352"/>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7"/>
              </w:rPr>
              <w:t>7.4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-908050</wp:posOffset>
            </wp:positionV>
            <wp:extent cx="70123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-565150</wp:posOffset>
            </wp:positionV>
            <wp:extent cx="701230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2305" cy="18034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-213360</wp:posOffset>
            </wp:positionV>
            <wp:extent cx="701230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1" w:right="339" w:bottom="1440" w:gutter="0" w:footer="0" w:header="0"/>
          <w:type w:val="continuous"/>
        </w:sectPr>
      </w:pPr>
    </w:p>
    <w:p>
      <w:pPr>
        <w:spacing w:after="0" w:line="6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total unrecognized compensation expense of $14.7 million related to restricted stock and restricted stock units and $2.9 million related to stock options are expected to be recognized over a weighted average period of 1.1 years for restricted stock and restricted stock units and 1.3 years for stock options.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granted 167,969 stock options during the nine months ended September 30, 2020 for which the fair value was estimated using a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The following summarizes the assumptions used in the Black-Scholes model:</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7"/>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56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99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Stock option balances at September 30, 2020, and activity for the nine months ended September 30, 2020 were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1"/>
        </w:trPr>
        <w:tc>
          <w:tcPr>
            <w:tcW w:w="5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00" w:type="dxa"/>
            <w:vAlign w:val="bottom"/>
          </w:tcPr>
          <w:p>
            <w:pPr>
              <w:spacing w:after="0"/>
              <w:rPr>
                <w:sz w:val="20"/>
                <w:szCs w:val="20"/>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7"/>
                <w:szCs w:val="17"/>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3"/>
        </w:trPr>
        <w:tc>
          <w:tcPr>
            <w:tcW w:w="5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200" w:type="dxa"/>
            <w:vAlign w:val="bottom"/>
          </w:tcPr>
          <w:p>
            <w:pPr>
              <w:spacing w:after="0"/>
              <w:rPr>
                <w:sz w:val="17"/>
                <w:szCs w:val="17"/>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Value (in</w:t>
            </w:r>
          </w:p>
        </w:tc>
      </w:tr>
      <w:tr>
        <w:trPr>
          <w:trHeight w:val="212"/>
        </w:trPr>
        <w:tc>
          <w:tcPr>
            <w:tcW w:w="562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00" w:type="dxa"/>
            <w:vAlign w:val="bottom"/>
          </w:tcPr>
          <w:p>
            <w:pPr>
              <w:spacing w:after="0"/>
              <w:rPr>
                <w:sz w:val="18"/>
                <w:szCs w:val="18"/>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33"/>
        </w:trPr>
        <w:tc>
          <w:tcPr>
            <w:tcW w:w="5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September 30, 2020 and Expected to Vest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983,454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4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third quarter of 2020 and the exercise price, multiplied by the number of in-the-money options) that would have been received by the option holders had all option holders exercised their options on September 30, 2020. The aggregate intrinsic value will change based on the fair market value of the Company’s common stock and the number of in-the-money options.</w:t>
      </w: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Stock-Based Compensation (Continued)</w:t>
      </w: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Outstanding balances as of September 30, 2020, and activity related to restricted stock and restricted stock units for the nine months ended September 30, 2020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203"/>
        </w:trPr>
        <w:tc>
          <w:tcPr>
            <w:tcW w:w="5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900" w:type="dxa"/>
            <w:vAlign w:val="bottom"/>
          </w:tcPr>
          <w:p>
            <w:pPr>
              <w:spacing w:after="0"/>
              <w:rPr>
                <w:sz w:val="17"/>
                <w:szCs w:val="17"/>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900" w:type="dxa"/>
            <w:vAlign w:val="bottom"/>
          </w:tcPr>
          <w:p>
            <w:pPr>
              <w:spacing w:after="0"/>
              <w:rPr>
                <w:sz w:val="18"/>
                <w:szCs w:val="18"/>
                <w:color w:val="auto"/>
              </w:rPr>
            </w:pPr>
          </w:p>
        </w:tc>
        <w:tc>
          <w:tcPr>
            <w:tcW w:w="13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5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224,515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357,807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127,041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r>
      <w:tr>
        <w:trPr>
          <w:trHeight w:val="27"/>
        </w:trPr>
        <w:tc>
          <w:tcPr>
            <w:tcW w:w="5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(93,160)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(38,172)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220,224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355,570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5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Cash-Settled</w:t>
            </w:r>
          </w:p>
        </w:tc>
      </w:tr>
      <w:tr>
        <w:trPr>
          <w:trHeight w:val="203"/>
        </w:trPr>
        <w:tc>
          <w:tcPr>
            <w:tcW w:w="98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w:t>
            </w:r>
          </w:p>
        </w:tc>
      </w:tr>
      <w:tr>
        <w:trPr>
          <w:trHeight w:val="212"/>
        </w:trPr>
        <w:tc>
          <w:tcPr>
            <w:tcW w:w="9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33"/>
        </w:trPr>
        <w:tc>
          <w:tcPr>
            <w:tcW w:w="98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63,852</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2,658</w:t>
            </w:r>
          </w:p>
        </w:tc>
      </w:tr>
      <w:tr>
        <w:trPr>
          <w:trHeight w:val="27"/>
        </w:trPr>
        <w:tc>
          <w:tcPr>
            <w:tcW w:w="9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r>
      <w:tr>
        <w:trPr>
          <w:trHeight w:val="27"/>
        </w:trPr>
        <w:tc>
          <w:tcPr>
            <w:tcW w:w="98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53,481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2020 and 2019, an expense of $0.8 million and a credit of $0.2 million, respectively, was included as stock-based compensation expense related to cash-settled restricted stock units. For the nine months ended September 30, 2020 and 2019, a credit of $0.1 million and an expense of $1.0 million, respectively, was included as stock-based compensation expense related to cash-settled restricted stock units. At September 30, 2020 and December 31, 2019, liabilities of $2.1 million and $2.3 million, respectively, related to cash-settled restricted stock units were included as part of accrued employee compensation and benefits in the Consolidated Balance Sheets.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in the applicable award agreement). The awards are considered stock-based compensation and are classified as liabilities measured at fair value as of the respective period end. For the three months ended September 30, 2020 and 2019, an expense of $0.3 million and $0.5 million, respectively, were included in total stock-based compensation expense related to LTIP awards. For the nine months ended September 30, 2020 and 2019, $0.7 million and $1.7 million, respectively, were included in total stock-based compensation expense related to LTIP awards. At September 30, 2020 and December 31, 2019, liabilities of $2.1 million and $2.9 million, respectively, related to LTIP awards were included as part of accrued employee compensation and benefits in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Segments (Continued)</w:t>
      </w:r>
    </w:p>
    <w:p>
      <w:pPr>
        <w:spacing w:after="0" w:line="200" w:lineRule="exact"/>
        <w:rPr>
          <w:sz w:val="20"/>
          <w:szCs w:val="20"/>
          <w:color w:val="auto"/>
        </w:rPr>
      </w:pPr>
    </w:p>
    <w:p>
      <w:pPr>
        <w:spacing w:after="0" w:line="31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considers these to be its reportable segments, regardless of whether any segment exceeds 10% of consolidated revenues, income before income tax provision or total assets.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2020, the franchise operations segment consisted of (i) 1,659 restaurants operated by Applebee’s franchisees in the United States, two U.S. territories and 11 countries outside the United States and (ii) 1,807 restaurants operated by IHOP franchisees and area licensees in the United States, two U.S. territories and 13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1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primarily the cost of restaurant equipment associated with refranchised IHOP restaurants.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63"/>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980" w:type="dxa"/>
            <w:vAlign w:val="bottom"/>
            <w:vMerge w:val="continue"/>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7"/>
                <w:szCs w:val="17"/>
                <w:color w:val="auto"/>
              </w:rPr>
            </w:pPr>
          </w:p>
        </w:tc>
        <w:tc>
          <w:tcPr>
            <w:tcW w:w="2000" w:type="dxa"/>
            <w:vAlign w:val="bottom"/>
            <w:gridSpan w:val="4"/>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9"/>
                <w:szCs w:val="19"/>
                <w:color w:val="auto"/>
              </w:rPr>
            </w:pPr>
          </w:p>
        </w:tc>
        <w:tc>
          <w:tcPr>
            <w:tcW w:w="2000" w:type="dxa"/>
            <w:vAlign w:val="bottom"/>
            <w:gridSpan w:val="4"/>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7"/>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(loss) per common share: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 basic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74,329</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diluted loss per common share was computed using the basic weighted average number of shares outstanding during the period as the 86,000 shares from common stock equivalents would have been antidilutive.</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calculation of net loss per share for the three and six months ended June 30, 2020, previously reported as ($8.04) per share and ($6.69) per share, respectively, allocated an incorrect portion of the net loss from each period to unvested participating restricted stock. The correct calculation is a loss of ($8.33) per share for the three months ended June 30, 2020 and a loss of ($6.96) per share for the six months ended June 30,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62" w:lineRule="exact"/>
        <w:rPr>
          <w:sz w:val="20"/>
          <w:szCs w:val="20"/>
          <w:color w:val="auto"/>
        </w:rPr>
      </w:pPr>
    </w:p>
    <w:p>
      <w:pPr>
        <w:jc w:val="both"/>
        <w:ind w:right="100" w:firstLine="324"/>
        <w:spacing w:after="0" w:line="281" w:lineRule="auto"/>
        <w:rPr>
          <w:sz w:val="20"/>
          <w:szCs w:val="20"/>
          <w:color w:val="auto"/>
        </w:rPr>
      </w:pPr>
      <w:r>
        <w:rPr>
          <w:rFonts w:ascii="Times New Roman" w:cs="Times New Roman" w:eastAsia="Times New Roman" w:hAnsi="Times New Roman"/>
          <w:sz w:val="17"/>
          <w:szCs w:val="17"/>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2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the Company's 2019 Class A-2 Notes at September 30, 2020 and December 31, 2019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r>
      <w:tr>
        <w:trPr>
          <w:trHeight w:val="191"/>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8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Face Value of Class A-2 Notes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4"/>
                <w:szCs w:val="24"/>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Class A-2 Notes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1" w:name="page32"/>
    <w:bookmarkEnd w:id="3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8420" w:hanging="332"/>
        <w:spacing w:after="0" w:line="483" w:lineRule="auto"/>
        <w:tabs>
          <w:tab w:leader="none" w:pos="28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Litigation, Claims and Disputes</w:t>
      </w:r>
    </w:p>
    <w:p>
      <w:pPr>
        <w:ind w:firstLine="324"/>
        <w:spacing w:after="0"/>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the Company has, in certain cases, guaranteed or has potential continuing liability for lease payments totaling $253.5 million as of September 30, 2020. This amount represents the maximum potential liability for future payments under these leases. These leases have been assigned to the buyers and expire at the end of the respective lease terms, which range from 2020 through 2048. Excluding unexercised option periods, the Company's potential liability for future payments under these leases is $38.2 million. In the event of default, the indemnity and default clauses in the sale or assignment agreements govern the Company's ability to pursue and recover damages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Restricted Cash</w:t>
      </w:r>
    </w:p>
    <w:p>
      <w:pPr>
        <w:spacing w:after="0" w:line="2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Current restricted cash of $47.5 million at September 30, 2020 primarily consisted of $40.5 million of funds required to be held in trust in connection with the Company's securitized debt and $6.9 million of funds from Applebee's franchisees pursuant to franchise agreements, usage of which was restricted to advertising activities. Current restricted cash of $40.7 million at December 31, 2019 primarily consisted of $38.4 million of funds required to be held in trust in connection with the Company's securitized debt and $2.3 million of funds from Applebee's franchisees pursuant to franchise agreements, usage of which was restricted to advertising activities.</w:t>
      </w:r>
    </w:p>
    <w:p>
      <w:pPr>
        <w:spacing w:after="0" w:line="21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Non-current restricted cash of $32.8 million at September 30, 2020 and $15.7 million at December 31, 2019 represents interest reserves required to be set aside for the duration of the Company's securitized debt. During the nine months ended September 30, 2020, the Company voluntarily increased the reserve from the required $16.4 million (one quarter of interest and fees related to the 2019 Class A-1 Notes and 2019 Class A-2 Notes) to the current balance of $32.8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2019. Except where the context indicates otherwise, the words “we,” “us,” “our,” “Dine Brands Global” and the “Company” refer to Dine Brands Global, Inc., together with its subsidiaries that are consolidated in accordance with United States generally accepted accounting principles (“U.S. GAAP”). 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192" w:lineRule="exact"/>
        <w:rPr>
          <w:sz w:val="20"/>
          <w:szCs w:val="20"/>
          <w:color w:val="auto"/>
        </w:rPr>
      </w:pPr>
    </w:p>
    <w:p>
      <w:pPr>
        <w:ind w:right="40" w:firstLine="324"/>
        <w:spacing w:after="0" w:line="226" w:lineRule="auto"/>
        <w:rPr>
          <w:sz w:val="20"/>
          <w:szCs w:val="20"/>
          <w:color w:val="auto"/>
        </w:rPr>
      </w:pPr>
      <w:r>
        <w:rPr>
          <w:rFonts w:ascii="Times New Roman" w:cs="Times New Roman" w:eastAsia="Times New Roman" w:hAnsi="Times New Roman"/>
          <w:sz w:val="18"/>
          <w:szCs w:val="18"/>
          <w:color w:val="auto"/>
        </w:rPr>
        <w:t>Through various subsidiaries, we own, franchise and operate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(collectively, “area licensees”) or by us. With over 3,500 restaurants combined, the substantial majority of which are franchised, we believe we are one of the largest full-service restaurant companies in the world. The June 15, 2020 issue of </w:t>
      </w:r>
      <w:r>
        <w:rPr>
          <w:rFonts w:ascii="Times New Roman" w:cs="Times New Roman" w:eastAsia="Times New Roman" w:hAnsi="Times New Roman"/>
          <w:sz w:val="18"/>
          <w:szCs w:val="18"/>
          <w:i w:val="1"/>
          <w:iCs w:val="1"/>
          <w:color w:val="auto"/>
        </w:rPr>
        <w:t xml:space="preserve">Nation's Restaurant News </w:t>
      </w:r>
      <w:r>
        <w:rPr>
          <w:rFonts w:ascii="Times New Roman" w:cs="Times New Roman" w:eastAsia="Times New Roman" w:hAnsi="Times New Roman"/>
          <w:sz w:val="18"/>
          <w:szCs w:val="18"/>
          <w:color w:val="auto"/>
        </w:rPr>
        <w:t>reported that IHOP and Applebee's were the largest restaurant systems in the family dining and casual dining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terms of United States system-wide sales during 2019.</w:t>
      </w:r>
    </w:p>
    <w:p>
      <w:pPr>
        <w:spacing w:after="0" w:line="22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Impact of COVID-19</w:t>
      </w:r>
    </w:p>
    <w:p>
      <w:pPr>
        <w:spacing w:after="0" w:line="256"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252525"/>
        </w:rPr>
        <w:t xml:space="preserve">The global pandemic declared in March 2020 by the World Health Organization related to the outbreak of a novel strain of coronavirus, designated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52525"/>
        </w:rPr>
        <w:t>COVID-19,</w:t>
      </w:r>
      <w:r>
        <w:rPr>
          <w:rFonts w:ascii="Times New Roman" w:cs="Times New Roman" w:eastAsia="Times New Roman" w:hAnsi="Times New Roman"/>
          <w:sz w:val="18"/>
          <w:szCs w:val="18"/>
          <w:color w:val="000000"/>
        </w:rPr>
        <w:t xml:space="preserve">” continued to have a significant adverse impact on our operations throughout the third fiscal quarter and remains ongoing. Initially, federal, state, local and international governments reacted to the COVID-19 pandemic by encouraging or requiring social distancing, instituting shelter-in-place orders, and requiring, in varying degrees, reduced operating hours, restaurant dine-in limitations, capacity limitations or other restrictions that largely limited restaurants to take-out and delivery sales. While shelter-in-place directives largely have been removed as of September 30, 2020, most </w:t>
      </w:r>
      <w:r>
        <w:rPr>
          <w:rFonts w:ascii="Times New Roman" w:cs="Times New Roman" w:eastAsia="Times New Roman" w:hAnsi="Times New Roman"/>
          <w:sz w:val="18"/>
          <w:szCs w:val="18"/>
          <w:color w:val="252525"/>
        </w:rPr>
        <w:t>federal,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state, local and international governments have maintained protocols that limit restaurant dine-in occupancy levels to 50% capacity or less at most of our restaurants. </w:t>
      </w:r>
      <w:r>
        <w:rPr>
          <w:rFonts w:ascii="Times New Roman" w:cs="Times New Roman" w:eastAsia="Times New Roman" w:hAnsi="Times New Roman"/>
          <w:sz w:val="18"/>
          <w:szCs w:val="18"/>
          <w:color w:val="000000"/>
        </w:rPr>
        <w:t>We and our franchisees have instituted operational procedures to comply with applicable regulatory requirements and to monitor developing</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health authority recommendations in order to protect the health and foster the confidence of employees and guests at the restaurants.</w:t>
      </w: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Since March 2020, we have taken several actions to mitigate the effects of the COVID-19 pandemic on the Company, its operations and its franchisees, as discussed below:</w:t>
      </w:r>
    </w:p>
    <w:p>
      <w:pPr>
        <w:spacing w:after="0" w:line="189" w:lineRule="exact"/>
        <w:rPr>
          <w:sz w:val="20"/>
          <w:szCs w:val="20"/>
          <w:color w:val="auto"/>
        </w:rPr>
      </w:pPr>
    </w:p>
    <w:p>
      <w:pPr>
        <w:ind w:left="580" w:right="80" w:hanging="329"/>
        <w:spacing w:after="0" w:line="261"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drew down a total of $220 million from our revolving credit facility. Including approximately $3 million in letters of credit, $223 million of the total $225 million available under our revolving facility has been utilized. We had no immediate need for additional liquidity, but in light of then-current market conditions and uncertainty related to the COVID-19 pandemic, we drew on the revolving facility to maximize our financial flexibility.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right="220" w:hanging="329"/>
        <w:spacing w:after="0" w:line="257"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stopped repurchasing our common stock for the foreseeable future and our Board of Directors has decided not to declare a dividend for the second, third and fourth quarters of 2020. We will reevaluate our capital allocation strategy as industry conditions improve and normal restaurant operations resume.</w:t>
      </w:r>
    </w:p>
    <w:p>
      <w:pPr>
        <w:spacing w:after="0" w:line="1" w:lineRule="exact"/>
        <w:rPr>
          <w:rFonts w:ascii="Times New Roman" w:cs="Times New Roman" w:eastAsia="Times New Roman" w:hAnsi="Times New Roman"/>
          <w:sz w:val="18"/>
          <w:szCs w:val="18"/>
          <w:color w:val="auto"/>
        </w:rPr>
      </w:pPr>
    </w:p>
    <w:p>
      <w:pPr>
        <w:jc w:val="both"/>
        <w:ind w:left="580" w:right="40" w:hanging="329"/>
        <w:spacing w:after="0" w:line="250"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voluntarily increased the interest reserve set aside for our securitized debt, from the required $16.4 million to $32.8 million. We also voluntarily accelerated the funding of interest on our securitized debt with the redirection of cash receipts within the securitization structure. As of October 26, 2020, the interest payments on long-term debt due December 7, 2020 and March 5, 2021 have been fully funded.</w:t>
      </w:r>
    </w:p>
    <w:p>
      <w:pPr>
        <w:spacing w:after="0" w:line="1" w:lineRule="exact"/>
        <w:rPr>
          <w:rFonts w:ascii="Times New Roman" w:cs="Times New Roman" w:eastAsia="Times New Roman" w:hAnsi="Times New Roman"/>
          <w:sz w:val="18"/>
          <w:szCs w:val="18"/>
          <w:color w:val="auto"/>
        </w:rPr>
      </w:pPr>
    </w:p>
    <w:p>
      <w:pPr>
        <w:ind w:left="580" w:hanging="329"/>
        <w:spacing w:after="0" w:line="235"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reduced discretionary costs, limited new hiring and significantly reduced the use of independent contractors. At the outset of the pandemic, we temporarily furloughed certain team members across various functional groups in our restaurant support centers and company-operated restaurants and also curtailed the hours of substantially all of the hourly restaurant associates at our company-operated restaurants. Most of the hourly restaurant associates at our company-operated restaurants returned to work following the re-opening of those restaurants, and as of October 26, 2020, there were no team members from the restaurant support centers remaining on furlough. Our General &amp; Administrative (“G&amp;A”) expenses for the three and nine months ended September 30, 2020 were lower than the same periods of the prior year by $2.0 million and $15.8 million, respectively.</w:t>
      </w:r>
    </w:p>
    <w:p>
      <w:pPr>
        <w:ind w:left="580" w:right="100" w:hanging="329"/>
        <w:spacing w:after="0" w:line="234"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offered Applebee's franchisees the opportunity to defer payment of their royalty, advertising and IT support fees, primarily for the months of March and April. A total of 30 franchisees representing 94% of Applebee’s restaurants have deferred payments totaling $33.4 million. Repayment of deferred amounts, scheduled over up to nine months, began in the third quarter of 2020. As of September 30, 2020, the outstanding balance was approximately $24.4 million, with four franchisees having repaid their deferred balances in full.</w:t>
      </w:r>
    </w:p>
    <w:p>
      <w:pPr>
        <w:spacing w:after="0" w:line="2" w:lineRule="exact"/>
        <w:rPr>
          <w:rFonts w:ascii="Times New Roman" w:cs="Times New Roman" w:eastAsia="Times New Roman" w:hAnsi="Times New Roman"/>
          <w:sz w:val="18"/>
          <w:szCs w:val="18"/>
          <w:color w:val="auto"/>
        </w:rPr>
      </w:pPr>
    </w:p>
    <w:p>
      <w:pPr>
        <w:ind w:left="580" w:right="380" w:hanging="329"/>
        <w:spacing w:after="0" w:line="234"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offered IHOP franchisees the opportunity to defer their royalty, advertising, equipment rent and sublease rent payments, primarily for the months of March and April. A total of 193 franchisees representing 58% of IHOP restaurants have deferred payments totaling $22.3 million. Repayment of deferred amounts, scheduled over up to 36 weeks, began in the third quarter of 2020. As of September 30, 2020, the outstanding balance was approximately $20.4 million, with 37 franchisees having repaid their deferred balances in full.</w:t>
      </w:r>
    </w:p>
    <w:p>
      <w:pPr>
        <w:spacing w:after="0" w:line="2" w:lineRule="exact"/>
        <w:rPr>
          <w:rFonts w:ascii="Times New Roman" w:cs="Times New Roman" w:eastAsia="Times New Roman" w:hAnsi="Times New Roman"/>
          <w:sz w:val="18"/>
          <w:szCs w:val="18"/>
          <w:color w:val="auto"/>
        </w:rPr>
      </w:pPr>
    </w:p>
    <w:p>
      <w:pPr>
        <w:ind w:left="580" w:right="100" w:hanging="329"/>
        <w:spacing w:after="0" w:line="234"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rent deferrals and abatements on properties we lease of approximately $11 million, primarily related to rent deferrals for properties on which IHOP restaurants are located.</w:t>
      </w:r>
    </w:p>
    <w:p>
      <w:pPr>
        <w:spacing w:after="0" w:line="1" w:lineRule="exact"/>
        <w:rPr>
          <w:rFonts w:ascii="Times New Roman" w:cs="Times New Roman" w:eastAsia="Times New Roman" w:hAnsi="Times New Roman"/>
          <w:sz w:val="18"/>
          <w:szCs w:val="18"/>
          <w:color w:val="auto"/>
        </w:rPr>
      </w:pPr>
    </w:p>
    <w:p>
      <w:pPr>
        <w:ind w:left="580" w:hanging="329"/>
        <w:spacing w:after="0" w:line="234"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allowed franchisees to defer their 2020 unit remodel and development obligations for up to 15 months.</w:t>
      </w:r>
    </w:p>
    <w:p>
      <w:pPr>
        <w:ind w:left="580" w:right="280" w:hanging="329"/>
        <w:spacing w:after="0" w:line="234"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worked with our franchisees to offer a limited menu and to modify their operating hours in a manner that optimizes the functionality of their restaurants. Our expectation is restaurants will return to normal operating hours as sales return to pre-pandemic levels.</w:t>
      </w:r>
    </w:p>
    <w:p>
      <w:pPr>
        <w:spacing w:after="0" w:line="1" w:lineRule="exact"/>
        <w:rPr>
          <w:rFonts w:ascii="Times New Roman" w:cs="Times New Roman" w:eastAsia="Times New Roman" w:hAnsi="Times New Roman"/>
          <w:sz w:val="18"/>
          <w:szCs w:val="18"/>
          <w:color w:val="auto"/>
        </w:rPr>
      </w:pPr>
    </w:p>
    <w:p>
      <w:pPr>
        <w:ind w:left="580" w:right="460" w:hanging="329"/>
        <w:spacing w:after="0" w:line="243"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external consultants to work with franchisees in assessing their financial health and to better understand performance variability. We began this process in the 3rd quarter working closely with key franchise leaders.</w:t>
      </w:r>
    </w:p>
    <w:p>
      <w:pPr>
        <w:spacing w:after="0" w:line="209" w:lineRule="exact"/>
        <w:rPr>
          <w:sz w:val="20"/>
          <w:szCs w:val="20"/>
          <w:color w:val="auto"/>
        </w:rPr>
      </w:pPr>
    </w:p>
    <w:p>
      <w:pPr>
        <w:ind w:right="280" w:firstLine="324"/>
        <w:spacing w:after="0" w:line="250" w:lineRule="auto"/>
        <w:rPr>
          <w:sz w:val="20"/>
          <w:szCs w:val="20"/>
          <w:color w:val="auto"/>
        </w:rPr>
      </w:pPr>
      <w:r>
        <w:rPr>
          <w:rFonts w:ascii="Times New Roman" w:cs="Times New Roman" w:eastAsia="Times New Roman" w:hAnsi="Times New Roman"/>
          <w:sz w:val="18"/>
          <w:szCs w:val="18"/>
          <w:color w:val="auto"/>
        </w:rPr>
        <w:t>In March 2020, in light of the COVID-19 pandemic, Standard &amp; Poor's (“S&amp;P”) placed the Company on “credit watch-negative” with respect to its 2019 Class A-2 Notes. In September 2020, S&amp;P removed the Company from the credit watch and reaffirmed the “BBB” rating of the 2019 Class A-2 Notes.</w:t>
      </w:r>
    </w:p>
    <w:p>
      <w:pPr>
        <w:spacing w:after="0" w:line="204"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 xml:space="preserve">The significance of the impacts of the COVID-19 pandemic resulted in our performing impairment assessments of our long-lived assets, goodwill and other intangible assets. As a result of these assessments, we recorded impairment charges of approximately $124 million in the second fiscal quarter of 2020. See </w:t>
      </w:r>
      <w:r>
        <w:rPr>
          <w:rFonts w:ascii="Times New Roman" w:cs="Times New Roman" w:eastAsia="Times New Roman" w:hAnsi="Times New Roman"/>
          <w:sz w:val="18"/>
          <w:szCs w:val="18"/>
          <w:i w:val="1"/>
          <w:iCs w:val="1"/>
          <w:color w:val="auto"/>
        </w:rPr>
        <w:t>Consolidated Results of Operations - Comparison of the Three and Nine Months ended September 30, 2020 and September 30, 2019 -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and Closure Costs” </w:t>
      </w:r>
      <w:r>
        <w:rPr>
          <w:rFonts w:ascii="Times New Roman" w:cs="Times New Roman" w:eastAsia="Times New Roman" w:hAnsi="Times New Roman"/>
          <w:sz w:val="18"/>
          <w:szCs w:val="18"/>
          <w:color w:val="auto"/>
        </w:rPr>
        <w:t>for further discussion of the impairments. There were no additional impairments recorded during the third fiscal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w:t>
      </w:r>
    </w:p>
    <w:p>
      <w:pPr>
        <w:spacing w:after="0" w:line="212" w:lineRule="exact"/>
        <w:rPr>
          <w:sz w:val="20"/>
          <w:szCs w:val="20"/>
          <w:color w:val="auto"/>
        </w:rPr>
      </w:pPr>
    </w:p>
    <w:p>
      <w:pPr>
        <w:ind w:right="20" w:firstLine="405"/>
        <w:spacing w:after="0"/>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pandemic. Among the various provisions in the CARES Act, the Company is utilizing the payroll tax deferrals offered and has claimed an Employee Retention Credit. As of September 30, 2020, the Company has deferred the payment of $2.0 million in payroll taxes, of which 50% will be paid by December 31, 2021 and the remaining 50% will be paid by December 31, 2022. The Company also has claimed an Employee Retention Credit of $0.6 million as of September 30, 2020. The Company did not receive any form of loan pursuant to the Paycheck Protection Program established under the CARES Act. Other than the deferrals and credits noted above, the Company did not receive financial aid pursuant to assistance programs offered by the federal government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total cash balances as of the past five fiscal quarter ends were are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1"/>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344.6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395.2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increase in total cash balances from December 31, 2019 to March 31, 2020 is primarily due to the draw-down of $220 million from our revolving credit facility in March 2020. The decrease in total cash balances from March 31, 2020 to June 30, 2020 is primarily due the impact on our operations of the COVID-19 pandemic as well as to our offering franchisees the opportunity to defer payments due to us as noted above. The increase in total cash balances from June 30, 2020 to September 30, 2020 reflects the improvement in operations as restrictions on in-restaurant dining became more relaxed and commencement of collections of amounts deferred by franchisees discussed above. See </w:t>
      </w:r>
      <w:r>
        <w:rPr>
          <w:rFonts w:ascii="Times New Roman" w:cs="Times New Roman" w:eastAsia="Times New Roman" w:hAnsi="Times New Roman"/>
          <w:sz w:val="18"/>
          <w:szCs w:val="18"/>
          <w:i w:val="1"/>
          <w:iCs w:val="1"/>
          <w:color w:val="auto"/>
        </w:rPr>
        <w:t>“Consolidated Results of Operations - Comparison of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Nine Months ended September 30, 2020 and September 30, 2019.”</w:t>
      </w:r>
    </w:p>
    <w:p>
      <w:pPr>
        <w:spacing w:after="0" w:line="5"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Operating activities provided cash of $36.7 million for the nine months ended September 30, 2020, compared with cash provided by operating activities of $105.6 million for the nine months ended September 30, 2019. The decrease primarily was due to a significant </w:t>
      </w:r>
      <w:r>
        <w:rPr>
          <w:rFonts w:ascii="Times New Roman" w:cs="Times New Roman" w:eastAsia="Times New Roman" w:hAnsi="Times New Roman"/>
          <w:sz w:val="18"/>
          <w:szCs w:val="18"/>
          <w:color w:val="252525"/>
        </w:rPr>
        <w:t>decline in customer traffic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our restaurants that adversely impacted our segment operations and to payment deferrals we offered to our franchisees, partially offset by reduced G&amp;A expenses and rent deferrals and abatements we received from our landlords. Franchisees began repaying the deferrals noted above in the third quarter of 2020. See </w:t>
      </w:r>
      <w:r>
        <w:rPr>
          <w:rFonts w:ascii="Times New Roman" w:cs="Times New Roman" w:eastAsia="Times New Roman" w:hAnsi="Times New Roman"/>
          <w:sz w:val="18"/>
          <w:szCs w:val="18"/>
          <w:i w:val="1"/>
          <w:iCs w:val="1"/>
          <w:color w:val="000000"/>
        </w:rPr>
        <w:t>“Liquidity and Capital Resources - Cash Flows.“</w:t>
      </w:r>
    </w:p>
    <w:p>
      <w:pPr>
        <w:spacing w:after="0" w:line="214"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international, federal, state and local governments began to remove or modify existing restrictions on dine-in restaurant operations in certain jurisdictions, we and our franchisees have been able to increase dine-in services at Applebee's and IHOP restaurants in compliance with jurisdictional requirements. As a result, the operating status of IHOP and Applebee's restaurants changed during the third quarter of 2020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Status as of 2020 Fiscal Month Ended</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 Domestic</w:t>
            </w: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with dining rooms open*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Restaurants limited to off-premise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temporarily closed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total operating in some capacity</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IHOP Domestic</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with dining rooms open*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Restaurants limited to off-premise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temporarily closed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total operating in some capacity</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with dining rooms open*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Restaurants limited to off-premise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temporarily closed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total operating in some capacity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20" w:hanging="88"/>
        <w:spacing w:after="0"/>
        <w:tabs>
          <w:tab w:leader="none" w:pos="420" w:val="left"/>
        </w:tabs>
        <w:numPr>
          <w:ilvl w:val="0"/>
          <w:numId w:val="12"/>
        </w:numPr>
        <w:rPr>
          <w:rFonts w:ascii="Times New Roman" w:cs="Times New Roman" w:eastAsia="Times New Roman" w:hAnsi="Times New Roman"/>
          <w:sz w:val="23"/>
          <w:szCs w:val="23"/>
          <w:color w:val="252525"/>
          <w:vertAlign w:val="superscript"/>
        </w:rPr>
      </w:pPr>
      <w:r>
        <w:rPr>
          <w:rFonts w:ascii="Times New Roman" w:cs="Times New Roman" w:eastAsia="Times New Roman" w:hAnsi="Times New Roman"/>
          <w:sz w:val="18"/>
          <w:szCs w:val="18"/>
          <w:color w:val="252525"/>
        </w:rPr>
        <w:t>In most instances, limited to 50% capacity or less and/or reduced operating hours</w:t>
      </w:r>
    </w:p>
    <w:p>
      <w:pPr>
        <w:spacing w:after="0" w:line="225"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252525"/>
        </w:rPr>
        <w:t>The operating status of our restaurant remains fluid and subject to change. There can be no assurance the percentage of restaurants operating in some capacity as presented above will continue or will not reverse as government authorities modify existing restrictions or implement new restrictions on dine-in restaurant operations in responses to changes in the number of COVID-19 infections in their respective jurisdictions, particularly in light of a projected increase in COVID-19 infections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52525"/>
        </w:rPr>
        <w:t xml:space="preserve">during the upcoming fall and winter seasons. There can be no assurance the total number of restaurants will not change subsequent to September 30, 2020. See </w:t>
      </w:r>
      <w:r>
        <w:rPr>
          <w:rFonts w:ascii="Times New Roman" w:cs="Times New Roman" w:eastAsia="Times New Roman" w:hAnsi="Times New Roman"/>
          <w:sz w:val="18"/>
          <w:szCs w:val="18"/>
          <w:i w:val="1"/>
          <w:iCs w:val="1"/>
          <w:color w:val="000000"/>
        </w:rPr>
        <w:t>“Restaurant Data - Restaurant Development Activity.”</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52525"/>
        </w:rPr>
        <w:t>Our average weekly sales per restaurant increased during the three months ended September 30, 2020, as shown below. We believe the improvement was primarily due to the continued re-opening of dining rooms, retention of off-premise sales and the resumption of national media advertising in July. We had virtually no national media advertising during the second quarter of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weekly unit sales (in thousands)</w:t>
            </w:r>
          </w:p>
        </w:tc>
        <w:tc>
          <w:tcPr>
            <w:tcW w:w="660" w:type="dxa"/>
            <w:vAlign w:val="bottom"/>
          </w:tcPr>
          <w:p>
            <w:pPr>
              <w:spacing w:after="0"/>
              <w:rPr>
                <w:sz w:val="20"/>
                <w:szCs w:val="20"/>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Fiscal Month of 2020 Ended</w:t>
            </w:r>
          </w:p>
        </w:tc>
        <w:tc>
          <w:tcPr>
            <w:tcW w:w="100" w:type="dxa"/>
            <w:vAlign w:val="bottom"/>
          </w:tcPr>
          <w:p>
            <w:pPr>
              <w:spacing w:after="0"/>
              <w:rPr>
                <w:sz w:val="20"/>
                <w:szCs w:val="20"/>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4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rPr>
              <w:t>July</w:t>
            </w: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w:t>
            </w:r>
          </w:p>
        </w:tc>
        <w:tc>
          <w:tcPr>
            <w:tcW w:w="200" w:type="dxa"/>
            <w:vAlign w:val="bottom"/>
            <w:vMerge w:val="restart"/>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2"/>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Applebee's domestic</w:t>
            </w:r>
          </w:p>
        </w:tc>
        <w:tc>
          <w:tcPr>
            <w:tcW w:w="6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$37.6</w:t>
            </w:r>
          </w:p>
        </w:tc>
        <w:tc>
          <w:tcPr>
            <w:tcW w:w="1360" w:type="dxa"/>
            <w:vAlign w:val="bottom"/>
            <w:gridSpan w:val="3"/>
          </w:tcPr>
          <w:p>
            <w:pPr>
              <w:jc w:val="center"/>
              <w:ind w:left="353"/>
              <w:spacing w:after="0"/>
              <w:rPr>
                <w:sz w:val="20"/>
                <w:szCs w:val="20"/>
                <w:color w:val="auto"/>
              </w:rPr>
            </w:pPr>
            <w:r>
              <w:rPr>
                <w:rFonts w:ascii="Times New Roman" w:cs="Times New Roman" w:eastAsia="Times New Roman" w:hAnsi="Times New Roman"/>
                <w:sz w:val="18"/>
                <w:szCs w:val="18"/>
                <w:color w:val="auto"/>
                <w:w w:val="98"/>
              </w:rPr>
              <w:t>$38.4</w:t>
            </w:r>
          </w:p>
        </w:tc>
        <w:tc>
          <w:tcPr>
            <w:tcW w:w="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$39.2</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0" w:type="dxa"/>
            <w:vAlign w:val="bottom"/>
          </w:tcPr>
          <w:p>
            <w:pPr>
              <w:spacing w:after="0"/>
              <w:rPr>
                <w:sz w:val="1"/>
                <w:szCs w:val="1"/>
                <w:color w:val="auto"/>
              </w:rPr>
            </w:pPr>
          </w:p>
        </w:tc>
      </w:tr>
      <w:tr>
        <w:trPr>
          <w:trHeight w:val="27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6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$23.8</w:t>
            </w:r>
          </w:p>
        </w:tc>
        <w:tc>
          <w:tcPr>
            <w:tcW w:w="1360" w:type="dxa"/>
            <w:vAlign w:val="bottom"/>
            <w:gridSpan w:val="3"/>
          </w:tcPr>
          <w:p>
            <w:pPr>
              <w:jc w:val="center"/>
              <w:ind w:left="353"/>
              <w:spacing w:after="0"/>
              <w:rPr>
                <w:sz w:val="20"/>
                <w:szCs w:val="20"/>
                <w:color w:val="auto"/>
              </w:rPr>
            </w:pPr>
            <w:r>
              <w:rPr>
                <w:rFonts w:ascii="Times New Roman" w:cs="Times New Roman" w:eastAsia="Times New Roman" w:hAnsi="Times New Roman"/>
                <w:sz w:val="18"/>
                <w:szCs w:val="18"/>
                <w:color w:val="auto"/>
                <w:w w:val="98"/>
              </w:rPr>
              <w:t>$25.7</w:t>
            </w:r>
          </w:p>
        </w:tc>
        <w:tc>
          <w:tcPr>
            <w:tcW w:w="2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w:t>
            </w:r>
          </w:p>
        </w:tc>
        <w:tc>
          <w:tcPr>
            <w:tcW w:w="1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$25.6</w:t>
            </w:r>
          </w:p>
        </w:tc>
        <w:tc>
          <w:tcPr>
            <w:tcW w:w="14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252525"/>
        </w:rPr>
        <w:t xml:space="preserve">Despite the improvement noted over the course of the third quarter, average weekly restaurant sales for the three months ended September 30, 2020 were 12.9% lower at Applebee's restaurants and 28.3% lower at IHOP restaurants compared to the same period of the prior year. The decrease primarily was due to a substantial decline in customer traffic at our restaurants, primarily </w:t>
      </w:r>
      <w:r>
        <w:rPr>
          <w:rFonts w:ascii="Times New Roman" w:cs="Times New Roman" w:eastAsia="Times New Roman" w:hAnsi="Times New Roman"/>
          <w:sz w:val="18"/>
          <w:szCs w:val="18"/>
          <w:color w:val="000000"/>
        </w:rPr>
        <w:t>resulting from the measures undertaken to stem the spread of COVID-19</w:t>
      </w:r>
      <w:r>
        <w:rPr>
          <w:rFonts w:ascii="Times New Roman" w:cs="Times New Roman" w:eastAsia="Times New Roman" w:hAnsi="Times New Roman"/>
          <w:sz w:val="18"/>
          <w:szCs w:val="18"/>
          <w:color w:val="252525"/>
        </w:rPr>
        <w:t>, which had a significant unfavorable impact on the Key Financial Results presented below.</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how long the COVID-19 pandemic and its impact on our operations will last, whether or when recurrences of the virus may arise, what restrictions on in-restaurant dining may be imposed or re-imposed, the timing and extent of customer re-engagement with our brands and, in general, what the short- and long-term impact on consumer discretionary spending the COVID-19 pandemic might have on our operations and the restaurant industry as a whole.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840" w:type="dxa"/>
            <w:vAlign w:val="bottom"/>
            <w:gridSpan w:val="8"/>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79"/>
        </w:trPr>
        <w:tc>
          <w:tcPr>
            <w:tcW w:w="27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restart"/>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99"/>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2"/>
                <w:szCs w:val="22"/>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3"/>
                <w:szCs w:val="23"/>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6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primary components of the decrease in our income before income taxes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compared to our income before income taxes from the same periods of 2019:</w:t>
      </w:r>
    </w:p>
    <w:p>
      <w:pPr>
        <w:spacing w:after="0" w:line="38"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Favorable</w:t>
      </w:r>
    </w:p>
    <w:p>
      <w:pPr>
        <w:spacing w:after="0" w:line="6"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13335</wp:posOffset>
            </wp:positionV>
            <wp:extent cx="2297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4"/>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7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Applebee's franchise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0"/>
        </w:trPr>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IHOP franchise operations</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0"/>
        </w:trPr>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decrease in gross profit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closure charges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4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G&amp;A expenses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items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significant impacts of the COVID-19 pandemic resulted in our performing impairment assessments of our long-lived assets, goodwill and other intangible assets. As a result of these assessments, we recorded an impairment to Applebee's goodwill of $92.2 million, an impairment to Applebee's intangible assets of $14.3 million and impairments to long-lived assets of both brands totaling approximately $17.2 million in the second quarter of 2020. There were no similar impairments recorded in the third quarter of 2020.</w:t>
      </w:r>
    </w:p>
    <w:p>
      <w:pPr>
        <w:spacing w:after="0" w:line="2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Gross profit for the three and nine months ended September 30, 2020 decreased compared to the same periods of the prior year, primarily due to a significant decrease in customer traffic resulting from the measures undertaken to stem the spread of COVID-19 discussed above, as well as an increase in bad debt expense.</w:t>
      </w:r>
    </w:p>
    <w:p>
      <w:pPr>
        <w:spacing w:after="0" w:line="201"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Three and Nine Months ended September 30, 2020 and September 30, 2019”</w:t>
      </w:r>
      <w:r>
        <w:rPr>
          <w:rFonts w:ascii="Times New Roman" w:cs="Times New Roman" w:eastAsia="Times New Roman" w:hAnsi="Times New Roman"/>
          <w:sz w:val="18"/>
          <w:szCs w:val="18"/>
          <w:color w:val="auto"/>
        </w:rPr>
        <w:t xml:space="preserve"> for additional discussion of the changes presented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nine months ended September 30, 2020 were as follows:</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36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2"/>
        </w:trPr>
        <w:tc>
          <w:tcPr>
            <w:tcW w:w="610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2"/>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Applebee's</w:t>
            </w:r>
          </w:p>
        </w:tc>
        <w:tc>
          <w:tcPr>
            <w:tcW w:w="600" w:type="dxa"/>
            <w:vAlign w:val="bottom"/>
          </w:tcPr>
          <w:p>
            <w:pPr>
              <w:spacing w:after="0"/>
              <w:rPr>
                <w:sz w:val="15"/>
                <w:szCs w:val="15"/>
                <w:color w:val="auto"/>
              </w:rPr>
            </w:pPr>
          </w:p>
        </w:tc>
        <w:tc>
          <w:tcPr>
            <w:tcW w:w="1000" w:type="dxa"/>
            <w:vAlign w:val="bottom"/>
            <w:gridSpan w:val="4"/>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IHOP</w:t>
            </w:r>
          </w:p>
        </w:tc>
        <w:tc>
          <w:tcPr>
            <w:tcW w:w="240" w:type="dxa"/>
            <w:vAlign w:val="bottom"/>
          </w:tcPr>
          <w:p>
            <w:pPr>
              <w:spacing w:after="0"/>
              <w:rPr>
                <w:sz w:val="15"/>
                <w:szCs w:val="15"/>
                <w:color w:val="auto"/>
              </w:rPr>
            </w:pPr>
          </w:p>
        </w:tc>
        <w:tc>
          <w:tcPr>
            <w:tcW w:w="74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6"/>
              </w:rPr>
              <w:t>Applebee's</w:t>
            </w:r>
          </w:p>
        </w:tc>
        <w:tc>
          <w:tcPr>
            <w:tcW w:w="740" w:type="dxa"/>
            <w:vAlign w:val="bottom"/>
          </w:tcPr>
          <w:p>
            <w:pPr>
              <w:spacing w:after="0"/>
              <w:rPr>
                <w:sz w:val="15"/>
                <w:szCs w:val="15"/>
                <w:color w:val="auto"/>
              </w:rPr>
            </w:pPr>
          </w:p>
        </w:tc>
        <w:tc>
          <w:tcPr>
            <w:tcW w:w="640" w:type="dxa"/>
            <w:vAlign w:val="bottom"/>
            <w:gridSpan w:val="2"/>
          </w:tcPr>
          <w:p>
            <w:pPr>
              <w:jc w:val="right"/>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97"/>
              </w:rPr>
              <w:t>IHOP</w:t>
            </w:r>
          </w:p>
        </w:tc>
      </w:tr>
      <w:tr>
        <w:trPr>
          <w:trHeight w:val="24"/>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decrease</w:t>
            </w:r>
          </w:p>
        </w:tc>
        <w:tc>
          <w:tcPr>
            <w:tcW w:w="16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(27.6)%</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decrease in domestic system-wide same-restaurant sales</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21"/>
                <w:szCs w:val="21"/>
                <w:color w:val="auto"/>
                <w:vertAlign w:val="superscript"/>
              </w:rPr>
              <w:t>(1)</w:t>
            </w: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r>
      <w:tr>
        <w:trPr>
          <w:trHeight w:val="352"/>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 total effective restaurants </w:t>
            </w:r>
            <w:r>
              <w:rPr>
                <w:rFonts w:ascii="Times New Roman" w:cs="Times New Roman" w:eastAsia="Times New Roman" w:hAnsi="Times New Roman"/>
                <w:sz w:val="23"/>
                <w:szCs w:val="23"/>
                <w:color w:val="auto"/>
                <w:vertAlign w:val="superscript"/>
              </w:rPr>
              <w:t>(2)</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4"/>
                <w:szCs w:val="24"/>
                <w:color w:val="auto"/>
              </w:rPr>
            </w:pPr>
          </w:p>
        </w:tc>
        <w:tc>
          <w:tcPr>
            <w:tcW w:w="17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2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Franchise and area license restaurant closings, net of openings, during the three and nine months ended September 30, 2020.</w:t>
      </w:r>
    </w:p>
    <w:p>
      <w:pPr>
        <w:ind w:left="180" w:right="400" w:hanging="172"/>
        <w:spacing w:after="0" w:line="229" w:lineRule="auto"/>
        <w:tabs>
          <w:tab w:leader="none" w:pos="172"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Change in the weighted average number of franchise, area license and company-operated restaurants open during the three and nine months ended September 30, 2020, compared to the weighted average number of those open during the same period of 2019.</w:t>
      </w:r>
    </w:p>
    <w:p>
      <w:pPr>
        <w:spacing w:after="0" w:line="200" w:lineRule="exact"/>
        <w:rPr>
          <w:sz w:val="20"/>
          <w:szCs w:val="20"/>
          <w:color w:val="auto"/>
        </w:rPr>
      </w:pPr>
    </w:p>
    <w:p>
      <w:pPr>
        <w:spacing w:after="0" w:line="25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Applebee's and IHOP sales percentage decreases for the three and nine months ended September 30, 2020 were due to a decrease in domestic same-restaurant sales primarily as a result of the effects of COVID-19, as well as a decrease in total effective restaurants. The decrease in total effective restaurants for each brand reflects both permanent closures, net of</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openings, and the weighted effect of restaurants temporarily closed during the three and nine months ended September 30,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173990</wp:posOffset>
            </wp:positionV>
            <wp:extent cx="5143500" cy="257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firstLine="162"/>
        <w:spacing w:after="0" w:line="255"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13.3% for the three months ended September 30, 2020 and decreased 24.1% for the nine months ended September 30, 2020 from the same periods of the prior year. The decreases primarily were due to a significant decline in customer traffic as a result of the effects of COVID-19 that began to impact our restaurants around the middle of March 2020, partially offset by an increase in average check.</w:t>
      </w:r>
    </w:p>
    <w:p>
      <w:pPr>
        <w:spacing w:after="0" w:line="3" w:lineRule="exact"/>
        <w:rPr>
          <w:sz w:val="20"/>
          <w:szCs w:val="20"/>
          <w:color w:val="auto"/>
        </w:rPr>
      </w:pPr>
    </w:p>
    <w:p>
      <w:pPr>
        <w:ind w:left="180" w:firstLine="162"/>
        <w:spacing w:after="0" w:line="252" w:lineRule="auto"/>
        <w:rPr>
          <w:sz w:val="20"/>
          <w:szCs w:val="20"/>
          <w:color w:val="auto"/>
        </w:rPr>
      </w:pPr>
      <w:r>
        <w:rPr>
          <w:rFonts w:ascii="Times New Roman" w:cs="Times New Roman" w:eastAsia="Times New Roman" w:hAnsi="Times New Roman"/>
          <w:sz w:val="17"/>
          <w:szCs w:val="17"/>
          <w:color w:val="auto"/>
        </w:rPr>
        <w:t>Applebee’s system-wide domestic same-restaurant sales for the three months ended September 30, 2020 improved significantly compared to the decrease of 49.4% for the three months ended June 30, 2020. This improvement primarily was due to the easing or removal of governmental restrictions on dine-in restaurant operations in certain jurisdictions, an increase in consumers' ability and desire to patronize restaurants, retention of off-premise sales and the Company's return to national media advertising in July 2020 after having temporarily discontinued its national advertising programs in March 2020. As shown in the table below, after reaching a low point in April 2020, Applebee's experienced progressive improvement in same-restaurant sales for the months of May through September 2020. On a weekly basis, Applebee's same-restaurant sales improved sequentially for 10 of the 13 weeks comprising the third quarter of 2020, culminating with an increase of 0.4% in same-restaurant sales for the week ended September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426085</wp:posOffset>
            </wp:positionV>
            <wp:extent cx="5143500" cy="257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3649345</wp:posOffset>
            </wp:positionV>
            <wp:extent cx="5143500" cy="257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right="40" w:firstLine="162"/>
        <w:spacing w:after="0" w:line="266" w:lineRule="auto"/>
        <w:rPr>
          <w:sz w:val="20"/>
          <w:szCs w:val="20"/>
          <w:color w:val="auto"/>
        </w:rPr>
      </w:pPr>
      <w:r>
        <w:rPr>
          <w:rFonts w:ascii="Times New Roman" w:cs="Times New Roman" w:eastAsia="Times New Roman" w:hAnsi="Times New Roman"/>
          <w:sz w:val="18"/>
          <w:szCs w:val="18"/>
          <w:color w:val="auto"/>
        </w:rPr>
        <w:t>While off-premise sales as a percentage of total sales has declined from the April 2020 peak as the dine-in capability of restaurants has expanded, off-premise sales have increased compared to pre-pandemic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Applebee's off-premise sales as % total</w:t>
      </w:r>
    </w:p>
    <w:p>
      <w:pPr>
        <w:spacing w:after="0" w:line="29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2020 Fiscal Month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38735</wp:posOffset>
            </wp:positionV>
            <wp:extent cx="66776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60"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Jan</w:t>
            </w:r>
          </w:p>
        </w:tc>
        <w:tc>
          <w:tcPr>
            <w:tcW w:w="80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2"/>
              </w:rPr>
              <w:t>Feb</w:t>
            </w:r>
          </w:p>
        </w:tc>
        <w:tc>
          <w:tcPr>
            <w:tcW w:w="82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March</w:t>
            </w:r>
          </w:p>
        </w:tc>
        <w:tc>
          <w:tcPr>
            <w:tcW w:w="780" w:type="dxa"/>
            <w:vAlign w:val="bottom"/>
          </w:tcPr>
          <w:p>
            <w:pPr>
              <w:spacing w:after="0"/>
              <w:rPr>
                <w:sz w:val="16"/>
                <w:szCs w:val="16"/>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w w:val="93"/>
              </w:rPr>
              <w:t>April</w:t>
            </w: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May</w:t>
            </w: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June</w:t>
            </w: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July</w:t>
            </w: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August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w:t>
            </w:r>
          </w:p>
        </w:tc>
      </w:tr>
      <w:tr>
        <w:trPr>
          <w:trHeight w:val="20"/>
        </w:trPr>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0"/>
        </w:trPr>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13.1 %</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14.4 %</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22.0 %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99.8 %</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76.4 %</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40.2 %</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38.0 %</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31.7 %</w:t>
            </w:r>
          </w:p>
        </w:tc>
      </w:tr>
    </w:tbl>
    <w:p>
      <w:pPr>
        <w:spacing w:after="0" w:line="3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13.3% decrease in same-restaurant sales for the three months ended September 30, 2020 outperformed the casual dining segment of the restaurant industry (excluding Applebee's) during that same period. During the three months ended September 30, 2020, the casual dining segment also experienced a decrease in same-restaurant sales that was due to a significant decline in customer traffic as well as</w:t>
      </w:r>
    </w:p>
    <w:p>
      <w:pPr>
        <w:sectPr>
          <w:pgSz w:w="11900" w:h="16838" w:orient="portrait"/>
          <w:cols w:equalWidth="0" w:num="1">
            <w:col w:w="11160"/>
          </w:cols>
          <w:pgMar w:left="320" w:top="118" w:right="4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slight decrease in average customer check. Applebee's decrease in traffic for the three months ended September 30, 2020 was less than that of the casual dining segment, and Applebee's increase in average check was greater than that of the casual dining segment.</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Applebee's 24.1% decrease in same-restaurant sales for the nine months ended September 30, 2020 underperformed the casual dining segment of the restaurant industry (excluding Applebee's) during that same period. During the nine months ended September 30, 2020, the casual dining segment also experienced a decrease in same-restaurant sales that was due to a significant decline in customer traffic. Applebee's decrease in traffic for the nine months ended September 30, 2020 was greater than that of the casual dining segment during that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5254625" cy="2623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5462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right="260" w:firstLine="162"/>
        <w:spacing w:after="0" w:line="242" w:lineRule="auto"/>
        <w:rPr>
          <w:sz w:val="20"/>
          <w:szCs w:val="20"/>
          <w:color w:val="auto"/>
        </w:rPr>
      </w:pPr>
      <w:r>
        <w:rPr>
          <w:rFonts w:ascii="Times New Roman" w:cs="Times New Roman" w:eastAsia="Times New Roman" w:hAnsi="Times New Roman"/>
          <w:sz w:val="18"/>
          <w:szCs w:val="18"/>
          <w:color w:val="auto"/>
        </w:rPr>
        <w:t>IHOP's system-wide domestic same-restaurant sales decreased 30.2% for the three months ended September 30, 2020 and decreased 33.8% for the nine months ended September 30, 2020 from the same periods of the prior year. The decreases primarily were due to a significant decline in customer traffic as a result of the effects of COVID-19 that began to impact our restaurants around the middle of March 2020, partly offset by an increase in average check. Based on data from Black Box, the family dining segment underperformed the overall restaurant industry for both the three and nine months ended September 30, 2020. The breakfast category, in general, has experienced larger transaction declines than other dayparts.</w:t>
      </w:r>
    </w:p>
    <w:p>
      <w:pPr>
        <w:spacing w:after="0" w:line="212" w:lineRule="exact"/>
        <w:rPr>
          <w:sz w:val="20"/>
          <w:szCs w:val="20"/>
          <w:color w:val="auto"/>
        </w:rPr>
      </w:pPr>
    </w:p>
    <w:p>
      <w:pPr>
        <w:ind w:left="180" w:firstLine="162"/>
        <w:spacing w:after="0"/>
        <w:rPr>
          <w:sz w:val="20"/>
          <w:szCs w:val="20"/>
          <w:color w:val="auto"/>
        </w:rPr>
      </w:pPr>
      <w:r>
        <w:rPr>
          <w:rFonts w:ascii="Times New Roman" w:cs="Times New Roman" w:eastAsia="Times New Roman" w:hAnsi="Times New Roman"/>
          <w:sz w:val="18"/>
          <w:szCs w:val="18"/>
          <w:color w:val="auto"/>
        </w:rPr>
        <w:t>IHOP's system-wide domestic same-restaurant sales for the three months ended September 30, 2020 improved significantly compared to the decrease of 59.1% for the three months ended June 30, 2020. This improvement primarily was due to the easing or removal of governmental restrictions on dine-in restaurant operations in certain jurisdictions, an increase in the consumer's ability and desire to patronize restaurants, retention of off-premise sales and the Company's return to national media advertising in July 2020 after having temporarily discontinued its national advertising programs in March 2020. As shown in the table below, after reaching a low point in April 2020, IHOP experienced progressive improvement in same-restaurant sales for four of the five months of May through September 2020. On a weekly basis, IHOP's same-restaurant sales improved sequentially for 9 of the 13 weeks comprising the third quarter of 2020.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426085</wp:posOffset>
            </wp:positionV>
            <wp:extent cx="5143500"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3649345</wp:posOffset>
            </wp:positionV>
            <wp:extent cx="5143500" cy="257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right="60" w:firstLine="162"/>
        <w:spacing w:after="0" w:line="266" w:lineRule="auto"/>
        <w:rPr>
          <w:sz w:val="20"/>
          <w:szCs w:val="20"/>
          <w:color w:val="auto"/>
        </w:rPr>
      </w:pPr>
      <w:r>
        <w:rPr>
          <w:rFonts w:ascii="Times New Roman" w:cs="Times New Roman" w:eastAsia="Times New Roman" w:hAnsi="Times New Roman"/>
          <w:sz w:val="18"/>
          <w:szCs w:val="18"/>
          <w:color w:val="auto"/>
        </w:rPr>
        <w:t>While off-premise sales as a percentage of total sales has declined from the April 2020 peak as the dine-in capability of restaurants has expanded, off-premise sales have increased compared to pre-pandemic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IHOP off-premise sales as % total</w:t>
      </w:r>
    </w:p>
    <w:p>
      <w:pPr>
        <w:spacing w:after="0" w:line="5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2020 Fiscal Month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38735</wp:posOffset>
            </wp:positionV>
            <wp:extent cx="67722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6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88"/>
              </w:rPr>
              <w:t>Jan</w:t>
            </w: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92"/>
              </w:rPr>
              <w:t>Feb</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5"/>
              </w:rPr>
              <w:t>March</w:t>
            </w: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April</w:t>
            </w: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May</w:t>
            </w:r>
          </w:p>
        </w:tc>
        <w:tc>
          <w:tcPr>
            <w:tcW w:w="12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June</w:t>
            </w: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July</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August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9.7 %</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10.4 %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17.0 %</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94.7 %</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68.8 %</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35.8 %</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35.0 %</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32.5 %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30.6 %</w:t>
            </w:r>
          </w:p>
        </w:tc>
      </w:tr>
      <w:tr>
        <w:trPr>
          <w:trHeight w:val="27"/>
        </w:trPr>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ind w:right="60" w:firstLine="324"/>
        <w:spacing w:after="0" w:line="264" w:lineRule="auto"/>
        <w:rPr>
          <w:sz w:val="20"/>
          <w:szCs w:val="20"/>
          <w:color w:val="auto"/>
        </w:rPr>
      </w:pPr>
      <w:r>
        <w:rPr>
          <w:rFonts w:ascii="Times New Roman" w:cs="Times New Roman" w:eastAsia="Times New Roman" w:hAnsi="Times New Roman"/>
          <w:sz w:val="17"/>
          <w:szCs w:val="17"/>
          <w:color w:val="auto"/>
        </w:rPr>
        <w:t>Based on data from Black Box, IHOP's 30.2% decrease in same-restaurant sales for the three months ended September 30, 2020 outperformed the family dining segment of the restaurant industry (excluding IHOP) during that period. During the three months ended September 30, 2020, the family dining segment also experienced a decrease in same-restaurant sales that was due to a significant decline in customer traffic, partially offset by an increase in average customer check. IHOP's decrease in traffic for the three months ended September 30, 2020 was less than that of the family dining segment.</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IHOP's 33.8% decrease in same-restaurant sales for the nine months ended September 30, 2020 underperformed the family dining segment of the restaurant industry (excluding IHOP) during that same period. During the nine months ended September 30, 2020, the family dining segment also experienced a decrease in same-restaurant sales that was due to a significant decline in customer traffic, partially offset by an increase in average customer check. IHOP's decrease in traffic for the nine months ended September 30, 2020 was greater that of the family dining segment and IHOP's increase in average check was smaller than that of the family dining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and IHOP systems and information regarding the percentage change in sales at those restaurants compared to the same periods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gridSpan w:val="3"/>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Applebee's Restaurant Data</w:t>
            </w:r>
          </w:p>
        </w:tc>
        <w:tc>
          <w:tcPr>
            <w:tcW w:w="45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uto"/>
            </w:tcBorders>
            <w:vMerge w:val="continue"/>
          </w:tcPr>
          <w:p>
            <w:pPr>
              <w:spacing w:after="0"/>
              <w:rPr>
                <w:sz w:val="15"/>
                <w:szCs w:val="15"/>
                <w:color w:val="auto"/>
              </w:rPr>
            </w:pPr>
          </w:p>
        </w:tc>
        <w:tc>
          <w:tcPr>
            <w:tcW w:w="304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3000" w:type="dxa"/>
            <w:vAlign w:val="bottom"/>
            <w:tcBorders>
              <w:top w:val="single" w:sz="8" w:color="auto"/>
              <w:bottom w:val="single" w:sz="8" w:color="auto"/>
            </w:tcBorders>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3"/>
                <w:szCs w:val="23"/>
                <w:b w:val="1"/>
                <w:bCs w:val="1"/>
                <w:color w:val="auto"/>
                <w:vertAlign w:val="superscript"/>
              </w:rPr>
              <w:t>(a)</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04659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ind w:left="300"/>
        <w:spacing w:after="0"/>
        <w:rPr>
          <w:sz w:val="20"/>
          <w:szCs w:val="20"/>
          <w:color w:val="auto"/>
        </w:rPr>
      </w:pPr>
      <w:r>
        <w:rPr>
          <w:rFonts w:ascii="Times New Roman" w:cs="Times New Roman" w:eastAsia="Times New Roman" w:hAnsi="Times New Roman"/>
          <w:sz w:val="18"/>
          <w:szCs w:val="18"/>
          <w:color w:val="auto"/>
        </w:rPr>
        <w:t>Franchise</w:t>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w:t>
      </w:r>
    </w:p>
    <w:p>
      <w:pPr>
        <w:spacing w:after="0" w:line="1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p>
      <w:pPr>
        <w:ind w:left="300"/>
        <w:spacing w:after="0"/>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Domestic same-restaurant sales percentage change</w:t>
      </w:r>
      <w:r>
        <w:rPr>
          <w:rFonts w:ascii="Times New Roman" w:cs="Times New Roman" w:eastAsia="Times New Roman" w:hAnsi="Times New Roman"/>
          <w:sz w:val="22"/>
          <w:szCs w:val="22"/>
          <w:color w:val="auto"/>
          <w:vertAlign w:val="superscript"/>
        </w:rPr>
        <w:t>(d)</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1,752</w:t>
            </w:r>
          </w:p>
        </w:tc>
      </w:tr>
      <w:tr>
        <w:trPr>
          <w:trHeight w:val="250"/>
        </w:trPr>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1,705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1,688</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1,821</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7"/>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-693420</wp:posOffset>
            </wp:positionV>
            <wp:extent cx="704659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46595" cy="17970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-325120</wp:posOffset>
            </wp:positionV>
            <wp:extent cx="704659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4580" w:space="720"/>
            <w:col w:w="5920"/>
          </w:cols>
          <w:pgMar w:left="320" w:top="118" w:right="359" w:bottom="1440" w:gutter="0" w:footer="0" w:header="0"/>
          <w:type w:val="continuous"/>
        </w:sectPr>
      </w:pPr>
    </w:p>
    <w:tbl>
      <w:tblPr>
        <w:tblLayout w:type="fixed"/>
        <w:tblInd w:w="8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3"/>
                <w:szCs w:val="23"/>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 (e)</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20" w:type="dxa"/>
            <w:vAlign w:val="bottom"/>
          </w:tcPr>
          <w:p>
            <w:pPr>
              <w:spacing w:after="0"/>
              <w:rPr>
                <w:sz w:val="23"/>
                <w:szCs w:val="23"/>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r>
      <w:tr>
        <w:trPr>
          <w:trHeight w:val="256"/>
        </w:trPr>
        <w:tc>
          <w:tcPr>
            <w:tcW w:w="20" w:type="dxa"/>
            <w:vAlign w:val="bottom"/>
          </w:tcPr>
          <w:p>
            <w:pPr>
              <w:spacing w:after="0"/>
              <w:rPr>
                <w:sz w:val="22"/>
                <w:szCs w:val="22"/>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IHOP Restaurant Data</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1,660</w:t>
            </w:r>
          </w:p>
        </w:tc>
      </w:tr>
      <w:tr>
        <w:trPr>
          <w:trHeight w:val="243"/>
        </w:trPr>
        <w:tc>
          <w:tcPr>
            <w:tcW w:w="20" w:type="dxa"/>
            <w:vAlign w:val="bottom"/>
          </w:tcPr>
          <w:p>
            <w:pPr>
              <w:spacing w:after="0"/>
              <w:rPr>
                <w:sz w:val="21"/>
                <w:szCs w:val="21"/>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1,687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1,816</w:t>
            </w:r>
          </w:p>
        </w:tc>
      </w:tr>
      <w:tr>
        <w:trPr>
          <w:trHeight w:val="263"/>
        </w:trPr>
        <w:tc>
          <w:tcPr>
            <w:tcW w:w="20" w:type="dxa"/>
            <w:vAlign w:val="bottom"/>
            <w:shd w:val="clear" w:color="auto" w:fill="CCEEFF"/>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p>
      <w:pPr>
        <w:spacing w:after="0" w:line="21" w:lineRule="exact"/>
        <w:rPr>
          <w:sz w:val="20"/>
          <w:szCs w:val="20"/>
          <w:color w:val="auto"/>
        </w:rPr>
      </w:pPr>
    </w:p>
    <w:p>
      <w:pPr>
        <w:ind w:left="300" w:right="280"/>
        <w:spacing w:after="0" w:line="206" w:lineRule="auto"/>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3"/>
          <w:szCs w:val="23"/>
          <w:color w:val="auto"/>
          <w:vertAlign w:val="superscript"/>
        </w:rPr>
        <w:t>(d)</w:t>
      </w:r>
    </w:p>
    <w:p>
      <w:pPr>
        <w:ind w:left="100"/>
        <w:spacing w:after="0" w:line="231" w:lineRule="auto"/>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(34.4)%</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1.2 %</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405"/>
        </w:trPr>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(30.2)%</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0.03 %</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-239395</wp:posOffset>
            </wp:positionV>
            <wp:extent cx="704659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46595" cy="25717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5360" w:space="720"/>
            <w:col w:w="5140"/>
          </w:cols>
          <w:pgMar w:left="320" w:top="118" w:right="359" w:bottom="1440" w:gutter="0" w:footer="0" w:header="0"/>
          <w:type w:val="continuous"/>
        </w:sectPr>
      </w:pPr>
    </w:p>
    <w:tbl>
      <w:tblPr>
        <w:tblLayout w:type="fixed"/>
        <w:tblInd w:w="80" w:type="dxa"/>
        <w:tblCellMar>
          <w:top w:w="0" w:type="dxa"/>
          <w:left w:w="0" w:type="dxa"/>
          <w:bottom w:w="0" w:type="dxa"/>
          <w:right w:w="0" w:type="dxa"/>
        </w:tblCellMar>
      </w:tblPr>
      <w:tr>
        <w:trPr>
          <w:trHeight w:val="26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7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5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8" w:lineRule="exact"/>
        <w:rPr>
          <w:sz w:val="20"/>
          <w:szCs w:val="20"/>
          <w:color w:val="auto"/>
        </w:rPr>
      </w:pPr>
    </w:p>
    <w:p>
      <w:pPr>
        <w:ind w:left="340" w:hanging="287"/>
        <w:spacing w:after="0" w:line="260" w:lineRule="auto"/>
        <w:tabs>
          <w:tab w:leader="none" w:pos="36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ind w:left="340" w:right="180" w:hanging="332"/>
        <w:spacing w:after="0" w:line="249" w:lineRule="auto"/>
        <w:tabs>
          <w:tab w:leader="none" w:pos="32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8"/>
        </w:trPr>
        <w:tc>
          <w:tcPr>
            <w:tcW w:w="6400" w:type="dxa"/>
            <w:vAlign w:val="bottom"/>
            <w:gridSpan w:val="3"/>
          </w:tcPr>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3"/>
        </w:trPr>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Reported sales (in millions)</w:t>
            </w:r>
          </w:p>
        </w:tc>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Applebee's domestic franchise restaurant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Applebee's company-operated restaurants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IHOP franchise restaurant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IHOP area license restaurant sales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right="120" w:hanging="332"/>
        <w:spacing w:after="0" w:line="258" w:lineRule="auto"/>
        <w:tabs>
          <w:tab w:leader="none" w:pos="31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percentage change” reflects, for each category of restaurants, the percentage change in sales in any given fiscal period compared to the prior fiscal period for all restaurants in that category.</w:t>
      </w:r>
    </w:p>
    <w:p>
      <w:pPr>
        <w:jc w:val="both"/>
        <w:ind w:left="340" w:hanging="332"/>
        <w:spacing w:after="0" w:line="246" w:lineRule="auto"/>
        <w:tabs>
          <w:tab w:leader="none" w:pos="34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 w:lineRule="exact"/>
        <w:rPr>
          <w:rFonts w:ascii="Times New Roman" w:cs="Times New Roman" w:eastAsia="Times New Roman" w:hAnsi="Times New Roman"/>
          <w:sz w:val="16"/>
          <w:szCs w:val="16"/>
          <w:color w:val="auto"/>
        </w:rPr>
      </w:pPr>
    </w:p>
    <w:p>
      <w:pPr>
        <w:ind w:left="340" w:right="580" w:hanging="332"/>
        <w:spacing w:after="0" w:line="257" w:lineRule="auto"/>
        <w:tabs>
          <w:tab w:leader="none" w:pos="31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Applebee's franchise sales percentage change for the nine months ended September 30, 2019 was impacted by the acquisition of 69 franchise restaurants in December 2018 that became reported as company-operated.</w:t>
      </w:r>
    </w:p>
    <w:p>
      <w:pPr>
        <w:sectPr>
          <w:pgSz w:w="11900" w:h="16838" w:orient="portrait"/>
          <w:cols w:equalWidth="0" w:num="1">
            <w:col w:w="11240"/>
          </w:cols>
          <w:pgMar w:left="320" w:top="118" w:right="339" w:bottom="1440" w:gutter="0" w:footer="0" w:header="0"/>
        </w:sectPr>
      </w:pP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Restaurant Development Activity</w:t>
      </w: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Applebee's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Franchise</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Company restaurants</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Beginning of period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9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tcPr>
          <w:p>
            <w:pPr>
              <w:spacing w:after="0"/>
              <w:rPr>
                <w:sz w:val="20"/>
                <w:szCs w:val="20"/>
                <w:color w:val="auto"/>
              </w:rPr>
            </w:pPr>
          </w:p>
        </w:tc>
      </w:tr>
      <w:tr>
        <w:trPr>
          <w:trHeight w:val="523"/>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70"/>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c>
          <w:tcPr>
            <w:tcW w:w="12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1,815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1,837</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-556895</wp:posOffset>
            </wp:positionV>
            <wp:extent cx="706374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-213995</wp:posOffset>
            </wp:positionV>
            <wp:extent cx="706374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63740" cy="19685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060" w:space="720"/>
            <w:col w:w="54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3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permanently closed:</w:t>
            </w:r>
          </w:p>
        </w:tc>
        <w:tc>
          <w:tcPr>
            <w:tcW w:w="1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3"/>
                <w:szCs w:val="23"/>
                <w:color w:val="auto"/>
              </w:rPr>
            </w:pPr>
          </w:p>
        </w:tc>
      </w:tr>
      <w:tr>
        <w:trPr>
          <w:trHeight w:val="263"/>
        </w:trPr>
        <w:tc>
          <w:tcPr>
            <w:tcW w:w="60" w:type="dxa"/>
            <w:vAlign w:val="bottom"/>
          </w:tcPr>
          <w:p>
            <w:pPr>
              <w:spacing w:after="0"/>
              <w:rPr>
                <w:sz w:val="22"/>
                <w:szCs w:val="22"/>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permanently closed</w:t>
            </w:r>
          </w:p>
        </w:tc>
        <w:tc>
          <w:tcPr>
            <w:tcW w:w="13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6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
        </w:trPr>
        <w:tc>
          <w:tcPr>
            <w:tcW w:w="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60" w:type="dxa"/>
            <w:vAlign w:val="bottom"/>
          </w:tcPr>
          <w:p>
            <w:pPr>
              <w:spacing w:after="0"/>
              <w:rPr>
                <w:sz w:val="23"/>
                <w:szCs w:val="23"/>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Franchise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6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restaurants</w:t>
            </w:r>
          </w:p>
        </w:tc>
        <w:tc>
          <w:tcPr>
            <w:tcW w:w="13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1,728</w:t>
            </w:r>
          </w:p>
        </w:tc>
        <w:tc>
          <w:tcPr>
            <w:tcW w:w="12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1,804</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1,728</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6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60" w:type="dxa"/>
            <w:vAlign w:val="bottom"/>
          </w:tcPr>
          <w:p>
            <w:pPr>
              <w:spacing w:after="0"/>
              <w:rPr>
                <w:sz w:val="21"/>
                <w:szCs w:val="21"/>
                <w:color w:val="auto"/>
              </w:rPr>
            </w:pPr>
          </w:p>
        </w:tc>
      </w:tr>
      <w:tr>
        <w:trPr>
          <w:trHeight w:val="924"/>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IHOP</w:t>
            </w:r>
          </w:p>
        </w:tc>
        <w:tc>
          <w:tcPr>
            <w:tcW w:w="5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70"/>
        </w:trPr>
        <w:tc>
          <w:tcPr>
            <w:tcW w:w="2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1,828</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2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0" w:type="dxa"/>
            <w:vAlign w:val="bottom"/>
            <w:shd w:val="clear" w:color="auto" w:fill="CCEEFF"/>
          </w:tcPr>
          <w:p>
            <w:pPr>
              <w:spacing w:after="0"/>
              <w:rPr>
                <w:sz w:val="22"/>
                <w:szCs w:val="22"/>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Franchise/area license restaurants permanently closed: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Pr>
          <w:p>
            <w:pPr>
              <w:spacing w:after="0"/>
              <w:rPr>
                <w:sz w:val="23"/>
                <w:szCs w:val="23"/>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Borders>
              <w:bottom w:val="single" w:sz="8" w:color="CCEEFF"/>
            </w:tcBorders>
          </w:tcPr>
          <w:p>
            <w:pPr>
              <w:spacing w:after="0"/>
              <w:rPr>
                <w:sz w:val="22"/>
                <w:szCs w:val="22"/>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franchise/area license restaurants permanently closed</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(reduction) addition</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70"/>
        </w:trPr>
        <w:tc>
          <w:tcPr>
            <w:tcW w:w="2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64"/>
        </w:trPr>
        <w:tc>
          <w:tcPr>
            <w:tcW w:w="20" w:type="dxa"/>
            <w:vAlign w:val="bottom"/>
          </w:tcPr>
          <w:p>
            <w:pPr>
              <w:spacing w:after="0"/>
              <w:rPr>
                <w:sz w:val="22"/>
                <w:szCs w:val="22"/>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1,836</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r>
      <w:tr>
        <w:trPr>
          <w:trHeight w:val="250"/>
        </w:trPr>
        <w:tc>
          <w:tcPr>
            <w:tcW w:w="20" w:type="dxa"/>
            <w:vAlign w:val="bottom"/>
          </w:tcPr>
          <w:p>
            <w:pPr>
              <w:spacing w:after="0"/>
              <w:rPr>
                <w:sz w:val="21"/>
                <w:szCs w:val="21"/>
                <w:color w:val="auto"/>
              </w:rPr>
            </w:pPr>
          </w:p>
        </w:tc>
        <w:tc>
          <w:tcPr>
            <w:tcW w:w="5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bl>
    <w:p>
      <w:pPr>
        <w:spacing w:after="0" w:line="9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a reduction in this table and temporarily closed restaurants are included in the summary counts at the beginning and end of each period shown. Temporary closures are reflected in the weighted calculation of Effective Restaurants presented in the preceding Restaurant Data table.</w:t>
      </w:r>
    </w:p>
    <w:p>
      <w:pPr>
        <w:spacing w:after="0" w:line="20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the full year of 2020, we believe our expectations regarding net restaurant development and closures by our Applebee’s franchisees and IHOP franchisees and area licensees could be materially impacted by the continuing impact of COVID-19 and our temporary suspension of franchisee development obligations in response thereto. Given the significant uncertainties related to </w:t>
      </w:r>
      <w:r>
        <w:rPr>
          <w:rFonts w:ascii="Times New Roman" w:cs="Times New Roman" w:eastAsia="Times New Roman" w:hAnsi="Times New Roman"/>
          <w:sz w:val="18"/>
          <w:szCs w:val="18"/>
          <w:color w:val="252525"/>
        </w:rPr>
        <w:t>the COVID-19 pandemic, including the potential re-imposition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of dine-in operating restrictions on restaurants, customer re-engagement with our brands and the short- and long-term impact on consumer discretionary spending, </w:t>
      </w:r>
      <w:r>
        <w:rPr>
          <w:rFonts w:ascii="Times New Roman" w:cs="Times New Roman" w:eastAsia="Times New Roman" w:hAnsi="Times New Roman"/>
          <w:sz w:val="18"/>
          <w:szCs w:val="18"/>
          <w:color w:val="000000"/>
        </w:rPr>
        <w:t>we have withdrawn our 2020 net restaurant development and closure guidance issued on February 24, 2020.</w:t>
      </w:r>
    </w:p>
    <w:p>
      <w:pPr>
        <w:spacing w:after="0" w:line="210" w:lineRule="exact"/>
        <w:rPr>
          <w:sz w:val="20"/>
          <w:szCs w:val="20"/>
          <w:color w:val="auto"/>
        </w:rPr>
      </w:pPr>
    </w:p>
    <w:p>
      <w:pPr>
        <w:ind w:right="60" w:firstLine="324"/>
        <w:spacing w:after="0" w:line="238" w:lineRule="auto"/>
        <w:rPr>
          <w:sz w:val="20"/>
          <w:szCs w:val="20"/>
          <w:color w:val="auto"/>
        </w:rPr>
      </w:pPr>
      <w:r>
        <w:rPr>
          <w:rFonts w:ascii="Times New Roman" w:cs="Times New Roman" w:eastAsia="Times New Roman" w:hAnsi="Times New Roman"/>
          <w:sz w:val="18"/>
          <w:szCs w:val="18"/>
          <w:color w:val="auto"/>
        </w:rPr>
        <w:t>We and certain of our IHOP franchisees are evaluating the long-term viability of certain IHOP restaurants in light of individual store-level economics impacted by the COVID-19 crisis. While the timing and extent of any closures resulting from these evaluations are uncertain, we currently anticipate the evaluations could result in the closure of up to 100 IHOP restaurants over the next six months. Our franchisees are independent businesses and their decisions to close restaurants, both temporarily and permanently, can be impacted by numerous factors that are outside of our control, including but not limited to, the impact of COVID-19 on individual franchisees as well as franchisees' agreements with their lenders and landlords. While we are not able at this time to determine the impact of such closure on our results, changes in the number of Applebee's and IHOP restaurants impact our system-wide retail sales that drive our franchise royalty revenues as well as, in the case of IHOP restaurants, sales of proprietary pancake and waffle dry mix. Further, in the case of certain such restaurants, we own or lease the underlying property and sublease it to the applicable franchisee. Thus, our rental income could be adversely affected due to our obligation to make rental or other payments for such properties.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2020 and September 30, 2019</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6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121.8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14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14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176.7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vs. prior period</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Total revenue for franchise and company restaurant operations for the three and nine months ended September 30, 2020 decreased compared with the same periods of the prior year, primarily due to a significant decline in customer traffic at our restaurants as a result of the effects of measures put in place by various levels of government to mitigate the spread of the COVID-19 virus and changes in consumer behavior resulting therefrom. Rental operations revenue was also impacted by COVID-19 effects, primarily due to a decline in rent paid based on a percentage of franchisees' retail sales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6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restart"/>
          </w:tcPr>
          <w:p>
            <w:pPr>
              <w:jc w:val="center"/>
              <w:ind w:right="320"/>
              <w:spacing w:after="0" w:line="9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jc w:val="center"/>
              <w:ind w:right="59"/>
              <w:spacing w:after="0" w:line="97" w:lineRule="exact"/>
              <w:rPr>
                <w:sz w:val="20"/>
                <w:szCs w:val="20"/>
                <w:color w:val="auto"/>
              </w:rPr>
            </w:pPr>
            <w:r>
              <w:rPr>
                <w:rFonts w:ascii="Times New Roman" w:cs="Times New Roman" w:eastAsia="Times New Roman" w:hAnsi="Times New Roman"/>
                <w:sz w:val="11"/>
                <w:szCs w:val="11"/>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1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66.8</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181.3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vs. prior period</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Total gross profit for the three and nine months ended September 30, 2020 decreased compared with the same periods of the prior year, primarily due to a significant decline in customer traffic at our restaurants as a result of the effects of measures put in place by various levels of government to mitigate the spread of the COVID-19 virus and changes in consumer behavior resulting therefrom, as well as increases in bad debt expense of $3.5 million and $9.7 million, respectively, for three and nine months ended September 30, 2020.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8"/>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6"/>
                <w:szCs w:val="16"/>
                <w:color w:val="auto"/>
              </w:rPr>
            </w:pPr>
          </w:p>
        </w:tc>
        <w:tc>
          <w:tcPr>
            <w:tcW w:w="2740" w:type="dxa"/>
            <w:vAlign w:val="bottom"/>
            <w:gridSpan w:val="8"/>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Franchise Operations</w:t>
            </w:r>
          </w:p>
        </w:tc>
        <w:tc>
          <w:tcPr>
            <w:tcW w:w="15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211"/>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restart"/>
          </w:tcPr>
          <w:p>
            <w:pPr>
              <w:jc w:val="right"/>
              <w:ind w:right="191"/>
              <w:spacing w:after="0" w:line="183" w:lineRule="exact"/>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right"/>
              <w:ind w:right="171"/>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vMerge w:val="restart"/>
          </w:tcPr>
          <w:p>
            <w:pPr>
              <w:jc w:val="right"/>
              <w:ind w:right="171"/>
              <w:spacing w:after="0" w:line="183" w:lineRule="exact"/>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3"/>
              <w:spacing w:after="0" w:line="127" w:lineRule="exact"/>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gridSpan w:val="1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40" w:type="dxa"/>
            <w:vAlign w:val="bottom"/>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00" w:type="dxa"/>
            <w:vAlign w:val="bottom"/>
            <w:gridSpan w:val="2"/>
          </w:tcPr>
          <w:p>
            <w:pPr>
              <w:spacing w:after="0" w:line="240" w:lineRule="exact"/>
              <w:rPr>
                <w:sz w:val="20"/>
                <w:szCs w:val="20"/>
                <w:color w:val="auto"/>
              </w:rPr>
            </w:pPr>
            <w:r>
              <w:rPr>
                <w:rFonts w:ascii="Times New Roman" w:cs="Times New Roman" w:eastAsia="Times New Roman" w:hAnsi="Times New Roman"/>
                <w:sz w:val="18"/>
                <w:szCs w:val="18"/>
                <w:color w:val="auto"/>
              </w:rPr>
              <w:t>Effective Franchise Restaurants:</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 franchise fees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 franchise fees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fees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revenues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expenses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Gross Profit:</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00" w:type="dxa"/>
            <w:vAlign w:val="bottom"/>
            <w:gridSpan w:val="2"/>
          </w:tcPr>
          <w:p>
            <w:pPr>
              <w:spacing w:after="0" w:line="244"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3"/>
                <w:szCs w:val="23"/>
                <w:color w:val="auto"/>
                <w:vertAlign w:val="superscript"/>
              </w:rPr>
              <w:t>(2)(3)</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1" w:lineRule="exact"/>
        <w:rPr>
          <w:sz w:val="20"/>
          <w:szCs w:val="20"/>
          <w:color w:val="auto"/>
        </w:rPr>
      </w:pPr>
    </w:p>
    <w:p>
      <w:pPr>
        <w:ind w:left="180" w:right="80" w:hanging="172"/>
        <w:spacing w:after="0" w:line="241" w:lineRule="auto"/>
        <w:tabs>
          <w:tab w:leader="none" w:pos="15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 w:lineRule="exact"/>
        <w:rPr>
          <w:rFonts w:ascii="Times New Roman" w:cs="Times New Roman" w:eastAsia="Times New Roman" w:hAnsi="Times New Roman"/>
          <w:sz w:val="9"/>
          <w:szCs w:val="9"/>
          <w:color w:val="auto"/>
        </w:rPr>
      </w:pPr>
    </w:p>
    <w:p>
      <w:pPr>
        <w:ind w:left="180" w:right="80" w:hanging="172"/>
        <w:spacing w:after="0" w:line="258" w:lineRule="auto"/>
        <w:tabs>
          <w:tab w:leader="none" w:pos="163"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0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September 30, 2020 declined 16.2% compared to the same period of the prior year. Approximately $4.5 million of the decline was due to a decrease of 13.4% in domestic franchise same-restaurant sales primarily caused by the adverse impact on customer traffic of COVID-19-related mitigation measures and changes in consumer behavior. Additionally, revenue decreased $0.8 million due to temporary domestic restaurant closures and $0.8 million due to permanent domestic restaurant closures. Applebee's international revenues declined $0.7 million, primarily due to a decline in same-restaurant sales as well as a $0.2 million decline due to temporary and permanent restaurant closures.</w:t>
      </w:r>
    </w:p>
    <w:p>
      <w:pPr>
        <w:spacing w:after="0" w:line="21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increase in Applebee's franchise expenses for the three months ended September 30, 2020 compared with the same period of the prior year was due to an increase in bad debt expense. Bad debt expense for the three months ended September 30, 2020 was $2.4 million as compared to bad debt recovery of $0.7 million during the three months ended September 30, 2019.</w:t>
      </w:r>
    </w:p>
    <w:p>
      <w:pPr>
        <w:spacing w:after="0" w:line="20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IHOP franchise fee revenue for the three months ended September 30, 2020 decreased 25.2% compared to the same period of the prior year, primarily due to lower royalty and pancake and waffle dry mix revenues resulting from a 29.9% decrease in domestic franchise same-restaurant sales primarily caused by the adverse impact on customer traffic of COVID-19-related mitigation measures and changes in consumer behavior. Approximately $1.9 million of the revenue decline was due to domestic temporary restaurant closures. IHOP's international revenues declined $1.5 million, due primarily to a decline in same-restaurant sales as well as a $0.2 million decrease due to temporary and permanent restaurant closures. Partially offsetting these unfavorable items was an increase in forfeited franchise fees.</w:t>
      </w:r>
    </w:p>
    <w:p>
      <w:pPr>
        <w:spacing w:after="0" w:line="21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IHOP franchise expenses for the three months ended September 30, 2020 declined from the same period of the prior year primarily due to a decrease in purchase of pancake and waffle dry mix, partially offset by an increase in bad debt expense. IHOP's bad debt expense for the three months ended September 30, 2020 was $0.4 million as compared to a small amount of bad debt recovery during the three months ended September 30, 2019.</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Total franchise gross profit decreased for the three months ended September 30, 2020 compared to the same period of the prior year, primarily due to significant decreases in domestic franchise same-restaurant sales for both Applebee's and IHOP primarily resulting from the adverse impact on customer traffic of COVID-19-related mitigation measures and changes in consumer behavior, as well as an increase in bad debt expense.</w:t>
      </w:r>
    </w:p>
    <w:p>
      <w:pPr>
        <w:spacing w:after="0" w:line="20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Applebee’s franchise fee revenue for the nine months ended September 30, 2020 declined 27.0% compared to the same period of the prior year. Approximately $25.8 million of the decline was due to a decrease of 24.1% in domestic franchise same-restaurant sales primarily caused by the adverse impact on customer traffic of COVID-19-related mitigation measures and changes in consumer behavior. Additionally, revenue decreased $4.0 million due to temporary domestic restaurant closures and $2.5 million due to permanent domestic restaurant closures. Applebee's international revenues declined $2.6 million, primarily due to a decline in same-restaurant sales as well as a $0.6 million decrease due to temporary closures and a $0.2 million due to permanent restaurant closures. These unfavorable changes were partially offset by a decrease in domestic delivery credits that reduce royalty revenue and an increase in international franchise fees.</w:t>
      </w:r>
    </w:p>
    <w:p>
      <w:pPr>
        <w:spacing w:after="0" w:line="21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increase in Applebee's franchise expenses for the nine months ended September 30, 2020 compared with the same period of the prior year was due to $6.4 million increase in bad debt expense. Bad debt expense for the nine months ended September 30, 2020 was $5.2 million as compared to a bad debt recovery of $1.1 million during the nine months ended September 30, 2019.</w:t>
      </w:r>
    </w:p>
    <w:p>
      <w:pPr>
        <w:spacing w:after="0" w:line="20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IHOP franchise fee revenue for the nine months ended September 30, 2020 decreased 33.3% compared to the same period of the prior year, primarily due to lower royalty and pancake and waffle dry mix revenues resulting from a 33.6% decrease in domestic franchise same-restaurant sales primarily caused by the adverse impact on customer traffic of COVID-19-related mitigation measures and changes in consumer behavior. Additionally, revenue decreased $6.3 million due to temporary domestic restaurant closures. IHOP's international revenues declined $3.4 million, due primarily to a decline in same-restaurant sales as well as a $0.4 million decrease due to temporary and permanent restaurant closures. These unfavorable changes were partially offset by a $0.6 million increase in franchise fees.</w:t>
      </w:r>
    </w:p>
    <w:p>
      <w:pPr>
        <w:spacing w:after="0" w:line="214"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IHOP franchise expenses for the nine months ended September 30, 2020 declined from the same period of the prior year primarily due to a decrease in purchases of pancake and waffle dry mix, partially offset by a $3.1 million increase in bad debt expense. IHOP bad debt expense for the nine months ended September 30, 2020 was $2.9 million compared to a bad debt recovery of $0.2 million in the prior year period.</w:t>
      </w:r>
    </w:p>
    <w:p>
      <w:pPr>
        <w:spacing w:after="0" w:line="1" w:lineRule="exact"/>
        <w:rPr>
          <w:sz w:val="20"/>
          <w:szCs w:val="20"/>
          <w:color w:val="auto"/>
        </w:rPr>
      </w:pPr>
    </w:p>
    <w:p>
      <w:pPr>
        <w:jc w:val="both"/>
        <w:ind w:right="220" w:firstLine="324"/>
        <w:spacing w:after="0" w:line="255" w:lineRule="auto"/>
        <w:rPr>
          <w:sz w:val="20"/>
          <w:szCs w:val="20"/>
          <w:color w:val="auto"/>
        </w:rPr>
      </w:pPr>
      <w:r>
        <w:rPr>
          <w:rFonts w:ascii="Times New Roman" w:cs="Times New Roman" w:eastAsia="Times New Roman" w:hAnsi="Times New Roman"/>
          <w:sz w:val="18"/>
          <w:szCs w:val="18"/>
          <w:color w:val="auto"/>
        </w:rPr>
        <w:t>Total franchise gross profit decreased for the nine months ended September 30, 2020 compared to the same period of the prior year, primarily due to significant decreases in domestic franchise same-restaurant sales for both Applebee's and IHOP primarily resulting from the adverse impact on customer traffic of COVID-19-related mitigation measures and changes in consumer behavior, as well as an increase in bad debt expense.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 and expense by brand for the three and nine months ended September 30, 2020 and 2019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7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 w:type="dxa"/>
            <w:vAlign w:val="bottom"/>
          </w:tcPr>
          <w:p>
            <w:pPr>
              <w:spacing w:after="0"/>
              <w:rPr>
                <w:sz w:val="18"/>
                <w:szCs w:val="18"/>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32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Revenues and Expenses:</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Applebee's advertising revenue and expense for the three months ended September 30, 2020 decreased 15.3% compared to the same period of the prior year, primarily due to the decrease of 13.4% in domestic franchise same-restaurant sales, a $0.9 million decrease due to temporary domestic restaurant closures and a $0.9 million decrease due to permanent domestic restaurant closures. IHOP's advertising revenue and expense for the three months ended September 30, 2020 decreased 33.7% compared to the same period of the prior year, primarily due to the decrease of 29.9% in domestic franchise same-restaurant sales, as well as a decrease due to temporary and permanent restaurant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Applebee's advertising revenue and expense for the nine months ended September 30, 2020 decreased 29.3% compared to the same period of the prior year, primarily due to the decrease of 24.1% in domestic franchise same-restaurant sales, a $4.3 million decrease due to temporary domestic restaurant closures, a $2.9 million decrease due to permanent domestic restaurant closures and a $2.2 million decrease due to franchisee collectibility. IHOP's advertising revenue and expense for the nine months ended September 30, 2020 decreased 37.4% compared to the same period of the prior year, primarily due to the decrease of 33.6% in domestic franchise same-restaurant sales, as well as a decrease due to temporary and permanent restaurant closures.</w:t>
      </w:r>
    </w:p>
    <w:p>
      <w:pPr>
        <w:spacing w:after="0" w:line="19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recovery of a previously recognized deficiency in advertising fee revenue compared to advertising expenditure in the fourth quarter of our fiscal year.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140" w:type="dxa"/>
            <w:vAlign w:val="bottom"/>
          </w:tcPr>
          <w:p>
            <w:pPr>
              <w:spacing w:after="0"/>
              <w:rPr>
                <w:sz w:val="17"/>
                <w:szCs w:val="17"/>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7"/>
                <w:szCs w:val="17"/>
                <w:color w:val="auto"/>
              </w:rPr>
            </w:pPr>
          </w:p>
        </w:tc>
        <w:tc>
          <w:tcPr>
            <w:tcW w:w="2760" w:type="dxa"/>
            <w:vAlign w:val="bottom"/>
            <w:gridSpan w:val="8"/>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restart"/>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00" w:type="dxa"/>
            <w:vAlign w:val="bottom"/>
            <w:gridSpan w:val="2"/>
          </w:tcPr>
          <w:p>
            <w:pPr>
              <w:spacing w:after="0" w:line="244"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59"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30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Rental segment revenue for the three months ended September 30, 2020 decreased as compared to the same period of the prior year primarily due to a $1.7 million decline in rental income based on a percentage of franchisees' retail sales, a $0.3 million decrease in base rent due to restaurant closures and lease buy-outs and a progressive decline of $0.4 million in interest income as direct financing leases are repaid. Rental segment expenses for the three months ended September 30, 2020 decreased compared to the same period of the prior year primarily due to a $0.9 million decrease in base rent expense due to restaurant closures and lease buy-outs, a $0.4 million decrease in rent paid based on a percentage of franchisees' retail sales, a $0.3 million decrease in depreciation expense and a $0.2 million decrease in interest expense as finance lease obligations are repaid.</w:t>
      </w:r>
    </w:p>
    <w:p>
      <w:pPr>
        <w:spacing w:after="0" w:line="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Rental segment revenue for the nine months ended September 30, 2020 decreased as compared to the same period of the prior year, primarily due to a $5.5 million decrease in rental income based on a percentage of franchisees' retail sales, a $2.7 million decrease in base rent due to restaurant closures and lease buy-outs and a progressive decline of $1.2 million in interest income as direct financing leases are repaid. Rental segment expenses for the nine months ended September 30, 2020 decreased compared to the same period of the prior year primarily due to a $1.3 million decrease in rent paid based on a percentage of franchisees' retail sales, $1.4 million decrease in interest expense as finance lease obligations are repaid and a $0.9 million decrease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Restaurant Operations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6"/>
                <w:szCs w:val="16"/>
                <w:color w:val="auto"/>
              </w:rPr>
            </w:pPr>
          </w:p>
        </w:tc>
        <w:tc>
          <w:tcPr>
            <w:tcW w:w="27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79"/>
        </w:trPr>
        <w:tc>
          <w:tcPr>
            <w:tcW w:w="29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50"/>
        </w:trPr>
        <w:tc>
          <w:tcPr>
            <w:tcW w:w="2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Restaurants</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gridSpan w:val="5"/>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expenses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IHOP restaurant expenses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59"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69 Applebee's company-operated restaurants.</w:t>
      </w:r>
    </w:p>
    <w:p>
      <w:pPr>
        <w:spacing w:after="0" w:line="55"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associated with IHOP restaurants in the process of being refranchised.</w:t>
      </w:r>
    </w:p>
    <w:p>
      <w:pPr>
        <w:spacing w:after="0" w:line="55"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presented above.</w:t>
      </w:r>
    </w:p>
    <w:p>
      <w:pPr>
        <w:spacing w:after="0" w:line="248" w:lineRule="exact"/>
        <w:rPr>
          <w:sz w:val="20"/>
          <w:szCs w:val="20"/>
          <w:color w:val="auto"/>
        </w:rPr>
      </w:pPr>
    </w:p>
    <w:p>
      <w:pPr>
        <w:ind w:right="60" w:firstLine="243"/>
        <w:spacing w:after="0" w:line="254" w:lineRule="auto"/>
        <w:rPr>
          <w:sz w:val="20"/>
          <w:szCs w:val="20"/>
          <w:color w:val="auto"/>
        </w:rPr>
      </w:pPr>
      <w:r>
        <w:rPr>
          <w:rFonts w:ascii="Times New Roman" w:cs="Times New Roman" w:eastAsia="Times New Roman" w:hAnsi="Times New Roman"/>
          <w:sz w:val="18"/>
          <w:szCs w:val="18"/>
          <w:color w:val="auto"/>
        </w:rPr>
        <w:t>All 69 company-operated Applebee's restaurants have remained open throughout the three months ended September 30, 2020. The slight decrease in effective restaurants for the nine months ended September 30, 2020 reflects the temporary closure of seven restaurants for a short period of time in April 2020. In compliance with state and local requirements, the restaurants were largely limited to off-premise sales for approximately 10 weeks ( the last three weeks of the first quarter and the first seven weeks of the second quarter). By mid-May, 2020, the dining rooms for all 69 restaurants were open but limited to no more than 50% of capacity. As a result of these restrictions, same-restaurant sales decreased 10.7% and 24.2%, respectively, for the three and nine months ended September 30, 2020. The comparison of gross profit for Applebee's company-operated restaurants as a percentage of revenue for the three and nine months ended September 30, 2020 as compared to the same periods of the prior year was adversely impacted by the COVID-19-related operating constraints described above.</w:t>
      </w:r>
    </w:p>
    <w:p>
      <w:pPr>
        <w:spacing w:after="0" w:line="219" w:lineRule="exact"/>
        <w:rPr>
          <w:sz w:val="20"/>
          <w:szCs w:val="20"/>
          <w:color w:val="auto"/>
        </w:rPr>
      </w:pPr>
    </w:p>
    <w:p>
      <w:pPr>
        <w:ind w:right="320" w:firstLine="243"/>
        <w:spacing w:after="0" w:line="282" w:lineRule="auto"/>
        <w:rPr>
          <w:sz w:val="20"/>
          <w:szCs w:val="20"/>
          <w:color w:val="auto"/>
        </w:rPr>
      </w:pPr>
      <w:r>
        <w:rPr>
          <w:rFonts w:ascii="Times New Roman" w:cs="Times New Roman" w:eastAsia="Times New Roman" w:hAnsi="Times New Roman"/>
          <w:sz w:val="18"/>
          <w:szCs w:val="18"/>
          <w:color w:val="auto"/>
        </w:rPr>
        <w:t>In addition, Company segment restaurant expenses for the three and nine months ended September 30, 2020 include approximately $0.8 million and $1.8 million, respectively, of costs associated with certain IHOP restaurants while in the process of being refranchised.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Operations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the cost of any restaurant equipment sold associated with refranchised IHOP restaurants.</w:t>
      </w:r>
    </w:p>
    <w:p>
      <w:pPr>
        <w:spacing w:after="0" w:line="20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Financing revenue and gross profit for the three and nine months ended September 30, 2020 declined primarily because of decreases in interest income as note balances are repaid.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G&amp;A Expenses</w:t>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80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5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8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79"/>
        </w:trPr>
        <w:tc>
          <w:tcPr>
            <w:tcW w:w="27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restart"/>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50"/>
        </w:trPr>
        <w:tc>
          <w:tcPr>
            <w:tcW w:w="274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G&amp;A expenses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G&amp;A expenses for the three months ended September 30, 2020 decreased 5.3% compared to the same period of the prior year, primarily due to a $1.7 million decrease in travel costs. Included in total G&amp;A expenses for the three months ended September 30, 2020 were $0.9 million of expenses related to company-operated restaurants, a decrease of $0.4 million from the same period of the prior year. As of October 26, 2020, there were no team members from the restaurant support centers remaining on furlough.</w:t>
      </w:r>
    </w:p>
    <w:p>
      <w:pPr>
        <w:spacing w:after="0" w:line="20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G&amp;A expenses for the nine months ended September 30, 2020 decreased 13.0% compared to the same period of the prior year, primarily due to an $10.9 million decrease in personnel-related costs, as well as decreases in travel and consumer research costs, partially offset by increased depreciation primarily related to capitalized software projects. The decline in personnel-related costs was primarily due to lower costs of salaries and benefits, related in large part to the furloughing of approximately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one-third of team members across various functional groups in our restaurant support centers for approximately six months, as well as lower costs of equity-based and other incentive compensation. Included in total G&amp;A expenses for the nine months ended September 30, 2020 were $3.1 million of expenses related to company-operated restaurants, a decrease of $0.7 million from the same period of the prior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 and Closure Costs</w:t>
            </w:r>
          </w:p>
        </w:tc>
        <w:tc>
          <w:tcPr>
            <w:tcW w:w="27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Tradename impairment</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reacquired franchise rights</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spreading</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outbreak of COVID-19. 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utilized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1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we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21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performing the impairment review of the tradename, we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20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of Applebee's goodwill of $92.2 million and an impairment of Applebee's tradename of $11.0 million in the second quarter of 2020.</w:t>
      </w:r>
    </w:p>
    <w:p>
      <w:pPr>
        <w:spacing w:after="0" w:line="18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majority of the impairment was due to an increase in the assessed risk premium incorporated in the discount rate. These assets are at risk of additional impairment in the future in the event of sustained downward movement in the Company's stock price, downward revisions of long-term performance assumptions or increases in the assumed long-term discount rate.</w:t>
      </w:r>
    </w:p>
    <w:p>
      <w:pPr>
        <w:spacing w:after="0" w:line="203"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long-lived asset impairment of $17.2 million related to 45 Applebee's company-operated restaurants and 29 IHOP franchisee-operated restaurants for which the carrying amount exceeded the undiscounted cash flows The impairment recorded represented the difference between the carrying value and the estimated fair value. Approximately $11.2 million of the total impairment related to operating lease right-of-use assets that had been recorded in 2019 upon adoption of new accounting</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guidance for leases codified in Accounting Standards Topic 842, while $5.9 million related to impairments of land, building, leasehold improvements and finance leases. The impairments by individual property varied in amount, ranging from the largest single-property impairment of $1.3 million to less than $5,000.</w:t>
      </w:r>
    </w:p>
    <w:p>
      <w:pPr>
        <w:spacing w:after="0" w:line="20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impairment of $3.3 million was recognized related to the reacquired franchise rights intangible asset recorded in the purchase price allocation of the December 2018 acquisition of 69 Applebee's restaurants from a former franchisee.</w:t>
      </w:r>
    </w:p>
    <w:p>
      <w:pPr>
        <w:spacing w:after="0" w:line="189" w:lineRule="exact"/>
        <w:rPr>
          <w:sz w:val="20"/>
          <w:szCs w:val="20"/>
          <w:color w:val="auto"/>
        </w:rPr>
      </w:pPr>
    </w:p>
    <w:p>
      <w:pPr>
        <w:ind w:right="200" w:firstLine="324"/>
        <w:spacing w:after="0" w:line="245"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assessed its goodwill, intangible assets and tangible assets for impairment, considering, among other things, the market value of our stock, absolute and relative to peers, and the Company's operating performance during the three months ended September 30, 2020 compared to forecast results that had been used in performing the impairment analyses during the second quarter of 2020 discussed above. The Company concluded the were no indicators of additional impairment during the three months ended September 30,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 Items</w:t>
            </w: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 w:type="dxa"/>
            <w:vAlign w:val="bottom"/>
          </w:tcPr>
          <w:p>
            <w:pPr>
              <w:spacing w:after="0"/>
              <w:rPr>
                <w:sz w:val="17"/>
                <w:szCs w:val="17"/>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center"/>
              <w:ind w:left="600"/>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color w:val="auto"/>
                <w:w w:val="98"/>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left="640"/>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left="618"/>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60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center"/>
              <w:ind w:left="600"/>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center"/>
              <w:ind w:left="598"/>
              <w:spacing w:after="0"/>
              <w:rPr>
                <w:sz w:val="20"/>
                <w:szCs w:val="20"/>
                <w:color w:val="auto"/>
              </w:rPr>
            </w:pPr>
            <w:r>
              <w:rPr>
                <w:rFonts w:ascii="Times New Roman" w:cs="Times New Roman" w:eastAsia="Times New Roman" w:hAnsi="Times New Roman"/>
                <w:sz w:val="18"/>
                <w:szCs w:val="18"/>
                <w:color w:val="auto"/>
                <w:w w:val="98"/>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net for the three and nine months ended September 30, 2020 was higher than the same periods of the prior year, primarily due to increased interest expense on $220.0 million borrowed under our Revolver in March 2020.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discussion related to the Revolver borrowing.</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Loss on disposition of assets</w:t>
      </w:r>
    </w:p>
    <w:p>
      <w:pPr>
        <w:spacing w:after="0" w:line="25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loss on disposition of assets for the three months ended September 30, 2020 primarily related to disposition of capitalized software no longer in use. The loss on disposition of assets for the nine months ended September 30, 2020 primarily related to termination of 12 IHOP restaurant leases and the loss on capitalized software recognized during the three months ended September 30, 2020. There were no individually significant losses on disposition of assets during the three and nine months ended September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92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276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vMerge w:val="restart"/>
          </w:tcPr>
          <w:p>
            <w:pPr>
              <w:jc w:val="center"/>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Pr>
          <w:p>
            <w:pPr>
              <w:spacing w:after="0"/>
              <w:rPr>
                <w:sz w:val="4"/>
                <w:szCs w:val="4"/>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4"/>
                <w:szCs w:val="4"/>
                <w:color w:val="auto"/>
              </w:rPr>
            </w:pP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(108.6)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34.1 %</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Our income tax provision or benefit will vary from period to period in our normal course of business for two reasons: a change in income before</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 xml:space="preserve">income taxes and a change in the effective tax rate. Changes in our income before income taxes were addressed in the preceding sections of </w:t>
      </w:r>
      <w:r>
        <w:rPr>
          <w:rFonts w:ascii="Times New Roman" w:cs="Times New Roman" w:eastAsia="Times New Roman" w:hAnsi="Times New Roman"/>
          <w:sz w:val="17"/>
          <w:szCs w:val="17"/>
          <w:i w:val="1"/>
          <w:iCs w:val="1"/>
          <w:color w:val="auto"/>
        </w:rPr>
        <w:t>“Consolidated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 Comparison of the Three and Nine Months Ended September 30, 2020 and 2019.”</w:t>
      </w:r>
    </w:p>
    <w:p>
      <w:pPr>
        <w:spacing w:after="0" w:line="166" w:lineRule="exact"/>
        <w:rPr>
          <w:sz w:val="20"/>
          <w:szCs w:val="20"/>
          <w:color w:val="auto"/>
        </w:rPr>
      </w:pPr>
    </w:p>
    <w:p>
      <w:pPr>
        <w:ind w:right="180" w:firstLine="324"/>
        <w:spacing w:after="0" w:line="242" w:lineRule="auto"/>
        <w:rPr>
          <w:sz w:val="20"/>
          <w:szCs w:val="20"/>
          <w:color w:val="auto"/>
        </w:rPr>
      </w:pPr>
      <w:r>
        <w:rPr>
          <w:rFonts w:ascii="Times New Roman" w:cs="Times New Roman" w:eastAsia="Times New Roman" w:hAnsi="Times New Roman"/>
          <w:sz w:val="18"/>
          <w:szCs w:val="18"/>
          <w:color w:val="auto"/>
        </w:rPr>
        <w:t xml:space="preserve">Our effective tax rate for the three months ended September 30, 2020 was significantly different than the rate of the prior comparable period and the statutory federal tax rate of 21% primarily due to the release of unrecognized tax benefits. As noted under </w:t>
      </w:r>
      <w:r>
        <w:rPr>
          <w:rFonts w:ascii="Times New Roman" w:cs="Times New Roman" w:eastAsia="Times New Roman" w:hAnsi="Times New Roman"/>
          <w:sz w:val="18"/>
          <w:szCs w:val="18"/>
          <w:i w:val="1"/>
          <w:iCs w:val="1"/>
          <w:color w:val="auto"/>
        </w:rPr>
        <w:t>“Impairment and Closure Charges</w:t>
      </w:r>
      <w:r>
        <w:rPr>
          <w:rFonts w:ascii="Times New Roman" w:cs="Times New Roman" w:eastAsia="Times New Roman" w:hAnsi="Times New Roman"/>
          <w:sz w:val="18"/>
          <w:szCs w:val="18"/>
          <w:color w:val="auto"/>
        </w:rPr>
        <w:t>” above, our effective tax rate for the nine months ended September 30, 2020 was significantly different than the rate of the prior comparable period and the statutory federal tax rate of 21% primarily because the $92.2 million impairment of goodwill incurred in the prior quarter is not deductible for federal income tax purposes and therefore has no associated tax benefit.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firstLine="369"/>
        <w:spacing w:after="0" w:line="272" w:lineRule="auto"/>
        <w:rPr>
          <w:sz w:val="20"/>
          <w:szCs w:val="20"/>
          <w:color w:val="auto"/>
        </w:rPr>
      </w:pPr>
      <w:r>
        <w:rPr>
          <w:rFonts w:ascii="Times New Roman" w:cs="Times New Roman" w:eastAsia="Times New Roman" w:hAnsi="Times New Roman"/>
          <w:sz w:val="17"/>
          <w:szCs w:val="17"/>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40" w:firstLine="8"/>
        <w:spacing w:after="0" w:line="260" w:lineRule="auto"/>
        <w:tabs>
          <w:tab w:leader="none" w:pos="1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Co-Issuers also established a new revolving financing facility, the 2019-1 Variable Funding Senior Notes, Class A-1 (the “Revolver”) that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In general, the leverage ratio is our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w:t>
      </w:r>
    </w:p>
    <w:p>
      <w:pPr>
        <w:spacing w:after="0" w:line="21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our leverage ratio was 6.67x. As a result, principal payments on the 2019 Class A-2 Notes of $3.25 million will be required in the fourth quarter of 2020 and first quarter of 2021. The leverage ratio is not a maintenance covenant and exceeding the leverage ratio of 5.25x does not violate any covenant related to the New Notes.</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we repay the 2019 Class A-2 Notes prior to certain dates we would be required to pay make-whole premiums. As of September 30, 2020, the make-whole premium associated with voluntary prepayment of the Class A-2-I Notes was approximately $41 million; this amount declines each quarter to zero in June 2022. As of September 30, 2020, the make-whole premium associated with voluntary prepayment of the Class A-2-II Notes was approximately $84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September 30, 2020, based on the probability-weighted discounted cash flows associated with either event.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35"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firstLine="243"/>
        <w:spacing w:after="0" w:line="273" w:lineRule="auto"/>
        <w:rPr>
          <w:sz w:val="20"/>
          <w:szCs w:val="20"/>
          <w:color w:val="auto"/>
        </w:rPr>
      </w:pPr>
      <w:r>
        <w:rPr>
          <w:rFonts w:ascii="Times New Roman" w:cs="Times New Roman" w:eastAsia="Times New Roman" w:hAnsi="Times New Roman"/>
          <w:sz w:val="17"/>
          <w:szCs w:val="17"/>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98"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DSCR for the reporting period ended September 30, 2020 was approximately 3.2x.</w:t>
      </w:r>
    </w:p>
    <w:p>
      <w:pPr>
        <w:spacing w:after="0" w:line="25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we voluntarily increased the interest reserve required to be set aside for our securitized debt from $16.4 million to $32.8 million, which represents an estimated six months of interest and fees related to the 2019 Class A-2 Notes and the Revolver. During the second quarter of 2020, we voluntarily began accelerating the funding of interest on the 2019 Class A-2 Notes and the Revolver with the redirection of cash receipts within the securitization structure. As of October 26, the interest payments on the 2019 Class A-2 Notes and the Revolver due December 7, 2020 and March 5, 2021 have been fully funded within the securitization structure, in addition to the $32.8 million of interest reserve noted above.</w:t>
      </w:r>
    </w:p>
    <w:p>
      <w:pPr>
        <w:spacing w:after="0" w:line="21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March 2020, in light of the COVID-19 pandemic, Standard &amp; Poor's (“S&amp;P”) placed the Company on "credit watch-negative" with respect to its 2019 Class A-2 Notes. In September 2020, S&amp;P removed the Company from the credit watch and reaffirmed the “BBB” rating of the 2019 Class A-2 Notes.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March 2020, the Co-Issuers drew down a total of $220.0 million of the amount then available under the Revolver. Although the Company had no immediate need for additional liquidity, the Co-Issuers drew on the Revolver to increase the Company’s financial flexibility in light of then-current market conditions and uncertainty due to the COVID-19 outbreak. It is anticipated that the principal and interest on the Revolver will be repaid in full on or prior to the quarterly payment date in June 2024, subject to two additional one-year extensions at the option of the Company upon the satisfaction of certain conditions. The current interest rate for borrowings under the Revolver is the three-month LIBOR rate plus 2.15% for 60% of the advances and the commercial paper funding rate of our conduit investor plus 2.15% for 40% of the advances. The weighted average interest rate on Revolver borrowings for the period outstanding was 2.53% and 3.31%, respectively, for the three and nine months ended September 30, 2020.</w:t>
      </w:r>
    </w:p>
    <w:p>
      <w:pPr>
        <w:spacing w:after="0" w:line="21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2020, $2.8 million was pledged against the Revolver for outstanding letters of credit, leaving $2.2 million of the Revolver available for borrowing. The letters of credit are used primarily to satisfy insurance-related collateral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8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paid dividends on common stock of $23.9 million, representing a cash dividend of $0.69 per share declared in the fourth quarter of 2019, paid in January 2020, and a cash dividend of $0.76 per share declared in the first quarter of 2020, paid in April 2020.</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2019 Repurchase Program during the three and nine months ended September 30, 2020 and cumulatively, is as follows:</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3"/>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 Repurchase Program:</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49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 during the three months ended September 30, 2020</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Repurchased during the nine months ended September 30, 2020</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459,899</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1,697,597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70"/>
        </w:trPr>
        <w:tc>
          <w:tcPr>
            <w:tcW w:w="20" w:type="dxa"/>
            <w:vAlign w:val="bottom"/>
          </w:tcPr>
          <w:p>
            <w:pPr>
              <w:spacing w:after="0"/>
              <w:rPr>
                <w:sz w:val="23"/>
                <w:szCs w:val="23"/>
                <w:color w:val="auto"/>
              </w:rPr>
            </w:pPr>
          </w:p>
        </w:tc>
        <w:tc>
          <w:tcPr>
            <w:tcW w:w="6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bl>
    <w:p>
      <w:pPr>
        <w:spacing w:after="0" w:line="33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In order to maintain financial flexibility in light of the COVID-19 pandemic, we have ceased repurchasing our common stock for the foreseeable future and our Board of Directors has decided not to declare a dividend for the second, third and fourth quarters of 2020. We will continue to evaluate our capital allocation strategy as industry conditions evolve and normal restaurant operations resume.</w:t>
      </w:r>
    </w:p>
    <w:p>
      <w:pPr>
        <w:spacing w:after="0" w:line="210"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second quarter of 2020.</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 our cash flows for the nine months ended September 30, 2020 and September 30,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2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1"/>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decreased $68.9 million during the nine months ended September 30, 2020 compared to the same period of the prior year. Our net income plus the non-cash reconciling items shown in our statements of cash flows (primarily impairment and closure charges, depreciation, deferred taxes and stock-based compensation) decreased $27.3 million from 2019. This change was primarily due to a decrease in gross profit primarily due to a significant decline in customer traffic at our restaurants as a result of the effects of measures put in place by various levels of government to mitigate the spread of the COVID-19 virus and related changes in consumer behavior, partially offset by a decrease in G&amp;A expenses, each of which was discussed in preceding sections of the MD&amp;A. Additionally, net changes in working capital used cash of $51.5 million during the nine months ended September 30, 2020 compared to using cash of $9.8 million during the same period of the prior year, an unfavorable change of $41.6 million. The unfavorable change in working capital was primarily due to an increase in trade receivables resulting from payment deferrals offered to franchisees and a net increase in tax receivables related, in part, to an estimated tax payment made in the first quarter of 2020 before the impacts of the COVID-19 pandemic were considered, as well as a tax refund received in 2019 that did not recur. These unfavorable items were partially offset by the timing of marketing accruals due in part to the temporary suspension of the Company's national advertising programs from March to June of 2020. In summary, the decrease of $68.9 million in cash provided by operating activities for the nine months ended September 30, 2020 was due to the $27.3 million decrease in net income plus non-cash reconciling items and the unfavorable change of $41.6 million in cash used by working capital changes.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Investing activities provided net cash of $5.3 million for the nine months ended September 30, 2020. Principal receipts from notes, equipment contracts and other long-term receivables of $15.7 million were partially offset by capital expenditures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of $9.1 million and loans to franchisees of $1.5 million. Investing activities used net cash of $4.0 million for the nine months ended September 30, 2019. The variance between the two periods was due to decreases in capital expenditures and loans to franchisees during the nine months ended September 30, 2020 compared to the same period of the prior year.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Financing activities provided net cash of $175.1 million for the nine months ended September 30, 2020. As discussed above under Use of Credit Facilities, we drew down $220.0 million from our Revolver to increase our financial flexibility in light of then-current market conditions and uncertainty due to the COVID-19 outbreak. We also had a net cash inflow of approximately $18.1 million related to equity compensation awards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These financing inflows were partially offset by cash dividends paid on our common stock totaling $23.9 million, repurchases of our common stock totaling $29.9 million and repayments of finance lease obligations of $9.0 million.</w:t>
      </w:r>
    </w:p>
    <w:p>
      <w:pPr>
        <w:spacing w:after="0" w:line="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Financing activities used net cash of $149.0 million for the nine months ended September 30, 2019. The increase of $324.2 million in the net cash provided by/used in financing activities was primarily due to the $220 million drawdown from our Revolver, a decrease in repurchases of common stock of $60.2 million, a decrease in dividend payments of $9.9 million, each actions which were discussed under </w:t>
      </w:r>
      <w:r>
        <w:rPr>
          <w:rFonts w:ascii="Times New Roman" w:cs="Times New Roman" w:eastAsia="Times New Roman" w:hAnsi="Times New Roman"/>
          <w:sz w:val="18"/>
          <w:szCs w:val="18"/>
          <w:i w:val="1"/>
          <w:iCs w:val="1"/>
          <w:color w:val="auto"/>
        </w:rPr>
        <w:t>"Ongoing Impact of COVID-19."</w:t>
      </w:r>
      <w:r>
        <w:rPr>
          <w:rFonts w:ascii="Times New Roman" w:cs="Times New Roman" w:eastAsia="Times New Roman" w:hAnsi="Times New Roman"/>
          <w:sz w:val="18"/>
          <w:szCs w:val="18"/>
          <w:color w:val="auto"/>
        </w:rPr>
        <w:t xml:space="preserve"> Additionally, during the nine months ended September 30, 2019, we repaid $25.0 million on our credit facility that had been drawn in 2018 and paid $12.7 million in debt issuance costs associated with our 2019 debt refinancing and similar transaction did not recur in 2020.</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total cash balance as of September 30, 2020 was are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89"/>
        </w:trPr>
        <w:tc>
          <w:tcPr>
            <w:tcW w:w="9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9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$59.0 million of cash held for gift card programs and advertising funds.</w:t>
      </w:r>
    </w:p>
    <w:p>
      <w:pPr>
        <w:spacing w:after="0" w:line="252"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cash on hand, cash flow from operations, and the actions taken to mitigate the effects of the COVID-19 pandemic discussed under </w:t>
      </w:r>
      <w:r>
        <w:rPr>
          <w:rFonts w:ascii="Times New Roman" w:cs="Times New Roman" w:eastAsia="Times New Roman" w:hAnsi="Times New Roman"/>
          <w:sz w:val="18"/>
          <w:szCs w:val="18"/>
          <w:i w:val="1"/>
          <w:iCs w:val="1"/>
          <w:color w:val="auto"/>
        </w:rPr>
        <w:t xml:space="preserve">Significant Recent Developments </w:t>
      </w:r>
      <w:r>
        <w:rPr>
          <w:rFonts w:ascii="Times New Roman" w:cs="Times New Roman" w:eastAsia="Times New Roman" w:hAnsi="Times New Roman"/>
          <w:sz w:val="18"/>
          <w:szCs w:val="18"/>
          <w:color w:val="auto"/>
        </w:rPr>
        <w:t>will provide us with adequate liquidity for the next twelve months.</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63"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33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120" w:type="dxa"/>
            <w:vAlign w:val="bottom"/>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196"/>
        </w:trPr>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104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to generate positive adjusted free cash flow during the remaining three months of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obligations for guarantees on certain franchisee lease agreements, as disclosed in Note 15 - Commitments and Contingencies, of Notes to Consolidated Financial Statements of Part I, Item 1 of this Form 10-Q. Other than such guarantees, we did not have any off-balance sheet arrangements, as defined in Item 303(a)(4) of SEC Regulation S-K as of September 30,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in March 2020, we drew down a total of $220 million from the Revolver. Other than this borrowing, there were no material changes to the contractual obligations table as disclosed in our Annual Report on Form 10-K for the year ended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2019. During the nine months ended September 30, 2020, there were no significant changes in our critical accounting policies, other than our accounting policy for current expected credit losses, which changed because of the adoption of the accounting guidance discussed in Note 3 - Accounting Standards Adopted and Newly Issued Accounting Standards Not Yet Adopted, in the Notes to Consolidated Financial Statements and in our critical accounting estimates, other than those related to the valuation of goodwill, intangibles and long-lived assets discussed in Note 4 - Impairment and Closure Charges, in the Notes to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change from the information contained in the Company’s Annual Report on Form 10-K for the year ended December 31, 2019 took place during the nine months ended September 30, 2020:</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only exposed to interest rate risk on borrowings we make under our 2019 Class A-1 Notes, a revolving credit facility (the “Revolver”), borrowings from which are subject to variable interest rates. In March 2020, we drew down $220.0 million from the Revolver, all of which was outstanding at September 30, 2020. A 1% increase or decrease in interest rates would increase or decrease our annual interest expense by $2.2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Please refer to our risk factors disclosed in Part I, Item 1A “Risk Factors” of our Annual Report on Form 10-K for the fiscal year ended December 31, 2019.</w:t>
      </w:r>
    </w:p>
    <w:p>
      <w:pPr>
        <w:spacing w:after="0" w:line="185" w:lineRule="exact"/>
        <w:rPr>
          <w:sz w:val="20"/>
          <w:szCs w:val="20"/>
          <w:color w:val="auto"/>
        </w:rPr>
      </w:pPr>
    </w:p>
    <w:p>
      <w:pPr>
        <w:jc w:val="both"/>
        <w:ind w:right="4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novel coronavirus (COVID-19) pandemic has disrupted and may further disrupt our business, which could further materially affect our operations, and business and financial results. In addition, any other epidemic, disease outbreak or public health emergency may result in similar adverse effects.</w:t>
      </w:r>
    </w:p>
    <w:p>
      <w:pPr>
        <w:spacing w:after="0" w:line="203"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sales and traffic at our and our franchisees’ restaurants, may make it more difficult to staff restaurants and, in more severe cases, may damage our reputation, cause an inability to obtain supplies, increase commodity costs or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epidemic, disease outbreak, or public health emergency;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w:t>
      </w:r>
    </w:p>
    <w:p>
      <w:pPr>
        <w:spacing w:after="0" w:line="218"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We and our franchisees have been and could further be adversely affected by government restrictions on public gatherings; shelter-in-place orders; and limitations on operations of restaurants, including dine-in restrictions, mandatory or voluntary closures or restrictions on hours of operations. Certain restaurants in the U.S. and abroad are currently under government mandates or guidelines to temporarily suspend operation of restaurants or limit restaurant dine-in business in light of COVID-19. We are unable to predict when these measures may be scaled back, or how quickly our operations will return to previous levels after the measures are scaled back. Certain other restaurants have had dine-in restrictions and other operational limitations lifted but we are</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unable to predict whether or when these restrictions may be reinstated or new restrictions may be implemented if the COVID-19 pandemic worsens. To assist franchisees impacted by COVID-19, we have offered deferral of royalty, advertising, and other fees, including, in some cases, lease payments. We have temporarily suspended franchisee development obligations. These changes and any additional changes may materially adversely affect our business, liquidity, financial condition, and results of operations, particularly if these changes are in place for a prolonged amount of time. The COVID-19 pandemic as well as other epidemics, disease outbreaks or public health emergencies may also materially adversely affect our ability to implement our growth plans, including delays in development of new locations or adversely impact our overall ability to successfully execute our plans to enter into new markets.</w:t>
      </w:r>
    </w:p>
    <w:p>
      <w:pPr>
        <w:spacing w:after="0" w:line="196"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As we previously announced, we drew down a significant majority of the amount available under our revolving facility. The increase in our level of debt may adversely affect our financial and operating activities or ability to incur additional debt. Furthermore, the impacts of COVID-19 could cause us to fail to meet certain financial performance measures, including debt service coverage ratios and minimum domestic franchise system sales amounts, that must be met to avoid a possible rapid amortization event or event of default under the terms of our existing debt arrangements. In addition, as a result of the risks described above, we may be required to raise additional capital, and there is no guarantee that debt and/or equity financings will be available in the future to fund our obligations, or will be available on terms consistent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980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plans or programs (b)</w:t>
            </w: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June 29, 2020 - July 26, 2020</w:t>
            </w:r>
            <w:r>
              <w:rPr>
                <w:rFonts w:ascii="Times New Roman" w:cs="Times New Roman" w:eastAsia="Times New Roman" w:hAnsi="Times New Roman"/>
                <w:sz w:val="23"/>
                <w:szCs w:val="23"/>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Pr>
          <w:p>
            <w:pPr>
              <w:spacing w:after="0"/>
              <w:rPr>
                <w:sz w:val="24"/>
                <w:szCs w:val="24"/>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July 27, 2020 - August 23, 2020</w:t>
            </w:r>
            <w:r>
              <w:rPr>
                <w:rFonts w:ascii="Times New Roman" w:cs="Times New Roman" w:eastAsia="Times New Roman" w:hAnsi="Times New Roman"/>
                <w:sz w:val="23"/>
                <w:szCs w:val="23"/>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20" w:type="dxa"/>
            <w:vAlign w:val="bottom"/>
          </w:tcPr>
          <w:p>
            <w:pPr>
              <w:spacing w:after="0"/>
              <w:rPr>
                <w:sz w:val="23"/>
                <w:szCs w:val="23"/>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61"/>
        </w:trPr>
        <w:tc>
          <w:tcPr>
            <w:tcW w:w="442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August 24, 2020 - September 27, 2020</w:t>
            </w:r>
            <w:r>
              <w:rPr>
                <w:rFonts w:ascii="Times New Roman" w:cs="Times New Roman" w:eastAsia="Times New Roman" w:hAnsi="Times New Roman"/>
                <w:sz w:val="23"/>
                <w:szCs w:val="23"/>
                <w:color w:val="auto"/>
                <w:vertAlign w:val="superscript"/>
              </w:rPr>
              <w:t>(a)</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Pr>
          <w:p>
            <w:pPr>
              <w:spacing w:after="0"/>
              <w:rPr>
                <w:sz w:val="22"/>
                <w:szCs w:val="22"/>
                <w:color w:val="auto"/>
              </w:rPr>
            </w:pPr>
          </w:p>
        </w:tc>
        <w:tc>
          <w:tcPr>
            <w:tcW w:w="16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63"/>
        </w:trPr>
        <w:tc>
          <w:tcPr>
            <w:tcW w:w="442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tcPr>
          <w:p>
            <w:pPr>
              <w:spacing w:after="0"/>
              <w:rPr>
                <w:sz w:val="22"/>
                <w:szCs w:val="22"/>
                <w:color w:val="auto"/>
              </w:rPr>
            </w:pPr>
          </w:p>
        </w:tc>
        <w:tc>
          <w:tcPr>
            <w:tcW w:w="16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480" w:hanging="252"/>
        <w:spacing w:after="0" w:line="226" w:lineRule="auto"/>
        <w:tabs>
          <w:tab w:leader="none" w:pos="176"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amounts represent shares owned and tendered by employees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ind w:left="260" w:right="200" w:hanging="252"/>
        <w:spacing w:after="0" w:line="216" w:lineRule="auto"/>
        <w:tabs>
          <w:tab w:leader="none" w:pos="275"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08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6"/>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3"/>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amended.</w:t>
              </w:r>
            </w:hyperlink>
          </w:p>
        </w:tc>
      </w:tr>
      <w:tr>
        <w:trPr>
          <w:trHeight w:val="270"/>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3"/>
          </w:tcPr>
          <w:p>
            <w:pPr>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u w:val="single" w:color="auto"/>
                  <w:color w:val="0000FF"/>
                </w:rPr>
                <w:t>Certification of Chief Financial Officer pursuant to Rule 13a-14(a) of the Securities Exchange Act of 1934, as amended</w:t>
              </w:r>
              <w:r>
                <w:rPr>
                  <w:rFonts w:ascii="Times New Roman" w:cs="Times New Roman" w:eastAsia="Times New Roman" w:hAnsi="Times New Roman"/>
                  <w:sz w:val="18"/>
                  <w:szCs w:val="18"/>
                  <w:color w:val="0000FF"/>
                </w:rPr>
                <w:t>.</w:t>
              </w:r>
            </w:hyperlink>
          </w:p>
        </w:tc>
      </w:tr>
      <w:tr>
        <w:trPr>
          <w:trHeight w:val="216"/>
        </w:trPr>
        <w:tc>
          <w:tcPr>
            <w:tcW w:w="1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64">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hyperlink>
          </w:p>
        </w:tc>
      </w:tr>
      <w:tr>
        <w:trPr>
          <w:trHeight w:val="156"/>
        </w:trPr>
        <w:tc>
          <w:tcPr>
            <w:tcW w:w="1480" w:type="dxa"/>
            <w:vAlign w:val="bottom"/>
          </w:tcPr>
          <w:p>
            <w:pPr>
              <w:spacing w:after="0"/>
              <w:rPr>
                <w:sz w:val="13"/>
                <w:szCs w:val="13"/>
                <w:color w:val="auto"/>
              </w:rPr>
            </w:pPr>
          </w:p>
        </w:tc>
        <w:tc>
          <w:tcPr>
            <w:tcW w:w="9720" w:type="dxa"/>
            <w:vAlign w:val="bottom"/>
            <w:gridSpan w:val="3"/>
          </w:tcPr>
          <w:p>
            <w:pPr>
              <w:spacing w:after="0" w:line="156"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Act of 2002.**</w:t>
              </w:r>
            </w:hyperlink>
          </w:p>
        </w:tc>
      </w:tr>
      <w:tr>
        <w:trPr>
          <w:trHeight w:val="20"/>
        </w:trPr>
        <w:tc>
          <w:tcPr>
            <w:tcW w:w="14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720" w:type="dxa"/>
            <w:vAlign w:val="bottom"/>
            <w:gridSpan w:val="3"/>
          </w:tcPr>
          <w:p>
            <w:pP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hyperlink>
          </w:p>
        </w:tc>
      </w:tr>
      <w:tr>
        <w:trPr>
          <w:trHeight w:val="156"/>
        </w:trPr>
        <w:tc>
          <w:tcPr>
            <w:tcW w:w="1480" w:type="dxa"/>
            <w:vAlign w:val="bottom"/>
          </w:tcPr>
          <w:p>
            <w:pPr>
              <w:spacing w:after="0"/>
              <w:rPr>
                <w:sz w:val="13"/>
                <w:szCs w:val="13"/>
                <w:color w:val="auto"/>
              </w:rPr>
            </w:pPr>
          </w:p>
        </w:tc>
        <w:tc>
          <w:tcPr>
            <w:tcW w:w="96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Act of 2002.**</w:t>
              </w:r>
            </w:hyperlink>
          </w:p>
        </w:tc>
        <w:tc>
          <w:tcPr>
            <w:tcW w:w="4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09"/>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5"/>
        </w:trPr>
        <w:tc>
          <w:tcPr>
            <w:tcW w:w="1480" w:type="dxa"/>
            <w:vAlign w:val="bottom"/>
          </w:tcPr>
          <w:p>
            <w:pPr>
              <w:spacing w:after="0"/>
              <w:rPr>
                <w:sz w:val="19"/>
                <w:szCs w:val="19"/>
                <w:color w:val="auto"/>
              </w:rPr>
            </w:pPr>
          </w:p>
        </w:tc>
        <w:tc>
          <w:tcPr>
            <w:tcW w:w="9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70"/>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70"/>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70"/>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70"/>
        </w:trPr>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36" w:lineRule="exact"/>
        <w:rPr>
          <w:sz w:val="20"/>
          <w:szCs w:val="20"/>
          <w:color w:val="auto"/>
        </w:rPr>
      </w:pPr>
    </w:p>
    <w:p>
      <w:pPr>
        <w:ind w:left="1480" w:hanging="720"/>
        <w:spacing w:after="0"/>
        <w:tabs>
          <w:tab w:leader="none" w:pos="1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500" w:right="80" w:hanging="492"/>
        <w:spacing w:after="0" w:line="255" w:lineRule="auto"/>
        <w:tabs>
          <w:tab w:leader="none" w:pos="3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85" w:lineRule="exact"/>
        <w:rPr>
          <w:sz w:val="20"/>
          <w:szCs w:val="20"/>
          <w:color w:val="auto"/>
        </w:rPr>
      </w:pPr>
    </w:p>
    <w:p>
      <w:pPr>
        <w:ind w:left="820"/>
        <w:spacing w:after="0"/>
        <w:tabs>
          <w:tab w:leader="none" w:pos="5800" w:val="left"/>
          <w:tab w:leader="none" w:pos="7400" w:val="left"/>
        </w:tabs>
        <w:rPr>
          <w:sz w:val="20"/>
          <w:szCs w:val="20"/>
          <w:color w:val="auto"/>
        </w:rPr>
      </w:pPr>
      <w:r>
        <w:rPr>
          <w:rFonts w:ascii="Times New Roman" w:cs="Times New Roman" w:eastAsia="Times New Roman" w:hAnsi="Times New Roman"/>
          <w:sz w:val="18"/>
          <w:szCs w:val="18"/>
          <w:color w:val="auto"/>
        </w:rPr>
        <w:t>Dated: 28th day of October,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2571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2"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Stephen P. Joyce</w:t>
      </w:r>
    </w:p>
    <w:p>
      <w:pPr>
        <w:jc w:val="center"/>
        <w:ind w:left="49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6" w:lineRule="exact"/>
        <w:rPr>
          <w:sz w:val="20"/>
          <w:szCs w:val="20"/>
          <w:color w:val="auto"/>
        </w:rPr>
      </w:pPr>
    </w:p>
    <w:p>
      <w:pPr>
        <w:ind w:left="820"/>
        <w:spacing w:after="0"/>
        <w:tabs>
          <w:tab w:leader="none" w:pos="5800" w:val="left"/>
          <w:tab w:leader="none" w:pos="7380" w:val="left"/>
        </w:tabs>
        <w:rPr>
          <w:sz w:val="20"/>
          <w:szCs w:val="20"/>
          <w:color w:val="auto"/>
        </w:rPr>
      </w:pPr>
      <w:r>
        <w:rPr>
          <w:rFonts w:ascii="Times New Roman" w:cs="Times New Roman" w:eastAsia="Times New Roman" w:hAnsi="Times New Roman"/>
          <w:sz w:val="18"/>
          <w:szCs w:val="18"/>
          <w:color w:val="auto"/>
        </w:rPr>
        <w:t>Dated: 28th day of October,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25717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2"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Thomas H. Song</w:t>
      </w:r>
    </w:p>
    <w:p>
      <w:pPr>
        <w:jc w:val="center"/>
        <w:ind w:left="498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4980"/>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320" w:top="118" w:right="6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820"/>
        <w:spacing w:after="0"/>
        <w:tabs>
          <w:tab w:leader="none" w:pos="8320" w:val="left"/>
        </w:tabs>
        <w:rPr>
          <w:sz w:val="20"/>
          <w:szCs w:val="20"/>
          <w:color w:val="auto"/>
        </w:rPr>
      </w:pPr>
      <w:r>
        <w:rPr>
          <w:rFonts w:ascii="Times New Roman" w:cs="Times New Roman" w:eastAsia="Times New Roman" w:hAnsi="Times New Roman"/>
          <w:sz w:val="18"/>
          <w:szCs w:val="18"/>
          <w:color w:val="auto"/>
        </w:rPr>
        <w:t>Dated: 28th day of October, 2020</w:t>
      </w:r>
      <w:r>
        <w:rPr>
          <w:sz w:val="20"/>
          <w:szCs w:val="20"/>
          <w:color w:val="auto"/>
        </w:rPr>
        <w:tab/>
      </w:r>
      <w:r>
        <w:rPr>
          <w:rFonts w:ascii="Times New Roman" w:cs="Times New Roman" w:eastAsia="Times New Roman" w:hAnsi="Times New Roman"/>
          <w:sz w:val="17"/>
          <w:szCs w:val="17"/>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34290</wp:posOffset>
            </wp:positionV>
            <wp:extent cx="2331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Stephen P. Joyce</w:t>
      </w:r>
    </w:p>
    <w:p>
      <w:pPr>
        <w:jc w:val="center"/>
        <w:ind w:left="684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820"/>
        <w:spacing w:after="0"/>
        <w:tabs>
          <w:tab w:leader="none" w:pos="8300" w:val="left"/>
        </w:tabs>
        <w:rPr>
          <w:sz w:val="20"/>
          <w:szCs w:val="20"/>
          <w:color w:val="auto"/>
        </w:rPr>
      </w:pPr>
      <w:r>
        <w:rPr>
          <w:rFonts w:ascii="Times New Roman" w:cs="Times New Roman" w:eastAsia="Times New Roman" w:hAnsi="Times New Roman"/>
          <w:sz w:val="18"/>
          <w:szCs w:val="18"/>
          <w:color w:val="auto"/>
        </w:rPr>
        <w:t>Dated: 28th day of October, 2020</w:t>
      </w:r>
      <w:r>
        <w:rPr>
          <w:sz w:val="20"/>
          <w:szCs w:val="20"/>
          <w:color w:val="auto"/>
        </w:rPr>
        <w:tab/>
      </w:r>
      <w:r>
        <w:rPr>
          <w:rFonts w:ascii="Times New Roman" w:cs="Times New Roman" w:eastAsia="Times New Roman" w:hAnsi="Times New Roman"/>
          <w:sz w:val="17"/>
          <w:szCs w:val="17"/>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34290</wp:posOffset>
            </wp:positionV>
            <wp:extent cx="2297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Thomas H. Song</w:t>
      </w:r>
    </w:p>
    <w:p>
      <w:pPr>
        <w:jc w:val="center"/>
        <w:ind w:left="680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6800"/>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2020, as filed with the Securities and Exchange Commission on the 28th day of October, 2020 (the “Report”), Stephen P. Joyce, as Chief Executive Officer of the Company, hereby certifies, pursuant to 18 U.S.C. Section 1350, as adopted pursuant to Section 906 of the Sarbanes-Oxley Act of 2002, to the best of his knowledge, that:</w:t>
      </w:r>
    </w:p>
    <w:p>
      <w:pPr>
        <w:spacing w:after="0" w:line="180" w:lineRule="exact"/>
        <w:rPr>
          <w:sz w:val="20"/>
          <w:szCs w:val="20"/>
          <w:color w:val="auto"/>
        </w:rPr>
      </w:pPr>
    </w:p>
    <w:p>
      <w:pPr>
        <w:ind w:left="1660" w:hanging="518"/>
        <w:spacing w:after="0"/>
        <w:tabs>
          <w:tab w:leader="none" w:pos="1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61" w:lineRule="exact"/>
        <w:rPr>
          <w:sz w:val="20"/>
          <w:szCs w:val="20"/>
          <w:color w:val="auto"/>
        </w:rPr>
      </w:pPr>
    </w:p>
    <w:p>
      <w:pPr>
        <w:ind w:left="20"/>
        <w:spacing w:after="0"/>
        <w:tabs>
          <w:tab w:leader="none" w:pos="780" w:val="left"/>
          <w:tab w:leader="none" w:pos="84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28th day of October, 2020</w:t>
      </w:r>
      <w:r>
        <w:rPr>
          <w:sz w:val="20"/>
          <w:szCs w:val="20"/>
          <w:color w:val="auto"/>
        </w:rPr>
        <w:tab/>
      </w:r>
      <w:r>
        <w:rPr>
          <w:rFonts w:ascii="Times New Roman" w:cs="Times New Roman" w:eastAsia="Times New Roman" w:hAnsi="Times New Roman"/>
          <w:sz w:val="17"/>
          <w:szCs w:val="17"/>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34290</wp:posOffset>
            </wp:positionV>
            <wp:extent cx="22459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color w:val="auto"/>
        </w:rPr>
        <w:t>Stephen P. Joyce</w:t>
      </w:r>
    </w:p>
    <w:p>
      <w:pPr>
        <w:jc w:val="center"/>
        <w:ind w:left="714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2020, as filed with the Securities and Exchange Commission on the 28th day of October, 2020 (the “Report”), Thomas H. Song, as Chief Financial Officer of the Company, hereby certifies, pursuant to 18 U.S.C. Section 1350, as adopted pursuant to Section 906 of the Sarbanes-Oxley Act of 2002, to the best of his knowledge, that:</w:t>
      </w:r>
    </w:p>
    <w:p>
      <w:pPr>
        <w:spacing w:after="0" w:line="180" w:lineRule="exact"/>
        <w:rPr>
          <w:sz w:val="20"/>
          <w:szCs w:val="20"/>
          <w:color w:val="auto"/>
        </w:rPr>
      </w:pPr>
    </w:p>
    <w:p>
      <w:pPr>
        <w:ind w:left="1660" w:hanging="518"/>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61" w:lineRule="exact"/>
        <w:rPr>
          <w:sz w:val="20"/>
          <w:szCs w:val="20"/>
          <w:color w:val="auto"/>
        </w:rPr>
      </w:pPr>
    </w:p>
    <w:p>
      <w:pPr>
        <w:ind w:left="20"/>
        <w:spacing w:after="0"/>
        <w:tabs>
          <w:tab w:leader="none" w:pos="780" w:val="left"/>
          <w:tab w:leader="none" w:pos="8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28th day of October, 2020</w:t>
      </w:r>
      <w:r>
        <w:rPr>
          <w:sz w:val="20"/>
          <w:szCs w:val="20"/>
          <w:color w:val="auto"/>
        </w:rPr>
        <w:tab/>
      </w:r>
      <w:r>
        <w:rPr>
          <w:rFonts w:ascii="Times New Roman" w:cs="Times New Roman" w:eastAsia="Times New Roman" w:hAnsi="Times New Roman"/>
          <w:sz w:val="18"/>
          <w:szCs w:val="18"/>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34290</wp:posOffset>
            </wp:positionV>
            <wp:extent cx="2219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2"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Thomas H. Song</w:t>
      </w:r>
    </w:p>
    <w:p>
      <w:pPr>
        <w:jc w:val="center"/>
        <w:ind w:left="722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7220"/>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3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Roman"/>
      <w:start w:val="9"/>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5"/>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lvl w:ilvl="1">
      <w:lvlJc w:val="left"/>
      <w:lvlText w:val="(%2)"/>
      <w:numFmt w:val="lowerLetter"/>
      <w:start w:val="1"/>
    </w:lvl>
  </w:abstractNum>
  <w:abstractNum w:abstractNumId="14">
    <w:nsid w:val="721DA317"/>
    <w:multiLevelType w:val="hybridMultilevel"/>
    <w:lvl w:ilvl="0">
      <w:lvlJc w:val="left"/>
      <w:lvlText w:val="(%1)"/>
      <w:numFmt w:val="lowerLetter"/>
      <w:start w:val="2"/>
    </w:lvl>
    <w:lvl w:ilvl="1">
      <w:lvlJc w:val="left"/>
      <w:lvlText w:val="%2"/>
      <w:numFmt w:val="lowerLetter"/>
      <w:start w:val="1"/>
    </w:lvl>
  </w:abstractNum>
  <w:abstractNum w:abstractNumId="15">
    <w:nsid w:val="2443A858"/>
    <w:multiLevelType w:val="hybridMultilevel"/>
    <w:lvl w:ilvl="0">
      <w:lvlJc w:val="left"/>
      <w:lvlText w:val="(%1)"/>
      <w:numFmt w:val="lowerLetter"/>
      <w:start w:val="3"/>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upperLetter"/>
      <w:start w:val="35"/>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lvl w:ilvl="1">
      <w:lvlJc w:val="left"/>
      <w:lvlText w:val="%2"/>
      <w:numFmt w:val="decimal"/>
      <w:start w:val="104"/>
    </w:lvl>
  </w:abstractNum>
  <w:abstractNum w:abstractNumId="23">
    <w:nsid w:val="189A769B"/>
    <w:multiLevelType w:val="hybridMultilevel"/>
    <w:lvl w:ilvl="0">
      <w:lvlJc w:val="left"/>
      <w:lvlText w:val="**"/>
      <w:numFmt w:val="bullet"/>
      <w:start w:val="1"/>
    </w:lvl>
    <w:lvl w:ilvl="1">
      <w:lvlJc w:val="left"/>
      <w:lvlText w:val="%2"/>
      <w:numFmt w:val="decimal"/>
      <w:start w:val="1"/>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2020-10-28T07:32:53Z</dcterms:created>
  <dcterms:modified xsi:type="dcterms:W3CDTF">2020-10-28T07:32:53Z</dcterms:modified>
</cp:coreProperties>
</file>